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5995" w14:textId="709913F3" w:rsidR="001A1B89" w:rsidRPr="00A8446E" w:rsidRDefault="001A1B89" w:rsidP="001A1B89">
      <w:pPr>
        <w:spacing w:line="240" w:lineRule="auto"/>
        <w:ind w:left="1080" w:hanging="360"/>
        <w:rPr>
          <w:rFonts w:ascii="Times New Roman" w:hAnsi="Times New Roman" w:cs="Times New Roman"/>
          <w:b/>
          <w:bCs/>
          <w:sz w:val="24"/>
          <w:szCs w:val="24"/>
        </w:rPr>
      </w:pPr>
      <w:r w:rsidRPr="00A8446E">
        <w:rPr>
          <w:rFonts w:ascii="Times New Roman" w:hAnsi="Times New Roman" w:cs="Times New Roman"/>
          <w:b/>
          <w:bCs/>
          <w:sz w:val="24"/>
          <w:szCs w:val="24"/>
        </w:rPr>
        <w:t>Annex: International Legal Framework</w:t>
      </w:r>
      <w:r w:rsidR="00721FB3" w:rsidRPr="00A8446E">
        <w:rPr>
          <w:rFonts w:ascii="Times New Roman" w:hAnsi="Times New Roman" w:cs="Times New Roman"/>
          <w:b/>
          <w:bCs/>
          <w:sz w:val="24"/>
          <w:szCs w:val="24"/>
        </w:rPr>
        <w:t xml:space="preserve"> </w:t>
      </w:r>
      <w:r w:rsidRPr="00A8446E">
        <w:rPr>
          <w:rFonts w:ascii="Times New Roman" w:hAnsi="Times New Roman" w:cs="Times New Roman"/>
          <w:b/>
          <w:bCs/>
          <w:sz w:val="24"/>
          <w:szCs w:val="24"/>
        </w:rPr>
        <w:t>for Report</w:t>
      </w:r>
      <w:r w:rsidR="00721FB3" w:rsidRPr="00A8446E">
        <w:rPr>
          <w:rFonts w:ascii="Times New Roman" w:hAnsi="Times New Roman" w:cs="Times New Roman"/>
          <w:b/>
          <w:bCs/>
          <w:sz w:val="24"/>
          <w:szCs w:val="24"/>
        </w:rPr>
        <w:t xml:space="preserve"> by the Special Rapporteur in the field of cultural rights</w:t>
      </w:r>
      <w:r w:rsidRPr="00A8446E">
        <w:rPr>
          <w:rFonts w:ascii="Times New Roman" w:hAnsi="Times New Roman" w:cs="Times New Roman"/>
          <w:b/>
          <w:bCs/>
          <w:sz w:val="24"/>
          <w:szCs w:val="24"/>
        </w:rPr>
        <w:t xml:space="preserve"> on a Human Rights Approach to Cultural Mixing, Mixed Cultural Identities and Syncretism</w:t>
      </w:r>
    </w:p>
    <w:p w14:paraId="3502D156" w14:textId="26092E2E" w:rsidR="00D743DA" w:rsidRPr="00A8446E" w:rsidRDefault="00D743DA" w:rsidP="00D743DA">
      <w:pPr>
        <w:pStyle w:val="ListParagraph"/>
        <w:numPr>
          <w:ilvl w:val="0"/>
          <w:numId w:val="2"/>
        </w:numPr>
        <w:spacing w:line="240" w:lineRule="auto"/>
        <w:rPr>
          <w:rFonts w:ascii="Times New Roman" w:hAnsi="Times New Roman" w:cs="Times New Roman"/>
          <w:b/>
          <w:bCs/>
          <w:sz w:val="24"/>
          <w:szCs w:val="24"/>
        </w:rPr>
      </w:pPr>
      <w:r w:rsidRPr="00A8446E">
        <w:rPr>
          <w:rFonts w:ascii="Times New Roman" w:hAnsi="Times New Roman" w:cs="Times New Roman"/>
          <w:b/>
          <w:bCs/>
          <w:sz w:val="24"/>
          <w:szCs w:val="24"/>
        </w:rPr>
        <w:t>International Legal Framework</w:t>
      </w:r>
    </w:p>
    <w:p w14:paraId="493D6171" w14:textId="52D017DF" w:rsidR="0050218F" w:rsidRPr="00A8446E" w:rsidRDefault="0050218F" w:rsidP="0050218F">
      <w:pPr>
        <w:pStyle w:val="ListParagraph"/>
        <w:spacing w:line="240" w:lineRule="auto"/>
        <w:ind w:left="1440"/>
        <w:rPr>
          <w:rFonts w:ascii="Times New Roman" w:hAnsi="Times New Roman" w:cs="Times New Roman"/>
          <w:b/>
          <w:bCs/>
          <w:sz w:val="24"/>
          <w:szCs w:val="24"/>
        </w:rPr>
      </w:pPr>
    </w:p>
    <w:p w14:paraId="1430AE77" w14:textId="782789A1" w:rsidR="0050218F" w:rsidRPr="00A8446E" w:rsidRDefault="0050218F" w:rsidP="0050218F">
      <w:pPr>
        <w:pStyle w:val="ListParagraph"/>
        <w:numPr>
          <w:ilvl w:val="0"/>
          <w:numId w:val="3"/>
        </w:numPr>
        <w:spacing w:line="240" w:lineRule="auto"/>
        <w:rPr>
          <w:rFonts w:ascii="Times New Roman" w:hAnsi="Times New Roman" w:cs="Times New Roman"/>
          <w:b/>
          <w:bCs/>
          <w:sz w:val="24"/>
          <w:szCs w:val="24"/>
        </w:rPr>
      </w:pPr>
      <w:r w:rsidRPr="00A8446E">
        <w:rPr>
          <w:rFonts w:ascii="Times New Roman" w:hAnsi="Times New Roman" w:cs="Times New Roman"/>
          <w:b/>
          <w:bCs/>
          <w:sz w:val="24"/>
          <w:szCs w:val="24"/>
        </w:rPr>
        <w:t>Cultural Rights Standards</w:t>
      </w:r>
    </w:p>
    <w:p w14:paraId="12A56906" w14:textId="77777777" w:rsidR="00DA0DD4" w:rsidRPr="00A8446E" w:rsidRDefault="00DA0DD4" w:rsidP="00DA0DD4">
      <w:pPr>
        <w:pStyle w:val="ListParagraph"/>
        <w:spacing w:line="240" w:lineRule="auto"/>
        <w:ind w:left="1440"/>
        <w:rPr>
          <w:rFonts w:ascii="Times New Roman" w:hAnsi="Times New Roman" w:cs="Times New Roman"/>
          <w:b/>
          <w:bCs/>
          <w:sz w:val="24"/>
          <w:szCs w:val="24"/>
        </w:rPr>
      </w:pPr>
    </w:p>
    <w:p w14:paraId="34EAE7DB" w14:textId="20DC9C16" w:rsidR="00DA0DD4" w:rsidRPr="00A8446E" w:rsidRDefault="00DA0DD4" w:rsidP="00AC625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Due to the word limit, the legal framework relevant to the Special Rapporteur’s report on cultural mixing, mixed cultural identities and syncretism is surveyed in this Annex which should be read in conjunction with the report.</w:t>
      </w:r>
      <w:r w:rsidR="005C69B7" w:rsidRPr="00A8446E">
        <w:rPr>
          <w:rFonts w:ascii="Times New Roman" w:hAnsi="Times New Roman" w:cs="Times New Roman"/>
          <w:sz w:val="24"/>
          <w:szCs w:val="24"/>
        </w:rPr>
        <w:t xml:space="preserve">  This Annex also contains a small number of additional comments on the </w:t>
      </w:r>
      <w:r w:rsidR="001978A1" w:rsidRPr="00A8446E">
        <w:rPr>
          <w:rFonts w:ascii="Times New Roman" w:hAnsi="Times New Roman" w:cs="Times New Roman"/>
          <w:sz w:val="24"/>
          <w:szCs w:val="24"/>
        </w:rPr>
        <w:t>topics covered in the report</w:t>
      </w:r>
      <w:r w:rsidR="007C639B">
        <w:rPr>
          <w:rFonts w:ascii="Times New Roman" w:hAnsi="Times New Roman" w:cs="Times New Roman"/>
          <w:sz w:val="24"/>
          <w:szCs w:val="24"/>
        </w:rPr>
        <w:t xml:space="preserve"> that should be read in conjunction with the relevant section</w:t>
      </w:r>
      <w:r w:rsidR="00B63587">
        <w:rPr>
          <w:rFonts w:ascii="Times New Roman" w:hAnsi="Times New Roman" w:cs="Times New Roman"/>
          <w:sz w:val="24"/>
          <w:szCs w:val="24"/>
        </w:rPr>
        <w:t>s</w:t>
      </w:r>
      <w:r w:rsidR="007C639B">
        <w:rPr>
          <w:rFonts w:ascii="Times New Roman" w:hAnsi="Times New Roman" w:cs="Times New Roman"/>
          <w:sz w:val="24"/>
          <w:szCs w:val="24"/>
        </w:rPr>
        <w:t xml:space="preserve"> of the report</w:t>
      </w:r>
      <w:r w:rsidR="005C69B7" w:rsidRPr="00A8446E">
        <w:rPr>
          <w:rFonts w:ascii="Times New Roman" w:hAnsi="Times New Roman" w:cs="Times New Roman"/>
          <w:sz w:val="24"/>
          <w:szCs w:val="24"/>
        </w:rPr>
        <w:t>.</w:t>
      </w:r>
    </w:p>
    <w:p w14:paraId="1033620C" w14:textId="77777777" w:rsidR="00DA0DD4" w:rsidRPr="00A8446E" w:rsidRDefault="00DA0DD4" w:rsidP="00DA0DD4">
      <w:pPr>
        <w:pStyle w:val="ListParagraph"/>
        <w:spacing w:line="240" w:lineRule="auto"/>
        <w:ind w:left="1080"/>
        <w:rPr>
          <w:rFonts w:ascii="Times New Roman" w:hAnsi="Times New Roman" w:cs="Times New Roman"/>
          <w:sz w:val="24"/>
          <w:szCs w:val="24"/>
        </w:rPr>
      </w:pPr>
    </w:p>
    <w:p w14:paraId="6CA8B7C4" w14:textId="006EC01F" w:rsidR="003569DC" w:rsidRDefault="00AC6259" w:rsidP="00907E2E">
      <w:pPr>
        <w:pStyle w:val="ListParagraph"/>
        <w:numPr>
          <w:ilvl w:val="0"/>
          <w:numId w:val="1"/>
        </w:numPr>
      </w:pPr>
      <w:r w:rsidRPr="00A8446E">
        <w:rPr>
          <w:rFonts w:ascii="Times New Roman" w:hAnsi="Times New Roman" w:cs="Times New Roman"/>
          <w:sz w:val="24"/>
          <w:szCs w:val="24"/>
        </w:rPr>
        <w:t>Cultural rights are guaranteed by many provisions of international law. Such provisions include article 27 of the Universal Declaration of Human Rights, article 15</w:t>
      </w:r>
      <w:r w:rsidR="00907E2E">
        <w:rPr>
          <w:rStyle w:val="FootnoteReference"/>
          <w:rFonts w:ascii="Times New Roman" w:hAnsi="Times New Roman" w:cs="Times New Roman"/>
          <w:sz w:val="24"/>
          <w:szCs w:val="24"/>
        </w:rPr>
        <w:footnoteReference w:id="1"/>
      </w:r>
      <w:r w:rsidRPr="00A8446E">
        <w:rPr>
          <w:rFonts w:ascii="Times New Roman" w:hAnsi="Times New Roman" w:cs="Times New Roman"/>
          <w:sz w:val="24"/>
          <w:szCs w:val="24"/>
        </w:rPr>
        <w:t xml:space="preserve"> of the International Covenant on Economic, Social and Cultural Rights (ICESCR) and related provisions of the International Covenant on Civil and Political Rights (ICCPR). </w:t>
      </w:r>
      <w:r w:rsidR="00907E2E" w:rsidRPr="00907E2E">
        <w:rPr>
          <w:rFonts w:ascii="Times New Roman" w:hAnsi="Times New Roman" w:cs="Times New Roman"/>
          <w:sz w:val="24"/>
          <w:szCs w:val="24"/>
        </w:rPr>
        <w:t xml:space="preserve">In particular, article 15 of the ICESCR guarantees to everyone the right to take part in cultural life, to enjoy the benefits of scientific progress and its applications, and to benefit from the protection of the moral and material interests resulting from any scientific, literary or artistic production of which they are the author.  </w:t>
      </w:r>
      <w:r w:rsidR="00B63587">
        <w:rPr>
          <w:rFonts w:ascii="Times New Roman" w:hAnsi="Times New Roman" w:cs="Times New Roman"/>
          <w:sz w:val="24"/>
          <w:szCs w:val="24"/>
        </w:rPr>
        <w:t>According to article 15, s</w:t>
      </w:r>
      <w:r w:rsidR="00907E2E" w:rsidRPr="00907E2E">
        <w:rPr>
          <w:rFonts w:ascii="Times New Roman" w:hAnsi="Times New Roman" w:cs="Times New Roman"/>
          <w:sz w:val="24"/>
          <w:szCs w:val="24"/>
        </w:rPr>
        <w:t xml:space="preserve">tates parties also </w:t>
      </w:r>
      <w:r w:rsidR="00907E2E" w:rsidRPr="00907E2E">
        <w:rPr>
          <w:rFonts w:ascii="Times New Roman" w:hAnsi="Times New Roman" w:cs="Times New Roman"/>
          <w:color w:val="000000"/>
          <w:sz w:val="24"/>
          <w:szCs w:val="24"/>
          <w:shd w:val="clear" w:color="auto" w:fill="FFFFFF"/>
        </w:rPr>
        <w:t>undertake to respect the freedom indispensable for scientific research and creative activity.</w:t>
      </w:r>
      <w:r w:rsidR="00907E2E">
        <w:rPr>
          <w:rFonts w:ascii="Verdana" w:hAnsi="Verdana"/>
          <w:color w:val="000000"/>
          <w:sz w:val="19"/>
          <w:szCs w:val="19"/>
          <w:shd w:val="clear" w:color="auto" w:fill="FFFFFF"/>
        </w:rPr>
        <w:t xml:space="preserve">  </w:t>
      </w:r>
      <w:r w:rsidRPr="00907E2E">
        <w:rPr>
          <w:rFonts w:ascii="Times New Roman" w:hAnsi="Times New Roman" w:cs="Times New Roman"/>
          <w:sz w:val="24"/>
          <w:szCs w:val="24"/>
        </w:rPr>
        <w:t>These norms have been explained in detail by successive mandate holders</w:t>
      </w:r>
      <w:r w:rsidR="00B63587">
        <w:rPr>
          <w:rFonts w:ascii="Times New Roman" w:hAnsi="Times New Roman" w:cs="Times New Roman"/>
          <w:sz w:val="24"/>
          <w:szCs w:val="24"/>
        </w:rPr>
        <w:t xml:space="preserve"> in the field of cultural rights</w:t>
      </w:r>
      <w:r w:rsidRPr="00907E2E">
        <w:rPr>
          <w:rFonts w:ascii="Times New Roman" w:hAnsi="Times New Roman" w:cs="Times New Roman"/>
          <w:sz w:val="24"/>
          <w:szCs w:val="24"/>
        </w:rPr>
        <w:t>.</w:t>
      </w:r>
      <w:r w:rsidRPr="00A8446E">
        <w:rPr>
          <w:rStyle w:val="FootnoteReference"/>
          <w:rFonts w:ascii="Times New Roman" w:hAnsi="Times New Roman" w:cs="Times New Roman"/>
          <w:sz w:val="24"/>
          <w:szCs w:val="24"/>
        </w:rPr>
        <w:footnoteReference w:id="2"/>
      </w:r>
      <w:r w:rsidRPr="00907E2E">
        <w:rPr>
          <w:rFonts w:ascii="Times New Roman" w:hAnsi="Times New Roman" w:cs="Times New Roman"/>
          <w:sz w:val="24"/>
          <w:szCs w:val="24"/>
        </w:rPr>
        <w:t xml:space="preserve"> </w:t>
      </w:r>
      <w:r w:rsidR="0003228E" w:rsidRPr="00907E2E">
        <w:rPr>
          <w:rFonts w:ascii="Times New Roman" w:hAnsi="Times New Roman" w:cs="Times New Roman"/>
          <w:sz w:val="24"/>
          <w:szCs w:val="24"/>
        </w:rPr>
        <w:t xml:space="preserve">They </w:t>
      </w:r>
      <w:r w:rsidR="00B63587">
        <w:rPr>
          <w:rFonts w:ascii="Times New Roman" w:hAnsi="Times New Roman" w:cs="Times New Roman"/>
          <w:sz w:val="24"/>
          <w:szCs w:val="24"/>
        </w:rPr>
        <w:t xml:space="preserve">are </w:t>
      </w:r>
      <w:r w:rsidR="0003228E" w:rsidRPr="00907E2E">
        <w:rPr>
          <w:rFonts w:ascii="Times New Roman" w:hAnsi="Times New Roman" w:cs="Times New Roman"/>
          <w:sz w:val="24"/>
          <w:szCs w:val="24"/>
        </w:rPr>
        <w:t>all subject to cross-cutting requirements of non-discrimination and equality.</w:t>
      </w:r>
      <w:r w:rsidR="0003228E" w:rsidRPr="00A8446E">
        <w:rPr>
          <w:rStyle w:val="FootnoteReference"/>
          <w:rFonts w:ascii="Times New Roman" w:hAnsi="Times New Roman" w:cs="Times New Roman"/>
          <w:sz w:val="24"/>
          <w:szCs w:val="24"/>
        </w:rPr>
        <w:footnoteReference w:id="3"/>
      </w:r>
      <w:r w:rsidR="0003228E" w:rsidRPr="00907E2E">
        <w:rPr>
          <w:rFonts w:ascii="Times New Roman" w:hAnsi="Times New Roman" w:cs="Times New Roman"/>
          <w:sz w:val="24"/>
          <w:szCs w:val="24"/>
        </w:rPr>
        <w:t xml:space="preserve">  </w:t>
      </w:r>
      <w:r w:rsidR="003569DC">
        <w:rPr>
          <w:rFonts w:ascii="Times New Roman" w:hAnsi="Times New Roman" w:cs="Times New Roman"/>
          <w:sz w:val="24"/>
          <w:szCs w:val="24"/>
        </w:rPr>
        <w:t xml:space="preserve"> </w:t>
      </w:r>
    </w:p>
    <w:p w14:paraId="1F9ED96F" w14:textId="77777777" w:rsidR="003569DC" w:rsidRDefault="003569DC" w:rsidP="003569DC">
      <w:pPr>
        <w:pStyle w:val="ListParagraph"/>
      </w:pPr>
    </w:p>
    <w:p w14:paraId="3AE8F11D" w14:textId="77777777" w:rsidR="00160A11" w:rsidRDefault="003569DC" w:rsidP="00907E2E">
      <w:pPr>
        <w:pStyle w:val="ListParagraph"/>
        <w:numPr>
          <w:ilvl w:val="0"/>
          <w:numId w:val="1"/>
        </w:numPr>
      </w:pPr>
      <w:r w:rsidRPr="003569DC">
        <w:rPr>
          <w:rFonts w:ascii="Times New Roman" w:hAnsi="Times New Roman" w:cs="Times New Roman"/>
          <w:sz w:val="24"/>
          <w:szCs w:val="24"/>
        </w:rPr>
        <w:t>The Committee on Economic, Social and Cultural Rights</w:t>
      </w:r>
      <w:r w:rsidR="00B63587">
        <w:rPr>
          <w:rFonts w:ascii="Times New Roman" w:hAnsi="Times New Roman" w:cs="Times New Roman"/>
          <w:sz w:val="24"/>
          <w:szCs w:val="24"/>
        </w:rPr>
        <w:t xml:space="preserve"> (CESCR)</w:t>
      </w:r>
      <w:r w:rsidRPr="003569DC">
        <w:rPr>
          <w:rFonts w:ascii="Times New Roman" w:hAnsi="Times New Roman" w:cs="Times New Roman"/>
          <w:sz w:val="24"/>
          <w:szCs w:val="24"/>
        </w:rPr>
        <w:t xml:space="preserve"> has stressed that the right to take part in cultural life entails rights of participation in, access to, and contribution to cultural life, and encompasses the right of everyone “to seek and develop cultural knowledge and expressions and to share them with others, as well as to act creatively and take part in creative activity.”</w:t>
      </w:r>
      <w:r w:rsidRPr="003569DC">
        <w:rPr>
          <w:rStyle w:val="FootnoteReference"/>
          <w:rFonts w:ascii="Times New Roman" w:hAnsi="Times New Roman" w:cs="Times New Roman"/>
          <w:sz w:val="24"/>
          <w:szCs w:val="24"/>
        </w:rPr>
        <w:footnoteReference w:id="4"/>
      </w:r>
      <w:r>
        <w:t xml:space="preserve">  </w:t>
      </w:r>
      <w:r w:rsidR="00B63587" w:rsidRPr="00B63587">
        <w:rPr>
          <w:rFonts w:ascii="Times New Roman" w:hAnsi="Times New Roman" w:cs="Times New Roman"/>
          <w:sz w:val="24"/>
          <w:szCs w:val="24"/>
        </w:rPr>
        <w:t xml:space="preserve">Freedom of artistic expression is </w:t>
      </w:r>
      <w:r w:rsidR="00B63587" w:rsidRPr="00B63587">
        <w:rPr>
          <w:rFonts w:ascii="Times New Roman" w:hAnsi="Times New Roman" w:cs="Times New Roman"/>
          <w:sz w:val="24"/>
          <w:szCs w:val="24"/>
        </w:rPr>
        <w:lastRenderedPageBreak/>
        <w:t>such an important human right that it is guaranteed by both of the covenants on human rights.</w:t>
      </w:r>
      <w:r w:rsidR="00B63587">
        <w:t xml:space="preserve"> </w:t>
      </w:r>
    </w:p>
    <w:p w14:paraId="1576CA77" w14:textId="77777777" w:rsidR="00160A11" w:rsidRDefault="00160A11" w:rsidP="00160A11">
      <w:pPr>
        <w:pStyle w:val="ListParagraph"/>
      </w:pPr>
    </w:p>
    <w:p w14:paraId="0718DEF6" w14:textId="7A2D61F6" w:rsidR="0054760F" w:rsidRPr="00907E2E" w:rsidRDefault="00160A11" w:rsidP="00907E2E">
      <w:pPr>
        <w:pStyle w:val="ListParagraph"/>
        <w:numPr>
          <w:ilvl w:val="0"/>
          <w:numId w:val="1"/>
        </w:numPr>
      </w:pPr>
      <w:r w:rsidRPr="00160A11">
        <w:rPr>
          <w:rFonts w:ascii="Times New Roman" w:hAnsi="Times New Roman" w:cs="Times New Roman"/>
          <w:sz w:val="24"/>
          <w:szCs w:val="24"/>
        </w:rPr>
        <w:t>In her 2013 report on freedom</w:t>
      </w:r>
      <w:r w:rsidR="00B5416F">
        <w:rPr>
          <w:rFonts w:ascii="Times New Roman" w:hAnsi="Times New Roman" w:cs="Times New Roman"/>
          <w:sz w:val="24"/>
          <w:szCs w:val="24"/>
        </w:rPr>
        <w:t xml:space="preserve"> of</w:t>
      </w:r>
      <w:r w:rsidRPr="00160A11">
        <w:rPr>
          <w:rFonts w:ascii="Times New Roman" w:hAnsi="Times New Roman" w:cs="Times New Roman"/>
          <w:sz w:val="24"/>
          <w:szCs w:val="24"/>
        </w:rPr>
        <w:t xml:space="preserve"> artistic expression, the first Special Rapporteur </w:t>
      </w:r>
      <w:r w:rsidR="00B5416F">
        <w:rPr>
          <w:rFonts w:ascii="Times New Roman" w:hAnsi="Times New Roman" w:cs="Times New Roman"/>
          <w:sz w:val="24"/>
          <w:szCs w:val="24"/>
        </w:rPr>
        <w:t xml:space="preserve">in the field of cultural rights </w:t>
      </w:r>
      <w:r w:rsidRPr="00160A11">
        <w:rPr>
          <w:rFonts w:ascii="Times New Roman" w:hAnsi="Times New Roman" w:cs="Times New Roman"/>
          <w:sz w:val="24"/>
          <w:szCs w:val="24"/>
        </w:rPr>
        <w:t>explained that “[a]</w:t>
      </w:r>
      <w:proofErr w:type="spellStart"/>
      <w:r w:rsidR="00DF3024" w:rsidRPr="00160A11">
        <w:rPr>
          <w:rFonts w:ascii="Times New Roman" w:hAnsi="Times New Roman" w:cs="Times New Roman"/>
          <w:sz w:val="24"/>
          <w:szCs w:val="24"/>
        </w:rPr>
        <w:t>rtists</w:t>
      </w:r>
      <w:proofErr w:type="spellEnd"/>
      <w:r w:rsidR="00DF3024" w:rsidRPr="00160A11">
        <w:rPr>
          <w:rFonts w:ascii="Times New Roman" w:hAnsi="Times New Roman" w:cs="Times New Roman"/>
          <w:sz w:val="24"/>
          <w:szCs w:val="24"/>
        </w:rPr>
        <w:t xml:space="preserve"> may entertain people, but they also contribute to social debates, sometimes bringing counter-discourses and potential counterweights to existing power </w:t>
      </w:r>
      <w:proofErr w:type="spellStart"/>
      <w:r w:rsidR="00DF3024" w:rsidRPr="00160A11">
        <w:rPr>
          <w:rFonts w:ascii="Times New Roman" w:hAnsi="Times New Roman" w:cs="Times New Roman"/>
          <w:sz w:val="24"/>
          <w:szCs w:val="24"/>
        </w:rPr>
        <w:t>centres</w:t>
      </w:r>
      <w:proofErr w:type="spellEnd"/>
      <w:r w:rsidR="00DF3024" w:rsidRPr="00160A11">
        <w:rPr>
          <w:rFonts w:ascii="Times New Roman" w:hAnsi="Times New Roman" w:cs="Times New Roman"/>
          <w:sz w:val="24"/>
          <w:szCs w:val="24"/>
        </w:rPr>
        <w:t>. The vitality of artistic creativity is necessary for the development of vibrant cultures and the functioning of democratic societies. Artistic expressions and creations are an integral part of cultural life, which entails contesting meanings and revisiting culturally inherited ideas and concepts. The crucial task of implementation of universal human rights norms is to prevent the arbitrary privileging of certain perspectives on account of their traditional authority, institutional or economic power, or demographic supremacy in society. This principle lies at the heart of every issue raised in the debate over the right to freedom of artistic expression and creativity and possible limitations on that right.</w:t>
      </w:r>
      <w:r w:rsidRPr="00160A11">
        <w:rPr>
          <w:rFonts w:ascii="Times New Roman" w:hAnsi="Times New Roman" w:cs="Times New Roman"/>
          <w:sz w:val="24"/>
          <w:szCs w:val="24"/>
        </w:rPr>
        <w:t>”</w:t>
      </w:r>
      <w:r w:rsidRPr="00160A11">
        <w:rPr>
          <w:rStyle w:val="FootnoteReference"/>
          <w:rFonts w:ascii="Times New Roman" w:hAnsi="Times New Roman" w:cs="Times New Roman"/>
          <w:sz w:val="24"/>
          <w:szCs w:val="24"/>
        </w:rPr>
        <w:footnoteReference w:id="5"/>
      </w:r>
      <w:r w:rsidR="00DF3024">
        <w:t xml:space="preserve"> </w:t>
      </w:r>
      <w:r>
        <w:rPr>
          <w:rFonts w:ascii="Times New Roman" w:hAnsi="Times New Roman" w:cs="Times New Roman"/>
          <w:sz w:val="24"/>
          <w:szCs w:val="24"/>
        </w:rPr>
        <w:t>She further</w:t>
      </w:r>
      <w:r w:rsidR="003569DC">
        <w:rPr>
          <w:rFonts w:ascii="Times New Roman" w:hAnsi="Times New Roman" w:cs="Times New Roman"/>
          <w:sz w:val="24"/>
          <w:szCs w:val="24"/>
        </w:rPr>
        <w:t xml:space="preserve"> noted that </w:t>
      </w:r>
      <w:r w:rsidR="003569DC" w:rsidRPr="00B63587">
        <w:rPr>
          <w:rFonts w:ascii="Times New Roman" w:hAnsi="Times New Roman" w:cs="Times New Roman"/>
          <w:sz w:val="24"/>
          <w:szCs w:val="24"/>
        </w:rPr>
        <w:t>“[a]</w:t>
      </w:r>
      <w:proofErr w:type="spellStart"/>
      <w:r w:rsidR="003569DC" w:rsidRPr="00B63587">
        <w:rPr>
          <w:rFonts w:ascii="Times New Roman" w:hAnsi="Times New Roman" w:cs="Times New Roman"/>
          <w:sz w:val="24"/>
          <w:szCs w:val="24"/>
        </w:rPr>
        <w:t>rtistic</w:t>
      </w:r>
      <w:proofErr w:type="spellEnd"/>
      <w:r w:rsidR="003569DC" w:rsidRPr="00B63587">
        <w:rPr>
          <w:rFonts w:ascii="Times New Roman" w:hAnsi="Times New Roman" w:cs="Times New Roman"/>
          <w:sz w:val="24"/>
          <w:szCs w:val="24"/>
        </w:rPr>
        <w:t xml:space="preserve"> expression and creativity may entail the re-appropriation of symbols”</w:t>
      </w:r>
      <w:r w:rsidR="003569DC" w:rsidRPr="00B63587">
        <w:rPr>
          <w:rStyle w:val="FootnoteReference"/>
          <w:rFonts w:ascii="Times New Roman" w:hAnsi="Times New Roman" w:cs="Times New Roman"/>
          <w:sz w:val="24"/>
          <w:szCs w:val="24"/>
        </w:rPr>
        <w:footnoteReference w:id="6"/>
      </w:r>
      <w:r w:rsidR="003569DC" w:rsidRPr="00B63587">
        <w:rPr>
          <w:rFonts w:ascii="Times New Roman" w:hAnsi="Times New Roman" w:cs="Times New Roman"/>
          <w:sz w:val="24"/>
          <w:szCs w:val="24"/>
        </w:rPr>
        <w:t xml:space="preserve"> and that “</w:t>
      </w:r>
      <w:r w:rsidR="00B5416F">
        <w:rPr>
          <w:rFonts w:ascii="Times New Roman" w:hAnsi="Times New Roman" w:cs="Times New Roman"/>
          <w:sz w:val="24"/>
          <w:szCs w:val="24"/>
        </w:rPr>
        <w:t>[</w:t>
      </w:r>
      <w:r w:rsidR="003569DC" w:rsidRPr="00B63587">
        <w:rPr>
          <w:rFonts w:ascii="Times New Roman" w:hAnsi="Times New Roman" w:cs="Times New Roman"/>
          <w:sz w:val="24"/>
          <w:szCs w:val="24"/>
        </w:rPr>
        <w:t>t</w:t>
      </w:r>
      <w:r w:rsidR="00B5416F">
        <w:rPr>
          <w:rFonts w:ascii="Times New Roman" w:hAnsi="Times New Roman" w:cs="Times New Roman"/>
          <w:sz w:val="24"/>
          <w:szCs w:val="24"/>
        </w:rPr>
        <w:t>]</w:t>
      </w:r>
      <w:r w:rsidR="003569DC" w:rsidRPr="00B63587">
        <w:rPr>
          <w:rFonts w:ascii="Times New Roman" w:hAnsi="Times New Roman" w:cs="Times New Roman"/>
          <w:sz w:val="24"/>
          <w:szCs w:val="24"/>
        </w:rPr>
        <w:t>he aesthetic censorship of art, when artists are not free to choose their preferred style or to borrow from others, is a field which is often overlooked.”</w:t>
      </w:r>
      <w:r w:rsidR="003569DC" w:rsidRPr="00B63587">
        <w:rPr>
          <w:rStyle w:val="FootnoteReference"/>
          <w:rFonts w:ascii="Times New Roman" w:hAnsi="Times New Roman" w:cs="Times New Roman"/>
          <w:sz w:val="24"/>
          <w:szCs w:val="24"/>
        </w:rPr>
        <w:footnoteReference w:id="7"/>
      </w:r>
    </w:p>
    <w:p w14:paraId="602E3677" w14:textId="77777777" w:rsidR="0054760F" w:rsidRPr="00A8446E" w:rsidRDefault="0054760F" w:rsidP="0054760F">
      <w:pPr>
        <w:pStyle w:val="ListParagraph"/>
        <w:rPr>
          <w:rFonts w:ascii="Times New Roman" w:hAnsi="Times New Roman" w:cs="Times New Roman"/>
          <w:sz w:val="24"/>
          <w:szCs w:val="24"/>
        </w:rPr>
      </w:pPr>
    </w:p>
    <w:p w14:paraId="32D905EB" w14:textId="6CE4990E" w:rsidR="0003228E" w:rsidRPr="00A8446E" w:rsidRDefault="00DA0DD4" w:rsidP="0054760F">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Specific standards apply to the cultural rights of particular groups. For example,</w:t>
      </w:r>
      <w:r w:rsidR="005C69B7" w:rsidRPr="00A8446E">
        <w:rPr>
          <w:rFonts w:ascii="Times New Roman" w:hAnsi="Times New Roman" w:cs="Times New Roman"/>
          <w:sz w:val="24"/>
          <w:szCs w:val="24"/>
        </w:rPr>
        <w:t xml:space="preserve"> according to the</w:t>
      </w:r>
      <w:r w:rsidRPr="00A8446E">
        <w:rPr>
          <w:rFonts w:ascii="Times New Roman" w:hAnsi="Times New Roman" w:cs="Times New Roman"/>
          <w:sz w:val="24"/>
          <w:szCs w:val="24"/>
        </w:rPr>
        <w:t xml:space="preserve"> </w:t>
      </w:r>
      <w:r w:rsidR="005C69B7" w:rsidRPr="00A8446E">
        <w:rPr>
          <w:rFonts w:ascii="Times New Roman" w:hAnsi="Times New Roman" w:cs="Times New Roman"/>
          <w:sz w:val="24"/>
          <w:szCs w:val="24"/>
        </w:rPr>
        <w:t xml:space="preserve">Declaration on the Rights of Persons Belonging to National or Ethnic, Religious and Linguistic Minorities, </w:t>
      </w:r>
      <w:r w:rsidR="0003228E" w:rsidRPr="00A8446E">
        <w:rPr>
          <w:rFonts w:ascii="Times New Roman" w:hAnsi="Times New Roman" w:cs="Times New Roman"/>
          <w:sz w:val="24"/>
          <w:szCs w:val="24"/>
        </w:rPr>
        <w:t>such persons “</w:t>
      </w:r>
      <w:r w:rsidR="005C69B7" w:rsidRPr="00A8446E">
        <w:rPr>
          <w:rFonts w:ascii="Times New Roman" w:hAnsi="Times New Roman" w:cs="Times New Roman"/>
          <w:sz w:val="24"/>
          <w:szCs w:val="24"/>
        </w:rPr>
        <w:t xml:space="preserve">have the right to enjoy their own culture, to profess and </w:t>
      </w:r>
      <w:proofErr w:type="spellStart"/>
      <w:r w:rsidR="005C69B7" w:rsidRPr="00A8446E">
        <w:rPr>
          <w:rFonts w:ascii="Times New Roman" w:hAnsi="Times New Roman" w:cs="Times New Roman"/>
          <w:sz w:val="24"/>
          <w:szCs w:val="24"/>
        </w:rPr>
        <w:t>practise</w:t>
      </w:r>
      <w:proofErr w:type="spellEnd"/>
      <w:r w:rsidR="005C69B7" w:rsidRPr="00A8446E">
        <w:rPr>
          <w:rFonts w:ascii="Times New Roman" w:hAnsi="Times New Roman" w:cs="Times New Roman"/>
          <w:sz w:val="24"/>
          <w:szCs w:val="24"/>
        </w:rPr>
        <w:t xml:space="preserve"> their own religion, and to use their own language, in private and in public, freely and without interference or any form of discrimination.”</w:t>
      </w:r>
      <w:r w:rsidR="005C69B7" w:rsidRPr="00A8446E">
        <w:rPr>
          <w:rStyle w:val="FootnoteReference"/>
          <w:rFonts w:ascii="Times New Roman" w:hAnsi="Times New Roman" w:cs="Times New Roman"/>
          <w:sz w:val="24"/>
          <w:szCs w:val="24"/>
        </w:rPr>
        <w:footnoteReference w:id="8"/>
      </w:r>
      <w:r w:rsidR="005C69B7" w:rsidRPr="00A8446E">
        <w:rPr>
          <w:rFonts w:ascii="Times New Roman" w:hAnsi="Times New Roman" w:cs="Times New Roman"/>
          <w:sz w:val="24"/>
          <w:szCs w:val="24"/>
        </w:rPr>
        <w:t xml:space="preserve">  </w:t>
      </w:r>
      <w:r w:rsidR="0054760F" w:rsidRPr="00A8446E">
        <w:rPr>
          <w:rFonts w:ascii="Times New Roman" w:hAnsi="Times New Roman" w:cs="Times New Roman"/>
          <w:sz w:val="24"/>
          <w:szCs w:val="24"/>
        </w:rPr>
        <w:t xml:space="preserve">Article 27 of the </w:t>
      </w:r>
      <w:r w:rsidR="0050218F" w:rsidRPr="00A8446E">
        <w:rPr>
          <w:rFonts w:ascii="Times New Roman" w:hAnsi="Times New Roman" w:cs="Times New Roman"/>
          <w:sz w:val="24"/>
          <w:szCs w:val="24"/>
        </w:rPr>
        <w:t xml:space="preserve">ICCPR </w:t>
      </w:r>
      <w:r w:rsidR="0054760F" w:rsidRPr="00A8446E">
        <w:rPr>
          <w:rFonts w:ascii="Times New Roman" w:hAnsi="Times New Roman" w:cs="Times New Roman"/>
          <w:sz w:val="24"/>
          <w:szCs w:val="24"/>
        </w:rPr>
        <w:t>holds that</w:t>
      </w:r>
      <w:r w:rsidR="001978A1" w:rsidRPr="00A8446E">
        <w:rPr>
          <w:rFonts w:ascii="Times New Roman" w:hAnsi="Times New Roman" w:cs="Times New Roman"/>
          <w:sz w:val="24"/>
          <w:szCs w:val="24"/>
        </w:rPr>
        <w:t>,</w:t>
      </w:r>
      <w:r w:rsidR="0054760F" w:rsidRPr="00A8446E">
        <w:rPr>
          <w:rFonts w:ascii="Times New Roman" w:hAnsi="Times New Roman" w:cs="Times New Roman"/>
          <w:sz w:val="24"/>
          <w:szCs w:val="24"/>
        </w:rPr>
        <w:t xml:space="preserve"> “</w:t>
      </w:r>
      <w:r w:rsidR="001978A1" w:rsidRPr="00A8446E">
        <w:rPr>
          <w:rFonts w:ascii="Times New Roman" w:hAnsi="Times New Roman" w:cs="Times New Roman"/>
          <w:color w:val="000000"/>
          <w:sz w:val="24"/>
          <w:szCs w:val="24"/>
          <w:shd w:val="clear" w:color="auto" w:fill="FFFFFF"/>
        </w:rPr>
        <w:t>[i]</w:t>
      </w:r>
      <w:r w:rsidR="0054760F" w:rsidRPr="00A8446E">
        <w:rPr>
          <w:rFonts w:ascii="Times New Roman" w:hAnsi="Times New Roman" w:cs="Times New Roman"/>
          <w:color w:val="000000"/>
          <w:sz w:val="24"/>
          <w:szCs w:val="24"/>
          <w:shd w:val="clear" w:color="auto" w:fill="FFFFFF"/>
        </w:rPr>
        <w:t xml:space="preserve">n those States in which ethnic, religious or linguistic minorities exist, persons belonging to such minorities shall not be denied the right, in community with the other members of their group, to enjoy their own culture, to profess and </w:t>
      </w:r>
      <w:proofErr w:type="spellStart"/>
      <w:r w:rsidR="0054760F" w:rsidRPr="00A8446E">
        <w:rPr>
          <w:rFonts w:ascii="Times New Roman" w:hAnsi="Times New Roman" w:cs="Times New Roman"/>
          <w:color w:val="000000"/>
          <w:sz w:val="24"/>
          <w:szCs w:val="24"/>
          <w:shd w:val="clear" w:color="auto" w:fill="FFFFFF"/>
        </w:rPr>
        <w:t>practise</w:t>
      </w:r>
      <w:proofErr w:type="spellEnd"/>
      <w:r w:rsidR="0054760F" w:rsidRPr="00A8446E">
        <w:rPr>
          <w:rFonts w:ascii="Times New Roman" w:hAnsi="Times New Roman" w:cs="Times New Roman"/>
          <w:color w:val="000000"/>
          <w:sz w:val="24"/>
          <w:szCs w:val="24"/>
          <w:shd w:val="clear" w:color="auto" w:fill="FFFFFF"/>
        </w:rPr>
        <w:t xml:space="preserve"> their own religion, or to use their own language.”  </w:t>
      </w:r>
    </w:p>
    <w:p w14:paraId="4AC4DD90" w14:textId="77777777" w:rsidR="0003228E" w:rsidRPr="00A8446E" w:rsidRDefault="0003228E" w:rsidP="0003228E">
      <w:pPr>
        <w:pStyle w:val="ListParagraph"/>
        <w:rPr>
          <w:rFonts w:ascii="Times New Roman" w:hAnsi="Times New Roman" w:cs="Times New Roman"/>
          <w:sz w:val="24"/>
          <w:szCs w:val="24"/>
        </w:rPr>
      </w:pPr>
    </w:p>
    <w:p w14:paraId="493C13B9" w14:textId="3ABA7A21" w:rsidR="0003228E" w:rsidRPr="00A8446E" w:rsidRDefault="00DA0DD4" w:rsidP="0003228E">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The UN Declaration on the Rights of Indigenous Peoples establishes, in article 31, that “</w:t>
      </w:r>
      <w:r w:rsidR="00B5416F">
        <w:rPr>
          <w:rFonts w:ascii="Times New Roman" w:hAnsi="Times New Roman" w:cs="Times New Roman"/>
          <w:sz w:val="24"/>
          <w:szCs w:val="24"/>
        </w:rPr>
        <w:t>[</w:t>
      </w:r>
      <w:r w:rsidRPr="00A8446E">
        <w:rPr>
          <w:rFonts w:ascii="Times New Roman" w:hAnsi="Times New Roman" w:cs="Times New Roman"/>
          <w:sz w:val="24"/>
          <w:szCs w:val="24"/>
        </w:rPr>
        <w:t>i</w:t>
      </w:r>
      <w:r w:rsidR="00B5416F">
        <w:rPr>
          <w:rFonts w:ascii="Times New Roman" w:hAnsi="Times New Roman" w:cs="Times New Roman"/>
          <w:sz w:val="24"/>
          <w:szCs w:val="24"/>
        </w:rPr>
        <w:t>]</w:t>
      </w:r>
      <w:proofErr w:type="spellStart"/>
      <w:r w:rsidRPr="00A8446E">
        <w:rPr>
          <w:rFonts w:ascii="Times New Roman" w:hAnsi="Times New Roman" w:cs="Times New Roman"/>
          <w:sz w:val="24"/>
          <w:szCs w:val="24"/>
        </w:rPr>
        <w:t>ndigenous</w:t>
      </w:r>
      <w:proofErr w:type="spellEnd"/>
      <w:r w:rsidRPr="00A8446E">
        <w:rPr>
          <w:rFonts w:ascii="Times New Roman" w:hAnsi="Times New Roman" w:cs="Times New Roman"/>
          <w:sz w:val="24"/>
          <w:szCs w:val="24"/>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[and] knowledge of the properties of </w:t>
      </w:r>
      <w:r w:rsidRPr="00A8446E">
        <w:rPr>
          <w:rFonts w:ascii="Times New Roman" w:hAnsi="Times New Roman" w:cs="Times New Roman"/>
          <w:sz w:val="24"/>
          <w:szCs w:val="24"/>
        </w:rPr>
        <w:lastRenderedPageBreak/>
        <w:t>fauna and flora</w:t>
      </w:r>
      <w:r w:rsidR="00B5416F">
        <w:rPr>
          <w:rFonts w:ascii="Times New Roman" w:hAnsi="Times New Roman" w:cs="Times New Roman"/>
          <w:sz w:val="24"/>
          <w:szCs w:val="24"/>
        </w:rPr>
        <w:t>, oral traditions, literatures, designs, sports and traditional games and visual and performing arts</w:t>
      </w:r>
      <w:r w:rsidRPr="00A8446E">
        <w:rPr>
          <w:rFonts w:ascii="Times New Roman" w:hAnsi="Times New Roman" w:cs="Times New Roman"/>
          <w:sz w:val="24"/>
          <w:szCs w:val="24"/>
        </w:rPr>
        <w:t>.</w:t>
      </w:r>
      <w:r w:rsidR="00907E2E">
        <w:rPr>
          <w:rFonts w:ascii="Times New Roman" w:hAnsi="Times New Roman" w:cs="Times New Roman"/>
          <w:sz w:val="24"/>
          <w:szCs w:val="24"/>
        </w:rPr>
        <w:t>”</w:t>
      </w:r>
      <w:r w:rsidR="0054760F" w:rsidRPr="00A8446E">
        <w:rPr>
          <w:rFonts w:ascii="Times New Roman" w:hAnsi="Times New Roman" w:cs="Times New Roman"/>
          <w:sz w:val="24"/>
          <w:szCs w:val="24"/>
        </w:rPr>
        <w:t xml:space="preserve">  It also acknowledges the diversities of indigenous peoples in its preamble, and underscores the relevance of international human rights law</w:t>
      </w:r>
      <w:r w:rsidR="00B5416F">
        <w:rPr>
          <w:rFonts w:ascii="Times New Roman" w:hAnsi="Times New Roman" w:cs="Times New Roman"/>
          <w:sz w:val="24"/>
          <w:szCs w:val="24"/>
        </w:rPr>
        <w:t xml:space="preserve"> and standards</w:t>
      </w:r>
      <w:r w:rsidR="0003228E" w:rsidRPr="00A8446E">
        <w:rPr>
          <w:rFonts w:ascii="Times New Roman" w:hAnsi="Times New Roman" w:cs="Times New Roman"/>
          <w:sz w:val="24"/>
          <w:szCs w:val="24"/>
        </w:rPr>
        <w:t xml:space="preserve"> </w:t>
      </w:r>
      <w:r w:rsidR="0054760F" w:rsidRPr="00A8446E">
        <w:rPr>
          <w:rFonts w:ascii="Times New Roman" w:hAnsi="Times New Roman" w:cs="Times New Roman"/>
          <w:sz w:val="24"/>
          <w:szCs w:val="24"/>
        </w:rPr>
        <w:t>(articles 1 and 34).</w:t>
      </w:r>
      <w:r w:rsidR="005C69B7" w:rsidRPr="00A8446E">
        <w:rPr>
          <w:rFonts w:ascii="Times New Roman" w:eastAsia="Times New Roman" w:hAnsi="Times New Roman" w:cs="Times New Roman"/>
          <w:color w:val="000000"/>
          <w:sz w:val="24"/>
          <w:szCs w:val="24"/>
          <w:shd w:val="clear" w:color="auto" w:fill="FFFFFF"/>
        </w:rPr>
        <w:t xml:space="preserve"> </w:t>
      </w:r>
    </w:p>
    <w:p w14:paraId="236733D4" w14:textId="77777777" w:rsidR="0003228E" w:rsidRPr="00A8446E" w:rsidRDefault="0003228E" w:rsidP="0003228E">
      <w:pPr>
        <w:pStyle w:val="ListParagraph"/>
        <w:spacing w:line="240" w:lineRule="auto"/>
        <w:ind w:left="1080"/>
        <w:rPr>
          <w:rFonts w:ascii="Times New Roman" w:hAnsi="Times New Roman" w:cs="Times New Roman"/>
          <w:sz w:val="24"/>
          <w:szCs w:val="24"/>
        </w:rPr>
      </w:pPr>
    </w:p>
    <w:p w14:paraId="5250A9C6" w14:textId="67090FD4" w:rsidR="005C69B7" w:rsidRPr="00A8446E" w:rsidRDefault="005C69B7" w:rsidP="0054760F">
      <w:pPr>
        <w:pStyle w:val="ListParagraph"/>
        <w:numPr>
          <w:ilvl w:val="0"/>
          <w:numId w:val="1"/>
        </w:numPr>
        <w:spacing w:line="240" w:lineRule="auto"/>
        <w:rPr>
          <w:rFonts w:ascii="Times New Roman" w:hAnsi="Times New Roman" w:cs="Times New Roman"/>
          <w:sz w:val="24"/>
          <w:szCs w:val="24"/>
        </w:rPr>
      </w:pPr>
      <w:r w:rsidRPr="00A8446E">
        <w:rPr>
          <w:rFonts w:ascii="Times New Roman" w:eastAsia="Times New Roman" w:hAnsi="Times New Roman" w:cs="Times New Roman"/>
          <w:color w:val="000000"/>
          <w:sz w:val="24"/>
          <w:szCs w:val="24"/>
          <w:shd w:val="clear" w:color="auto" w:fill="FFFFFF"/>
        </w:rPr>
        <w:t>The Convention on the Elimination of All Forms of Discrimination against Women requi</w:t>
      </w:r>
      <w:r w:rsidR="00907E2E">
        <w:rPr>
          <w:rFonts w:ascii="Times New Roman" w:eastAsia="Times New Roman" w:hAnsi="Times New Roman" w:cs="Times New Roman"/>
          <w:color w:val="000000"/>
          <w:sz w:val="24"/>
          <w:szCs w:val="24"/>
          <w:shd w:val="clear" w:color="auto" w:fill="FFFFFF"/>
        </w:rPr>
        <w:t>r</w:t>
      </w:r>
      <w:r w:rsidRPr="00A8446E">
        <w:rPr>
          <w:rFonts w:ascii="Times New Roman" w:eastAsia="Times New Roman" w:hAnsi="Times New Roman" w:cs="Times New Roman"/>
          <w:color w:val="000000"/>
          <w:sz w:val="24"/>
          <w:szCs w:val="24"/>
          <w:shd w:val="clear" w:color="auto" w:fill="FFFFFF"/>
        </w:rPr>
        <w:t>es that “States Parties shall take all appropriate measures to eliminate discrimination against women in</w:t>
      </w:r>
      <w:r w:rsidR="00B63587">
        <w:rPr>
          <w:rFonts w:ascii="Times New Roman" w:eastAsia="Times New Roman" w:hAnsi="Times New Roman" w:cs="Times New Roman"/>
          <w:color w:val="000000"/>
          <w:sz w:val="24"/>
          <w:szCs w:val="24"/>
          <w:shd w:val="clear" w:color="auto" w:fill="FFFFFF"/>
        </w:rPr>
        <w:t xml:space="preserve">… </w:t>
      </w:r>
      <w:r w:rsidRPr="00A8446E">
        <w:rPr>
          <w:rFonts w:ascii="Times New Roman" w:eastAsia="Times New Roman" w:hAnsi="Times New Roman" w:cs="Times New Roman"/>
          <w:color w:val="000000"/>
          <w:sz w:val="24"/>
          <w:szCs w:val="24"/>
          <w:shd w:val="clear" w:color="auto" w:fill="FFFFFF"/>
        </w:rPr>
        <w:t>economic and social life in order to ensure, on a basis of equality of men and women, the same rights, in particular</w:t>
      </w:r>
      <w:r w:rsidR="00B5416F">
        <w:rPr>
          <w:rFonts w:ascii="Times New Roman" w:eastAsia="Times New Roman" w:hAnsi="Times New Roman" w:cs="Times New Roman"/>
          <w:color w:val="000000"/>
          <w:sz w:val="24"/>
          <w:szCs w:val="24"/>
          <w:shd w:val="clear" w:color="auto" w:fill="FFFFFF"/>
        </w:rPr>
        <w:t xml:space="preserve">… </w:t>
      </w:r>
      <w:r w:rsidR="0054760F" w:rsidRPr="00A8446E">
        <w:rPr>
          <w:rFonts w:ascii="Times New Roman" w:eastAsia="Times New Roman" w:hAnsi="Times New Roman" w:cs="Times New Roman"/>
          <w:color w:val="000000"/>
          <w:sz w:val="24"/>
          <w:szCs w:val="24"/>
        </w:rPr>
        <w:t>[t]</w:t>
      </w:r>
      <w:r w:rsidRPr="00A8446E">
        <w:rPr>
          <w:rFonts w:ascii="Times New Roman" w:eastAsia="Times New Roman" w:hAnsi="Times New Roman" w:cs="Times New Roman"/>
          <w:color w:val="000000"/>
          <w:sz w:val="24"/>
          <w:szCs w:val="24"/>
        </w:rPr>
        <w:t>he right to participate in recreational activities, sports and all aspects of cultural life.”</w:t>
      </w:r>
      <w:r w:rsidR="00B63587">
        <w:rPr>
          <w:rFonts w:ascii="Times New Roman" w:eastAsia="Times New Roman" w:hAnsi="Times New Roman" w:cs="Times New Roman"/>
          <w:color w:val="000000"/>
          <w:sz w:val="24"/>
          <w:szCs w:val="24"/>
        </w:rPr>
        <w:t xml:space="preserve"> (article 13(c))</w:t>
      </w:r>
      <w:r w:rsidR="0003228E" w:rsidRPr="00A8446E">
        <w:rPr>
          <w:rFonts w:ascii="Times New Roman" w:eastAsia="Times New Roman" w:hAnsi="Times New Roman" w:cs="Times New Roman"/>
          <w:color w:val="000000"/>
          <w:sz w:val="24"/>
          <w:szCs w:val="24"/>
        </w:rPr>
        <w:t xml:space="preserve">  Its article 5(a) also requires that states take all appropriate measures to </w:t>
      </w:r>
      <w:r w:rsidR="0003228E" w:rsidRPr="00A8446E">
        <w:rPr>
          <w:rFonts w:ascii="Times New Roman" w:hAnsi="Times New Roman" w:cs="Times New Roman"/>
          <w:color w:val="000000"/>
          <w:sz w:val="24"/>
          <w:szCs w:val="24"/>
          <w:shd w:val="clear" w:color="auto" w:fill="FFFFFF"/>
        </w:rPr>
        <w:t>“modify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w:t>
      </w:r>
    </w:p>
    <w:p w14:paraId="773C65FA" w14:textId="77777777" w:rsidR="0003228E" w:rsidRPr="00A8446E" w:rsidRDefault="0003228E" w:rsidP="0003228E">
      <w:pPr>
        <w:pStyle w:val="ListParagraph"/>
        <w:spacing w:line="240" w:lineRule="auto"/>
        <w:ind w:left="1080"/>
        <w:rPr>
          <w:rFonts w:ascii="Times New Roman" w:hAnsi="Times New Roman" w:cs="Times New Roman"/>
          <w:sz w:val="24"/>
          <w:szCs w:val="24"/>
        </w:rPr>
      </w:pPr>
    </w:p>
    <w:p w14:paraId="584E1FC7" w14:textId="2E538728" w:rsidR="0054760F" w:rsidRPr="00A8446E" w:rsidRDefault="0054760F" w:rsidP="0054760F">
      <w:pPr>
        <w:pStyle w:val="ListParagraph"/>
        <w:numPr>
          <w:ilvl w:val="0"/>
          <w:numId w:val="1"/>
        </w:numPr>
        <w:spacing w:line="240" w:lineRule="auto"/>
        <w:rPr>
          <w:rFonts w:ascii="Times New Roman" w:hAnsi="Times New Roman" w:cs="Times New Roman"/>
          <w:sz w:val="24"/>
          <w:szCs w:val="24"/>
        </w:rPr>
      </w:pPr>
      <w:r w:rsidRPr="00A8446E">
        <w:rPr>
          <w:rFonts w:ascii="Times New Roman" w:eastAsia="Times New Roman" w:hAnsi="Times New Roman" w:cs="Times New Roman"/>
          <w:color w:val="000000"/>
          <w:sz w:val="24"/>
          <w:szCs w:val="24"/>
        </w:rPr>
        <w:t xml:space="preserve">The Convention on the Rights of the Child recognizes the rights of </w:t>
      </w:r>
      <w:r w:rsidRPr="00A8446E">
        <w:rPr>
          <w:rFonts w:ascii="Times New Roman" w:hAnsi="Times New Roman" w:cs="Times New Roman"/>
          <w:color w:val="000000"/>
          <w:sz w:val="24"/>
          <w:szCs w:val="24"/>
          <w:shd w:val="clear" w:color="auto" w:fill="FFFFFF"/>
        </w:rPr>
        <w:t>the chil</w:t>
      </w:r>
      <w:r w:rsidR="00B5416F">
        <w:rPr>
          <w:rFonts w:ascii="Times New Roman" w:hAnsi="Times New Roman" w:cs="Times New Roman"/>
          <w:color w:val="000000"/>
          <w:sz w:val="24"/>
          <w:szCs w:val="24"/>
          <w:shd w:val="clear" w:color="auto" w:fill="FFFFFF"/>
        </w:rPr>
        <w:t>d</w:t>
      </w:r>
      <w:r w:rsidRPr="00A8446E">
        <w:rPr>
          <w:rFonts w:ascii="Times New Roman" w:hAnsi="Times New Roman" w:cs="Times New Roman"/>
          <w:color w:val="000000"/>
          <w:sz w:val="24"/>
          <w:szCs w:val="24"/>
          <w:shd w:val="clear" w:color="auto" w:fill="FFFFFF"/>
        </w:rPr>
        <w:t xml:space="preserve"> </w:t>
      </w:r>
      <w:r w:rsidR="00B5416F">
        <w:rPr>
          <w:rFonts w:ascii="Times New Roman" w:hAnsi="Times New Roman" w:cs="Times New Roman"/>
          <w:color w:val="000000"/>
          <w:sz w:val="24"/>
          <w:szCs w:val="24"/>
          <w:shd w:val="clear" w:color="auto" w:fill="FFFFFF"/>
        </w:rPr>
        <w:t>“</w:t>
      </w:r>
      <w:r w:rsidRPr="00A8446E">
        <w:rPr>
          <w:rFonts w:ascii="Times New Roman" w:hAnsi="Times New Roman" w:cs="Times New Roman"/>
          <w:color w:val="000000"/>
          <w:sz w:val="24"/>
          <w:szCs w:val="24"/>
          <w:shd w:val="clear" w:color="auto" w:fill="FFFFFF"/>
        </w:rPr>
        <w:t>to participate freely in cultural life and the art</w:t>
      </w:r>
      <w:r w:rsidR="0003228E" w:rsidRPr="00A8446E">
        <w:rPr>
          <w:rFonts w:ascii="Times New Roman" w:hAnsi="Times New Roman" w:cs="Times New Roman"/>
          <w:color w:val="000000"/>
          <w:sz w:val="24"/>
          <w:szCs w:val="24"/>
          <w:shd w:val="clear" w:color="auto" w:fill="FFFFFF"/>
        </w:rPr>
        <w:t>s</w:t>
      </w:r>
      <w:r w:rsidR="00B5416F">
        <w:rPr>
          <w:rFonts w:ascii="Times New Roman" w:hAnsi="Times New Roman" w:cs="Times New Roman"/>
          <w:color w:val="000000"/>
          <w:sz w:val="24"/>
          <w:szCs w:val="24"/>
          <w:shd w:val="clear" w:color="auto" w:fill="FFFFFF"/>
        </w:rPr>
        <w:t>.”</w:t>
      </w:r>
      <w:r w:rsidRPr="00A8446E">
        <w:rPr>
          <w:rFonts w:ascii="Times New Roman" w:hAnsi="Times New Roman" w:cs="Times New Roman"/>
          <w:color w:val="000000"/>
          <w:sz w:val="24"/>
          <w:szCs w:val="24"/>
          <w:shd w:val="clear" w:color="auto" w:fill="FFFFFF"/>
        </w:rPr>
        <w:t xml:space="preserve"> </w:t>
      </w:r>
      <w:r w:rsidR="00B5416F">
        <w:rPr>
          <w:rFonts w:ascii="Times New Roman" w:hAnsi="Times New Roman" w:cs="Times New Roman"/>
          <w:color w:val="000000"/>
          <w:sz w:val="24"/>
          <w:szCs w:val="24"/>
          <w:shd w:val="clear" w:color="auto" w:fill="FFFFFF"/>
        </w:rPr>
        <w:t xml:space="preserve">It stresses </w:t>
      </w:r>
      <w:r w:rsidRPr="00A8446E">
        <w:rPr>
          <w:rFonts w:ascii="Times New Roman" w:hAnsi="Times New Roman" w:cs="Times New Roman"/>
          <w:color w:val="000000"/>
          <w:sz w:val="24"/>
          <w:szCs w:val="24"/>
          <w:shd w:val="clear" w:color="auto" w:fill="FFFFFF"/>
        </w:rPr>
        <w:t>that “States Parties shall respect and promote the right of the child to participate fully in cultural and artistic life and shall encourage the provision of appropriate and equal opportunities for cultural, artistic, recreational and leisure activity.” (Article 31)</w:t>
      </w:r>
    </w:p>
    <w:p w14:paraId="2B9E9613" w14:textId="77777777" w:rsidR="0003228E" w:rsidRPr="00A8446E" w:rsidRDefault="0003228E" w:rsidP="0003228E">
      <w:pPr>
        <w:spacing w:line="240" w:lineRule="auto"/>
        <w:rPr>
          <w:rFonts w:ascii="Times New Roman" w:hAnsi="Times New Roman" w:cs="Times New Roman"/>
          <w:sz w:val="24"/>
          <w:szCs w:val="24"/>
        </w:rPr>
      </w:pPr>
    </w:p>
    <w:p w14:paraId="1B096350" w14:textId="5574C40D" w:rsidR="00004288" w:rsidRPr="00A8446E" w:rsidRDefault="00004288" w:rsidP="0054760F">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color w:val="000000"/>
          <w:sz w:val="24"/>
          <w:szCs w:val="24"/>
          <w:shd w:val="clear" w:color="auto" w:fill="FFFFFF"/>
        </w:rPr>
        <w:t>The equal cultural rights of persons with disabilities are spelled out in detail in Article 3</w:t>
      </w:r>
      <w:r w:rsidR="00B5416F">
        <w:rPr>
          <w:rFonts w:ascii="Times New Roman" w:hAnsi="Times New Roman" w:cs="Times New Roman"/>
          <w:color w:val="000000"/>
          <w:sz w:val="24"/>
          <w:szCs w:val="24"/>
          <w:shd w:val="clear" w:color="auto" w:fill="FFFFFF"/>
        </w:rPr>
        <w:t>0</w:t>
      </w:r>
      <w:r w:rsidRPr="00A8446E">
        <w:rPr>
          <w:rFonts w:ascii="Times New Roman" w:hAnsi="Times New Roman" w:cs="Times New Roman"/>
          <w:color w:val="000000"/>
          <w:sz w:val="24"/>
          <w:szCs w:val="24"/>
          <w:shd w:val="clear" w:color="auto" w:fill="FFFFFF"/>
        </w:rPr>
        <w:t xml:space="preserve"> of the Convention on the </w:t>
      </w:r>
      <w:r w:rsidR="0003228E" w:rsidRPr="00A8446E">
        <w:rPr>
          <w:rFonts w:ascii="Times New Roman" w:hAnsi="Times New Roman" w:cs="Times New Roman"/>
          <w:color w:val="000000"/>
          <w:sz w:val="24"/>
          <w:szCs w:val="24"/>
          <w:shd w:val="clear" w:color="auto" w:fill="FFFFFF"/>
        </w:rPr>
        <w:t>R</w:t>
      </w:r>
      <w:r w:rsidRPr="00A8446E">
        <w:rPr>
          <w:rFonts w:ascii="Times New Roman" w:hAnsi="Times New Roman" w:cs="Times New Roman"/>
          <w:color w:val="000000"/>
          <w:sz w:val="24"/>
          <w:szCs w:val="24"/>
          <w:shd w:val="clear" w:color="auto" w:fill="FFFFFF"/>
        </w:rPr>
        <w:t xml:space="preserve">ights of </w:t>
      </w:r>
      <w:r w:rsidR="0003228E" w:rsidRPr="00A8446E">
        <w:rPr>
          <w:rFonts w:ascii="Times New Roman" w:hAnsi="Times New Roman" w:cs="Times New Roman"/>
          <w:color w:val="000000"/>
          <w:sz w:val="24"/>
          <w:szCs w:val="24"/>
          <w:shd w:val="clear" w:color="auto" w:fill="FFFFFF"/>
        </w:rPr>
        <w:t>P</w:t>
      </w:r>
      <w:r w:rsidRPr="00A8446E">
        <w:rPr>
          <w:rFonts w:ascii="Times New Roman" w:hAnsi="Times New Roman" w:cs="Times New Roman"/>
          <w:color w:val="000000"/>
          <w:sz w:val="24"/>
          <w:szCs w:val="24"/>
          <w:shd w:val="clear" w:color="auto" w:fill="FFFFFF"/>
        </w:rPr>
        <w:t xml:space="preserve">ersons with </w:t>
      </w:r>
      <w:r w:rsidR="0003228E" w:rsidRPr="00A8446E">
        <w:rPr>
          <w:rFonts w:ascii="Times New Roman" w:hAnsi="Times New Roman" w:cs="Times New Roman"/>
          <w:color w:val="000000"/>
          <w:sz w:val="24"/>
          <w:szCs w:val="24"/>
          <w:shd w:val="clear" w:color="auto" w:fill="FFFFFF"/>
        </w:rPr>
        <w:t>D</w:t>
      </w:r>
      <w:r w:rsidRPr="00A8446E">
        <w:rPr>
          <w:rFonts w:ascii="Times New Roman" w:hAnsi="Times New Roman" w:cs="Times New Roman"/>
          <w:color w:val="000000"/>
          <w:sz w:val="24"/>
          <w:szCs w:val="24"/>
          <w:shd w:val="clear" w:color="auto" w:fill="FFFFFF"/>
        </w:rPr>
        <w:t xml:space="preserve">isabilities.  These include the rights </w:t>
      </w:r>
      <w:r w:rsidR="007C639B" w:rsidRPr="00A8446E">
        <w:rPr>
          <w:rFonts w:ascii="Times New Roman" w:hAnsi="Times New Roman" w:cs="Times New Roman"/>
          <w:color w:val="000000"/>
          <w:sz w:val="24"/>
          <w:szCs w:val="24"/>
          <w:shd w:val="clear" w:color="auto" w:fill="FFFFFF"/>
        </w:rPr>
        <w:t>to</w:t>
      </w:r>
      <w:r w:rsidRPr="00A8446E">
        <w:rPr>
          <w:rFonts w:ascii="Times New Roman" w:hAnsi="Times New Roman" w:cs="Times New Roman"/>
          <w:color w:val="000000"/>
          <w:sz w:val="24"/>
          <w:szCs w:val="24"/>
          <w:shd w:val="clear" w:color="auto" w:fill="FFFFFF"/>
        </w:rPr>
        <w:t xml:space="preserve"> take part on an equal basis with others in cultural life, </w:t>
      </w:r>
      <w:r w:rsidR="0003228E" w:rsidRPr="00A8446E">
        <w:rPr>
          <w:rFonts w:ascii="Times New Roman" w:hAnsi="Times New Roman" w:cs="Times New Roman"/>
          <w:color w:val="000000"/>
          <w:sz w:val="24"/>
          <w:szCs w:val="24"/>
          <w:shd w:val="clear" w:color="auto" w:fill="FFFFFF"/>
        </w:rPr>
        <w:t>e</w:t>
      </w:r>
      <w:r w:rsidRPr="00A8446E">
        <w:rPr>
          <w:rFonts w:ascii="Times New Roman" w:hAnsi="Times New Roman" w:cs="Times New Roman"/>
          <w:color w:val="000000"/>
          <w:sz w:val="24"/>
          <w:szCs w:val="24"/>
          <w:shd w:val="clear" w:color="auto" w:fill="FFFFFF"/>
        </w:rPr>
        <w:t xml:space="preserve">njoy access to cultural materials in accessible formats; </w:t>
      </w:r>
      <w:r w:rsidR="0003228E" w:rsidRPr="00A8446E">
        <w:rPr>
          <w:rFonts w:ascii="Times New Roman" w:hAnsi="Times New Roman" w:cs="Times New Roman"/>
          <w:color w:val="000000"/>
          <w:sz w:val="24"/>
          <w:szCs w:val="24"/>
          <w:shd w:val="clear" w:color="auto" w:fill="FFFFFF"/>
        </w:rPr>
        <w:t xml:space="preserve">and </w:t>
      </w:r>
      <w:r w:rsidRPr="00A8446E">
        <w:rPr>
          <w:rFonts w:ascii="Times New Roman" w:hAnsi="Times New Roman" w:cs="Times New Roman"/>
          <w:color w:val="000000"/>
          <w:sz w:val="24"/>
          <w:szCs w:val="24"/>
          <w:shd w:val="clear" w:color="auto" w:fill="FFFFFF"/>
        </w:rPr>
        <w:t>to recognition and support of their specific cultural and linguistic identity, including sign languages and deaf culture</w:t>
      </w:r>
      <w:r w:rsidR="00B5416F">
        <w:rPr>
          <w:rFonts w:ascii="Times New Roman" w:hAnsi="Times New Roman" w:cs="Times New Roman"/>
          <w:color w:val="000000"/>
          <w:sz w:val="24"/>
          <w:szCs w:val="24"/>
          <w:shd w:val="clear" w:color="auto" w:fill="FFFFFF"/>
        </w:rPr>
        <w:t>,</w:t>
      </w:r>
      <w:r w:rsidRPr="00A8446E">
        <w:rPr>
          <w:rFonts w:ascii="Times New Roman" w:hAnsi="Times New Roman" w:cs="Times New Roman"/>
          <w:color w:val="000000"/>
          <w:sz w:val="24"/>
          <w:szCs w:val="24"/>
          <w:shd w:val="clear" w:color="auto" w:fill="FFFFFF"/>
        </w:rPr>
        <w:t xml:space="preserve"> and to participate on an equal basis with others in recreational, leisure and sporting activities.</w:t>
      </w:r>
    </w:p>
    <w:p w14:paraId="648B7A68" w14:textId="77777777" w:rsidR="0003228E" w:rsidRPr="00A8446E" w:rsidRDefault="0003228E" w:rsidP="0003228E">
      <w:pPr>
        <w:pStyle w:val="ListParagraph"/>
        <w:spacing w:line="240" w:lineRule="auto"/>
        <w:ind w:left="1080"/>
        <w:rPr>
          <w:rFonts w:ascii="Times New Roman" w:hAnsi="Times New Roman" w:cs="Times New Roman"/>
          <w:sz w:val="24"/>
          <w:szCs w:val="24"/>
        </w:rPr>
      </w:pPr>
    </w:p>
    <w:p w14:paraId="10DAEF6E" w14:textId="4BAC8ACF" w:rsidR="0050218F" w:rsidRPr="00A8446E" w:rsidRDefault="00004288" w:rsidP="0050218F">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color w:val="000000"/>
          <w:sz w:val="24"/>
          <w:szCs w:val="24"/>
          <w:shd w:val="clear" w:color="auto" w:fill="FFFFFF"/>
        </w:rPr>
        <w:t xml:space="preserve">The International Convention on the Protection of </w:t>
      </w:r>
      <w:r w:rsidR="0003228E" w:rsidRPr="00A8446E">
        <w:rPr>
          <w:rFonts w:ascii="Times New Roman" w:hAnsi="Times New Roman" w:cs="Times New Roman"/>
          <w:color w:val="000000"/>
          <w:sz w:val="24"/>
          <w:szCs w:val="24"/>
          <w:shd w:val="clear" w:color="auto" w:fill="FFFFFF"/>
        </w:rPr>
        <w:t xml:space="preserve">the </w:t>
      </w:r>
      <w:r w:rsidRPr="00A8446E">
        <w:rPr>
          <w:rFonts w:ascii="Times New Roman" w:hAnsi="Times New Roman" w:cs="Times New Roman"/>
          <w:color w:val="000000"/>
          <w:sz w:val="24"/>
          <w:szCs w:val="24"/>
          <w:shd w:val="clear" w:color="auto" w:fill="FFFFFF"/>
        </w:rPr>
        <w:t xml:space="preserve">Rights of </w:t>
      </w:r>
      <w:r w:rsidR="0003228E" w:rsidRPr="00A8446E">
        <w:rPr>
          <w:rFonts w:ascii="Times New Roman" w:hAnsi="Times New Roman" w:cs="Times New Roman"/>
          <w:color w:val="000000"/>
          <w:sz w:val="24"/>
          <w:szCs w:val="24"/>
          <w:shd w:val="clear" w:color="auto" w:fill="FFFFFF"/>
        </w:rPr>
        <w:t xml:space="preserve">All </w:t>
      </w:r>
      <w:r w:rsidRPr="00A8446E">
        <w:rPr>
          <w:rFonts w:ascii="Times New Roman" w:hAnsi="Times New Roman" w:cs="Times New Roman"/>
          <w:color w:val="000000"/>
          <w:sz w:val="24"/>
          <w:szCs w:val="24"/>
          <w:shd w:val="clear" w:color="auto" w:fill="FFFFFF"/>
        </w:rPr>
        <w:t>Migrant Workers and</w:t>
      </w:r>
      <w:r w:rsidR="0003228E" w:rsidRPr="00A8446E">
        <w:rPr>
          <w:rFonts w:ascii="Times New Roman" w:hAnsi="Times New Roman" w:cs="Times New Roman"/>
          <w:color w:val="000000"/>
          <w:sz w:val="24"/>
          <w:szCs w:val="24"/>
          <w:shd w:val="clear" w:color="auto" w:fill="FFFFFF"/>
        </w:rPr>
        <w:t xml:space="preserve"> </w:t>
      </w:r>
      <w:r w:rsidRPr="00A8446E">
        <w:rPr>
          <w:rFonts w:ascii="Times New Roman" w:hAnsi="Times New Roman" w:cs="Times New Roman"/>
          <w:color w:val="000000"/>
          <w:sz w:val="24"/>
          <w:szCs w:val="24"/>
          <w:shd w:val="clear" w:color="auto" w:fill="FFFFFF"/>
        </w:rPr>
        <w:t>Members of Their Families stipulates that migrant workers and their families enjoy equality of treatment with nationals of the state of employment with regard to “</w:t>
      </w:r>
      <w:r w:rsidR="00B63587">
        <w:rPr>
          <w:rFonts w:ascii="Times New Roman" w:hAnsi="Times New Roman" w:cs="Times New Roman"/>
          <w:color w:val="000000"/>
          <w:sz w:val="24"/>
          <w:szCs w:val="24"/>
          <w:shd w:val="clear" w:color="auto" w:fill="FFFFFF"/>
        </w:rPr>
        <w:t>[a]</w:t>
      </w:r>
      <w:proofErr w:type="spellStart"/>
      <w:r w:rsidRPr="00A8446E">
        <w:rPr>
          <w:rFonts w:ascii="Times New Roman" w:hAnsi="Times New Roman" w:cs="Times New Roman"/>
          <w:color w:val="000000"/>
          <w:sz w:val="24"/>
          <w:szCs w:val="24"/>
          <w:shd w:val="clear" w:color="auto" w:fill="FFFFFF"/>
        </w:rPr>
        <w:t>ccess</w:t>
      </w:r>
      <w:proofErr w:type="spellEnd"/>
      <w:r w:rsidRPr="00A8446E">
        <w:rPr>
          <w:rFonts w:ascii="Times New Roman" w:hAnsi="Times New Roman" w:cs="Times New Roman"/>
          <w:color w:val="000000"/>
          <w:sz w:val="24"/>
          <w:szCs w:val="24"/>
          <w:shd w:val="clear" w:color="auto" w:fill="FFFFFF"/>
        </w:rPr>
        <w:t xml:space="preserve"> to and participation in cultural life.” (</w:t>
      </w:r>
      <w:r w:rsidR="00B63587">
        <w:rPr>
          <w:rFonts w:ascii="Times New Roman" w:hAnsi="Times New Roman" w:cs="Times New Roman"/>
          <w:color w:val="000000"/>
          <w:sz w:val="24"/>
          <w:szCs w:val="24"/>
          <w:shd w:val="clear" w:color="auto" w:fill="FFFFFF"/>
        </w:rPr>
        <w:t>a</w:t>
      </w:r>
      <w:r w:rsidRPr="00A8446E">
        <w:rPr>
          <w:rFonts w:ascii="Times New Roman" w:hAnsi="Times New Roman" w:cs="Times New Roman"/>
          <w:color w:val="000000"/>
          <w:sz w:val="24"/>
          <w:szCs w:val="24"/>
          <w:shd w:val="clear" w:color="auto" w:fill="FFFFFF"/>
        </w:rPr>
        <w:t xml:space="preserve">rticles 43 and 45). “States of employment shall </w:t>
      </w:r>
      <w:proofErr w:type="spellStart"/>
      <w:r w:rsidRPr="00A8446E">
        <w:rPr>
          <w:rFonts w:ascii="Times New Roman" w:hAnsi="Times New Roman" w:cs="Times New Roman"/>
          <w:color w:val="000000"/>
          <w:sz w:val="24"/>
          <w:szCs w:val="24"/>
          <w:shd w:val="clear" w:color="auto" w:fill="FFFFFF"/>
        </w:rPr>
        <w:t>endeavour</w:t>
      </w:r>
      <w:proofErr w:type="spellEnd"/>
      <w:r w:rsidRPr="00A8446E">
        <w:rPr>
          <w:rFonts w:ascii="Times New Roman" w:hAnsi="Times New Roman" w:cs="Times New Roman"/>
          <w:color w:val="000000"/>
          <w:sz w:val="24"/>
          <w:szCs w:val="24"/>
          <w:shd w:val="clear" w:color="auto" w:fill="FFFFFF"/>
        </w:rPr>
        <w:t xml:space="preserve"> to facilitate for the children of migrant workers the teaching of their mother tongue and culture and, in this regard, States of origin shall collaborate whenever appropriate.” (</w:t>
      </w:r>
      <w:r w:rsidR="00B63587">
        <w:rPr>
          <w:rFonts w:ascii="Times New Roman" w:hAnsi="Times New Roman" w:cs="Times New Roman"/>
          <w:color w:val="000000"/>
          <w:sz w:val="24"/>
          <w:szCs w:val="24"/>
          <w:shd w:val="clear" w:color="auto" w:fill="FFFFFF"/>
        </w:rPr>
        <w:t>a</w:t>
      </w:r>
      <w:r w:rsidRPr="00A8446E">
        <w:rPr>
          <w:rFonts w:ascii="Times New Roman" w:hAnsi="Times New Roman" w:cs="Times New Roman"/>
          <w:color w:val="000000"/>
          <w:sz w:val="24"/>
          <w:szCs w:val="24"/>
          <w:shd w:val="clear" w:color="auto" w:fill="FFFFFF"/>
        </w:rPr>
        <w:t>rticle 45(3)</w:t>
      </w:r>
      <w:r w:rsidR="0050218F" w:rsidRPr="00A8446E">
        <w:rPr>
          <w:rFonts w:ascii="Times New Roman" w:hAnsi="Times New Roman" w:cs="Times New Roman"/>
          <w:color w:val="000000"/>
          <w:sz w:val="24"/>
          <w:szCs w:val="24"/>
          <w:shd w:val="clear" w:color="auto" w:fill="FFFFFF"/>
        </w:rPr>
        <w:t>).</w:t>
      </w:r>
    </w:p>
    <w:p w14:paraId="55E52F7F" w14:textId="77777777" w:rsidR="0050218F" w:rsidRPr="00A8446E" w:rsidRDefault="0050218F" w:rsidP="0050218F">
      <w:pPr>
        <w:pStyle w:val="ListParagraph"/>
        <w:rPr>
          <w:rFonts w:ascii="Times New Roman" w:hAnsi="Times New Roman" w:cs="Times New Roman"/>
          <w:sz w:val="24"/>
          <w:szCs w:val="24"/>
        </w:rPr>
      </w:pPr>
    </w:p>
    <w:p w14:paraId="686DC32B" w14:textId="77777777" w:rsidR="0050218F" w:rsidRPr="00A8446E" w:rsidRDefault="0050218F" w:rsidP="0050218F">
      <w:pPr>
        <w:pStyle w:val="ListParagraph"/>
        <w:spacing w:line="240" w:lineRule="auto"/>
        <w:ind w:left="1080"/>
        <w:rPr>
          <w:rFonts w:ascii="Times New Roman" w:hAnsi="Times New Roman" w:cs="Times New Roman"/>
          <w:sz w:val="24"/>
          <w:szCs w:val="24"/>
        </w:rPr>
      </w:pPr>
    </w:p>
    <w:p w14:paraId="04B2B36E" w14:textId="378B6955" w:rsidR="001978A1" w:rsidRPr="00A8446E" w:rsidRDefault="0003228E" w:rsidP="001978A1">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Cultural rights are an expression of and a prerequisite for human dignity. They are core to the human experience, and essential for implementing other universal human rights and achieving the Sustainable Development Goals. They are not a luxury, even during a global health crisis.</w:t>
      </w:r>
      <w:r w:rsidR="001978A1" w:rsidRPr="00A8446E">
        <w:rPr>
          <w:rFonts w:ascii="Times New Roman" w:hAnsi="Times New Roman" w:cs="Times New Roman"/>
          <w:sz w:val="24"/>
          <w:szCs w:val="24"/>
        </w:rPr>
        <w:t xml:space="preserve"> The Sustainable Development Goals are key to the implementation of cultural rights and vice versa. Progress on human rights obligations and on the Goals are two sides of the same coin. Moreover, the </w:t>
      </w:r>
      <w:r w:rsidR="001978A1" w:rsidRPr="00A8446E">
        <w:rPr>
          <w:rFonts w:ascii="Times New Roman" w:hAnsi="Times New Roman" w:cs="Times New Roman"/>
          <w:sz w:val="24"/>
          <w:szCs w:val="24"/>
        </w:rPr>
        <w:lastRenderedPageBreak/>
        <w:t>safeguarding and promotion of culture in all its diversities contributes directly to the achievement of many of the Goals.</w:t>
      </w:r>
      <w:r w:rsidR="001978A1" w:rsidRPr="00A8446E">
        <w:rPr>
          <w:rStyle w:val="FootnoteReference"/>
          <w:rFonts w:ascii="Times New Roman" w:hAnsi="Times New Roman" w:cs="Times New Roman"/>
          <w:sz w:val="24"/>
          <w:szCs w:val="24"/>
        </w:rPr>
        <w:footnoteReference w:id="9"/>
      </w:r>
    </w:p>
    <w:p w14:paraId="58C4A124" w14:textId="569A3E4E" w:rsidR="0050218F" w:rsidRPr="00A8446E" w:rsidRDefault="0050218F" w:rsidP="001978A1">
      <w:pPr>
        <w:pStyle w:val="ListParagraph"/>
        <w:spacing w:line="240" w:lineRule="auto"/>
        <w:ind w:left="1080"/>
        <w:rPr>
          <w:rFonts w:ascii="Times New Roman" w:hAnsi="Times New Roman" w:cs="Times New Roman"/>
          <w:sz w:val="24"/>
          <w:szCs w:val="24"/>
        </w:rPr>
      </w:pPr>
    </w:p>
    <w:p w14:paraId="0A66B507" w14:textId="77777777" w:rsidR="0050218F" w:rsidRPr="00A8446E" w:rsidRDefault="0050218F" w:rsidP="0050218F">
      <w:pPr>
        <w:pStyle w:val="ListParagraph"/>
        <w:rPr>
          <w:rFonts w:ascii="Times New Roman" w:hAnsi="Times New Roman" w:cs="Times New Roman"/>
          <w:sz w:val="24"/>
          <w:szCs w:val="24"/>
        </w:rPr>
      </w:pPr>
    </w:p>
    <w:p w14:paraId="7541DD17" w14:textId="4AE6467D" w:rsidR="00DA0DD4" w:rsidRPr="00A8446E" w:rsidRDefault="00AC6259" w:rsidP="00DA0DD4">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 xml:space="preserve">Cultural rights protect in particular (a) human creativity in all its diversity and the conditions for it to be exercised, developed and made accessible; (b) the free choice, expression and development of identities, which include the right to choose not to be a part of particular collectives, and the right to exit a collective, and to take part on an equal basis in the process of defining it; (c) the rights of individuals and groups to participate, or not to participate, in the cultural life of their choice, and to conduct their own cultural practices; (d) the right to interact and exchange, regardless of group affiliation and of frontiers; (e) the rights to enjoy and have access to the arts, to knowledge, including scientific knowledge, and to an individual’s own cultural heritage, and that of others; and (f) the rights to participate in the interpretation, elaboration and development of cultural heritage and in the reformulation of cultural identities (A/HRC/40/53, para. 15). </w:t>
      </w:r>
    </w:p>
    <w:p w14:paraId="7F2B0FAF" w14:textId="77777777" w:rsidR="009816A3" w:rsidRPr="00A8446E" w:rsidRDefault="009816A3" w:rsidP="009816A3">
      <w:pPr>
        <w:pStyle w:val="ListParagraph"/>
        <w:spacing w:line="240" w:lineRule="auto"/>
        <w:ind w:left="1080"/>
        <w:rPr>
          <w:rFonts w:ascii="Times New Roman" w:hAnsi="Times New Roman" w:cs="Times New Roman"/>
          <w:sz w:val="24"/>
          <w:szCs w:val="24"/>
        </w:rPr>
      </w:pPr>
    </w:p>
    <w:p w14:paraId="4AE71DD3" w14:textId="77777777" w:rsidR="009816A3" w:rsidRPr="00A8446E" w:rsidRDefault="009816A3" w:rsidP="009816A3">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The Special Rapporteur’s report on cultural rights defenders contains a thorough discussion of the international standards pertaining to their work.</w:t>
      </w:r>
      <w:r w:rsidRPr="00A8446E">
        <w:rPr>
          <w:rStyle w:val="FootnoteReference"/>
          <w:rFonts w:ascii="Times New Roman" w:hAnsi="Times New Roman" w:cs="Times New Roman"/>
          <w:sz w:val="24"/>
          <w:szCs w:val="24"/>
        </w:rPr>
        <w:footnoteReference w:id="10"/>
      </w:r>
      <w:r w:rsidRPr="00A8446E">
        <w:rPr>
          <w:rFonts w:ascii="Times New Roman" w:hAnsi="Times New Roman" w:cs="Times New Roman"/>
          <w:sz w:val="24"/>
          <w:szCs w:val="24"/>
        </w:rPr>
        <w:t xml:space="preserve"> The rights of cultural rights defenders to carry out their work in accordance with international standards is guaranteed by the Declaration on Human Rights Defenders adopted by the General Assembly. The rights of defenders that are recognized include the rights to: meet and assemble peacefully; benefit from effective remedies; exercise their occupation as human rights defenders; effective protection under national law in peacefully opposing State human rights violations; conduct human rights work individually and in association with others; seek, receive and hold information relating to human rights; unhindered access to and communication with non-governmental and intergovernmental organizations; and solicit, receive and utilize resources (including funds from abroad) for the purpose of protecting human rights. </w:t>
      </w:r>
    </w:p>
    <w:p w14:paraId="7E98E71C" w14:textId="77777777" w:rsidR="009816A3" w:rsidRPr="00A8446E" w:rsidRDefault="009816A3" w:rsidP="009816A3">
      <w:pPr>
        <w:pStyle w:val="ListParagraph"/>
        <w:spacing w:line="240" w:lineRule="auto"/>
        <w:ind w:left="1080"/>
        <w:rPr>
          <w:rFonts w:ascii="Times New Roman" w:hAnsi="Times New Roman" w:cs="Times New Roman"/>
          <w:sz w:val="24"/>
          <w:szCs w:val="24"/>
        </w:rPr>
      </w:pPr>
    </w:p>
    <w:p w14:paraId="7ACBB410" w14:textId="77777777" w:rsidR="00DA0DD4" w:rsidRPr="00A8446E" w:rsidRDefault="00DA0DD4" w:rsidP="00DA0DD4">
      <w:pPr>
        <w:pStyle w:val="ListParagraph"/>
        <w:rPr>
          <w:rFonts w:ascii="Times New Roman" w:hAnsi="Times New Roman" w:cs="Times New Roman"/>
          <w:sz w:val="24"/>
          <w:szCs w:val="24"/>
        </w:rPr>
      </w:pPr>
    </w:p>
    <w:p w14:paraId="0777FB26" w14:textId="20EAA85D" w:rsidR="009816A3" w:rsidRPr="00A8446E" w:rsidRDefault="001A1B89" w:rsidP="009816A3">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Cultural rights standards and international human rights bodies have not explicitly and thoroughly enough addressed questions of cultural mixing, hybridity and syncretism.  This is a gap which needs to be filled.  Those key standards which have addressed cultural diversity have sometimes be</w:t>
      </w:r>
      <w:r w:rsidR="00E728A5" w:rsidRPr="00A8446E">
        <w:rPr>
          <w:rFonts w:ascii="Times New Roman" w:hAnsi="Times New Roman" w:cs="Times New Roman"/>
          <w:sz w:val="24"/>
          <w:szCs w:val="24"/>
        </w:rPr>
        <w:t>en</w:t>
      </w:r>
      <w:r w:rsidRPr="00A8446E">
        <w:rPr>
          <w:rFonts w:ascii="Times New Roman" w:hAnsi="Times New Roman" w:cs="Times New Roman"/>
          <w:sz w:val="24"/>
          <w:szCs w:val="24"/>
        </w:rPr>
        <w:t xml:space="preserve"> considered to describe the interaction betwee</w:t>
      </w:r>
      <w:r w:rsidR="00DA0DD4" w:rsidRPr="00A8446E">
        <w:rPr>
          <w:rFonts w:ascii="Times New Roman" w:hAnsi="Times New Roman" w:cs="Times New Roman"/>
          <w:sz w:val="24"/>
          <w:szCs w:val="24"/>
        </w:rPr>
        <w:t>n</w:t>
      </w:r>
      <w:r w:rsidRPr="00A8446E">
        <w:rPr>
          <w:rFonts w:ascii="Times New Roman" w:hAnsi="Times New Roman" w:cs="Times New Roman"/>
          <w:sz w:val="24"/>
          <w:szCs w:val="24"/>
        </w:rPr>
        <w:t xml:space="preserve"> separate cultural wholes. However, many of them can and should be</w:t>
      </w:r>
      <w:r w:rsidR="0050218F" w:rsidRPr="00A8446E">
        <w:rPr>
          <w:rFonts w:ascii="Times New Roman" w:hAnsi="Times New Roman" w:cs="Times New Roman"/>
          <w:sz w:val="24"/>
          <w:szCs w:val="24"/>
        </w:rPr>
        <w:t xml:space="preserve"> equally</w:t>
      </w:r>
      <w:r w:rsidRPr="00A8446E">
        <w:rPr>
          <w:rFonts w:ascii="Times New Roman" w:hAnsi="Times New Roman" w:cs="Times New Roman"/>
          <w:sz w:val="24"/>
          <w:szCs w:val="24"/>
        </w:rPr>
        <w:t xml:space="preserve"> interpreted to cover a wide range of “internal” diversities, and may explicitly indicate this. </w:t>
      </w:r>
    </w:p>
    <w:p w14:paraId="6549BD2B" w14:textId="77777777" w:rsidR="009816A3" w:rsidRPr="00A8446E" w:rsidRDefault="009816A3" w:rsidP="009816A3">
      <w:pPr>
        <w:pStyle w:val="ListParagraph"/>
        <w:spacing w:line="240" w:lineRule="auto"/>
        <w:ind w:left="1080"/>
        <w:rPr>
          <w:rFonts w:ascii="Times New Roman" w:hAnsi="Times New Roman" w:cs="Times New Roman"/>
          <w:sz w:val="24"/>
          <w:szCs w:val="24"/>
        </w:rPr>
      </w:pPr>
    </w:p>
    <w:p w14:paraId="7CDEA73E" w14:textId="35E2A8D0" w:rsidR="00907E2E" w:rsidRPr="00907E2E" w:rsidRDefault="001A1B89" w:rsidP="009816A3">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lastRenderedPageBreak/>
        <w:t xml:space="preserve">There are important signposts in international standards, pointing in these directions, which should be heeded. For example, in its General Comment No. 21 on Article 15 of the ICESCR, the </w:t>
      </w:r>
      <w:r w:rsidR="00B63587">
        <w:rPr>
          <w:rFonts w:ascii="Times New Roman" w:hAnsi="Times New Roman" w:cs="Times New Roman"/>
          <w:sz w:val="24"/>
          <w:szCs w:val="24"/>
        </w:rPr>
        <w:t>CESCR</w:t>
      </w:r>
      <w:r w:rsidRPr="00A8446E">
        <w:rPr>
          <w:rFonts w:ascii="Times New Roman" w:hAnsi="Times New Roman" w:cs="Times New Roman"/>
          <w:sz w:val="24"/>
          <w:szCs w:val="24"/>
        </w:rPr>
        <w:t xml:space="preserve"> has noted that, “In particular, a first and important step towards the elimination of discrimination, whether direct or indirect, is for States to recognize the existence of diverse cultural identities of individuals and communities on their territories.”</w:t>
      </w:r>
      <w:r w:rsidRPr="00A8446E">
        <w:rPr>
          <w:rStyle w:val="FootnoteReference"/>
          <w:rFonts w:ascii="Times New Roman" w:hAnsi="Times New Roman" w:cs="Times New Roman"/>
          <w:sz w:val="24"/>
          <w:szCs w:val="24"/>
        </w:rPr>
        <w:footnoteReference w:id="11"/>
      </w:r>
      <w:r w:rsidRPr="00A8446E">
        <w:rPr>
          <w:rFonts w:ascii="Times New Roman" w:hAnsi="Times New Roman" w:cs="Times New Roman"/>
          <w:sz w:val="24"/>
          <w:szCs w:val="24"/>
        </w:rPr>
        <w:t xml:space="preserve">  Furthermore, the CESCR </w:t>
      </w:r>
      <w:r w:rsidR="0050218F" w:rsidRPr="00A8446E">
        <w:rPr>
          <w:rFonts w:ascii="Times New Roman" w:hAnsi="Times New Roman" w:cs="Times New Roman"/>
          <w:sz w:val="24"/>
          <w:szCs w:val="24"/>
        </w:rPr>
        <w:t>explained</w:t>
      </w:r>
      <w:r w:rsidRPr="00A8446E">
        <w:rPr>
          <w:rFonts w:ascii="Times New Roman" w:hAnsi="Times New Roman" w:cs="Times New Roman"/>
          <w:sz w:val="24"/>
          <w:szCs w:val="24"/>
        </w:rPr>
        <w:t xml:space="preserve"> that it is a core obligation under the ICESCR with immediate effect for states “[t]o respect the right of everyone to identify or not identify themselves with one or more communities, and the right to change their choice.”</w:t>
      </w:r>
      <w:r w:rsidRPr="00A8446E">
        <w:rPr>
          <w:rStyle w:val="FootnoteReference"/>
          <w:rFonts w:ascii="Times New Roman" w:hAnsi="Times New Roman" w:cs="Times New Roman"/>
          <w:sz w:val="24"/>
          <w:szCs w:val="24"/>
        </w:rPr>
        <w:footnoteReference w:id="12"/>
      </w:r>
      <w:r w:rsidRPr="00A8446E">
        <w:rPr>
          <w:rFonts w:ascii="Times New Roman" w:eastAsia="Times New Roman" w:hAnsi="Times New Roman" w:cs="Times New Roman"/>
          <w:sz w:val="24"/>
          <w:szCs w:val="24"/>
        </w:rPr>
        <w:t xml:space="preserve"> </w:t>
      </w:r>
    </w:p>
    <w:p w14:paraId="04C2F940" w14:textId="77777777" w:rsidR="00907E2E" w:rsidRPr="00907E2E" w:rsidRDefault="00907E2E" w:rsidP="00907E2E">
      <w:pPr>
        <w:pStyle w:val="ListParagraph"/>
        <w:rPr>
          <w:rFonts w:ascii="Times New Roman" w:hAnsi="Times New Roman" w:cs="Times New Roman"/>
          <w:sz w:val="24"/>
          <w:szCs w:val="24"/>
        </w:rPr>
      </w:pPr>
    </w:p>
    <w:p w14:paraId="6B3A375A" w14:textId="2A604F2B" w:rsidR="001978A1" w:rsidRPr="00C91D00" w:rsidRDefault="001A1B89" w:rsidP="00C91D00">
      <w:pPr>
        <w:pStyle w:val="ListParagraph"/>
        <w:numPr>
          <w:ilvl w:val="0"/>
          <w:numId w:val="1"/>
        </w:numPr>
        <w:spacing w:line="240" w:lineRule="auto"/>
        <w:rPr>
          <w:rFonts w:ascii="Times New Roman" w:eastAsia="Times New Roman" w:hAnsi="Times New Roman" w:cs="Times New Roman"/>
          <w:sz w:val="24"/>
          <w:szCs w:val="24"/>
        </w:rPr>
      </w:pPr>
      <w:r w:rsidRPr="00A8446E">
        <w:rPr>
          <w:rFonts w:ascii="Times New Roman" w:hAnsi="Times New Roman" w:cs="Times New Roman"/>
          <w:sz w:val="24"/>
          <w:szCs w:val="24"/>
        </w:rPr>
        <w:t>The Committee on the Elimination of Racial Discrimination has clarified that the International Convention on the Elimination of All Forms of Racial Discrimination applies to multiple and intersecting forms of discrimination.</w:t>
      </w:r>
      <w:r w:rsidRPr="00A8446E">
        <w:rPr>
          <w:rStyle w:val="FootnoteReference"/>
          <w:rFonts w:ascii="Times New Roman" w:hAnsi="Times New Roman" w:cs="Times New Roman"/>
          <w:sz w:val="24"/>
          <w:szCs w:val="24"/>
        </w:rPr>
        <w:footnoteReference w:id="13"/>
      </w:r>
      <w:r w:rsidR="00907E2E">
        <w:rPr>
          <w:rFonts w:ascii="Times New Roman" w:hAnsi="Times New Roman" w:cs="Times New Roman"/>
          <w:sz w:val="24"/>
          <w:szCs w:val="24"/>
        </w:rPr>
        <w:t xml:space="preserve">  </w:t>
      </w:r>
      <w:r w:rsidR="001978A1" w:rsidRPr="00907E2E">
        <w:rPr>
          <w:rFonts w:ascii="Times New Roman" w:hAnsi="Times New Roman" w:cs="Times New Roman"/>
          <w:sz w:val="24"/>
          <w:szCs w:val="24"/>
        </w:rPr>
        <w:t>A number of the bodies and mechanisms working to combat racial discrimination have emphasized the importance of intercultural education.</w:t>
      </w:r>
      <w:r w:rsidR="001978A1" w:rsidRPr="00A8446E">
        <w:rPr>
          <w:rStyle w:val="FootnoteReference"/>
          <w:rFonts w:ascii="Times New Roman" w:hAnsi="Times New Roman" w:cs="Times New Roman"/>
          <w:sz w:val="24"/>
          <w:szCs w:val="24"/>
        </w:rPr>
        <w:footnoteReference w:id="14"/>
      </w:r>
      <w:r w:rsidR="001978A1" w:rsidRPr="00907E2E">
        <w:rPr>
          <w:rFonts w:ascii="Times New Roman" w:hAnsi="Times New Roman" w:cs="Times New Roman"/>
          <w:sz w:val="24"/>
          <w:szCs w:val="24"/>
        </w:rPr>
        <w:t xml:space="preserve"> The former Special Rapporteur on Contemporary Forms of Racism, Racial Discrimination, Xenophobia, and Related Intolerance stressed that “</w:t>
      </w:r>
      <w:r w:rsidR="00B63587">
        <w:rPr>
          <w:rFonts w:ascii="Times New Roman" w:hAnsi="Times New Roman" w:cs="Times New Roman"/>
          <w:sz w:val="24"/>
          <w:szCs w:val="24"/>
        </w:rPr>
        <w:t>[t]</w:t>
      </w:r>
      <w:r w:rsidR="001978A1" w:rsidRPr="00907E2E">
        <w:rPr>
          <w:rFonts w:ascii="Times New Roman" w:hAnsi="Times New Roman" w:cs="Times New Roman"/>
          <w:sz w:val="24"/>
          <w:szCs w:val="24"/>
        </w:rPr>
        <w:t>o combat racism in a thorough and lasting manner, the cultural equation that every multicultural society is called upon to solve is that of promoting the link between recognition, protection and respect for specific ethnic, religious and cultural characteristics and the promotion and recognition of universal common values resulting from the interaction and cross-fertilization of these characteristics.”</w:t>
      </w:r>
      <w:r w:rsidR="001978A1" w:rsidRPr="00A8446E">
        <w:rPr>
          <w:rStyle w:val="FootnoteReference"/>
          <w:rFonts w:ascii="Times New Roman" w:hAnsi="Times New Roman" w:cs="Times New Roman"/>
          <w:sz w:val="24"/>
          <w:szCs w:val="24"/>
        </w:rPr>
        <w:footnoteReference w:id="15"/>
      </w:r>
      <w:r w:rsidR="00B5416F">
        <w:rPr>
          <w:rFonts w:ascii="Times New Roman" w:hAnsi="Times New Roman" w:cs="Times New Roman"/>
          <w:sz w:val="24"/>
          <w:szCs w:val="24"/>
        </w:rPr>
        <w:t xml:space="preserve">  </w:t>
      </w:r>
      <w:r w:rsidR="00B5416F" w:rsidRPr="00B5416F">
        <w:rPr>
          <w:rFonts w:ascii="Times New Roman" w:hAnsi="Times New Roman" w:cs="Times New Roman"/>
          <w:sz w:val="24"/>
          <w:szCs w:val="24"/>
        </w:rPr>
        <w:t xml:space="preserve">The current Special Rapporteur has noted that, </w:t>
      </w:r>
      <w:r w:rsidR="001978A1" w:rsidRPr="00C91D00">
        <w:rPr>
          <w:rFonts w:ascii="Times New Roman" w:hAnsi="Times New Roman" w:cs="Times New Roman"/>
          <w:sz w:val="24"/>
          <w:szCs w:val="24"/>
        </w:rPr>
        <w:t>“State obligations should be understood to require collection and analysis of disaggregated data that enable a better understanding of the human rights situation of groups and persons subject to multiple and intersecting structures of discrimination.”</w:t>
      </w:r>
      <w:r w:rsidR="009816A3" w:rsidRPr="00B5416F">
        <w:rPr>
          <w:rStyle w:val="FootnoteReference"/>
          <w:rFonts w:ascii="Times New Roman" w:hAnsi="Times New Roman" w:cs="Times New Roman"/>
          <w:sz w:val="24"/>
          <w:szCs w:val="24"/>
        </w:rPr>
        <w:footnoteReference w:id="16"/>
      </w:r>
      <w:r w:rsidR="001978A1" w:rsidRPr="00C91D00">
        <w:rPr>
          <w:rFonts w:ascii="Times New Roman" w:eastAsia="Times New Roman" w:hAnsi="Times New Roman" w:cs="Times New Roman"/>
          <w:sz w:val="24"/>
          <w:szCs w:val="24"/>
        </w:rPr>
        <w:t xml:space="preserve"> </w:t>
      </w:r>
    </w:p>
    <w:p w14:paraId="2ABCD319" w14:textId="336A6936" w:rsidR="001A1B89" w:rsidRPr="00A8446E" w:rsidRDefault="001A1B89" w:rsidP="009816A3">
      <w:pPr>
        <w:pStyle w:val="ListParagraph"/>
        <w:spacing w:line="240" w:lineRule="auto"/>
        <w:ind w:left="1080"/>
        <w:rPr>
          <w:rFonts w:ascii="Times New Roman" w:hAnsi="Times New Roman" w:cs="Times New Roman"/>
          <w:sz w:val="24"/>
          <w:szCs w:val="24"/>
        </w:rPr>
      </w:pPr>
    </w:p>
    <w:p w14:paraId="74162D5C" w14:textId="11D70C00" w:rsidR="0050218F" w:rsidRPr="00A8446E" w:rsidRDefault="0050218F" w:rsidP="0050218F">
      <w:pPr>
        <w:pStyle w:val="ListParagraph"/>
        <w:spacing w:line="240" w:lineRule="auto"/>
        <w:ind w:left="1080"/>
        <w:rPr>
          <w:rFonts w:ascii="Times New Roman" w:hAnsi="Times New Roman" w:cs="Times New Roman"/>
          <w:sz w:val="24"/>
          <w:szCs w:val="24"/>
        </w:rPr>
      </w:pPr>
    </w:p>
    <w:p w14:paraId="01F40CEF" w14:textId="0AA0D165" w:rsidR="0050218F" w:rsidRPr="00A8446E" w:rsidRDefault="0050218F" w:rsidP="0050218F">
      <w:pPr>
        <w:pStyle w:val="ListParagraph"/>
        <w:spacing w:line="240" w:lineRule="auto"/>
        <w:ind w:left="1080"/>
        <w:rPr>
          <w:rFonts w:ascii="Times New Roman" w:hAnsi="Times New Roman" w:cs="Times New Roman"/>
          <w:sz w:val="24"/>
          <w:szCs w:val="24"/>
        </w:rPr>
      </w:pPr>
    </w:p>
    <w:p w14:paraId="568DB562" w14:textId="77425975" w:rsidR="0050218F" w:rsidRPr="00A8446E" w:rsidRDefault="0050218F" w:rsidP="0050218F">
      <w:pPr>
        <w:pStyle w:val="ListParagraph"/>
        <w:numPr>
          <w:ilvl w:val="0"/>
          <w:numId w:val="3"/>
        </w:numPr>
        <w:spacing w:line="240" w:lineRule="auto"/>
        <w:rPr>
          <w:rFonts w:ascii="Times New Roman" w:hAnsi="Times New Roman" w:cs="Times New Roman"/>
          <w:b/>
          <w:bCs/>
          <w:sz w:val="24"/>
          <w:szCs w:val="24"/>
        </w:rPr>
      </w:pPr>
      <w:r w:rsidRPr="00A8446E">
        <w:rPr>
          <w:rFonts w:ascii="Times New Roman" w:hAnsi="Times New Roman" w:cs="Times New Roman"/>
          <w:b/>
          <w:bCs/>
          <w:sz w:val="24"/>
          <w:szCs w:val="24"/>
        </w:rPr>
        <w:t>UNESCO Standards on Cultural Diversity</w:t>
      </w:r>
    </w:p>
    <w:p w14:paraId="28FB2D44" w14:textId="77777777" w:rsidR="001A1B89" w:rsidRPr="00A8446E" w:rsidRDefault="001A1B89" w:rsidP="001A1B89">
      <w:pPr>
        <w:pStyle w:val="ListParagraph"/>
        <w:spacing w:line="240" w:lineRule="auto"/>
        <w:ind w:left="1080"/>
        <w:rPr>
          <w:rFonts w:ascii="Times New Roman" w:hAnsi="Times New Roman" w:cs="Times New Roman"/>
          <w:sz w:val="24"/>
          <w:szCs w:val="24"/>
        </w:rPr>
      </w:pPr>
    </w:p>
    <w:p w14:paraId="4704529C" w14:textId="77777777" w:rsidR="001A1B89" w:rsidRPr="00A8446E" w:rsidRDefault="001A1B89" w:rsidP="001A1B89">
      <w:pPr>
        <w:pStyle w:val="ListParagraph"/>
        <w:spacing w:line="240" w:lineRule="auto"/>
        <w:ind w:left="1080"/>
        <w:rPr>
          <w:rFonts w:ascii="Times New Roman" w:hAnsi="Times New Roman" w:cs="Times New Roman"/>
          <w:sz w:val="24"/>
          <w:szCs w:val="24"/>
        </w:rPr>
      </w:pPr>
    </w:p>
    <w:p w14:paraId="0BE1FA66" w14:textId="310E9DF6" w:rsidR="001A1B89" w:rsidRPr="00A8446E" w:rsidRDefault="001A1B89"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lastRenderedPageBreak/>
        <w:t>The 2005</w:t>
      </w:r>
      <w:r w:rsidR="0050218F" w:rsidRPr="00A8446E">
        <w:rPr>
          <w:rFonts w:ascii="Times New Roman" w:hAnsi="Times New Roman" w:cs="Times New Roman"/>
          <w:sz w:val="24"/>
          <w:szCs w:val="24"/>
        </w:rPr>
        <w:t xml:space="preserve"> UNESCO</w:t>
      </w:r>
      <w:r w:rsidRPr="00A8446E">
        <w:rPr>
          <w:rFonts w:ascii="Times New Roman" w:hAnsi="Times New Roman" w:cs="Times New Roman"/>
          <w:sz w:val="24"/>
          <w:szCs w:val="24"/>
        </w:rPr>
        <w:t xml:space="preserve"> </w:t>
      </w:r>
      <w:r w:rsidRPr="00A8446E">
        <w:rPr>
          <w:rFonts w:ascii="Times New Roman" w:hAnsi="Times New Roman" w:cs="Times New Roman"/>
          <w:color w:val="000000"/>
          <w:sz w:val="24"/>
          <w:szCs w:val="24"/>
          <w:shd w:val="clear" w:color="auto" w:fill="FFFFFF"/>
        </w:rPr>
        <w:t>Convention on the Protection and Promotion of the Diversity of Cultural Expressions</w:t>
      </w:r>
      <w:r w:rsidR="0050218F" w:rsidRPr="00A8446E">
        <w:rPr>
          <w:rStyle w:val="FootnoteReference"/>
          <w:rFonts w:ascii="Times New Roman" w:hAnsi="Times New Roman" w:cs="Times New Roman"/>
          <w:color w:val="000000"/>
          <w:sz w:val="24"/>
          <w:szCs w:val="24"/>
          <w:shd w:val="clear" w:color="auto" w:fill="FFFFFF"/>
        </w:rPr>
        <w:footnoteReference w:id="17"/>
      </w:r>
      <w:r w:rsidRPr="00A8446E">
        <w:rPr>
          <w:rFonts w:ascii="Times New Roman" w:hAnsi="Times New Roman" w:cs="Times New Roman"/>
          <w:color w:val="000000"/>
          <w:sz w:val="24"/>
          <w:szCs w:val="24"/>
          <w:shd w:val="clear" w:color="auto" w:fill="FFFFFF"/>
        </w:rPr>
        <w:t xml:space="preserve"> in its preamble, “Affirm[s]</w:t>
      </w:r>
      <w:r w:rsidRPr="00A8446E">
        <w:rPr>
          <w:rFonts w:ascii="Times New Roman" w:hAnsi="Times New Roman" w:cs="Times New Roman"/>
          <w:i/>
          <w:iCs/>
          <w:color w:val="000000"/>
          <w:sz w:val="24"/>
          <w:szCs w:val="24"/>
          <w:shd w:val="clear" w:color="auto" w:fill="FFFFFF"/>
        </w:rPr>
        <w:t> </w:t>
      </w:r>
      <w:r w:rsidRPr="00A8446E">
        <w:rPr>
          <w:rFonts w:ascii="Times New Roman" w:hAnsi="Times New Roman" w:cs="Times New Roman"/>
          <w:color w:val="000000"/>
          <w:sz w:val="24"/>
          <w:szCs w:val="24"/>
          <w:shd w:val="clear" w:color="auto" w:fill="FFFFFF"/>
        </w:rPr>
        <w:t>that cultural diversity is a defining characteristic of humanity,</w:t>
      </w:r>
      <w:r w:rsidRPr="00A8446E">
        <w:rPr>
          <w:rFonts w:ascii="Times New Roman" w:hAnsi="Times New Roman" w:cs="Times New Roman"/>
          <w:color w:val="000000"/>
          <w:sz w:val="24"/>
          <w:szCs w:val="24"/>
        </w:rPr>
        <w:t>” and “</w:t>
      </w:r>
      <w:r w:rsidRPr="00A8446E">
        <w:rPr>
          <w:rFonts w:ascii="Times New Roman" w:hAnsi="Times New Roman" w:cs="Times New Roman"/>
          <w:color w:val="000000"/>
          <w:sz w:val="24"/>
          <w:szCs w:val="24"/>
          <w:shd w:val="clear" w:color="auto" w:fill="FFFFFF"/>
        </w:rPr>
        <w:t>forms a common heritage of humanity and should be cherished and preserved for the benefit of all.”</w:t>
      </w:r>
      <w:r w:rsidRPr="00A8446E">
        <w:rPr>
          <w:rFonts w:ascii="Times New Roman" w:hAnsi="Times New Roman" w:cs="Times New Roman"/>
          <w:color w:val="000000"/>
          <w:sz w:val="24"/>
          <w:szCs w:val="24"/>
        </w:rPr>
        <w:t xml:space="preserve">  It also </w:t>
      </w:r>
      <w:proofErr w:type="spellStart"/>
      <w:r w:rsidRPr="00A8446E">
        <w:rPr>
          <w:rFonts w:ascii="Times New Roman" w:hAnsi="Times New Roman" w:cs="Times New Roman"/>
          <w:color w:val="000000"/>
          <w:sz w:val="24"/>
          <w:szCs w:val="24"/>
        </w:rPr>
        <w:t>stresses</w:t>
      </w:r>
      <w:r w:rsidRPr="00A8446E">
        <w:rPr>
          <w:rFonts w:ascii="Times New Roman" w:hAnsi="Times New Roman" w:cs="Times New Roman"/>
          <w:i/>
          <w:iCs/>
          <w:color w:val="000000"/>
          <w:sz w:val="24"/>
          <w:szCs w:val="24"/>
          <w:shd w:val="clear" w:color="auto" w:fill="FFFFFF"/>
        </w:rPr>
        <w:t>“</w:t>
      </w:r>
      <w:r w:rsidRPr="00A8446E">
        <w:rPr>
          <w:rFonts w:ascii="Times New Roman" w:hAnsi="Times New Roman" w:cs="Times New Roman"/>
          <w:color w:val="000000"/>
          <w:sz w:val="24"/>
          <w:szCs w:val="24"/>
          <w:shd w:val="clear" w:color="auto" w:fill="FFFFFF"/>
        </w:rPr>
        <w:t>that</w:t>
      </w:r>
      <w:proofErr w:type="spellEnd"/>
      <w:r w:rsidRPr="00A8446E">
        <w:rPr>
          <w:rFonts w:ascii="Times New Roman" w:hAnsi="Times New Roman" w:cs="Times New Roman"/>
          <w:color w:val="000000"/>
          <w:sz w:val="24"/>
          <w:szCs w:val="24"/>
          <w:shd w:val="clear" w:color="auto" w:fill="FFFFFF"/>
        </w:rPr>
        <w:t xml:space="preserve"> cultural diversity creates a rich and varied world, which increases the range of choices and nurtures human capacities and values, and therefore is a mainspring for sustainable development for communities, peoples and nations,” while</w:t>
      </w:r>
      <w:r w:rsidRPr="00A8446E">
        <w:rPr>
          <w:rFonts w:ascii="Times New Roman" w:hAnsi="Times New Roman" w:cs="Times New Roman"/>
          <w:color w:val="000000"/>
          <w:sz w:val="24"/>
          <w:szCs w:val="24"/>
        </w:rPr>
        <w:t xml:space="preserve"> “</w:t>
      </w:r>
      <w:r w:rsidRPr="00A8446E">
        <w:rPr>
          <w:rFonts w:ascii="Times New Roman" w:hAnsi="Times New Roman" w:cs="Times New Roman"/>
          <w:color w:val="000000"/>
          <w:sz w:val="24"/>
          <w:szCs w:val="24"/>
          <w:shd w:val="clear" w:color="auto" w:fill="FFFFFF"/>
        </w:rPr>
        <w:t>Recalling</w:t>
      </w:r>
      <w:r w:rsidRPr="00A8446E">
        <w:rPr>
          <w:rFonts w:ascii="Times New Roman" w:hAnsi="Times New Roman" w:cs="Times New Roman"/>
          <w:i/>
          <w:iCs/>
          <w:color w:val="000000"/>
          <w:sz w:val="24"/>
          <w:szCs w:val="24"/>
          <w:shd w:val="clear" w:color="auto" w:fill="FFFFFF"/>
        </w:rPr>
        <w:t> </w:t>
      </w:r>
      <w:r w:rsidRPr="00A8446E">
        <w:rPr>
          <w:rFonts w:ascii="Times New Roman" w:hAnsi="Times New Roman" w:cs="Times New Roman"/>
          <w:color w:val="000000"/>
          <w:sz w:val="24"/>
          <w:szCs w:val="24"/>
          <w:shd w:val="clear" w:color="auto" w:fill="FFFFFF"/>
        </w:rPr>
        <w:t>that cultural diversity, flourishing within a framework of democracy, tolerance, social justice and mutual respect between peoples and cultures, is indispensable for peace and security...”  Moreover</w:t>
      </w:r>
      <w:r w:rsidR="006928CF">
        <w:rPr>
          <w:rFonts w:ascii="Times New Roman" w:hAnsi="Times New Roman" w:cs="Times New Roman"/>
          <w:color w:val="000000"/>
          <w:sz w:val="24"/>
          <w:szCs w:val="24"/>
          <w:shd w:val="clear" w:color="auto" w:fill="FFFFFF"/>
        </w:rPr>
        <w:t>,</w:t>
      </w:r>
      <w:r w:rsidRPr="00A8446E">
        <w:rPr>
          <w:rFonts w:ascii="Times New Roman" w:hAnsi="Times New Roman" w:cs="Times New Roman"/>
          <w:color w:val="000000"/>
          <w:sz w:val="24"/>
          <w:szCs w:val="24"/>
          <w:shd w:val="clear" w:color="auto" w:fill="FFFFFF"/>
        </w:rPr>
        <w:t xml:space="preserve"> it</w:t>
      </w:r>
      <w:r w:rsidRPr="00A8446E">
        <w:rPr>
          <w:rFonts w:ascii="Times New Roman" w:hAnsi="Times New Roman" w:cs="Times New Roman"/>
          <w:color w:val="000000"/>
          <w:sz w:val="24"/>
          <w:szCs w:val="24"/>
        </w:rPr>
        <w:t xml:space="preserve"> “</w:t>
      </w:r>
      <w:r w:rsidR="006928CF">
        <w:rPr>
          <w:rFonts w:ascii="Times New Roman" w:hAnsi="Times New Roman" w:cs="Times New Roman"/>
          <w:color w:val="000000"/>
          <w:sz w:val="24"/>
          <w:szCs w:val="24"/>
          <w:shd w:val="clear" w:color="auto" w:fill="FFFFFF"/>
        </w:rPr>
        <w:t>[c]</w:t>
      </w:r>
      <w:proofErr w:type="spellStart"/>
      <w:r w:rsidRPr="00A8446E">
        <w:rPr>
          <w:rFonts w:ascii="Times New Roman" w:hAnsi="Times New Roman" w:cs="Times New Roman"/>
          <w:color w:val="000000"/>
          <w:sz w:val="24"/>
          <w:szCs w:val="24"/>
          <w:shd w:val="clear" w:color="auto" w:fill="FFFFFF"/>
        </w:rPr>
        <w:t>elebrat</w:t>
      </w:r>
      <w:proofErr w:type="spellEnd"/>
      <w:r w:rsidRPr="00A8446E">
        <w:rPr>
          <w:rFonts w:ascii="Times New Roman" w:hAnsi="Times New Roman" w:cs="Times New Roman"/>
          <w:color w:val="000000"/>
          <w:sz w:val="24"/>
          <w:szCs w:val="24"/>
          <w:shd w:val="clear" w:color="auto" w:fill="FFFFFF"/>
        </w:rPr>
        <w:t>[es]</w:t>
      </w:r>
      <w:r w:rsidRPr="00A8446E">
        <w:rPr>
          <w:rFonts w:ascii="Times New Roman" w:hAnsi="Times New Roman" w:cs="Times New Roman"/>
          <w:i/>
          <w:iCs/>
          <w:color w:val="000000"/>
          <w:sz w:val="24"/>
          <w:szCs w:val="24"/>
          <w:shd w:val="clear" w:color="auto" w:fill="FFFFFF"/>
        </w:rPr>
        <w:t> </w:t>
      </w:r>
      <w:r w:rsidRPr="00A8446E">
        <w:rPr>
          <w:rFonts w:ascii="Times New Roman" w:hAnsi="Times New Roman" w:cs="Times New Roman"/>
          <w:color w:val="000000"/>
          <w:sz w:val="24"/>
          <w:szCs w:val="24"/>
          <w:shd w:val="clear" w:color="auto" w:fill="FFFFFF"/>
        </w:rPr>
        <w:t>the importance of cultural diversity for the full realization of human rights and fundamental freedoms proclaimed in the Universal Declaration of Human Rights and other universally recognized instruments.”</w:t>
      </w:r>
      <w:r w:rsidRPr="00A8446E">
        <w:rPr>
          <w:rFonts w:ascii="Times New Roman" w:hAnsi="Times New Roman" w:cs="Times New Roman"/>
          <w:color w:val="000000"/>
          <w:sz w:val="24"/>
          <w:szCs w:val="24"/>
        </w:rPr>
        <w:t xml:space="preserve">  </w:t>
      </w:r>
      <w:r w:rsidR="000A117D">
        <w:rPr>
          <w:rFonts w:ascii="Times New Roman" w:hAnsi="Times New Roman" w:cs="Times New Roman"/>
          <w:color w:val="000000"/>
          <w:sz w:val="24"/>
          <w:szCs w:val="24"/>
        </w:rPr>
        <w:t>P</w:t>
      </w:r>
      <w:r w:rsidRPr="00A8446E">
        <w:rPr>
          <w:rFonts w:ascii="Times New Roman" w:hAnsi="Times New Roman" w:cs="Times New Roman"/>
          <w:color w:val="000000"/>
          <w:sz w:val="24"/>
          <w:szCs w:val="24"/>
        </w:rPr>
        <w:t>erhaps most relevantly, it recognizes “</w:t>
      </w:r>
      <w:r w:rsidRPr="00A8446E">
        <w:rPr>
          <w:rFonts w:ascii="Times New Roman" w:hAnsi="Times New Roman" w:cs="Times New Roman"/>
          <w:color w:val="000000"/>
          <w:sz w:val="24"/>
          <w:szCs w:val="24"/>
          <w:shd w:val="clear" w:color="auto" w:fill="FFFFFF"/>
        </w:rPr>
        <w:t xml:space="preserve">that culture takes diverse forms across time and space and that this diversity is embodied in the uniqueness and plurality of the identities and cultural expressions of the peoples and societies making up humanity…” </w:t>
      </w:r>
    </w:p>
    <w:p w14:paraId="774FD8B8" w14:textId="77777777" w:rsidR="001A1B89" w:rsidRPr="00A8446E" w:rsidRDefault="001A1B89" w:rsidP="001A1B89">
      <w:pPr>
        <w:pStyle w:val="ListParagraph"/>
        <w:spacing w:line="240" w:lineRule="auto"/>
        <w:ind w:left="1080"/>
        <w:rPr>
          <w:rFonts w:ascii="Times New Roman" w:hAnsi="Times New Roman" w:cs="Times New Roman"/>
          <w:sz w:val="24"/>
          <w:szCs w:val="24"/>
        </w:rPr>
      </w:pPr>
    </w:p>
    <w:p w14:paraId="4D39F77D" w14:textId="18CEB02D" w:rsidR="001A1B89" w:rsidRPr="00A8446E" w:rsidRDefault="001A1B89"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color w:val="000000"/>
          <w:sz w:val="24"/>
          <w:szCs w:val="24"/>
          <w:shd w:val="clear" w:color="auto" w:fill="FFFFFF"/>
        </w:rPr>
        <w:t xml:space="preserve">The goals of the 2005 Convention </w:t>
      </w:r>
      <w:r w:rsidR="000A117D">
        <w:rPr>
          <w:rFonts w:ascii="Times New Roman" w:hAnsi="Times New Roman" w:cs="Times New Roman"/>
          <w:color w:val="000000"/>
          <w:sz w:val="24"/>
          <w:szCs w:val="24"/>
          <w:shd w:val="clear" w:color="auto" w:fill="FFFFFF"/>
        </w:rPr>
        <w:t>include</w:t>
      </w:r>
      <w:r w:rsidRPr="00A8446E">
        <w:rPr>
          <w:rFonts w:ascii="Times New Roman" w:hAnsi="Times New Roman" w:cs="Times New Roman"/>
          <w:sz w:val="24"/>
          <w:szCs w:val="24"/>
        </w:rPr>
        <w:t xml:space="preserve"> “to protect and promote the diversity of cultural expressions… and to create the conditions for cultures to flourish and to freely interact in a mutually beneficial manner</w:t>
      </w:r>
      <w:r w:rsidR="00F43089" w:rsidRPr="00A8446E">
        <w:rPr>
          <w:rFonts w:ascii="Times New Roman" w:hAnsi="Times New Roman" w:cs="Times New Roman"/>
          <w:sz w:val="24"/>
          <w:szCs w:val="24"/>
        </w:rPr>
        <w:t>” (article 1)</w:t>
      </w:r>
      <w:r w:rsidRPr="00A8446E">
        <w:rPr>
          <w:rFonts w:ascii="Times New Roman" w:hAnsi="Times New Roman" w:cs="Times New Roman"/>
          <w:sz w:val="24"/>
          <w:szCs w:val="24"/>
        </w:rPr>
        <w:t>; to foster interculturality</w:t>
      </w:r>
      <w:r w:rsidRPr="00A8446E">
        <w:rPr>
          <w:rStyle w:val="FootnoteReference"/>
          <w:rFonts w:ascii="Times New Roman" w:hAnsi="Times New Roman" w:cs="Times New Roman"/>
          <w:sz w:val="24"/>
          <w:szCs w:val="24"/>
        </w:rPr>
        <w:footnoteReference w:id="18"/>
      </w:r>
      <w:r w:rsidRPr="00A8446E">
        <w:rPr>
          <w:rFonts w:ascii="Times New Roman" w:hAnsi="Times New Roman" w:cs="Times New Roman"/>
          <w:sz w:val="24"/>
          <w:szCs w:val="24"/>
        </w:rPr>
        <w:t xml:space="preserve"> in order to develop cultural interaction in the spirit of building bridges among peoples… to promote respect for the diversity of cultural expressions and raise awareness of its value at the local, national and international levels… and to reaffirm the importance of the link between culture and development for all countries</w:t>
      </w:r>
      <w:r w:rsidR="007C639B">
        <w:rPr>
          <w:rFonts w:ascii="Times New Roman" w:hAnsi="Times New Roman" w:cs="Times New Roman"/>
          <w:sz w:val="24"/>
          <w:szCs w:val="24"/>
        </w:rPr>
        <w:t xml:space="preserve"> </w:t>
      </w:r>
      <w:r w:rsidR="00F43089" w:rsidRPr="00A8446E">
        <w:rPr>
          <w:rFonts w:ascii="Times New Roman" w:hAnsi="Times New Roman" w:cs="Times New Roman"/>
          <w:sz w:val="24"/>
          <w:szCs w:val="24"/>
        </w:rPr>
        <w:t>(article 1 (d)(e) and (f)).</w:t>
      </w:r>
      <w:r w:rsidRPr="00A8446E">
        <w:rPr>
          <w:rFonts w:ascii="Times New Roman" w:hAnsi="Times New Roman" w:cs="Times New Roman"/>
          <w:sz w:val="24"/>
          <w:szCs w:val="24"/>
        </w:rPr>
        <w:t xml:space="preserve"> </w:t>
      </w:r>
    </w:p>
    <w:p w14:paraId="43D85EEF" w14:textId="77777777" w:rsidR="001A1B89" w:rsidRPr="00A8446E" w:rsidRDefault="001A1B89" w:rsidP="001A1B89">
      <w:pPr>
        <w:pStyle w:val="ListParagraph"/>
        <w:rPr>
          <w:rFonts w:ascii="Times New Roman" w:hAnsi="Times New Roman" w:cs="Times New Roman"/>
          <w:sz w:val="24"/>
          <w:szCs w:val="24"/>
        </w:rPr>
      </w:pPr>
    </w:p>
    <w:p w14:paraId="5EBEDF93" w14:textId="77777777" w:rsidR="001A1B89" w:rsidRPr="00A8446E" w:rsidRDefault="001A1B89" w:rsidP="001A1B89">
      <w:pPr>
        <w:pStyle w:val="ListParagraph"/>
        <w:spacing w:line="240" w:lineRule="auto"/>
        <w:ind w:left="1080"/>
        <w:rPr>
          <w:rFonts w:ascii="Times New Roman" w:hAnsi="Times New Roman" w:cs="Times New Roman"/>
          <w:sz w:val="24"/>
          <w:szCs w:val="24"/>
        </w:rPr>
      </w:pPr>
    </w:p>
    <w:p w14:paraId="5B93E1B1" w14:textId="4DE9C6D6" w:rsidR="001A1B89" w:rsidRPr="00A8446E" w:rsidRDefault="00F43089"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 xml:space="preserve">The Convention embraces universal human rights and rejects cultural relativism.  </w:t>
      </w:r>
      <w:r w:rsidR="001A1B89" w:rsidRPr="00A8446E">
        <w:rPr>
          <w:rFonts w:ascii="Times New Roman" w:hAnsi="Times New Roman" w:cs="Times New Roman"/>
          <w:sz w:val="24"/>
          <w:szCs w:val="24"/>
        </w:rPr>
        <w:t xml:space="preserve">According to its </w:t>
      </w:r>
      <w:r w:rsidR="00BF20F4">
        <w:rPr>
          <w:rFonts w:ascii="Times New Roman" w:hAnsi="Times New Roman" w:cs="Times New Roman"/>
          <w:sz w:val="24"/>
          <w:szCs w:val="24"/>
        </w:rPr>
        <w:t>a</w:t>
      </w:r>
      <w:r w:rsidR="001A1B89" w:rsidRPr="00A8446E">
        <w:rPr>
          <w:rFonts w:ascii="Times New Roman" w:hAnsi="Times New Roman" w:cs="Times New Roman"/>
          <w:sz w:val="24"/>
          <w:szCs w:val="24"/>
        </w:rPr>
        <w:t>rticle 2, “</w:t>
      </w:r>
      <w:r w:rsidR="00B63587">
        <w:rPr>
          <w:rFonts w:ascii="Times New Roman" w:hAnsi="Times New Roman" w:cs="Times New Roman"/>
          <w:sz w:val="24"/>
          <w:szCs w:val="24"/>
        </w:rPr>
        <w:t>[c]</w:t>
      </w:r>
      <w:proofErr w:type="spellStart"/>
      <w:r w:rsidR="001A1B89" w:rsidRPr="00A8446E">
        <w:rPr>
          <w:rFonts w:ascii="Times New Roman" w:hAnsi="Times New Roman" w:cs="Times New Roman"/>
          <w:sz w:val="24"/>
          <w:szCs w:val="24"/>
        </w:rPr>
        <w:t>ultural</w:t>
      </w:r>
      <w:proofErr w:type="spellEnd"/>
      <w:r w:rsidR="001A1B89" w:rsidRPr="00A8446E">
        <w:rPr>
          <w:rFonts w:ascii="Times New Roman" w:hAnsi="Times New Roman" w:cs="Times New Roman"/>
          <w:sz w:val="24"/>
          <w:szCs w:val="24"/>
        </w:rPr>
        <w:t xml:space="preserve"> diversity can be protected and promoted only if human rights and fundamental freedoms, such as freedom of expression, information and communication, as well as the ability of individuals to choose cultural expressions, are guaranteed. No one may invoke the provisions of this Convention in order to infringe human rights and fundamental freedoms as enshrined in the </w:t>
      </w:r>
      <w:r w:rsidR="001A1B89" w:rsidRPr="00A8446E">
        <w:rPr>
          <w:rFonts w:ascii="Times New Roman" w:hAnsi="Times New Roman" w:cs="Times New Roman"/>
          <w:sz w:val="24"/>
          <w:szCs w:val="24"/>
        </w:rPr>
        <w:lastRenderedPageBreak/>
        <w:t xml:space="preserve">Universal Declaration of Human Rights or guaranteed by international law, or to limit the scope thereof.” </w:t>
      </w:r>
    </w:p>
    <w:p w14:paraId="53463497" w14:textId="77777777" w:rsidR="001A1B89" w:rsidRPr="00A8446E" w:rsidRDefault="001A1B89" w:rsidP="001A1B89">
      <w:pPr>
        <w:pStyle w:val="ListParagraph"/>
        <w:spacing w:line="240" w:lineRule="auto"/>
        <w:ind w:left="1080"/>
        <w:rPr>
          <w:rFonts w:ascii="Times New Roman" w:hAnsi="Times New Roman" w:cs="Times New Roman"/>
          <w:sz w:val="24"/>
          <w:szCs w:val="24"/>
        </w:rPr>
      </w:pPr>
      <w:r w:rsidRPr="00A8446E">
        <w:rPr>
          <w:rFonts w:ascii="Times New Roman" w:hAnsi="Times New Roman" w:cs="Times New Roman"/>
          <w:sz w:val="24"/>
          <w:szCs w:val="24"/>
        </w:rPr>
        <w:t xml:space="preserve"> </w:t>
      </w:r>
    </w:p>
    <w:p w14:paraId="475C7745" w14:textId="6A94F768" w:rsidR="001A1B89" w:rsidRPr="00A8446E" w:rsidRDefault="001A1B89"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 xml:space="preserve">Article 4(1) defines cultural diversity as referring “to the manifold ways in which the cultures of groups and societies find expression. These expressions are passed on within and among groups and societies. Cultural diversity is made manifest not only through the varied ways in which the cultural heritage of humanity is expressed, augmented and transmitted through the variety of cultural expressions, but also through diverse modes of artistic creation, production, dissemination, distribution and enjoyment, whatever the means and technologies used.”  States are to take a wide variety of measures in accordance with the convention to promote diversity, including by promoting an environment conducive to diverse cultural expressions, education and awareness, cooperation with civil society, international cooperation, integration of culture in sustainable development, </w:t>
      </w:r>
      <w:r w:rsidR="00C30403" w:rsidRPr="00A8446E">
        <w:rPr>
          <w:rFonts w:ascii="Times New Roman" w:hAnsi="Times New Roman" w:cs="Times New Roman"/>
          <w:sz w:val="24"/>
          <w:szCs w:val="24"/>
        </w:rPr>
        <w:t>a</w:t>
      </w:r>
      <w:r w:rsidR="00F43089" w:rsidRPr="00A8446E">
        <w:rPr>
          <w:rFonts w:ascii="Times New Roman" w:hAnsi="Times New Roman" w:cs="Times New Roman"/>
          <w:sz w:val="24"/>
          <w:szCs w:val="24"/>
        </w:rPr>
        <w:t>s well as</w:t>
      </w:r>
      <w:r w:rsidR="00C30403" w:rsidRPr="00A8446E">
        <w:rPr>
          <w:rFonts w:ascii="Times New Roman" w:hAnsi="Times New Roman" w:cs="Times New Roman"/>
          <w:sz w:val="24"/>
          <w:szCs w:val="24"/>
        </w:rPr>
        <w:t xml:space="preserve"> </w:t>
      </w:r>
      <w:r w:rsidRPr="00A8446E">
        <w:rPr>
          <w:rFonts w:ascii="Times New Roman" w:hAnsi="Times New Roman" w:cs="Times New Roman"/>
          <w:sz w:val="24"/>
          <w:szCs w:val="24"/>
        </w:rPr>
        <w:t>the strengthening of cultural industries in developing countries and</w:t>
      </w:r>
      <w:r w:rsidR="00BF20F4">
        <w:rPr>
          <w:rFonts w:ascii="Times New Roman" w:hAnsi="Times New Roman" w:cs="Times New Roman"/>
          <w:sz w:val="24"/>
          <w:szCs w:val="24"/>
        </w:rPr>
        <w:t xml:space="preserve"> creating</w:t>
      </w:r>
      <w:r w:rsidRPr="00A8446E">
        <w:rPr>
          <w:rFonts w:ascii="Times New Roman" w:hAnsi="Times New Roman" w:cs="Times New Roman"/>
          <w:sz w:val="24"/>
          <w:szCs w:val="24"/>
        </w:rPr>
        <w:t xml:space="preserve"> an international fund for cultural diversity.</w:t>
      </w:r>
    </w:p>
    <w:p w14:paraId="415879EB" w14:textId="77777777" w:rsidR="001A1B89" w:rsidRPr="00A8446E" w:rsidRDefault="001A1B89" w:rsidP="001A1B89">
      <w:pPr>
        <w:pStyle w:val="ListParagraph"/>
        <w:spacing w:line="240" w:lineRule="auto"/>
        <w:ind w:left="1080"/>
        <w:rPr>
          <w:rFonts w:ascii="Times New Roman" w:hAnsi="Times New Roman" w:cs="Times New Roman"/>
          <w:sz w:val="24"/>
          <w:szCs w:val="24"/>
        </w:rPr>
      </w:pPr>
    </w:p>
    <w:p w14:paraId="7A49FCC4" w14:textId="257C7D6E" w:rsidR="001A1B89" w:rsidRPr="00A8446E" w:rsidRDefault="001A1B89" w:rsidP="001A1B89">
      <w:pPr>
        <w:pStyle w:val="ListParagraph"/>
        <w:numPr>
          <w:ilvl w:val="0"/>
          <w:numId w:val="1"/>
        </w:numPr>
        <w:spacing w:line="240" w:lineRule="auto"/>
        <w:rPr>
          <w:rFonts w:ascii="Times New Roman" w:hAnsi="Times New Roman" w:cs="Times New Roman"/>
          <w:sz w:val="24"/>
          <w:szCs w:val="24"/>
        </w:rPr>
      </w:pPr>
      <w:bookmarkStart w:id="0" w:name="_Hlk74041216"/>
      <w:r w:rsidRPr="00A8446E">
        <w:rPr>
          <w:rFonts w:ascii="Times New Roman" w:hAnsi="Times New Roman" w:cs="Times New Roman"/>
          <w:sz w:val="24"/>
          <w:szCs w:val="24"/>
        </w:rPr>
        <w:t xml:space="preserve">UNESCO’s 2001 </w:t>
      </w:r>
      <w:r w:rsidRPr="00A8446E">
        <w:rPr>
          <w:rFonts w:ascii="Times New Roman" w:hAnsi="Times New Roman" w:cs="Times New Roman"/>
          <w:color w:val="000000"/>
          <w:sz w:val="24"/>
          <w:szCs w:val="24"/>
          <w:shd w:val="clear" w:color="auto" w:fill="FFFFFF"/>
        </w:rPr>
        <w:t xml:space="preserve">Universal Declaration on Cultural Diversity </w:t>
      </w:r>
      <w:bookmarkEnd w:id="0"/>
      <w:r w:rsidRPr="00A8446E">
        <w:rPr>
          <w:rFonts w:ascii="Times New Roman" w:hAnsi="Times New Roman" w:cs="Times New Roman"/>
          <w:color w:val="000000"/>
          <w:sz w:val="24"/>
          <w:szCs w:val="24"/>
          <w:shd w:val="clear" w:color="auto" w:fill="FFFFFF"/>
        </w:rPr>
        <w:t xml:space="preserve">in its article </w:t>
      </w:r>
      <w:r w:rsidR="00F43089" w:rsidRPr="00A8446E">
        <w:rPr>
          <w:rFonts w:ascii="Times New Roman" w:hAnsi="Times New Roman" w:cs="Times New Roman"/>
          <w:color w:val="000000"/>
          <w:sz w:val="24"/>
          <w:szCs w:val="24"/>
          <w:shd w:val="clear" w:color="auto" w:fill="FFFFFF"/>
        </w:rPr>
        <w:t>1</w:t>
      </w:r>
      <w:r w:rsidRPr="00A8446E">
        <w:rPr>
          <w:rFonts w:ascii="Times New Roman" w:hAnsi="Times New Roman" w:cs="Times New Roman"/>
          <w:color w:val="000000"/>
          <w:sz w:val="24"/>
          <w:szCs w:val="24"/>
          <w:shd w:val="clear" w:color="auto" w:fill="FFFFFF"/>
        </w:rPr>
        <w:t xml:space="preserve">, like the 2005 Convention, also notes the continuity of diversities in human cultures, and the plurality of identities. “As a source of exchange, innovation and creativity, cultural diversity is as necessary for humankind as biodiversity is for nature. In this sense, it is the common heritage of humanity and should be recognized and affirmed for the benefit of present and future generations.”  This Declaration emphasizes that its drafters were </w:t>
      </w:r>
      <w:r w:rsidRPr="00A8446E">
        <w:rPr>
          <w:rFonts w:ascii="Times New Roman" w:hAnsi="Times New Roman" w:cs="Times New Roman"/>
          <w:color w:val="000000"/>
          <w:sz w:val="24"/>
          <w:szCs w:val="24"/>
        </w:rPr>
        <w:t>“</w:t>
      </w:r>
      <w:r w:rsidR="00B63587">
        <w:rPr>
          <w:rFonts w:ascii="Times New Roman" w:hAnsi="Times New Roman" w:cs="Times New Roman"/>
          <w:color w:val="000000"/>
          <w:sz w:val="24"/>
          <w:szCs w:val="24"/>
          <w:shd w:val="clear" w:color="auto" w:fill="FFFFFF"/>
        </w:rPr>
        <w:t>[a]</w:t>
      </w:r>
      <w:r w:rsidRPr="00A8446E">
        <w:rPr>
          <w:rFonts w:ascii="Times New Roman" w:hAnsi="Times New Roman" w:cs="Times New Roman"/>
          <w:color w:val="000000"/>
          <w:sz w:val="24"/>
          <w:szCs w:val="24"/>
          <w:shd w:val="clear" w:color="auto" w:fill="FFFFFF"/>
        </w:rPr>
        <w:t>spiring to greater solidarity on the basis of recognition of cultural diversity, of awareness of the unity of humankind, and of the development of intercultural exchanges…”</w:t>
      </w:r>
      <w:r w:rsidR="00F43089" w:rsidRPr="00A8446E">
        <w:rPr>
          <w:rFonts w:ascii="Times New Roman" w:hAnsi="Times New Roman" w:cs="Times New Roman"/>
          <w:color w:val="000000"/>
          <w:sz w:val="24"/>
          <w:szCs w:val="24"/>
          <w:shd w:val="clear" w:color="auto" w:fill="FFFFFF"/>
        </w:rPr>
        <w:t xml:space="preserve"> (preamble). </w:t>
      </w:r>
    </w:p>
    <w:p w14:paraId="0372E797" w14:textId="77777777" w:rsidR="001A1B89" w:rsidRPr="00A8446E" w:rsidRDefault="001A1B89" w:rsidP="001A1B89">
      <w:pPr>
        <w:pStyle w:val="ListParagraph"/>
        <w:rPr>
          <w:rFonts w:ascii="Times New Roman" w:hAnsi="Times New Roman" w:cs="Times New Roman"/>
          <w:color w:val="000000"/>
          <w:sz w:val="24"/>
          <w:szCs w:val="24"/>
          <w:shd w:val="clear" w:color="auto" w:fill="FFFFFF"/>
        </w:rPr>
      </w:pPr>
    </w:p>
    <w:p w14:paraId="6A2B2D0C" w14:textId="0A0FB094" w:rsidR="001A1B89" w:rsidRPr="00A8446E" w:rsidRDefault="001A1B89"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color w:val="000000"/>
          <w:sz w:val="24"/>
          <w:szCs w:val="24"/>
          <w:shd w:val="clear" w:color="auto" w:fill="FFFFFF"/>
        </w:rPr>
        <w:t>It also encourages a shift in perspective “from cultural diversity to cultural pluralism” by stressing that, “In our increasingly diverse societies, it is essential to ensure harmonious interaction among people and groups with plural, varied and dynamic cultural identities as well as their willingness to live together. Policies for the inclusion and participation of all citizens are guarantees of social cohesion, the vitality of civil society and peace. Thus defined, cultural pluralism gives policy expression to the reality of cultural diversity. Indissociable from a democratic framework, cultural pluralism is conducive to cultural exchange and to the flourishing of creative capacities that sustain public life”</w:t>
      </w:r>
      <w:r w:rsidR="007C639B">
        <w:rPr>
          <w:rFonts w:ascii="Times New Roman" w:hAnsi="Times New Roman" w:cs="Times New Roman"/>
          <w:color w:val="000000"/>
          <w:sz w:val="24"/>
          <w:szCs w:val="24"/>
          <w:shd w:val="clear" w:color="auto" w:fill="FFFFFF"/>
        </w:rPr>
        <w:t xml:space="preserve"> (article 2).</w:t>
      </w:r>
    </w:p>
    <w:p w14:paraId="156C111C" w14:textId="77777777" w:rsidR="001A1B89" w:rsidRPr="00A8446E" w:rsidRDefault="001A1B89" w:rsidP="001A1B89">
      <w:pPr>
        <w:pStyle w:val="ListParagraph"/>
        <w:rPr>
          <w:rFonts w:ascii="Times New Roman" w:hAnsi="Times New Roman" w:cs="Times New Roman"/>
          <w:color w:val="000000"/>
          <w:sz w:val="24"/>
          <w:szCs w:val="24"/>
          <w:shd w:val="clear" w:color="auto" w:fill="FFFFFF"/>
        </w:rPr>
      </w:pPr>
    </w:p>
    <w:p w14:paraId="6DD91A4A" w14:textId="5B8A1605" w:rsidR="001A1B89" w:rsidRPr="00A8446E" w:rsidRDefault="001A1B89"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color w:val="000000"/>
          <w:sz w:val="24"/>
          <w:szCs w:val="24"/>
          <w:shd w:val="clear" w:color="auto" w:fill="FFFFFF"/>
        </w:rPr>
        <w:t>In the declaration’s Annex II, UNESCO member states commit themselves to a variety of relevant implementation actions, including: “</w:t>
      </w:r>
      <w:r w:rsidR="00F43089" w:rsidRPr="00A8446E">
        <w:rPr>
          <w:rFonts w:ascii="Times New Roman" w:hAnsi="Times New Roman" w:cs="Times New Roman"/>
          <w:color w:val="000000"/>
          <w:sz w:val="24"/>
          <w:szCs w:val="24"/>
          <w:shd w:val="clear" w:color="auto" w:fill="FFFFFF"/>
        </w:rPr>
        <w:t>[d]</w:t>
      </w:r>
      <w:proofErr w:type="spellStart"/>
      <w:r w:rsidRPr="00A8446E">
        <w:rPr>
          <w:rFonts w:ascii="Times New Roman" w:hAnsi="Times New Roman" w:cs="Times New Roman"/>
          <w:color w:val="000000"/>
          <w:sz w:val="24"/>
          <w:szCs w:val="24"/>
          <w:shd w:val="clear" w:color="auto" w:fill="FFFFFF"/>
        </w:rPr>
        <w:t>eepening</w:t>
      </w:r>
      <w:proofErr w:type="spellEnd"/>
      <w:r w:rsidRPr="00A8446E">
        <w:rPr>
          <w:rFonts w:ascii="Times New Roman" w:hAnsi="Times New Roman" w:cs="Times New Roman"/>
          <w:color w:val="000000"/>
          <w:sz w:val="24"/>
          <w:szCs w:val="24"/>
          <w:shd w:val="clear" w:color="auto" w:fill="FFFFFF"/>
        </w:rPr>
        <w:t xml:space="preserve"> the international debate on questions relating to cultural diversity” (para. 1), “</w:t>
      </w:r>
      <w:r w:rsidR="00F43089" w:rsidRPr="00A8446E">
        <w:rPr>
          <w:rFonts w:ascii="Times New Roman" w:hAnsi="Times New Roman" w:cs="Times New Roman"/>
          <w:color w:val="000000"/>
          <w:sz w:val="24"/>
          <w:szCs w:val="24"/>
          <w:shd w:val="clear" w:color="auto" w:fill="FFFFFF"/>
        </w:rPr>
        <w:t>[f]</w:t>
      </w:r>
      <w:proofErr w:type="spellStart"/>
      <w:r w:rsidRPr="00A8446E">
        <w:rPr>
          <w:rFonts w:ascii="Times New Roman" w:hAnsi="Times New Roman" w:cs="Times New Roman"/>
          <w:color w:val="000000"/>
          <w:sz w:val="24"/>
          <w:szCs w:val="24"/>
          <w:shd w:val="clear" w:color="auto" w:fill="FFFFFF"/>
        </w:rPr>
        <w:t>ostering</w:t>
      </w:r>
      <w:proofErr w:type="spellEnd"/>
      <w:r w:rsidRPr="00A8446E">
        <w:rPr>
          <w:rFonts w:ascii="Times New Roman" w:hAnsi="Times New Roman" w:cs="Times New Roman"/>
          <w:color w:val="000000"/>
          <w:sz w:val="24"/>
          <w:szCs w:val="24"/>
          <w:shd w:val="clear" w:color="auto" w:fill="FFFFFF"/>
        </w:rPr>
        <w:t xml:space="preserve"> the exchange of knowledge and best practices in regard to cultural pluralism with a view to facilitating, in diversified societies, the inclusion and participation of persons and groups from varied cultural backgrounds…” (para. 3), “</w:t>
      </w:r>
      <w:r w:rsidR="00F43089" w:rsidRPr="00A8446E">
        <w:rPr>
          <w:rFonts w:ascii="Times New Roman" w:hAnsi="Times New Roman" w:cs="Times New Roman"/>
          <w:color w:val="000000"/>
          <w:sz w:val="24"/>
          <w:szCs w:val="24"/>
          <w:shd w:val="clear" w:color="auto" w:fill="FFFFFF"/>
        </w:rPr>
        <w:t>[d]</w:t>
      </w:r>
      <w:proofErr w:type="spellStart"/>
      <w:r w:rsidRPr="00A8446E">
        <w:rPr>
          <w:rFonts w:ascii="Times New Roman" w:hAnsi="Times New Roman" w:cs="Times New Roman"/>
          <w:color w:val="000000"/>
          <w:sz w:val="24"/>
          <w:szCs w:val="24"/>
          <w:shd w:val="clear" w:color="auto" w:fill="FFFFFF"/>
        </w:rPr>
        <w:t>eveloping</w:t>
      </w:r>
      <w:proofErr w:type="spellEnd"/>
      <w:r w:rsidRPr="00A8446E">
        <w:rPr>
          <w:rFonts w:ascii="Times New Roman" w:hAnsi="Times New Roman" w:cs="Times New Roman"/>
          <w:color w:val="000000"/>
          <w:sz w:val="24"/>
          <w:szCs w:val="24"/>
          <w:shd w:val="clear" w:color="auto" w:fill="FFFFFF"/>
        </w:rPr>
        <w:t xml:space="preserve"> cultural policies, including operational support arrangements and/or appropriate regulatory frameworks, designed to promote the principles enshrined in this Declaration, in accordance with the international obligations incumbent upon each State” (para. 18), </w:t>
      </w:r>
      <w:r w:rsidRPr="00A8446E">
        <w:rPr>
          <w:rFonts w:ascii="Times New Roman" w:hAnsi="Times New Roman" w:cs="Times New Roman"/>
          <w:color w:val="000000"/>
          <w:sz w:val="24"/>
          <w:szCs w:val="24"/>
          <w:shd w:val="clear" w:color="auto" w:fill="FFFFFF"/>
        </w:rPr>
        <w:lastRenderedPageBreak/>
        <w:t>and “</w:t>
      </w:r>
      <w:r w:rsidR="00F43089" w:rsidRPr="00A8446E">
        <w:rPr>
          <w:rFonts w:ascii="Times New Roman" w:hAnsi="Times New Roman" w:cs="Times New Roman"/>
          <w:color w:val="000000"/>
          <w:sz w:val="24"/>
          <w:szCs w:val="24"/>
          <w:shd w:val="clear" w:color="auto" w:fill="FFFFFF"/>
        </w:rPr>
        <w:t>[i]</w:t>
      </w:r>
      <w:proofErr w:type="spellStart"/>
      <w:r w:rsidRPr="00A8446E">
        <w:rPr>
          <w:rFonts w:ascii="Times New Roman" w:hAnsi="Times New Roman" w:cs="Times New Roman"/>
          <w:color w:val="000000"/>
          <w:sz w:val="24"/>
          <w:szCs w:val="24"/>
          <w:shd w:val="clear" w:color="auto" w:fill="FFFFFF"/>
        </w:rPr>
        <w:t>nvolving</w:t>
      </w:r>
      <w:proofErr w:type="spellEnd"/>
      <w:r w:rsidRPr="00A8446E">
        <w:rPr>
          <w:rFonts w:ascii="Times New Roman" w:hAnsi="Times New Roman" w:cs="Times New Roman"/>
          <w:color w:val="000000"/>
          <w:sz w:val="24"/>
          <w:szCs w:val="24"/>
          <w:shd w:val="clear" w:color="auto" w:fill="FFFFFF"/>
        </w:rPr>
        <w:t xml:space="preserve"> the various sections of civil society closely in the framing of public policies aimed at safeguarding and promoting cultural diversity” (para. 19).</w:t>
      </w:r>
    </w:p>
    <w:p w14:paraId="3CD26EC9" w14:textId="77777777" w:rsidR="001A1B89" w:rsidRPr="00A8446E" w:rsidRDefault="001A1B89" w:rsidP="001A1B89">
      <w:pPr>
        <w:pStyle w:val="ListParagraph"/>
        <w:spacing w:line="240" w:lineRule="auto"/>
        <w:ind w:left="1080"/>
        <w:rPr>
          <w:rFonts w:ascii="Times New Roman" w:hAnsi="Times New Roman" w:cs="Times New Roman"/>
          <w:sz w:val="24"/>
          <w:szCs w:val="24"/>
        </w:rPr>
      </w:pPr>
    </w:p>
    <w:p w14:paraId="6FF0F00E" w14:textId="65F7B87E" w:rsidR="001A1B89" w:rsidRPr="00A8446E" w:rsidRDefault="001A1B89"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color w:val="000000"/>
          <w:sz w:val="24"/>
          <w:szCs w:val="24"/>
          <w:shd w:val="clear" w:color="auto" w:fill="FFFFFF"/>
        </w:rPr>
        <w:t>Cultural diversity is</w:t>
      </w:r>
      <w:r w:rsidR="00BF20F4">
        <w:rPr>
          <w:rFonts w:ascii="Times New Roman" w:hAnsi="Times New Roman" w:cs="Times New Roman"/>
          <w:color w:val="000000"/>
          <w:sz w:val="24"/>
          <w:szCs w:val="24"/>
          <w:shd w:val="clear" w:color="auto" w:fill="FFFFFF"/>
        </w:rPr>
        <w:t xml:space="preserve"> also</w:t>
      </w:r>
      <w:r w:rsidRPr="00A8446E">
        <w:rPr>
          <w:rFonts w:ascii="Times New Roman" w:hAnsi="Times New Roman" w:cs="Times New Roman"/>
          <w:color w:val="000000"/>
          <w:sz w:val="24"/>
          <w:szCs w:val="24"/>
          <w:shd w:val="clear" w:color="auto" w:fill="FFFFFF"/>
        </w:rPr>
        <w:t xml:space="preserve"> clearly differentiated from cultural relativism in the Declaration’s vital </w:t>
      </w:r>
      <w:r w:rsidR="00B63587">
        <w:rPr>
          <w:rFonts w:ascii="Times New Roman" w:hAnsi="Times New Roman" w:cs="Times New Roman"/>
          <w:color w:val="000000"/>
          <w:sz w:val="24"/>
          <w:szCs w:val="24"/>
          <w:shd w:val="clear" w:color="auto" w:fill="FFFFFF"/>
        </w:rPr>
        <w:t>a</w:t>
      </w:r>
      <w:r w:rsidRPr="00A8446E">
        <w:rPr>
          <w:rFonts w:ascii="Times New Roman" w:hAnsi="Times New Roman" w:cs="Times New Roman"/>
          <w:color w:val="000000"/>
          <w:sz w:val="24"/>
          <w:szCs w:val="24"/>
          <w:shd w:val="clear" w:color="auto" w:fill="FFFFFF"/>
        </w:rPr>
        <w:t xml:space="preserve">rticle </w:t>
      </w:r>
      <w:r w:rsidR="00F43089" w:rsidRPr="00A8446E">
        <w:rPr>
          <w:rFonts w:ascii="Times New Roman" w:hAnsi="Times New Roman" w:cs="Times New Roman"/>
          <w:color w:val="000000"/>
          <w:sz w:val="24"/>
          <w:szCs w:val="24"/>
          <w:shd w:val="clear" w:color="auto" w:fill="FFFFFF"/>
        </w:rPr>
        <w:t>4</w:t>
      </w:r>
      <w:r w:rsidRPr="00A8446E">
        <w:rPr>
          <w:rFonts w:ascii="Times New Roman" w:hAnsi="Times New Roman" w:cs="Times New Roman"/>
          <w:color w:val="000000"/>
          <w:sz w:val="24"/>
          <w:szCs w:val="24"/>
          <w:shd w:val="clear" w:color="auto" w:fill="FFFFFF"/>
        </w:rPr>
        <w:t xml:space="preserve"> which must be constantly born in mind. “The </w:t>
      </w:r>
      <w:proofErr w:type="spellStart"/>
      <w:r w:rsidRPr="00A8446E">
        <w:rPr>
          <w:rFonts w:ascii="Times New Roman" w:hAnsi="Times New Roman" w:cs="Times New Roman"/>
          <w:color w:val="000000"/>
          <w:sz w:val="24"/>
          <w:szCs w:val="24"/>
          <w:shd w:val="clear" w:color="auto" w:fill="FFFFFF"/>
        </w:rPr>
        <w:t>defence</w:t>
      </w:r>
      <w:proofErr w:type="spellEnd"/>
      <w:r w:rsidRPr="00A8446E">
        <w:rPr>
          <w:rFonts w:ascii="Times New Roman" w:hAnsi="Times New Roman" w:cs="Times New Roman"/>
          <w:color w:val="000000"/>
          <w:sz w:val="24"/>
          <w:szCs w:val="24"/>
          <w:shd w:val="clear" w:color="auto" w:fill="FFFFFF"/>
        </w:rPr>
        <w:t xml:space="preserve"> of cultural diversity is an ethical imperative, inseparable from respect for human dignity. It implies a commitment to human rights and fundamental freedoms, in particular the rights of persons belonging to minorities and those of indigenous peoples. No one may invoke cultural diversity to infringe upon human rights guaranteed by international law, nor to limit their scope.”  </w:t>
      </w:r>
    </w:p>
    <w:p w14:paraId="2CAC24F5" w14:textId="77777777" w:rsidR="00F43089" w:rsidRPr="00A8446E" w:rsidRDefault="00F43089" w:rsidP="00F43089">
      <w:pPr>
        <w:pStyle w:val="ListParagraph"/>
        <w:rPr>
          <w:rFonts w:ascii="Times New Roman" w:hAnsi="Times New Roman" w:cs="Times New Roman"/>
          <w:sz w:val="24"/>
          <w:szCs w:val="24"/>
        </w:rPr>
      </w:pPr>
    </w:p>
    <w:p w14:paraId="617A5217" w14:textId="1D191372" w:rsidR="00F43089" w:rsidRPr="00A8446E" w:rsidRDefault="00F43089" w:rsidP="00F43089">
      <w:pPr>
        <w:pStyle w:val="ListParagraph"/>
        <w:numPr>
          <w:ilvl w:val="0"/>
          <w:numId w:val="3"/>
        </w:numPr>
        <w:spacing w:line="240" w:lineRule="auto"/>
        <w:rPr>
          <w:rFonts w:ascii="Times New Roman" w:hAnsi="Times New Roman" w:cs="Times New Roman"/>
          <w:b/>
          <w:bCs/>
          <w:sz w:val="24"/>
          <w:szCs w:val="24"/>
        </w:rPr>
      </w:pPr>
      <w:r w:rsidRPr="00A8446E">
        <w:rPr>
          <w:rFonts w:ascii="Times New Roman" w:hAnsi="Times New Roman" w:cs="Times New Roman"/>
          <w:b/>
          <w:bCs/>
          <w:sz w:val="24"/>
          <w:szCs w:val="24"/>
        </w:rPr>
        <w:t>Universality and Cultural Diversity</w:t>
      </w:r>
    </w:p>
    <w:p w14:paraId="09363D87" w14:textId="77777777" w:rsidR="001A1B89" w:rsidRPr="00A8446E" w:rsidRDefault="001A1B89" w:rsidP="001A1B89">
      <w:pPr>
        <w:pStyle w:val="ListParagraph"/>
        <w:rPr>
          <w:rFonts w:ascii="Times New Roman" w:hAnsi="Times New Roman" w:cs="Times New Roman"/>
          <w:color w:val="000000"/>
          <w:sz w:val="24"/>
          <w:szCs w:val="24"/>
          <w:shd w:val="clear" w:color="auto" w:fill="FFFFFF"/>
        </w:rPr>
      </w:pPr>
    </w:p>
    <w:p w14:paraId="00E32203" w14:textId="61FA389C" w:rsidR="001A1B89" w:rsidRPr="00A8446E" w:rsidRDefault="001A1B89"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color w:val="000000"/>
          <w:sz w:val="24"/>
          <w:szCs w:val="24"/>
          <w:shd w:val="clear" w:color="auto" w:fill="FFFFFF"/>
        </w:rPr>
        <w:t xml:space="preserve">This close relationship between universality and cultural diversity was stressed in the </w:t>
      </w:r>
      <w:r w:rsidR="00F43089" w:rsidRPr="00A8446E">
        <w:rPr>
          <w:rFonts w:ascii="Times New Roman" w:hAnsi="Times New Roman" w:cs="Times New Roman"/>
          <w:color w:val="000000"/>
          <w:sz w:val="24"/>
          <w:szCs w:val="24"/>
          <w:shd w:val="clear" w:color="auto" w:fill="FFFFFF"/>
        </w:rPr>
        <w:t xml:space="preserve">2018 report by the </w:t>
      </w:r>
      <w:r w:rsidRPr="00A8446E">
        <w:rPr>
          <w:rFonts w:ascii="Times New Roman" w:hAnsi="Times New Roman" w:cs="Times New Roman"/>
          <w:color w:val="000000"/>
          <w:sz w:val="24"/>
          <w:szCs w:val="24"/>
          <w:shd w:val="clear" w:color="auto" w:fill="FFFFFF"/>
        </w:rPr>
        <w:t>Special Rapporteur</w:t>
      </w:r>
      <w:r w:rsidR="00F43089" w:rsidRPr="00A8446E">
        <w:rPr>
          <w:rFonts w:ascii="Times New Roman" w:hAnsi="Times New Roman" w:cs="Times New Roman"/>
          <w:color w:val="000000"/>
          <w:sz w:val="24"/>
          <w:szCs w:val="24"/>
          <w:shd w:val="clear" w:color="auto" w:fill="FFFFFF"/>
        </w:rPr>
        <w:t xml:space="preserve"> in the field of cultural rights</w:t>
      </w:r>
      <w:r w:rsidRPr="00A8446E">
        <w:rPr>
          <w:rFonts w:ascii="Times New Roman" w:hAnsi="Times New Roman" w:cs="Times New Roman"/>
          <w:color w:val="000000"/>
          <w:sz w:val="24"/>
          <w:szCs w:val="24"/>
          <w:shd w:val="clear" w:color="auto" w:fill="FFFFFF"/>
        </w:rPr>
        <w:t xml:space="preserve"> </w:t>
      </w:r>
      <w:r w:rsidR="00B63587">
        <w:rPr>
          <w:rFonts w:ascii="Times New Roman" w:hAnsi="Times New Roman" w:cs="Times New Roman"/>
          <w:color w:val="000000"/>
          <w:sz w:val="24"/>
          <w:szCs w:val="24"/>
          <w:shd w:val="clear" w:color="auto" w:fill="FFFFFF"/>
        </w:rPr>
        <w:t>to</w:t>
      </w:r>
      <w:r w:rsidRPr="00A8446E">
        <w:rPr>
          <w:rFonts w:ascii="Times New Roman" w:hAnsi="Times New Roman" w:cs="Times New Roman"/>
          <w:color w:val="000000"/>
          <w:sz w:val="24"/>
          <w:szCs w:val="24"/>
          <w:shd w:val="clear" w:color="auto" w:fill="FFFFFF"/>
        </w:rPr>
        <w:t xml:space="preserve"> the General Assembly.</w:t>
      </w:r>
      <w:r w:rsidRPr="00A8446E">
        <w:rPr>
          <w:rStyle w:val="FootnoteReference"/>
          <w:rFonts w:ascii="Times New Roman" w:hAnsi="Times New Roman" w:cs="Times New Roman"/>
          <w:color w:val="000000"/>
          <w:sz w:val="24"/>
          <w:szCs w:val="24"/>
          <w:shd w:val="clear" w:color="auto" w:fill="FFFFFF"/>
        </w:rPr>
        <w:footnoteReference w:id="19"/>
      </w:r>
      <w:r w:rsidRPr="00A8446E">
        <w:rPr>
          <w:rFonts w:ascii="Times New Roman" w:hAnsi="Times New Roman" w:cs="Times New Roman"/>
          <w:color w:val="000000"/>
          <w:sz w:val="24"/>
          <w:szCs w:val="24"/>
          <w:shd w:val="clear" w:color="auto" w:fill="FFFFFF"/>
        </w:rPr>
        <w:t xml:space="preserve">  In that report, she stressed that “</w:t>
      </w:r>
      <w:r w:rsidR="00B63587">
        <w:rPr>
          <w:rFonts w:ascii="Times New Roman" w:hAnsi="Times New Roman" w:cs="Times New Roman"/>
          <w:sz w:val="24"/>
          <w:szCs w:val="24"/>
        </w:rPr>
        <w:t>[u]</w:t>
      </w:r>
      <w:proofErr w:type="spellStart"/>
      <w:r w:rsidRPr="00A8446E">
        <w:rPr>
          <w:rFonts w:ascii="Times New Roman" w:hAnsi="Times New Roman" w:cs="Times New Roman"/>
          <w:sz w:val="24"/>
          <w:szCs w:val="24"/>
        </w:rPr>
        <w:t>niversality</w:t>
      </w:r>
      <w:proofErr w:type="spellEnd"/>
      <w:r w:rsidRPr="00A8446E">
        <w:rPr>
          <w:rFonts w:ascii="Times New Roman" w:hAnsi="Times New Roman" w:cs="Times New Roman"/>
          <w:sz w:val="24"/>
          <w:szCs w:val="24"/>
        </w:rPr>
        <w:t xml:space="preserve"> is the cornerstone of human rights law, which likewise enshrines this principle. Article 1 of the Universal Declaration of Human Rights affirms that ‘all human beings are born free and equal in dignity and rights’. Article 2 adds specificity, making clear that neither cultural category nor political status can justify exemption from rights protection. The Charter of the United Nations has specifically endorsed the framework of universal rights in treaty form.”</w:t>
      </w:r>
      <w:r w:rsidRPr="00A8446E">
        <w:rPr>
          <w:rStyle w:val="FootnoteReference"/>
          <w:rFonts w:ascii="Times New Roman" w:hAnsi="Times New Roman" w:cs="Times New Roman"/>
          <w:sz w:val="24"/>
          <w:szCs w:val="24"/>
        </w:rPr>
        <w:footnoteReference w:id="20"/>
      </w:r>
      <w:r w:rsidRPr="00A8446E">
        <w:rPr>
          <w:rFonts w:ascii="Times New Roman" w:hAnsi="Times New Roman" w:cs="Times New Roman"/>
          <w:sz w:val="24"/>
          <w:szCs w:val="24"/>
        </w:rPr>
        <w:t xml:space="preserve"> </w:t>
      </w:r>
    </w:p>
    <w:p w14:paraId="249C88E2" w14:textId="77777777" w:rsidR="001A1B89" w:rsidRPr="00A8446E" w:rsidRDefault="001A1B89" w:rsidP="001A1B89">
      <w:pPr>
        <w:pStyle w:val="ListParagraph"/>
        <w:rPr>
          <w:rFonts w:ascii="Times New Roman" w:hAnsi="Times New Roman" w:cs="Times New Roman"/>
          <w:sz w:val="24"/>
          <w:szCs w:val="24"/>
        </w:rPr>
      </w:pPr>
    </w:p>
    <w:p w14:paraId="243C1DFF" w14:textId="77777777" w:rsidR="001A1B89" w:rsidRPr="00A8446E" w:rsidRDefault="001A1B89" w:rsidP="001A1B89">
      <w:pPr>
        <w:pStyle w:val="ListParagraph"/>
        <w:spacing w:line="240" w:lineRule="auto"/>
        <w:ind w:left="1080"/>
        <w:rPr>
          <w:rFonts w:ascii="Times New Roman" w:hAnsi="Times New Roman" w:cs="Times New Roman"/>
          <w:sz w:val="24"/>
          <w:szCs w:val="24"/>
        </w:rPr>
      </w:pPr>
    </w:p>
    <w:p w14:paraId="31578116" w14:textId="0571C4FF" w:rsidR="001A1B89" w:rsidRPr="00A8446E" w:rsidRDefault="001A1B89"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Universality greatly enhances the lives of all human beings everywhere and advances equality, dignity and rights, including cultural rights</w:t>
      </w:r>
      <w:r w:rsidR="00F43089" w:rsidRPr="00A8446E">
        <w:rPr>
          <w:rFonts w:ascii="Times New Roman" w:hAnsi="Times New Roman" w:cs="Times New Roman"/>
          <w:sz w:val="24"/>
          <w:szCs w:val="24"/>
        </w:rPr>
        <w:t xml:space="preserve">.  </w:t>
      </w:r>
      <w:r w:rsidRPr="00A8446E">
        <w:rPr>
          <w:rFonts w:ascii="Times New Roman" w:hAnsi="Times New Roman" w:cs="Times New Roman"/>
          <w:sz w:val="24"/>
          <w:szCs w:val="24"/>
        </w:rPr>
        <w:t>In practice, it is a critical tool for the United Nations human rights system, diverse regional human rights mechanisms and human rights defenders around the world. “Cultural diversity is still wrongly understood as being in opposition to universality, including by some Governments and other actors who misuse it as an excuse for violations of the very universal human rights within which its enjoyment is explicitly embedded, and by others who oppose the concept altogether, and</w:t>
      </w:r>
      <w:r w:rsidR="00F43089" w:rsidRPr="00A8446E">
        <w:rPr>
          <w:rFonts w:ascii="Times New Roman" w:hAnsi="Times New Roman" w:cs="Times New Roman"/>
          <w:sz w:val="24"/>
          <w:szCs w:val="24"/>
        </w:rPr>
        <w:t>… [the Special Rapporteur]</w:t>
      </w:r>
      <w:r w:rsidRPr="00A8446E">
        <w:rPr>
          <w:rFonts w:ascii="Times New Roman" w:hAnsi="Times New Roman" w:cs="Times New Roman"/>
          <w:sz w:val="24"/>
          <w:szCs w:val="24"/>
        </w:rPr>
        <w:t xml:space="preserve"> is unequivocally committed to the principle of the universality of human rights and to cultural diversity and to recognizing and reinforcing the organic relationship between these two commitments.”</w:t>
      </w:r>
      <w:r w:rsidRPr="00A8446E">
        <w:rPr>
          <w:rStyle w:val="FootnoteReference"/>
          <w:rFonts w:ascii="Times New Roman" w:hAnsi="Times New Roman" w:cs="Times New Roman"/>
          <w:sz w:val="24"/>
          <w:szCs w:val="24"/>
        </w:rPr>
        <w:footnoteReference w:id="21"/>
      </w:r>
      <w:r w:rsidRPr="00A8446E">
        <w:rPr>
          <w:rFonts w:ascii="Times New Roman" w:hAnsi="Times New Roman" w:cs="Times New Roman"/>
          <w:sz w:val="24"/>
          <w:szCs w:val="24"/>
        </w:rPr>
        <w:t xml:space="preserve"> </w:t>
      </w:r>
    </w:p>
    <w:p w14:paraId="0E364B7F" w14:textId="77777777" w:rsidR="00C30403" w:rsidRPr="00A8446E" w:rsidRDefault="00C30403" w:rsidP="00C30403">
      <w:pPr>
        <w:pStyle w:val="ListParagraph"/>
        <w:spacing w:line="240" w:lineRule="auto"/>
        <w:ind w:left="1080"/>
        <w:rPr>
          <w:rFonts w:ascii="Times New Roman" w:hAnsi="Times New Roman" w:cs="Times New Roman"/>
          <w:sz w:val="24"/>
          <w:szCs w:val="24"/>
        </w:rPr>
      </w:pPr>
    </w:p>
    <w:p w14:paraId="6D697C40" w14:textId="04A5744B" w:rsidR="001A1B89" w:rsidRPr="00A8446E" w:rsidRDefault="00C30403" w:rsidP="001A1B8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C</w:t>
      </w:r>
      <w:r w:rsidR="001A1B89" w:rsidRPr="00A8446E">
        <w:rPr>
          <w:rFonts w:ascii="Times New Roman" w:hAnsi="Times New Roman" w:cs="Times New Roman"/>
          <w:sz w:val="24"/>
          <w:szCs w:val="24"/>
        </w:rPr>
        <w:t>ultural rights are not a justification for violations of human rights or attacks on universality, nor are they tantamount to cultural relativism</w:t>
      </w:r>
      <w:r w:rsidRPr="00A8446E">
        <w:rPr>
          <w:rFonts w:ascii="Times New Roman" w:hAnsi="Times New Roman" w:cs="Times New Roman"/>
          <w:sz w:val="24"/>
          <w:szCs w:val="24"/>
        </w:rPr>
        <w:t>.  R</w:t>
      </w:r>
      <w:r w:rsidR="001A1B89" w:rsidRPr="00A8446E">
        <w:rPr>
          <w:rFonts w:ascii="Times New Roman" w:hAnsi="Times New Roman" w:cs="Times New Roman"/>
          <w:sz w:val="24"/>
          <w:szCs w:val="24"/>
        </w:rPr>
        <w:t xml:space="preserve">espect for cultural rights and cultural diversity, without discrimination and in accordance with international </w:t>
      </w:r>
      <w:r w:rsidR="001A1B89" w:rsidRPr="00A8446E">
        <w:rPr>
          <w:rFonts w:ascii="Times New Roman" w:hAnsi="Times New Roman" w:cs="Times New Roman"/>
          <w:sz w:val="24"/>
          <w:szCs w:val="24"/>
        </w:rPr>
        <w:lastRenderedPageBreak/>
        <w:t>standards and as interpreted by human rights bodies, is a core aspect of implementing universality. These are, in fact, conjoined tasks.</w:t>
      </w:r>
      <w:r w:rsidR="001A1B89" w:rsidRPr="00A8446E">
        <w:rPr>
          <w:rStyle w:val="FootnoteReference"/>
          <w:rFonts w:ascii="Times New Roman" w:hAnsi="Times New Roman" w:cs="Times New Roman"/>
          <w:sz w:val="24"/>
          <w:szCs w:val="24"/>
        </w:rPr>
        <w:footnoteReference w:id="22"/>
      </w:r>
      <w:r w:rsidR="001A1B89" w:rsidRPr="00A8446E">
        <w:rPr>
          <w:rFonts w:ascii="Times New Roman" w:hAnsi="Times New Roman" w:cs="Times New Roman"/>
          <w:sz w:val="24"/>
          <w:szCs w:val="24"/>
        </w:rPr>
        <w:t xml:space="preserve"> </w:t>
      </w:r>
    </w:p>
    <w:p w14:paraId="02D090FD" w14:textId="77777777" w:rsidR="001A1B89" w:rsidRPr="00A8446E" w:rsidRDefault="001A1B89" w:rsidP="001A1B89">
      <w:pPr>
        <w:pStyle w:val="ListParagraph"/>
        <w:rPr>
          <w:rFonts w:ascii="Times New Roman" w:hAnsi="Times New Roman" w:cs="Times New Roman"/>
          <w:sz w:val="24"/>
          <w:szCs w:val="24"/>
        </w:rPr>
      </w:pPr>
    </w:p>
    <w:p w14:paraId="7BE0F280" w14:textId="0A3418A8" w:rsidR="00633452" w:rsidRPr="00A8446E" w:rsidRDefault="001A1B89" w:rsidP="00633452">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 xml:space="preserve">States have reiterated their commitment to universality in, inter alia, standards such as the Vienna Declaration and </w:t>
      </w:r>
      <w:proofErr w:type="spellStart"/>
      <w:r w:rsidRPr="00A8446E">
        <w:rPr>
          <w:rFonts w:ascii="Times New Roman" w:hAnsi="Times New Roman" w:cs="Times New Roman"/>
          <w:sz w:val="24"/>
          <w:szCs w:val="24"/>
        </w:rPr>
        <w:t>Programme</w:t>
      </w:r>
      <w:proofErr w:type="spellEnd"/>
      <w:r w:rsidRPr="00A8446E">
        <w:rPr>
          <w:rFonts w:ascii="Times New Roman" w:hAnsi="Times New Roman" w:cs="Times New Roman"/>
          <w:sz w:val="24"/>
          <w:szCs w:val="24"/>
        </w:rPr>
        <w:t xml:space="preserve"> of Action of 1993, in which they reaffirmed that “</w:t>
      </w:r>
      <w:r w:rsidR="000A117D">
        <w:rPr>
          <w:rFonts w:ascii="Times New Roman" w:hAnsi="Times New Roman" w:cs="Times New Roman"/>
          <w:sz w:val="24"/>
          <w:szCs w:val="24"/>
        </w:rPr>
        <w:t>[</w:t>
      </w:r>
      <w:r w:rsidRPr="00A8446E">
        <w:rPr>
          <w:rFonts w:ascii="Times New Roman" w:hAnsi="Times New Roman" w:cs="Times New Roman"/>
          <w:sz w:val="24"/>
          <w:szCs w:val="24"/>
        </w:rPr>
        <w:t>a</w:t>
      </w:r>
      <w:r w:rsidR="000A117D">
        <w:rPr>
          <w:rFonts w:ascii="Times New Roman" w:hAnsi="Times New Roman" w:cs="Times New Roman"/>
          <w:sz w:val="24"/>
          <w:szCs w:val="24"/>
        </w:rPr>
        <w:t>]</w:t>
      </w:r>
      <w:proofErr w:type="spellStart"/>
      <w:r w:rsidRPr="00A8446E">
        <w:rPr>
          <w:rFonts w:ascii="Times New Roman" w:hAnsi="Times New Roman" w:cs="Times New Roman"/>
          <w:sz w:val="24"/>
          <w:szCs w:val="24"/>
        </w:rPr>
        <w:t>ll</w:t>
      </w:r>
      <w:proofErr w:type="spellEnd"/>
      <w:r w:rsidRPr="00A8446E">
        <w:rPr>
          <w:rFonts w:ascii="Times New Roman" w:hAnsi="Times New Roman" w:cs="Times New Roman"/>
          <w:sz w:val="24"/>
          <w:szCs w:val="24"/>
        </w:rPr>
        <w:t xml:space="preserve"> human rights are universal, indivisible, and interdependent and interrelated … While the significance of national and regional particularities and various historical, cultural and religious backgrounds must be borne it mind, it is the duty of States, regardless of their political, economic and cultural systems, to promote and protect all human rights</w:t>
      </w:r>
      <w:r w:rsidR="000A117D">
        <w:rPr>
          <w:rFonts w:ascii="Times New Roman" w:hAnsi="Times New Roman" w:cs="Times New Roman"/>
          <w:sz w:val="24"/>
          <w:szCs w:val="24"/>
        </w:rPr>
        <w:t xml:space="preserve"> and fundamental freedoms</w:t>
      </w:r>
      <w:r w:rsidRPr="00A8446E">
        <w:rPr>
          <w:rFonts w:ascii="Times New Roman" w:hAnsi="Times New Roman" w:cs="Times New Roman"/>
          <w:sz w:val="24"/>
          <w:szCs w:val="24"/>
        </w:rPr>
        <w:t>”.</w:t>
      </w:r>
      <w:r w:rsidRPr="00A8446E">
        <w:rPr>
          <w:rStyle w:val="FootnoteReference"/>
          <w:rFonts w:ascii="Times New Roman" w:hAnsi="Times New Roman" w:cs="Times New Roman"/>
          <w:sz w:val="24"/>
          <w:szCs w:val="24"/>
        </w:rPr>
        <w:footnoteReference w:id="23"/>
      </w:r>
      <w:r w:rsidRPr="00A8446E">
        <w:rPr>
          <w:rFonts w:ascii="Times New Roman" w:hAnsi="Times New Roman" w:cs="Times New Roman"/>
          <w:sz w:val="24"/>
          <w:szCs w:val="24"/>
        </w:rPr>
        <w:t xml:space="preserve"> </w:t>
      </w:r>
    </w:p>
    <w:p w14:paraId="3F7EAAD8" w14:textId="77777777" w:rsidR="00633452" w:rsidRPr="00A8446E" w:rsidRDefault="00633452" w:rsidP="00633452">
      <w:pPr>
        <w:pStyle w:val="ListParagraph"/>
        <w:rPr>
          <w:rFonts w:ascii="Times New Roman" w:hAnsi="Times New Roman" w:cs="Times New Roman"/>
          <w:sz w:val="24"/>
          <w:szCs w:val="24"/>
        </w:rPr>
      </w:pPr>
    </w:p>
    <w:p w14:paraId="653F1111" w14:textId="224C8BEE" w:rsidR="00633452" w:rsidRDefault="00633452" w:rsidP="00633452">
      <w:pPr>
        <w:pStyle w:val="ListParagraph"/>
        <w:spacing w:line="240" w:lineRule="auto"/>
        <w:ind w:left="1080"/>
        <w:rPr>
          <w:rFonts w:ascii="Times New Roman" w:hAnsi="Times New Roman" w:cs="Times New Roman"/>
          <w:sz w:val="24"/>
          <w:szCs w:val="24"/>
        </w:rPr>
      </w:pPr>
    </w:p>
    <w:p w14:paraId="6DA0EB78" w14:textId="77777777" w:rsidR="00556EBD" w:rsidRPr="00A8446E" w:rsidRDefault="00556EBD" w:rsidP="00633452">
      <w:pPr>
        <w:pStyle w:val="ListParagraph"/>
        <w:spacing w:line="240" w:lineRule="auto"/>
        <w:ind w:left="1080"/>
        <w:rPr>
          <w:rFonts w:ascii="Times New Roman" w:hAnsi="Times New Roman" w:cs="Times New Roman"/>
          <w:sz w:val="24"/>
          <w:szCs w:val="24"/>
        </w:rPr>
      </w:pPr>
    </w:p>
    <w:p w14:paraId="2ECF64B3" w14:textId="77777777" w:rsidR="00633452" w:rsidRPr="00A8446E" w:rsidRDefault="00633452" w:rsidP="00633452">
      <w:pPr>
        <w:spacing w:line="240" w:lineRule="auto"/>
        <w:rPr>
          <w:rFonts w:ascii="Times New Roman" w:hAnsi="Times New Roman" w:cs="Times New Roman"/>
          <w:b/>
          <w:bCs/>
          <w:sz w:val="24"/>
          <w:szCs w:val="24"/>
        </w:rPr>
      </w:pPr>
      <w:r w:rsidRPr="00A8446E">
        <w:rPr>
          <w:rFonts w:ascii="Times New Roman" w:hAnsi="Times New Roman" w:cs="Times New Roman"/>
          <w:sz w:val="24"/>
          <w:szCs w:val="24"/>
        </w:rPr>
        <w:t xml:space="preserve">D. </w:t>
      </w:r>
      <w:r w:rsidRPr="00A8446E">
        <w:rPr>
          <w:rFonts w:ascii="Times New Roman" w:hAnsi="Times New Roman" w:cs="Times New Roman"/>
          <w:b/>
          <w:bCs/>
          <w:sz w:val="24"/>
          <w:szCs w:val="24"/>
        </w:rPr>
        <w:t>Intellectual Property and Cultural Rights</w:t>
      </w:r>
    </w:p>
    <w:p w14:paraId="67D80FFF" w14:textId="7794F06E" w:rsidR="00BF20F4" w:rsidRDefault="00633452" w:rsidP="00B63587">
      <w:pPr>
        <w:pStyle w:val="NormalWeb"/>
        <w:numPr>
          <w:ilvl w:val="0"/>
          <w:numId w:val="1"/>
        </w:numPr>
      </w:pPr>
      <w:r w:rsidRPr="00A8446E">
        <w:t>The first Special Rapporteur in the field of cultural rights surveyed the intersections of cultural rights and intellectual property in a series of 2015 report</w:t>
      </w:r>
      <w:r w:rsidR="00B63587">
        <w:t>s</w:t>
      </w:r>
      <w:r w:rsidRPr="00A8446E">
        <w:t xml:space="preserve">.  In her report on related aspects of copyright, she </w:t>
      </w:r>
      <w:r w:rsidR="007C2FB7" w:rsidRPr="00A8446E">
        <w:t xml:space="preserve">noted that, “[t]he human rights perspective calls for recognition of the social and human values inherent in copyright law and a heightened regard for fundamental rights and the needs of marginalized groups. The emphasis on active participation in cultural and scientific life, rather than simply the ability to access cultural and scientific works, recognizes the dual importance of accessing the knowledge and expressive creations of others and of self-expression within the broader cultural context.” (para. 60). She noted that “Copyright exceptions and limitations — defining specific uses that do not require a </w:t>
      </w:r>
      <w:proofErr w:type="spellStart"/>
      <w:r w:rsidR="007C2FB7" w:rsidRPr="00A8446E">
        <w:t>licence</w:t>
      </w:r>
      <w:proofErr w:type="spellEnd"/>
      <w:r w:rsidR="007C2FB7" w:rsidRPr="00A8446E">
        <w:t xml:space="preserve"> from the copyright holder — constitute a vital part of the balance that copyright law must strike between the interests of rights-holders in exclusive control and the interests of others in cultural participation.”</w:t>
      </w:r>
      <w:r w:rsidR="001978A1" w:rsidRPr="00A8446E">
        <w:t xml:space="preserve"> (para. 61)</w:t>
      </w:r>
      <w:r w:rsidR="007C2FB7" w:rsidRPr="00A8446E">
        <w:t xml:space="preserve">  In particular, she stressed </w:t>
      </w:r>
      <w:r w:rsidR="00BF20F4">
        <w:t xml:space="preserve">certain categories of such uses, including </w:t>
      </w:r>
      <w:r w:rsidR="007C2FB7" w:rsidRPr="00A8446E">
        <w:t>the importance of assuring artistic livelihoods, empowering new creativity, expanding educational opportunities and promoting non-commercial forms of culture (paras. 62-65).</w:t>
      </w:r>
      <w:r w:rsidR="001978A1" w:rsidRPr="00A8446E">
        <w:t xml:space="preserve">  In her view, </w:t>
      </w:r>
      <w:r w:rsidR="007C2FB7" w:rsidRPr="00A8446E">
        <w:t>“A human rights perspective also requires that the potential of copyright exceptions and limitations to promote inclusion and access to cultural works, especially for disadvantaged groups, be fully explored.</w:t>
      </w:r>
      <w:r w:rsidR="001978A1" w:rsidRPr="00A8446E">
        <w:t xml:space="preserve">” (para. 66)  </w:t>
      </w:r>
    </w:p>
    <w:p w14:paraId="27D8A559" w14:textId="77777777" w:rsidR="00B63587" w:rsidRPr="00A8446E" w:rsidRDefault="00B63587" w:rsidP="00B63587">
      <w:pPr>
        <w:pStyle w:val="NormalWeb"/>
        <w:ind w:left="1080"/>
      </w:pPr>
    </w:p>
    <w:p w14:paraId="78505203" w14:textId="5EDB7016" w:rsidR="001978A1" w:rsidRPr="00A8446E" w:rsidRDefault="001978A1" w:rsidP="001978A1">
      <w:pPr>
        <w:pStyle w:val="NormalWeb"/>
        <w:numPr>
          <w:ilvl w:val="0"/>
          <w:numId w:val="1"/>
        </w:numPr>
      </w:pPr>
      <w:r w:rsidRPr="00A8446E">
        <w:t xml:space="preserve">The first Special Rapporteur in the field of cultural rights recommended that “states should consider that exceptions and limitations that promote creative freedom and cultural participation are consistent with the right to protection of authorship. </w:t>
      </w:r>
      <w:r w:rsidRPr="00A8446E">
        <w:lastRenderedPageBreak/>
        <w:t>Protection of authorship does not imply perfect authorial control over creative works.” (para. 105)  Moreover, she urged that “[s]</w:t>
      </w:r>
      <w:proofErr w:type="spellStart"/>
      <w:r w:rsidRPr="00A8446E">
        <w:t>tates</w:t>
      </w:r>
      <w:proofErr w:type="spellEnd"/>
      <w:r w:rsidRPr="00A8446E">
        <w:t xml:space="preserve"> should enable allowance for uncompensated use of copyrighted works, in particular in contexts of income disparity, non-profit efforts, or undercapitalized artists, where a requirement of compensation might stifle efforts to create new works or reach new audiences.” (para. 106)</w:t>
      </w:r>
    </w:p>
    <w:p w14:paraId="2367EF9C" w14:textId="77777777" w:rsidR="001978A1" w:rsidRPr="00A8446E" w:rsidRDefault="001978A1" w:rsidP="001978A1">
      <w:pPr>
        <w:pStyle w:val="NormalWeb"/>
      </w:pPr>
    </w:p>
    <w:p w14:paraId="288BB389" w14:textId="4C495E9A" w:rsidR="007C2FB7" w:rsidRPr="00A8446E" w:rsidRDefault="007C2FB7" w:rsidP="001978A1">
      <w:pPr>
        <w:pStyle w:val="NormalWeb"/>
        <w:numPr>
          <w:ilvl w:val="0"/>
          <w:numId w:val="1"/>
        </w:numPr>
      </w:pPr>
      <w:r w:rsidRPr="00A8446E">
        <w:t>With regard to the relevant cultural rights of indigenous peoples, she assessed that “[s]</w:t>
      </w:r>
      <w:proofErr w:type="spellStart"/>
      <w:r w:rsidRPr="00A8446E">
        <w:t>ome</w:t>
      </w:r>
      <w:proofErr w:type="spellEnd"/>
      <w:r w:rsidRPr="00A8446E">
        <w:t xml:space="preserve"> indigenous peoples consider it vital to keep certain cultural expressions and forms of knowledge from public disclosure, to be used only by persons and in ways appropriate to their customary laws and practices, and never commercially exploited. Some indigenous peoples desire to benefit from the commercial potential of licensing products based on their traditional knowledge and cultural expressions.” (para. 55) She also concluded that “</w:t>
      </w:r>
      <w:r w:rsidR="000A117D">
        <w:t>[i]</w:t>
      </w:r>
      <w:r w:rsidRPr="00A8446E">
        <w:t>ntellectual property regimes have historically failed to take into account the unique concerns of indigenous peoples.” (para. 56)  In this regard, she stressed the importance of “</w:t>
      </w:r>
      <w:proofErr w:type="spellStart"/>
      <w:r w:rsidRPr="00A8446E">
        <w:t>provid</w:t>
      </w:r>
      <w:proofErr w:type="spellEnd"/>
      <w:r w:rsidRPr="00A8446E">
        <w:t>[</w:t>
      </w:r>
      <w:proofErr w:type="spellStart"/>
      <w:r w:rsidRPr="00A8446E">
        <w:t>ing</w:t>
      </w:r>
      <w:proofErr w:type="spellEnd"/>
      <w:r w:rsidRPr="00A8446E">
        <w:t>] protection for the collective holders of traditional cultural expressions.”</w:t>
      </w:r>
      <w:r w:rsidRPr="00A8446E">
        <w:rPr>
          <w:rStyle w:val="FootnoteReference"/>
        </w:rPr>
        <w:footnoteReference w:id="24"/>
      </w:r>
      <w:r w:rsidRPr="00A8446E">
        <w:t xml:space="preserve">  </w:t>
      </w:r>
    </w:p>
    <w:p w14:paraId="1B73AFDD" w14:textId="77777777" w:rsidR="001978A1" w:rsidRPr="00A8446E" w:rsidRDefault="001978A1" w:rsidP="001978A1">
      <w:pPr>
        <w:pStyle w:val="NormalWeb"/>
      </w:pPr>
    </w:p>
    <w:p w14:paraId="3DD70056" w14:textId="34B6C8B5" w:rsidR="00633452" w:rsidRPr="00A8446E" w:rsidRDefault="00F43089" w:rsidP="00633452">
      <w:pPr>
        <w:pStyle w:val="NormalWeb"/>
        <w:numPr>
          <w:ilvl w:val="0"/>
          <w:numId w:val="1"/>
        </w:numPr>
        <w:rPr>
          <w:rStyle w:val="cf01"/>
          <w:rFonts w:ascii="Times New Roman" w:hAnsi="Times New Roman" w:cs="Times New Roman"/>
          <w:sz w:val="24"/>
          <w:szCs w:val="24"/>
        </w:rPr>
      </w:pPr>
      <w:r w:rsidRPr="00A8446E">
        <w:t>In her 2015 report on the implications of patent policy for the human right to science and cultural rights</w:t>
      </w:r>
      <w:r w:rsidR="00633452" w:rsidRPr="00A8446E">
        <w:rPr>
          <w:rStyle w:val="FootnoteReference"/>
        </w:rPr>
        <w:footnoteReference w:id="25"/>
      </w:r>
      <w:r w:rsidRPr="00A8446E">
        <w:t>, the first Special Rapporteur in the field of cultural rights</w:t>
      </w:r>
      <w:r w:rsidR="00633452" w:rsidRPr="00A8446E">
        <w:t xml:space="preserve"> also</w:t>
      </w:r>
      <w:r w:rsidRPr="00A8446E">
        <w:t xml:space="preserve"> made many relevant </w:t>
      </w:r>
      <w:r w:rsidR="00633452" w:rsidRPr="00A8446E">
        <w:t>comments</w:t>
      </w:r>
      <w:r w:rsidRPr="00A8446E">
        <w:t>.</w:t>
      </w:r>
      <w:r w:rsidR="00633452" w:rsidRPr="00A8446E">
        <w:t xml:space="preserve"> </w:t>
      </w:r>
      <w:r w:rsidR="00633452" w:rsidRPr="00A8446E">
        <w:rPr>
          <w:rStyle w:val="cf01"/>
          <w:rFonts w:ascii="Times New Roman" w:hAnsi="Times New Roman" w:cs="Times New Roman"/>
          <w:sz w:val="24"/>
          <w:szCs w:val="24"/>
        </w:rPr>
        <w:t>Protection</w:t>
      </w:r>
      <w:r w:rsidR="001978A1" w:rsidRPr="00A8446E">
        <w:rPr>
          <w:rStyle w:val="cf01"/>
          <w:rFonts w:ascii="Times New Roman" w:hAnsi="Times New Roman" w:cs="Times New Roman"/>
          <w:sz w:val="24"/>
          <w:szCs w:val="24"/>
        </w:rPr>
        <w:t xml:space="preserve"> “</w:t>
      </w:r>
      <w:r w:rsidR="00633452" w:rsidRPr="00A8446E">
        <w:rPr>
          <w:rStyle w:val="cf01"/>
          <w:rFonts w:ascii="Times New Roman" w:hAnsi="Times New Roman" w:cs="Times New Roman"/>
          <w:sz w:val="24"/>
          <w:szCs w:val="24"/>
        </w:rPr>
        <w:t xml:space="preserve">of traditional knowledge or traditional cultural expressions in the intellectual property sense means ensuring that the intellectual innovation and creativity embodied in traditional knowledge and traditional cultural expressions are not wrongly used. It may include protection against misuse or misappropriation, such as copying, adaptation or use by unauthorized third parties, equitable compensation schemes and protection against unfair competition. Requiring inventors to include and make public relevant information about important inputs obtained from communities can be used as a protective mechanism. Such disclosure can serve as a check against misappropriation, and help to determine the scope of benefit sharing due to indigenous groups.” (para. 41, footnotes omitted).  She recommended that “States should (1) ensure availability of legal measures and remedies to ensure the control by indigenous peoples and local communities over their biocultural heritage; (2) prohibit unethical and/or unlawful appropriation of the heritage of indigenous peoples and local communities through patents; [and] (3) ensure appropriate credit and compensation…” (para. 114)  She also stressed that “Enhanced disclosure requirements in intellectual property legislation, such as sources, should be adopted to protect the right of attribution of </w:t>
      </w:r>
      <w:r w:rsidR="00633452" w:rsidRPr="00A8446E">
        <w:rPr>
          <w:rStyle w:val="cf01"/>
          <w:rFonts w:ascii="Times New Roman" w:hAnsi="Times New Roman" w:cs="Times New Roman"/>
          <w:sz w:val="24"/>
          <w:szCs w:val="24"/>
        </w:rPr>
        <w:lastRenderedPageBreak/>
        <w:t xml:space="preserve">communities whose traditional knowledge contributed to a patent application.” (para. 115) </w:t>
      </w:r>
    </w:p>
    <w:p w14:paraId="633EAA95" w14:textId="3382BC2A" w:rsidR="009816A3" w:rsidRPr="00A8446E" w:rsidRDefault="00A8446E" w:rsidP="009816A3">
      <w:pPr>
        <w:pStyle w:val="NormalWeb"/>
        <w:numPr>
          <w:ilvl w:val="0"/>
          <w:numId w:val="3"/>
        </w:numPr>
        <w:rPr>
          <w:rStyle w:val="cf01"/>
          <w:rFonts w:ascii="Times New Roman" w:hAnsi="Times New Roman" w:cs="Times New Roman"/>
          <w:b/>
          <w:bCs/>
          <w:sz w:val="24"/>
          <w:szCs w:val="24"/>
        </w:rPr>
      </w:pPr>
      <w:r w:rsidRPr="00A8446E">
        <w:rPr>
          <w:rStyle w:val="cf01"/>
          <w:rFonts w:ascii="Times New Roman" w:hAnsi="Times New Roman" w:cs="Times New Roman"/>
          <w:b/>
          <w:bCs/>
          <w:sz w:val="24"/>
          <w:szCs w:val="24"/>
        </w:rPr>
        <w:t>Interpretation of the Relevant International Legal Framework</w:t>
      </w:r>
    </w:p>
    <w:p w14:paraId="02B9CD3D" w14:textId="26D52E28" w:rsidR="00A8446E" w:rsidRPr="00A8446E" w:rsidRDefault="009816A3" w:rsidP="00A8446E">
      <w:pPr>
        <w:pStyle w:val="NormalWeb"/>
        <w:numPr>
          <w:ilvl w:val="0"/>
          <w:numId w:val="1"/>
        </w:numPr>
      </w:pPr>
      <w:r w:rsidRPr="00A8446E">
        <w:rPr>
          <w:rStyle w:val="cf01"/>
          <w:rFonts w:ascii="Times New Roman" w:hAnsi="Times New Roman" w:cs="Times New Roman"/>
          <w:sz w:val="24"/>
          <w:szCs w:val="24"/>
        </w:rPr>
        <w:t>The current Special Rapporteur in the field of cultural rights notes that</w:t>
      </w:r>
      <w:r w:rsidR="00B63587">
        <w:rPr>
          <w:rStyle w:val="cf01"/>
          <w:rFonts w:ascii="Times New Roman" w:hAnsi="Times New Roman" w:cs="Times New Roman"/>
          <w:sz w:val="24"/>
          <w:szCs w:val="24"/>
        </w:rPr>
        <w:t xml:space="preserve"> in the areas under discussion in her current report</w:t>
      </w:r>
      <w:r w:rsidRPr="00A8446E">
        <w:rPr>
          <w:rStyle w:val="cf01"/>
          <w:rFonts w:ascii="Times New Roman" w:hAnsi="Times New Roman" w:cs="Times New Roman"/>
          <w:sz w:val="24"/>
          <w:szCs w:val="24"/>
        </w:rPr>
        <w:t xml:space="preserve"> there may be</w:t>
      </w:r>
      <w:r w:rsidR="00A8446E" w:rsidRPr="00A8446E">
        <w:rPr>
          <w:rStyle w:val="cf01"/>
          <w:rFonts w:ascii="Times New Roman" w:hAnsi="Times New Roman" w:cs="Times New Roman"/>
          <w:sz w:val="24"/>
          <w:szCs w:val="24"/>
        </w:rPr>
        <w:t xml:space="preserve"> or seem to be</w:t>
      </w:r>
      <w:r w:rsidRPr="00A8446E">
        <w:rPr>
          <w:rStyle w:val="cf01"/>
          <w:rFonts w:ascii="Times New Roman" w:hAnsi="Times New Roman" w:cs="Times New Roman"/>
          <w:sz w:val="24"/>
          <w:szCs w:val="24"/>
        </w:rPr>
        <w:t xml:space="preserve"> some tensions between different aspects of relevant</w:t>
      </w:r>
      <w:r w:rsidR="00DF3024">
        <w:rPr>
          <w:rStyle w:val="cf01"/>
          <w:rFonts w:ascii="Times New Roman" w:hAnsi="Times New Roman" w:cs="Times New Roman"/>
          <w:sz w:val="24"/>
          <w:szCs w:val="24"/>
        </w:rPr>
        <w:t xml:space="preserve"> international</w:t>
      </w:r>
      <w:r w:rsidRPr="00A8446E">
        <w:rPr>
          <w:rStyle w:val="cf01"/>
          <w:rFonts w:ascii="Times New Roman" w:hAnsi="Times New Roman" w:cs="Times New Roman"/>
          <w:sz w:val="24"/>
          <w:szCs w:val="24"/>
        </w:rPr>
        <w:t xml:space="preserve"> standards, such as between those guaranteeing the freedom of artistic expression of everyone, and providing indigenous peoples with control over their cultural heritage.  </w:t>
      </w:r>
      <w:r w:rsidR="00A8446E" w:rsidRPr="00A8446E">
        <w:rPr>
          <w:rStyle w:val="cf01"/>
          <w:rFonts w:ascii="Times New Roman" w:hAnsi="Times New Roman" w:cs="Times New Roman"/>
          <w:sz w:val="24"/>
          <w:szCs w:val="24"/>
        </w:rPr>
        <w:t>All t</w:t>
      </w:r>
      <w:r w:rsidRPr="00A8446E">
        <w:rPr>
          <w:rStyle w:val="cf01"/>
          <w:rFonts w:ascii="Times New Roman" w:hAnsi="Times New Roman" w:cs="Times New Roman"/>
          <w:sz w:val="24"/>
          <w:szCs w:val="24"/>
        </w:rPr>
        <w:t>hese tensions</w:t>
      </w:r>
      <w:r w:rsidR="00A8446E" w:rsidRPr="00A8446E">
        <w:rPr>
          <w:rStyle w:val="cf01"/>
          <w:rFonts w:ascii="Times New Roman" w:hAnsi="Times New Roman" w:cs="Times New Roman"/>
          <w:sz w:val="24"/>
          <w:szCs w:val="24"/>
        </w:rPr>
        <w:t xml:space="preserve"> and potential conflicts</w:t>
      </w:r>
      <w:r w:rsidRPr="00A8446E">
        <w:rPr>
          <w:rStyle w:val="cf01"/>
          <w:rFonts w:ascii="Times New Roman" w:hAnsi="Times New Roman" w:cs="Times New Roman"/>
          <w:sz w:val="24"/>
          <w:szCs w:val="24"/>
        </w:rPr>
        <w:t xml:space="preserve"> merit further consideration. In any case, the interrelationship of </w:t>
      </w:r>
      <w:r w:rsidR="00A8446E" w:rsidRPr="00A8446E">
        <w:rPr>
          <w:rStyle w:val="cf01"/>
          <w:rFonts w:ascii="Times New Roman" w:hAnsi="Times New Roman" w:cs="Times New Roman"/>
          <w:sz w:val="24"/>
          <w:szCs w:val="24"/>
        </w:rPr>
        <w:t>all the relevant</w:t>
      </w:r>
      <w:r w:rsidRPr="00A8446E">
        <w:rPr>
          <w:rStyle w:val="cf01"/>
          <w:rFonts w:ascii="Times New Roman" w:hAnsi="Times New Roman" w:cs="Times New Roman"/>
          <w:sz w:val="24"/>
          <w:szCs w:val="24"/>
        </w:rPr>
        <w:t xml:space="preserve"> standards must be interpreted in light of</w:t>
      </w:r>
      <w:r w:rsidR="00A8446E" w:rsidRPr="00A8446E">
        <w:rPr>
          <w:rStyle w:val="cf01"/>
          <w:rFonts w:ascii="Times New Roman" w:hAnsi="Times New Roman" w:cs="Times New Roman"/>
          <w:sz w:val="24"/>
          <w:szCs w:val="24"/>
        </w:rPr>
        <w:t xml:space="preserve"> international law in general, and</w:t>
      </w:r>
      <w:r w:rsidRPr="00A8446E">
        <w:rPr>
          <w:rStyle w:val="cf01"/>
          <w:rFonts w:ascii="Times New Roman" w:hAnsi="Times New Roman" w:cs="Times New Roman"/>
          <w:sz w:val="24"/>
          <w:szCs w:val="24"/>
        </w:rPr>
        <w:t xml:space="preserve"> international human rights law, including the standards on limitation of cultural rights,</w:t>
      </w:r>
      <w:r w:rsidR="00A8446E" w:rsidRPr="00A8446E">
        <w:rPr>
          <w:rStyle w:val="cf01"/>
          <w:rFonts w:ascii="Times New Roman" w:hAnsi="Times New Roman" w:cs="Times New Roman"/>
          <w:sz w:val="24"/>
          <w:szCs w:val="24"/>
        </w:rPr>
        <w:t xml:space="preserve"> in particular,</w:t>
      </w:r>
      <w:r w:rsidRPr="00A8446E">
        <w:rPr>
          <w:rStyle w:val="cf01"/>
          <w:rFonts w:ascii="Times New Roman" w:hAnsi="Times New Roman" w:cs="Times New Roman"/>
          <w:sz w:val="24"/>
          <w:szCs w:val="24"/>
        </w:rPr>
        <w:t xml:space="preserve"> and</w:t>
      </w:r>
      <w:r w:rsidR="00A8446E" w:rsidRPr="00A8446E">
        <w:rPr>
          <w:rStyle w:val="cf01"/>
          <w:rFonts w:ascii="Times New Roman" w:hAnsi="Times New Roman" w:cs="Times New Roman"/>
          <w:sz w:val="24"/>
          <w:szCs w:val="24"/>
        </w:rPr>
        <w:t xml:space="preserve"> bearing in mind</w:t>
      </w:r>
      <w:r w:rsidRPr="00A8446E">
        <w:rPr>
          <w:rStyle w:val="cf01"/>
          <w:rFonts w:ascii="Times New Roman" w:hAnsi="Times New Roman" w:cs="Times New Roman"/>
          <w:sz w:val="24"/>
          <w:szCs w:val="24"/>
        </w:rPr>
        <w:t xml:space="preserve"> the conjoined commitments to universality and to cultural diversity.</w:t>
      </w:r>
      <w:r w:rsidR="00BF20F4">
        <w:rPr>
          <w:rStyle w:val="cf01"/>
          <w:rFonts w:ascii="Times New Roman" w:hAnsi="Times New Roman" w:cs="Times New Roman"/>
          <w:sz w:val="24"/>
          <w:szCs w:val="24"/>
        </w:rPr>
        <w:t xml:space="preserve">  As the first Special Rapporteur in the field of cultural rights underscored in her report on freedom of artistic expression</w:t>
      </w:r>
      <w:r w:rsidR="00DF3024">
        <w:rPr>
          <w:rStyle w:val="cf01"/>
          <w:rFonts w:ascii="Times New Roman" w:hAnsi="Times New Roman" w:cs="Times New Roman"/>
          <w:sz w:val="24"/>
          <w:szCs w:val="24"/>
        </w:rPr>
        <w:t>,</w:t>
      </w:r>
      <w:r w:rsidR="00BF20F4">
        <w:rPr>
          <w:rStyle w:val="cf01"/>
          <w:rFonts w:ascii="Times New Roman" w:hAnsi="Times New Roman" w:cs="Times New Roman"/>
          <w:sz w:val="24"/>
          <w:szCs w:val="24"/>
        </w:rPr>
        <w:t xml:space="preserve"> any claims to limit artistic freedom</w:t>
      </w:r>
      <w:r w:rsidR="003569DC">
        <w:rPr>
          <w:rStyle w:val="cf01"/>
          <w:rFonts w:ascii="Times New Roman" w:hAnsi="Times New Roman" w:cs="Times New Roman"/>
          <w:sz w:val="24"/>
          <w:szCs w:val="24"/>
        </w:rPr>
        <w:t xml:space="preserve">, such as to protect the rights of others, including indigenous peoples, </w:t>
      </w:r>
      <w:r w:rsidR="00BF20F4">
        <w:t xml:space="preserve"> “need to be addressed in compliance with international standards regarding possible limitations</w:t>
      </w:r>
      <w:r w:rsidR="003569DC">
        <w:t>…</w:t>
      </w:r>
      <w:r w:rsidR="00BF20F4">
        <w:t xml:space="preserve"> The Special Rapporteur encourages States, when applying these standards, to take into consideration the specific nature of artistic expressions and creations</w:t>
      </w:r>
      <w:r w:rsidR="003569DC">
        <w:t>.”</w:t>
      </w:r>
      <w:r w:rsidR="003569DC">
        <w:rPr>
          <w:rStyle w:val="FootnoteReference"/>
        </w:rPr>
        <w:footnoteReference w:id="26"/>
      </w:r>
    </w:p>
    <w:p w14:paraId="5827CB7E" w14:textId="77777777" w:rsidR="00A8446E" w:rsidRPr="00A8446E" w:rsidRDefault="00A8446E" w:rsidP="00A8446E">
      <w:pPr>
        <w:pStyle w:val="NormalWeb"/>
        <w:ind w:left="1080"/>
      </w:pPr>
    </w:p>
    <w:p w14:paraId="4D72FC8B" w14:textId="575D4EBE" w:rsidR="001A1B89" w:rsidRDefault="009816A3" w:rsidP="00483E22">
      <w:pPr>
        <w:pStyle w:val="NormalWeb"/>
        <w:numPr>
          <w:ilvl w:val="0"/>
          <w:numId w:val="1"/>
        </w:numPr>
      </w:pPr>
      <w:r w:rsidRPr="00A8446E">
        <w:t>Cultural rights may be subjected to limitations in certain circumstances.</w:t>
      </w:r>
      <w:r w:rsidRPr="00A8446E">
        <w:rPr>
          <w:rStyle w:val="FootnoteReference"/>
        </w:rPr>
        <w:footnoteReference w:id="27"/>
      </w:r>
      <w:r w:rsidRPr="00A8446E">
        <w:t xml:space="preserve"> </w:t>
      </w:r>
      <w:r w:rsidR="00A8446E" w:rsidRPr="00A8446E">
        <w:t xml:space="preserve">Such limitations placed on the enjoyment of cultural rights are only legitimate if they are in accordance with international standards. </w:t>
      </w:r>
      <w:r w:rsidRPr="00A8446E">
        <w:t>As stressed by the Committee on Economic, Social and Cultural Rights, limitations should be a last resort only and should be in accordance with certain conditions as established under international human rights law. Such limitations must be in pursuit of a legitimate aim, be compatible with the nature of the right and be strictly necessary for the promotion of general welfare in a democratic society, in accordance with article 4 of the International Covenant on Economic, Social and Cultural Rights. Any limitations must be proportionate, meaning that, when several types of limitations may be imposed, the least restrictive measures must be taken.</w:t>
      </w:r>
      <w:r w:rsidR="00556EBD">
        <w:rPr>
          <w:rStyle w:val="FootnoteReference"/>
        </w:rPr>
        <w:footnoteReference w:id="28"/>
      </w:r>
      <w:r w:rsidRPr="00A8446E">
        <w:t xml:space="preserve"> Fully participatory and consultative approaches, and the free, prior and informed consent of indigenous peoples</w:t>
      </w:r>
      <w:r w:rsidR="00A8446E" w:rsidRPr="00A8446E">
        <w:t xml:space="preserve"> where relevant</w:t>
      </w:r>
      <w:r w:rsidRPr="00A8446E">
        <w:t>, are critical.</w:t>
      </w:r>
    </w:p>
    <w:p w14:paraId="4A43004A" w14:textId="77777777" w:rsidR="00B5416F" w:rsidRDefault="00B5416F" w:rsidP="00C91D00">
      <w:pPr>
        <w:pStyle w:val="ListParagraph"/>
      </w:pPr>
    </w:p>
    <w:p w14:paraId="076EFD63" w14:textId="77777777" w:rsidR="00B5416F" w:rsidRPr="00A8446E" w:rsidRDefault="00B5416F" w:rsidP="00B5416F">
      <w:pPr>
        <w:pStyle w:val="ListParagraph"/>
        <w:spacing w:line="240" w:lineRule="auto"/>
        <w:ind w:left="1080"/>
        <w:rPr>
          <w:rFonts w:ascii="Times New Roman" w:hAnsi="Times New Roman" w:cs="Times New Roman"/>
          <w:sz w:val="24"/>
          <w:szCs w:val="24"/>
        </w:rPr>
      </w:pPr>
    </w:p>
    <w:p w14:paraId="47FB8506" w14:textId="77777777" w:rsidR="00B5416F" w:rsidRPr="00A8446E" w:rsidRDefault="00B5416F" w:rsidP="00B5416F">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Experts from different regions reported to the Special Rapporteur that diversity is understood in simplified ways based on narrow views of identity and may omit diversity of thought or of cultural perspectives.  In any case, actual cultural mixing goes beyond diversity, and as such it is more threatening to monolithic visions because it forces us to rethink many of our comfortable assumptions about the natures of cultures, identities and histories themselves, and because it may be seen to “signal confusion”</w:t>
      </w:r>
      <w:r w:rsidRPr="00A8446E">
        <w:rPr>
          <w:rStyle w:val="FootnoteReference"/>
          <w:rFonts w:ascii="Times New Roman" w:hAnsi="Times New Roman" w:cs="Times New Roman"/>
          <w:sz w:val="24"/>
          <w:szCs w:val="24"/>
        </w:rPr>
        <w:footnoteReference w:id="29"/>
      </w:r>
      <w:r w:rsidRPr="00A8446E">
        <w:rPr>
          <w:rFonts w:ascii="Times New Roman" w:hAnsi="Times New Roman" w:cs="Times New Roman"/>
          <w:sz w:val="24"/>
          <w:szCs w:val="24"/>
        </w:rPr>
        <w:t xml:space="preserve"> in the face of a more comforting simplicity.  “Cultural diversity is also the representation of a radical rhetoric of the separation of totalized cultures that live unsullied by the intertextuality of their historical locations, safe in the Utopianism of a mythic memory of a unique collective identity.”</w:t>
      </w:r>
      <w:r w:rsidRPr="00A8446E">
        <w:rPr>
          <w:rStyle w:val="FootnoteReference"/>
          <w:rFonts w:ascii="Times New Roman" w:hAnsi="Times New Roman" w:cs="Times New Roman"/>
          <w:sz w:val="24"/>
          <w:szCs w:val="24"/>
        </w:rPr>
        <w:footnoteReference w:id="30"/>
      </w:r>
      <w:r w:rsidRPr="00A8446E">
        <w:rPr>
          <w:rFonts w:ascii="Times New Roman" w:hAnsi="Times New Roman" w:cs="Times New Roman"/>
          <w:sz w:val="24"/>
          <w:szCs w:val="24"/>
        </w:rPr>
        <w:t xml:space="preserve">  This also recalls the warning by experts in the field of cross-cultural psychology that although cross-cultural paradigms “recognize cultural differences, they also discourage intercultural learning and motivate movements that seek to preserve the purity of heritage cultures.”</w:t>
      </w:r>
      <w:r w:rsidRPr="00A8446E">
        <w:rPr>
          <w:rStyle w:val="FootnoteReference"/>
          <w:rFonts w:ascii="Times New Roman" w:hAnsi="Times New Roman" w:cs="Times New Roman"/>
          <w:sz w:val="24"/>
          <w:szCs w:val="24"/>
        </w:rPr>
        <w:footnoteReference w:id="31"/>
      </w:r>
      <w:r w:rsidRPr="00A8446E">
        <w:rPr>
          <w:rFonts w:ascii="Times New Roman" w:hAnsi="Times New Roman" w:cs="Times New Roman"/>
          <w:sz w:val="24"/>
          <w:szCs w:val="24"/>
        </w:rPr>
        <w:t xml:space="preserve">   S</w:t>
      </w:r>
      <w:r w:rsidRPr="00A8446E">
        <w:rPr>
          <w:rStyle w:val="cf01"/>
          <w:rFonts w:ascii="Times New Roman" w:hAnsi="Times New Roman" w:cs="Times New Roman"/>
          <w:sz w:val="24"/>
          <w:szCs w:val="24"/>
        </w:rPr>
        <w:t>eparate but equal has been recognized as a problematic approach to participation in public life, and yet such discourses which assume the interaction between separate cultural wholes are all too common in the cultural and human rights arenas.</w:t>
      </w:r>
      <w:r w:rsidRPr="00A8446E">
        <w:rPr>
          <w:rStyle w:val="FootnoteReference"/>
          <w:rFonts w:ascii="Times New Roman" w:hAnsi="Times New Roman" w:cs="Times New Roman"/>
          <w:sz w:val="24"/>
          <w:szCs w:val="24"/>
        </w:rPr>
        <w:footnoteReference w:id="32"/>
      </w:r>
      <w:r>
        <w:rPr>
          <w:rStyle w:val="cf01"/>
          <w:rFonts w:ascii="Times New Roman" w:hAnsi="Times New Roman" w:cs="Times New Roman"/>
          <w:sz w:val="24"/>
          <w:szCs w:val="24"/>
        </w:rPr>
        <w:t xml:space="preserve">  These insights should be borne in mind when interpreting the relevant international standards.</w:t>
      </w:r>
    </w:p>
    <w:p w14:paraId="31A2B693" w14:textId="77777777" w:rsidR="00B5416F" w:rsidRPr="00483E22" w:rsidRDefault="00B5416F" w:rsidP="00C91D00">
      <w:pPr>
        <w:pStyle w:val="NormalWeb"/>
        <w:ind w:left="1080"/>
      </w:pPr>
    </w:p>
    <w:p w14:paraId="5DA18C53" w14:textId="598EB7B7" w:rsidR="00D743DA" w:rsidRDefault="00D743DA" w:rsidP="00D743DA">
      <w:pPr>
        <w:pStyle w:val="ListParagraph"/>
        <w:rPr>
          <w:rFonts w:ascii="Times New Roman" w:eastAsia="Times New Roman" w:hAnsi="Times New Roman" w:cs="Times New Roman"/>
          <w:sz w:val="24"/>
          <w:szCs w:val="24"/>
        </w:rPr>
      </w:pPr>
    </w:p>
    <w:p w14:paraId="532AC644" w14:textId="77777777" w:rsidR="00A13133" w:rsidRPr="00A8446E" w:rsidRDefault="00A13133" w:rsidP="00D743DA">
      <w:pPr>
        <w:pStyle w:val="ListParagraph"/>
        <w:rPr>
          <w:rFonts w:ascii="Times New Roman" w:eastAsia="Times New Roman" w:hAnsi="Times New Roman" w:cs="Times New Roman"/>
          <w:sz w:val="24"/>
          <w:szCs w:val="24"/>
        </w:rPr>
      </w:pPr>
    </w:p>
    <w:p w14:paraId="32C57EE3" w14:textId="4C627726" w:rsidR="00D743DA" w:rsidRPr="00A8446E" w:rsidRDefault="00DF3024" w:rsidP="00D743DA">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Additional</w:t>
      </w:r>
      <w:r w:rsidR="00D743DA" w:rsidRPr="00A8446E">
        <w:rPr>
          <w:rFonts w:ascii="Times New Roman" w:eastAsia="Times New Roman" w:hAnsi="Times New Roman" w:cs="Times New Roman"/>
          <w:b/>
          <w:bCs/>
          <w:sz w:val="24"/>
          <w:szCs w:val="24"/>
        </w:rPr>
        <w:t xml:space="preserve"> Comments</w:t>
      </w:r>
    </w:p>
    <w:p w14:paraId="3B116362" w14:textId="77777777" w:rsidR="004978C7" w:rsidRPr="00A8446E" w:rsidRDefault="004978C7" w:rsidP="00D743DA">
      <w:pPr>
        <w:pStyle w:val="ListParagraph"/>
        <w:ind w:left="1440"/>
        <w:rPr>
          <w:rFonts w:ascii="Times New Roman" w:eastAsia="Times New Roman" w:hAnsi="Times New Roman" w:cs="Times New Roman"/>
          <w:sz w:val="24"/>
          <w:szCs w:val="24"/>
        </w:rPr>
      </w:pPr>
    </w:p>
    <w:p w14:paraId="030C94B2" w14:textId="1F9CB4EC" w:rsidR="00A8446E" w:rsidRPr="00A8446E" w:rsidRDefault="00DF3024" w:rsidP="00A8446E">
      <w:pPr>
        <w:pStyle w:val="ListParagraph"/>
        <w:numPr>
          <w:ilvl w:val="0"/>
          <w:numId w:val="7"/>
        </w:numPr>
        <w:spacing w:line="240" w:lineRule="auto"/>
        <w:rPr>
          <w:rFonts w:ascii="Times New Roman" w:hAnsi="Times New Roman" w:cs="Times New Roman"/>
          <w:b/>
          <w:bCs/>
          <w:sz w:val="24"/>
          <w:szCs w:val="24"/>
        </w:rPr>
      </w:pPr>
      <w:r>
        <w:rPr>
          <w:rFonts w:ascii="Times New Roman" w:eastAsia="Times New Roman" w:hAnsi="Times New Roman" w:cs="Times New Roman"/>
          <w:b/>
          <w:bCs/>
          <w:sz w:val="24"/>
          <w:szCs w:val="24"/>
        </w:rPr>
        <w:t xml:space="preserve">Additional </w:t>
      </w:r>
      <w:r w:rsidR="004978C7" w:rsidRPr="00A8446E">
        <w:rPr>
          <w:rFonts w:ascii="Times New Roman" w:eastAsia="Times New Roman" w:hAnsi="Times New Roman" w:cs="Times New Roman"/>
          <w:b/>
          <w:bCs/>
          <w:sz w:val="24"/>
          <w:szCs w:val="24"/>
        </w:rPr>
        <w:t xml:space="preserve">Comments Related to </w:t>
      </w:r>
      <w:r w:rsidR="00D743DA" w:rsidRPr="00A8446E">
        <w:rPr>
          <w:rFonts w:ascii="Times New Roman" w:eastAsia="Times New Roman" w:hAnsi="Times New Roman" w:cs="Times New Roman"/>
          <w:b/>
          <w:bCs/>
          <w:sz w:val="24"/>
          <w:szCs w:val="24"/>
        </w:rPr>
        <w:t>Section II. D. 1</w:t>
      </w:r>
      <w:r w:rsidR="004978C7" w:rsidRPr="00A8446E">
        <w:rPr>
          <w:rFonts w:ascii="Times New Roman" w:eastAsia="Times New Roman" w:hAnsi="Times New Roman" w:cs="Times New Roman"/>
          <w:b/>
          <w:bCs/>
          <w:sz w:val="24"/>
          <w:szCs w:val="24"/>
        </w:rPr>
        <w:t xml:space="preserve"> of the Report: </w:t>
      </w:r>
      <w:r w:rsidR="00A8446E" w:rsidRPr="00A8446E">
        <w:rPr>
          <w:rFonts w:ascii="Times New Roman" w:hAnsi="Times New Roman" w:cs="Times New Roman"/>
          <w:b/>
          <w:bCs/>
          <w:sz w:val="24"/>
          <w:szCs w:val="24"/>
        </w:rPr>
        <w:t>Obstacles, Challenges and Ways Forward: Contemporary Debates About Cultural Appropriation and Identity Politics</w:t>
      </w:r>
    </w:p>
    <w:p w14:paraId="245C5CC1" w14:textId="14B12917" w:rsidR="00A8446E" w:rsidRPr="00A8446E" w:rsidRDefault="00A8446E" w:rsidP="00A8446E">
      <w:pPr>
        <w:pStyle w:val="ListParagraph"/>
        <w:spacing w:line="240" w:lineRule="auto"/>
        <w:ind w:left="1440"/>
        <w:rPr>
          <w:rFonts w:ascii="Times New Roman" w:hAnsi="Times New Roman" w:cs="Times New Roman"/>
          <w:sz w:val="24"/>
          <w:szCs w:val="24"/>
        </w:rPr>
      </w:pPr>
    </w:p>
    <w:p w14:paraId="418FEBD6" w14:textId="77777777" w:rsidR="00D743DA" w:rsidRPr="00A8446E" w:rsidRDefault="00D743DA" w:rsidP="00D743DA">
      <w:pPr>
        <w:pStyle w:val="ListParagraph"/>
        <w:ind w:left="1440"/>
        <w:rPr>
          <w:rFonts w:ascii="Times New Roman" w:eastAsia="Times New Roman" w:hAnsi="Times New Roman" w:cs="Times New Roman"/>
          <w:sz w:val="24"/>
          <w:szCs w:val="24"/>
        </w:rPr>
      </w:pPr>
    </w:p>
    <w:p w14:paraId="715C7D2B" w14:textId="77777777" w:rsidR="00A13133" w:rsidRDefault="00D743DA" w:rsidP="00D743DA">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 xml:space="preserve">The over-writing of the colonial past onto the complex present in simplistic ways disappears the reality of contemporary challenges and post-colonial limitations on cultural rights.  As one West African expert told the Special Rapporteur, “we need to </w:t>
      </w:r>
      <w:r w:rsidRPr="00A8446E">
        <w:rPr>
          <w:rFonts w:ascii="Times New Roman" w:hAnsi="Times New Roman" w:cs="Times New Roman"/>
          <w:sz w:val="24"/>
          <w:szCs w:val="24"/>
        </w:rPr>
        <w:lastRenderedPageBreak/>
        <w:t xml:space="preserve">think about the impact of colonialism and neo-colonialism, but there are times when I want to get out of this box to become myself, and to recognize that I have all the rights in the world to have critical definitions of who I am myself.” </w:t>
      </w:r>
    </w:p>
    <w:p w14:paraId="49575632" w14:textId="1BB7B30B" w:rsidR="00D743DA" w:rsidRDefault="00D743DA" w:rsidP="00A13133">
      <w:pPr>
        <w:pStyle w:val="ListParagraph"/>
        <w:spacing w:line="240" w:lineRule="auto"/>
        <w:ind w:left="1080"/>
        <w:rPr>
          <w:rFonts w:ascii="Times New Roman" w:hAnsi="Times New Roman" w:cs="Times New Roman"/>
          <w:sz w:val="24"/>
          <w:szCs w:val="24"/>
        </w:rPr>
      </w:pPr>
      <w:r w:rsidRPr="00A8446E">
        <w:rPr>
          <w:rFonts w:ascii="Times New Roman" w:hAnsi="Times New Roman" w:cs="Times New Roman"/>
          <w:sz w:val="24"/>
          <w:szCs w:val="24"/>
        </w:rPr>
        <w:t xml:space="preserve"> </w:t>
      </w:r>
    </w:p>
    <w:p w14:paraId="224AFF5C" w14:textId="3AD80ACF" w:rsidR="00A13133" w:rsidRPr="002A55A1" w:rsidRDefault="00A13133" w:rsidP="00A13133">
      <w:pPr>
        <w:pStyle w:val="ListParagraph"/>
        <w:numPr>
          <w:ilvl w:val="0"/>
          <w:numId w:val="1"/>
        </w:numPr>
        <w:spacing w:line="240" w:lineRule="auto"/>
        <w:rPr>
          <w:rFonts w:ascii="Times New Roman" w:hAnsi="Times New Roman" w:cs="Times New Roman"/>
          <w:sz w:val="24"/>
          <w:szCs w:val="24"/>
        </w:rPr>
      </w:pPr>
      <w:r w:rsidRPr="002A55A1">
        <w:rPr>
          <w:rFonts w:ascii="Times New Roman" w:hAnsi="Times New Roman" w:cs="Times New Roman"/>
          <w:sz w:val="24"/>
          <w:szCs w:val="24"/>
        </w:rPr>
        <w:t xml:space="preserve">One of the major challenges in the field of human rights is the problem of silos. </w:t>
      </w:r>
      <w:r w:rsidR="00DF3024">
        <w:rPr>
          <w:rFonts w:ascii="Times New Roman" w:hAnsi="Times New Roman" w:cs="Times New Roman"/>
          <w:sz w:val="24"/>
          <w:szCs w:val="24"/>
        </w:rPr>
        <w:t>Some of t</w:t>
      </w:r>
      <w:r w:rsidRPr="002A55A1">
        <w:rPr>
          <w:rFonts w:ascii="Times New Roman" w:hAnsi="Times New Roman" w:cs="Times New Roman"/>
          <w:sz w:val="24"/>
          <w:szCs w:val="24"/>
        </w:rPr>
        <w:t>hose working in the field of protecting minority or indigenous cultural rights may have important reasons to work for the right to be different and for collective rights and to warn against cultural appropriation because those are where they have encountered abuses of power</w:t>
      </w:r>
      <w:r w:rsidR="00DF3024">
        <w:rPr>
          <w:rFonts w:ascii="Times New Roman" w:hAnsi="Times New Roman" w:cs="Times New Roman"/>
          <w:sz w:val="24"/>
          <w:szCs w:val="24"/>
        </w:rPr>
        <w:t>.  Meanw</w:t>
      </w:r>
      <w:r w:rsidRPr="002A55A1">
        <w:rPr>
          <w:rFonts w:ascii="Times New Roman" w:hAnsi="Times New Roman" w:cs="Times New Roman"/>
          <w:sz w:val="24"/>
          <w:szCs w:val="24"/>
        </w:rPr>
        <w:t>hile</w:t>
      </w:r>
      <w:r w:rsidR="00DF3024">
        <w:rPr>
          <w:rFonts w:ascii="Times New Roman" w:hAnsi="Times New Roman" w:cs="Times New Roman"/>
          <w:sz w:val="24"/>
          <w:szCs w:val="24"/>
        </w:rPr>
        <w:t>,</w:t>
      </w:r>
      <w:r w:rsidRPr="002A55A1">
        <w:rPr>
          <w:rFonts w:ascii="Times New Roman" w:hAnsi="Times New Roman" w:cs="Times New Roman"/>
          <w:sz w:val="24"/>
          <w:szCs w:val="24"/>
        </w:rPr>
        <w:t xml:space="preserve"> many advocating for cultural dissenters, for “minorities within minorities” or for women’s rights may have as important reasons for being wary of such concepts because of how they may contribute to the very abuses of power – and the cultural relativism - which they must challenge to achieve human rights, including cultural rights.  Neither is wrong; the vantage points are distinct. </w:t>
      </w:r>
      <w:r w:rsidR="00DF3024">
        <w:rPr>
          <w:rFonts w:ascii="Times New Roman" w:hAnsi="Times New Roman" w:cs="Times New Roman"/>
          <w:sz w:val="24"/>
          <w:szCs w:val="24"/>
        </w:rPr>
        <w:t xml:space="preserve">Intersectional approaches are important but cannot alone reconcile these competing priorities.  </w:t>
      </w:r>
      <w:r w:rsidRPr="002A55A1">
        <w:rPr>
          <w:rFonts w:ascii="Times New Roman" w:hAnsi="Times New Roman" w:cs="Times New Roman"/>
          <w:sz w:val="24"/>
          <w:szCs w:val="24"/>
        </w:rPr>
        <w:t xml:space="preserve">There is an outstanding need to weave these disparate strands together into the fabric of a multi-directional approach which recognizes the threat to human rights from a variety of dynamics, and to achieve a balanced approach, effective in a specific context, but which does not undercut rights protection elsewhere. This </w:t>
      </w:r>
      <w:r w:rsidR="00DF3024">
        <w:rPr>
          <w:rFonts w:ascii="Times New Roman" w:hAnsi="Times New Roman" w:cs="Times New Roman"/>
          <w:sz w:val="24"/>
          <w:szCs w:val="24"/>
        </w:rPr>
        <w:t>is</w:t>
      </w:r>
      <w:r w:rsidRPr="002A55A1">
        <w:rPr>
          <w:rFonts w:ascii="Times New Roman" w:hAnsi="Times New Roman" w:cs="Times New Roman"/>
          <w:sz w:val="24"/>
          <w:szCs w:val="24"/>
        </w:rPr>
        <w:t xml:space="preserve"> very difficult</w:t>
      </w:r>
      <w:r w:rsidR="00DF3024">
        <w:rPr>
          <w:rFonts w:ascii="Times New Roman" w:hAnsi="Times New Roman" w:cs="Times New Roman"/>
          <w:sz w:val="24"/>
          <w:szCs w:val="24"/>
        </w:rPr>
        <w:t>,</w:t>
      </w:r>
      <w:r w:rsidRPr="002A55A1">
        <w:rPr>
          <w:rFonts w:ascii="Times New Roman" w:hAnsi="Times New Roman" w:cs="Times New Roman"/>
          <w:sz w:val="24"/>
          <w:szCs w:val="24"/>
        </w:rPr>
        <w:t xml:space="preserve"> but a task which</w:t>
      </w:r>
      <w:r w:rsidR="00DF3024">
        <w:rPr>
          <w:rFonts w:ascii="Times New Roman" w:hAnsi="Times New Roman" w:cs="Times New Roman"/>
          <w:sz w:val="24"/>
          <w:szCs w:val="24"/>
        </w:rPr>
        <w:t xml:space="preserve"> the Special Rapporteur hopes will</w:t>
      </w:r>
      <w:r w:rsidRPr="002A55A1">
        <w:rPr>
          <w:rFonts w:ascii="Times New Roman" w:hAnsi="Times New Roman" w:cs="Times New Roman"/>
          <w:sz w:val="24"/>
          <w:szCs w:val="24"/>
        </w:rPr>
        <w:t xml:space="preserve"> be undertaken by 21</w:t>
      </w:r>
      <w:r w:rsidRPr="002A55A1">
        <w:rPr>
          <w:rFonts w:ascii="Times New Roman" w:hAnsi="Times New Roman" w:cs="Times New Roman"/>
          <w:sz w:val="24"/>
          <w:szCs w:val="24"/>
          <w:vertAlign w:val="superscript"/>
        </w:rPr>
        <w:t>st</w:t>
      </w:r>
      <w:r w:rsidRPr="002A55A1">
        <w:rPr>
          <w:rFonts w:ascii="Times New Roman" w:hAnsi="Times New Roman" w:cs="Times New Roman"/>
          <w:sz w:val="24"/>
          <w:szCs w:val="24"/>
        </w:rPr>
        <w:t xml:space="preserve"> century cultural rights advocates and </w:t>
      </w:r>
      <w:r w:rsidR="00DF3024">
        <w:rPr>
          <w:rFonts w:ascii="Times New Roman" w:hAnsi="Times New Roman" w:cs="Times New Roman"/>
          <w:sz w:val="24"/>
          <w:szCs w:val="24"/>
        </w:rPr>
        <w:t>her successor</w:t>
      </w:r>
      <w:r w:rsidRPr="002A55A1">
        <w:rPr>
          <w:rFonts w:ascii="Times New Roman" w:hAnsi="Times New Roman" w:cs="Times New Roman"/>
          <w:sz w:val="24"/>
          <w:szCs w:val="24"/>
        </w:rPr>
        <w:t>.</w:t>
      </w:r>
    </w:p>
    <w:p w14:paraId="3233424A" w14:textId="77777777" w:rsidR="00A13133" w:rsidRDefault="00A13133" w:rsidP="00A13133"/>
    <w:p w14:paraId="7382F0DD" w14:textId="77777777" w:rsidR="00A13133" w:rsidRPr="002A55A1" w:rsidRDefault="00A13133" w:rsidP="00A13133">
      <w:pPr>
        <w:pStyle w:val="ListParagraph"/>
        <w:numPr>
          <w:ilvl w:val="0"/>
          <w:numId w:val="1"/>
        </w:numPr>
        <w:spacing w:line="240" w:lineRule="auto"/>
        <w:rPr>
          <w:rFonts w:ascii="Times New Roman" w:hAnsi="Times New Roman" w:cs="Times New Roman"/>
          <w:sz w:val="24"/>
          <w:szCs w:val="24"/>
        </w:rPr>
      </w:pPr>
      <w:r w:rsidRPr="002A55A1">
        <w:rPr>
          <w:rFonts w:ascii="Times New Roman" w:hAnsi="Times New Roman" w:cs="Times New Roman"/>
          <w:sz w:val="24"/>
          <w:szCs w:val="24"/>
        </w:rPr>
        <w:t xml:space="preserve">We need to recognize that there will be differences of opinion about the issues raised in this report.  There must be other options besides hateful clashes or politically correct silence for addressing such disagreements in accordance with human rights values and standards. Open debate and respectful but frank exchanges are critical.  There are many genuine human rights harms that diverse persons are experiencing that cause pain and suffering and foster inequalities all of which must be addressed.  At the same time, a default impulse to be offended, or to assume bad motives of those who disagree, is not conducive to an open cultural life.  We must recognize, address and learn from the points of disagreement.  </w:t>
      </w:r>
    </w:p>
    <w:p w14:paraId="2470F019" w14:textId="77777777" w:rsidR="00A13133" w:rsidRPr="00A8446E" w:rsidRDefault="00A13133" w:rsidP="00A13133">
      <w:pPr>
        <w:pStyle w:val="ListParagraph"/>
        <w:spacing w:line="240" w:lineRule="auto"/>
        <w:ind w:left="1080"/>
        <w:rPr>
          <w:rFonts w:ascii="Times New Roman" w:hAnsi="Times New Roman" w:cs="Times New Roman"/>
          <w:sz w:val="24"/>
          <w:szCs w:val="24"/>
        </w:rPr>
      </w:pPr>
    </w:p>
    <w:p w14:paraId="569A2B12" w14:textId="77777777" w:rsidR="00D743DA" w:rsidRPr="00A8446E" w:rsidRDefault="00D743DA" w:rsidP="00D743DA">
      <w:pPr>
        <w:pStyle w:val="ListParagraph"/>
        <w:spacing w:line="240" w:lineRule="auto"/>
        <w:ind w:left="1080"/>
        <w:rPr>
          <w:rFonts w:ascii="Times New Roman" w:hAnsi="Times New Roman" w:cs="Times New Roman"/>
          <w:sz w:val="24"/>
          <w:szCs w:val="24"/>
        </w:rPr>
      </w:pPr>
    </w:p>
    <w:p w14:paraId="7DC0E0BE" w14:textId="60C5DA72" w:rsidR="00D743DA" w:rsidRDefault="00D743DA" w:rsidP="00D743DA">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 xml:space="preserve">Tensions within cultural rights approaches to identity and diversity were recently </w:t>
      </w:r>
      <w:proofErr w:type="spellStart"/>
      <w:r w:rsidRPr="00A8446E">
        <w:rPr>
          <w:rFonts w:ascii="Times New Roman" w:hAnsi="Times New Roman" w:cs="Times New Roman"/>
          <w:sz w:val="24"/>
          <w:szCs w:val="24"/>
        </w:rPr>
        <w:t>analysed</w:t>
      </w:r>
      <w:proofErr w:type="spellEnd"/>
      <w:r w:rsidRPr="00A8446E">
        <w:rPr>
          <w:rFonts w:ascii="Times New Roman" w:hAnsi="Times New Roman" w:cs="Times New Roman"/>
          <w:sz w:val="24"/>
          <w:szCs w:val="24"/>
        </w:rPr>
        <w:t xml:space="preserve"> in the following thoughtful manner:  “[T]he protection of religious and cultural minorities and indigenous people’s right to distinctness and difference in the way they express their religious and cultural identities is pressing and urgent. However, in defending their right to distinctness, or cultural diversity, we sometimes forget that there is also a broader struggle against the political and social forces in our midst which seek to </w:t>
      </w:r>
      <w:proofErr w:type="spellStart"/>
      <w:r w:rsidRPr="00A8446E">
        <w:rPr>
          <w:rFonts w:ascii="Times New Roman" w:hAnsi="Times New Roman" w:cs="Times New Roman"/>
          <w:sz w:val="24"/>
          <w:szCs w:val="24"/>
        </w:rPr>
        <w:t>homogenise</w:t>
      </w:r>
      <w:proofErr w:type="spellEnd"/>
      <w:r w:rsidRPr="00A8446E">
        <w:rPr>
          <w:rFonts w:ascii="Times New Roman" w:hAnsi="Times New Roman" w:cs="Times New Roman"/>
          <w:sz w:val="24"/>
          <w:szCs w:val="24"/>
        </w:rPr>
        <w:t xml:space="preserve"> what “us” as a country, faith, or community should look like. While being respectful and mindful of the different kinds of experiences of oppression associated with distinct intersecting identities, we need to protect against…the very idea of limiting, containing and suffocating the possibilities of </w:t>
      </w:r>
      <w:r w:rsidRPr="00A8446E">
        <w:rPr>
          <w:rFonts w:ascii="Times New Roman" w:hAnsi="Times New Roman" w:cs="Times New Roman"/>
          <w:sz w:val="24"/>
          <w:szCs w:val="24"/>
        </w:rPr>
        <w:lastRenderedPageBreak/>
        <w:t>people mixing and matching their beliefs.”</w:t>
      </w:r>
      <w:r w:rsidRPr="00A8446E">
        <w:rPr>
          <w:rStyle w:val="FootnoteReference"/>
          <w:rFonts w:ascii="Times New Roman" w:hAnsi="Times New Roman" w:cs="Times New Roman"/>
          <w:sz w:val="24"/>
          <w:szCs w:val="24"/>
        </w:rPr>
        <w:footnoteReference w:id="33"/>
      </w:r>
      <w:r w:rsidRPr="00A8446E">
        <w:rPr>
          <w:rFonts w:ascii="Times New Roman" w:hAnsi="Times New Roman" w:cs="Times New Roman"/>
          <w:sz w:val="24"/>
          <w:szCs w:val="24"/>
        </w:rPr>
        <w:t xml:space="preserve">  Such complex thinking will be essential to develop the strategies needed to ensure cultural rights on this fraught terrain.</w:t>
      </w:r>
    </w:p>
    <w:p w14:paraId="215A338A" w14:textId="77777777" w:rsidR="00A13133" w:rsidRPr="00A8446E" w:rsidRDefault="00A13133" w:rsidP="00A13133">
      <w:pPr>
        <w:pStyle w:val="ListParagraph"/>
        <w:spacing w:line="240" w:lineRule="auto"/>
        <w:ind w:left="1080"/>
        <w:rPr>
          <w:rFonts w:ascii="Times New Roman" w:hAnsi="Times New Roman" w:cs="Times New Roman"/>
          <w:sz w:val="24"/>
          <w:szCs w:val="24"/>
        </w:rPr>
      </w:pPr>
    </w:p>
    <w:p w14:paraId="723CA7FA" w14:textId="77777777" w:rsidR="00173C29" w:rsidRPr="00A8446E" w:rsidRDefault="00173C29" w:rsidP="00173C29">
      <w:pPr>
        <w:pStyle w:val="ListParagraph"/>
        <w:rPr>
          <w:rFonts w:ascii="Times New Roman" w:hAnsi="Times New Roman" w:cs="Times New Roman"/>
          <w:sz w:val="24"/>
          <w:szCs w:val="24"/>
        </w:rPr>
      </w:pPr>
    </w:p>
    <w:p w14:paraId="6ABA06DA" w14:textId="6B3CA596" w:rsidR="00173C29" w:rsidRPr="00A8446E" w:rsidRDefault="00DF3024" w:rsidP="00A8446E">
      <w:pPr>
        <w:pStyle w:val="ListParagraph"/>
        <w:numPr>
          <w:ilvl w:val="0"/>
          <w:numId w:val="7"/>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Additional </w:t>
      </w:r>
      <w:r w:rsidR="004978C7" w:rsidRPr="00A8446E">
        <w:rPr>
          <w:rFonts w:ascii="Times New Roman" w:hAnsi="Times New Roman" w:cs="Times New Roman"/>
          <w:b/>
          <w:bCs/>
          <w:sz w:val="24"/>
          <w:szCs w:val="24"/>
        </w:rPr>
        <w:t xml:space="preserve">Comments Related to </w:t>
      </w:r>
      <w:r w:rsidR="00173C29" w:rsidRPr="00A8446E">
        <w:rPr>
          <w:rFonts w:ascii="Times New Roman" w:hAnsi="Times New Roman" w:cs="Times New Roman"/>
          <w:b/>
          <w:bCs/>
          <w:sz w:val="24"/>
          <w:szCs w:val="24"/>
        </w:rPr>
        <w:t>Section II. D. 2</w:t>
      </w:r>
      <w:r w:rsidR="004978C7" w:rsidRPr="00A8446E">
        <w:rPr>
          <w:rFonts w:ascii="Times New Roman" w:hAnsi="Times New Roman" w:cs="Times New Roman"/>
          <w:b/>
          <w:bCs/>
          <w:sz w:val="24"/>
          <w:szCs w:val="24"/>
        </w:rPr>
        <w:t xml:space="preserve"> of the Report: </w:t>
      </w:r>
      <w:r w:rsidR="00A8446E" w:rsidRPr="00A8446E">
        <w:rPr>
          <w:rFonts w:ascii="Times New Roman" w:hAnsi="Times New Roman" w:cs="Times New Roman"/>
          <w:b/>
          <w:bCs/>
          <w:sz w:val="24"/>
          <w:szCs w:val="24"/>
        </w:rPr>
        <w:t xml:space="preserve">Significant Constituencies and Spaces: </w:t>
      </w:r>
      <w:r w:rsidR="004978C7" w:rsidRPr="00A8446E">
        <w:rPr>
          <w:rFonts w:ascii="Times New Roman" w:hAnsi="Times New Roman" w:cs="Times New Roman"/>
          <w:b/>
          <w:bCs/>
          <w:sz w:val="24"/>
          <w:szCs w:val="24"/>
        </w:rPr>
        <w:t>The Role of the Internet</w:t>
      </w:r>
    </w:p>
    <w:p w14:paraId="64EB3CBD" w14:textId="77777777" w:rsidR="00173C29" w:rsidRPr="00A8446E" w:rsidRDefault="00173C29" w:rsidP="00173C29">
      <w:pPr>
        <w:pStyle w:val="ListParagraph"/>
        <w:spacing w:line="240" w:lineRule="auto"/>
        <w:ind w:left="1080"/>
        <w:rPr>
          <w:rFonts w:ascii="Times New Roman" w:hAnsi="Times New Roman" w:cs="Times New Roman"/>
          <w:sz w:val="24"/>
          <w:szCs w:val="24"/>
        </w:rPr>
      </w:pPr>
    </w:p>
    <w:p w14:paraId="68F1D40B" w14:textId="4EC63B23" w:rsidR="00173C29" w:rsidRPr="00A8446E" w:rsidRDefault="00173C29" w:rsidP="00173C29">
      <w:pPr>
        <w:pStyle w:val="ListParagraph"/>
        <w:numPr>
          <w:ilvl w:val="0"/>
          <w:numId w:val="1"/>
        </w:numPr>
        <w:spacing w:line="240" w:lineRule="auto"/>
        <w:rPr>
          <w:rFonts w:ascii="Times New Roman" w:hAnsi="Times New Roman" w:cs="Times New Roman"/>
          <w:sz w:val="24"/>
          <w:szCs w:val="24"/>
        </w:rPr>
      </w:pPr>
      <w:r w:rsidRPr="00A8446E">
        <w:rPr>
          <w:rFonts w:ascii="Times New Roman" w:hAnsi="Times New Roman" w:cs="Times New Roman"/>
          <w:sz w:val="24"/>
          <w:szCs w:val="24"/>
        </w:rPr>
        <w:t xml:space="preserve">With thoughtful approaches, the internet, new technologies and social media can facilitate new forms of cultural mixing, sharing and hybridity, and increase opportunities for positive </w:t>
      </w:r>
      <w:proofErr w:type="spellStart"/>
      <w:r w:rsidRPr="00A8446E">
        <w:rPr>
          <w:rFonts w:ascii="Times New Roman" w:hAnsi="Times New Roman" w:cs="Times New Roman"/>
          <w:sz w:val="24"/>
          <w:szCs w:val="24"/>
        </w:rPr>
        <w:t>polycultural</w:t>
      </w:r>
      <w:proofErr w:type="spellEnd"/>
      <w:r w:rsidRPr="00A8446E">
        <w:rPr>
          <w:rFonts w:ascii="Times New Roman" w:hAnsi="Times New Roman" w:cs="Times New Roman"/>
          <w:sz w:val="24"/>
          <w:szCs w:val="24"/>
        </w:rPr>
        <w:t xml:space="preserve"> interactions and respect for mixed identities.  However, they can also contribute to homogenizing dynamics if careful consideration is not given to the need to respect, protect and fulfill cultural rights for all in cyber-space.</w:t>
      </w:r>
      <w:r w:rsidRPr="00A8446E">
        <w:rPr>
          <w:rStyle w:val="FootnoteReference"/>
          <w:rFonts w:ascii="Times New Roman" w:hAnsi="Times New Roman" w:cs="Times New Roman"/>
          <w:sz w:val="24"/>
          <w:szCs w:val="24"/>
        </w:rPr>
        <w:footnoteReference w:id="34"/>
      </w:r>
      <w:r w:rsidRPr="00A8446E">
        <w:rPr>
          <w:rFonts w:ascii="Times New Roman" w:hAnsi="Times New Roman" w:cs="Times New Roman"/>
          <w:sz w:val="24"/>
          <w:szCs w:val="24"/>
        </w:rPr>
        <w:t xml:space="preserve">  For example, the global cultural footprint reflected in new applications for documenting culture should actively and consciously reflect hybridity and syncretism</w:t>
      </w:r>
      <w:r w:rsidR="00DF3024">
        <w:rPr>
          <w:rFonts w:ascii="Times New Roman" w:hAnsi="Times New Roman" w:cs="Times New Roman"/>
          <w:sz w:val="24"/>
          <w:szCs w:val="24"/>
        </w:rPr>
        <w:t>,</w:t>
      </w:r>
      <w:r w:rsidRPr="00A8446E">
        <w:rPr>
          <w:rFonts w:ascii="Times New Roman" w:hAnsi="Times New Roman" w:cs="Times New Roman"/>
          <w:sz w:val="24"/>
          <w:szCs w:val="24"/>
        </w:rPr>
        <w:t xml:space="preserve"> ensuring that multiple voices are </w:t>
      </w:r>
      <w:r w:rsidR="007C639B" w:rsidRPr="00A8446E">
        <w:rPr>
          <w:rFonts w:ascii="Times New Roman" w:hAnsi="Times New Roman" w:cs="Times New Roman"/>
          <w:sz w:val="24"/>
          <w:szCs w:val="24"/>
        </w:rPr>
        <w:t>heard,</w:t>
      </w:r>
      <w:r w:rsidRPr="00A8446E">
        <w:rPr>
          <w:rFonts w:ascii="Times New Roman" w:hAnsi="Times New Roman" w:cs="Times New Roman"/>
          <w:sz w:val="24"/>
          <w:szCs w:val="24"/>
        </w:rPr>
        <w:t xml:space="preserve"> and that complexity is encouraged.  This requires inter alia tackling underlying digital inequality.  “We believe the internet is the World Wide Web — yet it only tells the stories of just over half the world. We are silencing parts of the world without knowing it…</w:t>
      </w:r>
      <w:r w:rsidRPr="00A8446E">
        <w:rPr>
          <w:rFonts w:ascii="Times New Roman" w:hAnsi="Times New Roman" w:cs="Times New Roman"/>
          <w:color w:val="333333"/>
          <w:sz w:val="24"/>
          <w:szCs w:val="24"/>
          <w:shd w:val="clear" w:color="auto" w:fill="FFFFFF"/>
        </w:rPr>
        <w:t xml:space="preserve"> Not having access online means that the stories, platforms and ideas we see shared online today are only created by those privileged enough to be online in the first place.”</w:t>
      </w:r>
      <w:r w:rsidRPr="00A8446E">
        <w:rPr>
          <w:rStyle w:val="FootnoteReference"/>
          <w:rFonts w:ascii="Times New Roman" w:hAnsi="Times New Roman" w:cs="Times New Roman"/>
          <w:color w:val="333333"/>
          <w:sz w:val="24"/>
          <w:szCs w:val="24"/>
          <w:shd w:val="clear" w:color="auto" w:fill="FFFFFF"/>
        </w:rPr>
        <w:footnoteReference w:id="35"/>
      </w:r>
      <w:r w:rsidRPr="00A8446E">
        <w:rPr>
          <w:rFonts w:ascii="Times New Roman" w:hAnsi="Times New Roman" w:cs="Times New Roman"/>
          <w:color w:val="333333"/>
          <w:sz w:val="24"/>
          <w:szCs w:val="24"/>
          <w:shd w:val="clear" w:color="auto" w:fill="FFFFFF"/>
        </w:rPr>
        <w:t xml:space="preserve">  </w:t>
      </w:r>
    </w:p>
    <w:p w14:paraId="66691905" w14:textId="77777777" w:rsidR="00173C29" w:rsidRPr="00A8446E" w:rsidRDefault="00173C29" w:rsidP="00173C29">
      <w:pPr>
        <w:pStyle w:val="ListParagraph"/>
        <w:spacing w:line="240" w:lineRule="auto"/>
        <w:ind w:left="1080"/>
        <w:rPr>
          <w:rFonts w:ascii="Times New Roman" w:hAnsi="Times New Roman" w:cs="Times New Roman"/>
          <w:sz w:val="24"/>
          <w:szCs w:val="24"/>
        </w:rPr>
      </w:pPr>
    </w:p>
    <w:p w14:paraId="0BE60AE1" w14:textId="77777777" w:rsidR="007C1BC1" w:rsidRPr="00A8446E" w:rsidRDefault="007C1BC1" w:rsidP="007C1BC1">
      <w:pPr>
        <w:pStyle w:val="ListParagraph"/>
        <w:spacing w:line="240" w:lineRule="auto"/>
        <w:ind w:left="1080"/>
        <w:rPr>
          <w:rFonts w:ascii="Times New Roman" w:hAnsi="Times New Roman" w:cs="Times New Roman"/>
          <w:sz w:val="24"/>
          <w:szCs w:val="24"/>
        </w:rPr>
      </w:pPr>
    </w:p>
    <w:p w14:paraId="0E6B9E9F" w14:textId="77777777" w:rsidR="001A1B89" w:rsidRPr="00A8446E" w:rsidRDefault="001A1B89">
      <w:pPr>
        <w:rPr>
          <w:rFonts w:ascii="Times New Roman" w:hAnsi="Times New Roman" w:cs="Times New Roman"/>
          <w:sz w:val="24"/>
          <w:szCs w:val="24"/>
        </w:rPr>
      </w:pPr>
    </w:p>
    <w:sectPr w:rsidR="001A1B89" w:rsidRPr="00A844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18BF" w14:textId="77777777" w:rsidR="00F85996" w:rsidRDefault="00F85996" w:rsidP="001A1B89">
      <w:pPr>
        <w:spacing w:after="0" w:line="240" w:lineRule="auto"/>
      </w:pPr>
      <w:r>
        <w:separator/>
      </w:r>
    </w:p>
  </w:endnote>
  <w:endnote w:type="continuationSeparator" w:id="0">
    <w:p w14:paraId="0EA8B7A3" w14:textId="77777777" w:rsidR="00F85996" w:rsidRDefault="00F85996" w:rsidP="001A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116082"/>
      <w:docPartObj>
        <w:docPartGallery w:val="Page Numbers (Bottom of Page)"/>
        <w:docPartUnique/>
      </w:docPartObj>
    </w:sdtPr>
    <w:sdtEndPr>
      <w:rPr>
        <w:noProof/>
      </w:rPr>
    </w:sdtEndPr>
    <w:sdtContent>
      <w:p w14:paraId="259F92F8" w14:textId="4F53A2E8" w:rsidR="00A8446E" w:rsidRDefault="00A8446E">
        <w:pPr>
          <w:pStyle w:val="Footer"/>
          <w:jc w:val="right"/>
        </w:pPr>
        <w:r>
          <w:fldChar w:fldCharType="begin"/>
        </w:r>
        <w:r>
          <w:instrText xml:space="preserve"> PAGE   \* MERGEFORMAT </w:instrText>
        </w:r>
        <w:r>
          <w:fldChar w:fldCharType="separate"/>
        </w:r>
        <w:r w:rsidR="005701AD">
          <w:rPr>
            <w:noProof/>
          </w:rPr>
          <w:t>1</w:t>
        </w:r>
        <w:r>
          <w:rPr>
            <w:noProof/>
          </w:rPr>
          <w:fldChar w:fldCharType="end"/>
        </w:r>
      </w:p>
    </w:sdtContent>
  </w:sdt>
  <w:p w14:paraId="6F8A778E" w14:textId="77777777" w:rsidR="00A8446E" w:rsidRDefault="00A84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5BBB" w14:textId="77777777" w:rsidR="00F85996" w:rsidRDefault="00F85996" w:rsidP="001A1B89">
      <w:pPr>
        <w:spacing w:after="0" w:line="240" w:lineRule="auto"/>
      </w:pPr>
      <w:r>
        <w:separator/>
      </w:r>
    </w:p>
  </w:footnote>
  <w:footnote w:type="continuationSeparator" w:id="0">
    <w:p w14:paraId="7B21C5F6" w14:textId="77777777" w:rsidR="00F85996" w:rsidRDefault="00F85996" w:rsidP="001A1B89">
      <w:pPr>
        <w:spacing w:after="0" w:line="240" w:lineRule="auto"/>
      </w:pPr>
      <w:r>
        <w:continuationSeparator/>
      </w:r>
    </w:p>
  </w:footnote>
  <w:footnote w:id="1">
    <w:p w14:paraId="70C15720" w14:textId="57C20205" w:rsidR="00907E2E" w:rsidRPr="00556EBD" w:rsidRDefault="00907E2E">
      <w:pPr>
        <w:pStyle w:val="FootnoteText"/>
        <w:rPr>
          <w:rFonts w:ascii="Times New Roman" w:hAnsi="Times New Roman" w:cs="Times New Roman"/>
        </w:rPr>
      </w:pPr>
      <w:r w:rsidRPr="00556EBD">
        <w:rPr>
          <w:rStyle w:val="FootnoteReference"/>
          <w:rFonts w:ascii="Times New Roman" w:hAnsi="Times New Roman" w:cs="Times New Roman"/>
        </w:rPr>
        <w:footnoteRef/>
      </w:r>
      <w:r w:rsidRPr="00556EBD">
        <w:rPr>
          <w:rFonts w:ascii="Times New Roman" w:hAnsi="Times New Roman" w:cs="Times New Roman"/>
        </w:rPr>
        <w:t xml:space="preserve"> </w:t>
      </w:r>
      <w:r w:rsidRPr="00556EBD">
        <w:rPr>
          <w:rFonts w:ascii="Times New Roman" w:hAnsi="Times New Roman" w:cs="Times New Roman"/>
          <w:sz w:val="24"/>
          <w:szCs w:val="24"/>
        </w:rPr>
        <w:t>This article has been interpreted by the Committee on Economic, Social and Cultural Rights</w:t>
      </w:r>
      <w:r w:rsidR="00B5416F">
        <w:rPr>
          <w:rFonts w:ascii="Times New Roman" w:hAnsi="Times New Roman" w:cs="Times New Roman"/>
          <w:sz w:val="24"/>
          <w:szCs w:val="24"/>
        </w:rPr>
        <w:t xml:space="preserve"> (CESCR)</w:t>
      </w:r>
      <w:r w:rsidRPr="00556EBD">
        <w:rPr>
          <w:rFonts w:ascii="Times New Roman" w:hAnsi="Times New Roman" w:cs="Times New Roman"/>
          <w:sz w:val="24"/>
          <w:szCs w:val="24"/>
        </w:rPr>
        <w:t xml:space="preserve"> in General Comments No. 21 and No. 25.</w:t>
      </w:r>
    </w:p>
    <w:p w14:paraId="1630EA0A" w14:textId="77777777" w:rsidR="00907E2E" w:rsidRPr="00556EBD" w:rsidRDefault="00907E2E">
      <w:pPr>
        <w:pStyle w:val="FootnoteText"/>
        <w:rPr>
          <w:rFonts w:ascii="Times New Roman" w:hAnsi="Times New Roman" w:cs="Times New Roman"/>
        </w:rPr>
      </w:pPr>
    </w:p>
  </w:footnote>
  <w:footnote w:id="2">
    <w:p w14:paraId="36C0ABFE" w14:textId="09A2EC68" w:rsidR="000E2EF5" w:rsidRPr="00556EBD" w:rsidRDefault="00AC6259" w:rsidP="00AC6259">
      <w:pPr>
        <w:pStyle w:val="FootnoteText"/>
        <w:rPr>
          <w:rFonts w:ascii="Times New Roman" w:hAnsi="Times New Roman" w:cs="Times New Roman"/>
          <w:color w:val="000000"/>
          <w:sz w:val="24"/>
          <w:szCs w:val="24"/>
          <w:lang w:val="es-ES"/>
        </w:rPr>
      </w:pPr>
      <w:r w:rsidRPr="00556EBD">
        <w:rPr>
          <w:rStyle w:val="FootnoteReference"/>
          <w:rFonts w:ascii="Times New Roman" w:hAnsi="Times New Roman" w:cs="Times New Roman"/>
          <w:sz w:val="24"/>
          <w:szCs w:val="24"/>
        </w:rPr>
        <w:footnoteRef/>
      </w:r>
      <w:r w:rsidRPr="00556EBD">
        <w:rPr>
          <w:rFonts w:ascii="Times New Roman" w:eastAsia="Calibri" w:hAnsi="Times New Roman" w:cs="Times New Roman"/>
          <w:color w:val="000000"/>
          <w:sz w:val="24"/>
          <w:szCs w:val="24"/>
        </w:rPr>
        <w:t xml:space="preserve"> See, e.g., </w:t>
      </w:r>
      <w:hyperlink r:id="rId1" w:history="1">
        <w:r w:rsidR="00556EBD" w:rsidRPr="003938D0">
          <w:rPr>
            <w:rStyle w:val="Hyperlink"/>
            <w:rFonts w:ascii="Times New Roman" w:eastAsia="Calibri" w:hAnsi="Times New Roman" w:cs="Times New Roman"/>
            <w:sz w:val="24"/>
            <w:szCs w:val="24"/>
          </w:rPr>
          <w:t>www.ohchr.org/EN/Issues/CulturalRights/Pages/InternationalStandards.aspx</w:t>
        </w:r>
      </w:hyperlink>
      <w:r w:rsidRPr="00556EBD">
        <w:rPr>
          <w:rFonts w:ascii="Times New Roman" w:eastAsia="Calibri" w:hAnsi="Times New Roman" w:cs="Times New Roman"/>
          <w:color w:val="000000"/>
          <w:sz w:val="24"/>
          <w:szCs w:val="24"/>
        </w:rPr>
        <w:t xml:space="preserve">; A/74/255, paras. </w:t>
      </w:r>
      <w:r w:rsidRPr="00556EBD">
        <w:rPr>
          <w:rFonts w:ascii="Times New Roman" w:eastAsia="Calibri" w:hAnsi="Times New Roman" w:cs="Times New Roman"/>
          <w:color w:val="000000"/>
          <w:sz w:val="24"/>
          <w:szCs w:val="24"/>
          <w:lang w:val="es-ES"/>
        </w:rPr>
        <w:t xml:space="preserve">19–31; </w:t>
      </w:r>
      <w:r w:rsidRPr="00556EBD">
        <w:rPr>
          <w:rFonts w:ascii="Times New Roman" w:hAnsi="Times New Roman" w:cs="Times New Roman"/>
          <w:sz w:val="24"/>
          <w:szCs w:val="24"/>
          <w:lang w:val="es-ES"/>
        </w:rPr>
        <w:t>A/HRC/37/55, paras. 14–24;</w:t>
      </w:r>
      <w:r w:rsidRPr="00556EBD">
        <w:rPr>
          <w:rFonts w:ascii="Times New Roman" w:eastAsia="Calibri" w:hAnsi="Times New Roman" w:cs="Times New Roman"/>
          <w:color w:val="000000"/>
          <w:sz w:val="24"/>
          <w:szCs w:val="24"/>
          <w:lang w:val="es-ES"/>
        </w:rPr>
        <w:t xml:space="preserve"> and </w:t>
      </w:r>
      <w:r w:rsidRPr="00556EBD">
        <w:rPr>
          <w:rFonts w:ascii="Times New Roman" w:hAnsi="Times New Roman" w:cs="Times New Roman"/>
          <w:color w:val="000000"/>
          <w:sz w:val="24"/>
          <w:szCs w:val="24"/>
          <w:lang w:val="es-ES"/>
        </w:rPr>
        <w:t>A/HRC/40/53, para. 15.</w:t>
      </w:r>
    </w:p>
    <w:p w14:paraId="0321A954" w14:textId="77777777" w:rsidR="000E2EF5" w:rsidRPr="00556EBD" w:rsidRDefault="000E2EF5" w:rsidP="00AC6259">
      <w:pPr>
        <w:pStyle w:val="FootnoteText"/>
        <w:rPr>
          <w:rFonts w:ascii="Times New Roman" w:hAnsi="Times New Roman" w:cs="Times New Roman"/>
          <w:color w:val="000000"/>
          <w:sz w:val="24"/>
          <w:szCs w:val="24"/>
          <w:lang w:val="es-ES"/>
        </w:rPr>
      </w:pPr>
    </w:p>
  </w:footnote>
  <w:footnote w:id="3">
    <w:p w14:paraId="034A3B05" w14:textId="3D69ACAB" w:rsidR="0003228E" w:rsidRPr="00556EBD" w:rsidRDefault="0003228E">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See, e.g., Universal Declaration of Human Rights, articles 1 and 2 and International Covenant on Economic, Social and Cultural Rights, articles 2(2) and 3.</w:t>
      </w:r>
    </w:p>
    <w:p w14:paraId="1A11FBF6" w14:textId="77777777" w:rsidR="000E2EF5" w:rsidRPr="00556EBD" w:rsidRDefault="000E2EF5">
      <w:pPr>
        <w:pStyle w:val="FootnoteText"/>
        <w:rPr>
          <w:rFonts w:ascii="Times New Roman" w:hAnsi="Times New Roman" w:cs="Times New Roman"/>
          <w:sz w:val="24"/>
          <w:szCs w:val="24"/>
        </w:rPr>
      </w:pPr>
    </w:p>
  </w:footnote>
  <w:footnote w:id="4">
    <w:p w14:paraId="4308A75D" w14:textId="3FBFE815" w:rsidR="003569DC" w:rsidRPr="00556EBD" w:rsidRDefault="003569DC">
      <w:pPr>
        <w:pStyle w:val="FootnoteText"/>
        <w:rPr>
          <w:rFonts w:ascii="Times New Roman" w:hAnsi="Times New Roman" w:cs="Times New Roman"/>
        </w:rPr>
      </w:pPr>
      <w:r w:rsidRPr="00556EBD">
        <w:rPr>
          <w:rStyle w:val="FootnoteReference"/>
          <w:rFonts w:ascii="Times New Roman" w:hAnsi="Times New Roman" w:cs="Times New Roman"/>
        </w:rPr>
        <w:footnoteRef/>
      </w:r>
      <w:r w:rsidRPr="00556EBD">
        <w:rPr>
          <w:rFonts w:ascii="Times New Roman" w:hAnsi="Times New Roman" w:cs="Times New Roman"/>
        </w:rPr>
        <w:t xml:space="preserve"> </w:t>
      </w:r>
      <w:r w:rsidRPr="00556EBD">
        <w:rPr>
          <w:rFonts w:ascii="Times New Roman" w:hAnsi="Times New Roman" w:cs="Times New Roman"/>
          <w:sz w:val="24"/>
          <w:szCs w:val="24"/>
        </w:rPr>
        <w:t>E/C.12/GC/21, para. 15 (a).</w:t>
      </w:r>
    </w:p>
  </w:footnote>
  <w:footnote w:id="5">
    <w:p w14:paraId="07A48893" w14:textId="7691375B" w:rsidR="00160A11" w:rsidRPr="00556EBD" w:rsidRDefault="00160A11">
      <w:pPr>
        <w:pStyle w:val="FootnoteText"/>
        <w:rPr>
          <w:rFonts w:ascii="Times New Roman" w:hAnsi="Times New Roman" w:cs="Times New Roman"/>
          <w:sz w:val="24"/>
          <w:szCs w:val="24"/>
        </w:rPr>
      </w:pPr>
      <w:r w:rsidRPr="00556EBD">
        <w:rPr>
          <w:rStyle w:val="FootnoteReference"/>
          <w:rFonts w:ascii="Times New Roman" w:hAnsi="Times New Roman" w:cs="Times New Roman"/>
        </w:rPr>
        <w:footnoteRef/>
      </w:r>
      <w:r w:rsidRPr="00556EBD">
        <w:rPr>
          <w:rFonts w:ascii="Times New Roman" w:hAnsi="Times New Roman" w:cs="Times New Roman"/>
        </w:rPr>
        <w:t xml:space="preserve"> </w:t>
      </w:r>
      <w:r w:rsidRPr="00556EBD">
        <w:rPr>
          <w:rFonts w:ascii="Times New Roman" w:hAnsi="Times New Roman" w:cs="Times New Roman"/>
          <w:sz w:val="24"/>
          <w:szCs w:val="24"/>
        </w:rPr>
        <w:t>A/HRC/23/34, para. 3.</w:t>
      </w:r>
    </w:p>
    <w:p w14:paraId="3C0599C4" w14:textId="77777777" w:rsidR="00160A11" w:rsidRPr="00556EBD" w:rsidRDefault="00160A11">
      <w:pPr>
        <w:pStyle w:val="FootnoteText"/>
        <w:rPr>
          <w:rFonts w:ascii="Times New Roman" w:hAnsi="Times New Roman" w:cs="Times New Roman"/>
        </w:rPr>
      </w:pPr>
    </w:p>
  </w:footnote>
  <w:footnote w:id="6">
    <w:p w14:paraId="0E611A7A" w14:textId="6CD69056" w:rsidR="003569DC" w:rsidRPr="00556EBD" w:rsidRDefault="003569DC">
      <w:pPr>
        <w:pStyle w:val="FootnoteText"/>
        <w:rPr>
          <w:rFonts w:ascii="Times New Roman" w:hAnsi="Times New Roman" w:cs="Times New Roman"/>
          <w:sz w:val="24"/>
          <w:szCs w:val="24"/>
        </w:rPr>
      </w:pPr>
      <w:r w:rsidRPr="00556EBD">
        <w:rPr>
          <w:rStyle w:val="FootnoteReference"/>
          <w:rFonts w:ascii="Times New Roman" w:hAnsi="Times New Roman" w:cs="Times New Roman"/>
        </w:rPr>
        <w:footnoteRef/>
      </w:r>
      <w:r w:rsidRPr="00556EBD">
        <w:rPr>
          <w:rFonts w:ascii="Times New Roman" w:hAnsi="Times New Roman" w:cs="Times New Roman"/>
        </w:rPr>
        <w:t xml:space="preserve"> </w:t>
      </w:r>
      <w:r w:rsidR="00160A11" w:rsidRPr="00556EBD">
        <w:rPr>
          <w:rFonts w:ascii="Times New Roman" w:hAnsi="Times New Roman" w:cs="Times New Roman"/>
          <w:i/>
          <w:iCs/>
          <w:sz w:val="24"/>
          <w:szCs w:val="24"/>
        </w:rPr>
        <w:t>Id</w:t>
      </w:r>
      <w:r w:rsidR="00160A11" w:rsidRPr="00556EBD">
        <w:rPr>
          <w:rFonts w:ascii="Times New Roman" w:hAnsi="Times New Roman" w:cs="Times New Roman"/>
          <w:sz w:val="24"/>
          <w:szCs w:val="24"/>
        </w:rPr>
        <w:t>., at</w:t>
      </w:r>
      <w:r w:rsidR="00160A11" w:rsidRPr="00556EBD">
        <w:rPr>
          <w:rFonts w:ascii="Times New Roman" w:hAnsi="Times New Roman" w:cs="Times New Roman"/>
        </w:rPr>
        <w:t xml:space="preserve"> </w:t>
      </w:r>
      <w:r w:rsidRPr="00556EBD">
        <w:rPr>
          <w:rFonts w:ascii="Times New Roman" w:hAnsi="Times New Roman" w:cs="Times New Roman"/>
          <w:sz w:val="24"/>
          <w:szCs w:val="24"/>
        </w:rPr>
        <w:t>para. 36.</w:t>
      </w:r>
    </w:p>
    <w:p w14:paraId="60D14AE0" w14:textId="77777777" w:rsidR="003569DC" w:rsidRPr="00556EBD" w:rsidRDefault="003569DC">
      <w:pPr>
        <w:pStyle w:val="FootnoteText"/>
        <w:rPr>
          <w:rFonts w:ascii="Times New Roman" w:hAnsi="Times New Roman" w:cs="Times New Roman"/>
        </w:rPr>
      </w:pPr>
    </w:p>
  </w:footnote>
  <w:footnote w:id="7">
    <w:p w14:paraId="13CB8823" w14:textId="559BE9DF" w:rsidR="003569DC" w:rsidRPr="00556EBD" w:rsidRDefault="003569DC">
      <w:pPr>
        <w:pStyle w:val="FootnoteText"/>
        <w:rPr>
          <w:rFonts w:ascii="Times New Roman" w:hAnsi="Times New Roman" w:cs="Times New Roman"/>
        </w:rPr>
      </w:pPr>
      <w:r w:rsidRPr="00556EBD">
        <w:rPr>
          <w:rStyle w:val="FootnoteReference"/>
          <w:rFonts w:ascii="Times New Roman" w:hAnsi="Times New Roman" w:cs="Times New Roman"/>
        </w:rPr>
        <w:footnoteRef/>
      </w:r>
      <w:r w:rsidRPr="00556EBD">
        <w:rPr>
          <w:rFonts w:ascii="Times New Roman" w:hAnsi="Times New Roman" w:cs="Times New Roman"/>
        </w:rPr>
        <w:t xml:space="preserve"> </w:t>
      </w:r>
      <w:r w:rsidRPr="00556EBD">
        <w:rPr>
          <w:rFonts w:ascii="Times New Roman" w:hAnsi="Times New Roman" w:cs="Times New Roman"/>
          <w:i/>
          <w:iCs/>
          <w:sz w:val="24"/>
          <w:szCs w:val="24"/>
        </w:rPr>
        <w:t>Id.</w:t>
      </w:r>
      <w:r w:rsidRPr="00556EBD">
        <w:rPr>
          <w:rFonts w:ascii="Times New Roman" w:hAnsi="Times New Roman" w:cs="Times New Roman"/>
          <w:sz w:val="24"/>
          <w:szCs w:val="24"/>
        </w:rPr>
        <w:t xml:space="preserve"> at</w:t>
      </w:r>
      <w:r w:rsidR="00160A11" w:rsidRPr="00556EBD">
        <w:rPr>
          <w:rFonts w:ascii="Times New Roman" w:hAnsi="Times New Roman" w:cs="Times New Roman"/>
          <w:sz w:val="24"/>
          <w:szCs w:val="24"/>
        </w:rPr>
        <w:t xml:space="preserve"> para.</w:t>
      </w:r>
      <w:r w:rsidRPr="00556EBD">
        <w:rPr>
          <w:rFonts w:ascii="Times New Roman" w:hAnsi="Times New Roman" w:cs="Times New Roman"/>
          <w:sz w:val="24"/>
          <w:szCs w:val="24"/>
        </w:rPr>
        <w:t xml:space="preserve"> 52.</w:t>
      </w:r>
    </w:p>
    <w:p w14:paraId="42C1843E" w14:textId="77777777" w:rsidR="00B63587" w:rsidRPr="00556EBD" w:rsidRDefault="00B63587">
      <w:pPr>
        <w:pStyle w:val="FootnoteText"/>
        <w:rPr>
          <w:rFonts w:ascii="Times New Roman" w:hAnsi="Times New Roman" w:cs="Times New Roman"/>
        </w:rPr>
      </w:pPr>
    </w:p>
  </w:footnote>
  <w:footnote w:id="8">
    <w:p w14:paraId="3C3CFEF1" w14:textId="588A1981" w:rsidR="005C69B7" w:rsidRPr="00556EBD" w:rsidRDefault="005C69B7">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General Assembly resolution </w:t>
      </w:r>
      <w:hyperlink r:id="rId2" w:history="1">
        <w:r w:rsidRPr="00556EBD">
          <w:rPr>
            <w:rStyle w:val="Hyperlink"/>
            <w:rFonts w:ascii="Times New Roman" w:hAnsi="Times New Roman" w:cs="Times New Roman"/>
            <w:sz w:val="24"/>
            <w:szCs w:val="24"/>
          </w:rPr>
          <w:t>47/135</w:t>
        </w:r>
      </w:hyperlink>
      <w:r w:rsidRPr="00556EBD">
        <w:rPr>
          <w:rFonts w:ascii="Times New Roman" w:hAnsi="Times New Roman" w:cs="Times New Roman"/>
          <w:sz w:val="24"/>
          <w:szCs w:val="24"/>
        </w:rPr>
        <w:t>, annex (Declaration on the Rights of Persons Belonging to National or Ethnic, Religious and Linguistic Minorities), art</w:t>
      </w:r>
      <w:r w:rsidR="007C639B" w:rsidRPr="00556EBD">
        <w:rPr>
          <w:rFonts w:ascii="Times New Roman" w:hAnsi="Times New Roman" w:cs="Times New Roman"/>
          <w:sz w:val="24"/>
          <w:szCs w:val="24"/>
        </w:rPr>
        <w:t>icle</w:t>
      </w:r>
      <w:r w:rsidRPr="00556EBD">
        <w:rPr>
          <w:rFonts w:ascii="Times New Roman" w:hAnsi="Times New Roman" w:cs="Times New Roman"/>
          <w:sz w:val="24"/>
          <w:szCs w:val="24"/>
        </w:rPr>
        <w:t xml:space="preserve"> 2.</w:t>
      </w:r>
    </w:p>
  </w:footnote>
  <w:footnote w:id="9">
    <w:p w14:paraId="76550AC7" w14:textId="2F475B88" w:rsidR="001978A1" w:rsidRPr="00556EBD" w:rsidRDefault="001978A1" w:rsidP="001978A1">
      <w:pPr>
        <w:pStyle w:val="FootnoteText"/>
        <w:rPr>
          <w:rFonts w:ascii="Times New Roman" w:eastAsia="Calibri" w:hAnsi="Times New Roman" w:cs="Times New Roman"/>
          <w:color w:val="000000"/>
          <w:sz w:val="24"/>
          <w:szCs w:val="24"/>
        </w:rPr>
      </w:pPr>
      <w:r w:rsidRPr="00556EBD">
        <w:rPr>
          <w:rStyle w:val="FootnoteReference"/>
          <w:rFonts w:ascii="Times New Roman" w:hAnsi="Times New Roman" w:cs="Times New Roman"/>
          <w:sz w:val="24"/>
          <w:szCs w:val="24"/>
        </w:rPr>
        <w:footnoteRef/>
      </w:r>
      <w:r w:rsidRPr="00556EBD">
        <w:rPr>
          <w:rFonts w:ascii="Times New Roman" w:eastAsia="Calibri" w:hAnsi="Times New Roman" w:cs="Times New Roman"/>
          <w:color w:val="000000"/>
          <w:sz w:val="24"/>
          <w:szCs w:val="24"/>
        </w:rPr>
        <w:t xml:space="preserve"> See General Assembly resolution 70/1, annex; see also Jyoti </w:t>
      </w:r>
      <w:proofErr w:type="spellStart"/>
      <w:r w:rsidRPr="00556EBD">
        <w:rPr>
          <w:rFonts w:ascii="Times New Roman" w:eastAsia="Calibri" w:hAnsi="Times New Roman" w:cs="Times New Roman"/>
          <w:color w:val="000000"/>
          <w:sz w:val="24"/>
          <w:szCs w:val="24"/>
        </w:rPr>
        <w:t>Hosagrahar</w:t>
      </w:r>
      <w:proofErr w:type="spellEnd"/>
      <w:r w:rsidRPr="00556EBD">
        <w:rPr>
          <w:rFonts w:ascii="Times New Roman" w:eastAsia="Calibri" w:hAnsi="Times New Roman" w:cs="Times New Roman"/>
          <w:color w:val="000000"/>
          <w:sz w:val="24"/>
          <w:szCs w:val="24"/>
        </w:rPr>
        <w:t xml:space="preserve">, “Culture: at the heart of SDGs”, </w:t>
      </w:r>
      <w:r w:rsidRPr="00556EBD">
        <w:rPr>
          <w:rFonts w:ascii="Times New Roman" w:eastAsia="Calibri" w:hAnsi="Times New Roman" w:cs="Times New Roman"/>
          <w:i/>
          <w:iCs/>
          <w:color w:val="000000"/>
          <w:sz w:val="24"/>
          <w:szCs w:val="24"/>
        </w:rPr>
        <w:t>The UNESCO Courier</w:t>
      </w:r>
      <w:r w:rsidRPr="00556EBD">
        <w:rPr>
          <w:rFonts w:ascii="Times New Roman" w:eastAsia="Calibri" w:hAnsi="Times New Roman" w:cs="Times New Roman"/>
          <w:color w:val="000000"/>
          <w:sz w:val="24"/>
          <w:szCs w:val="24"/>
        </w:rPr>
        <w:t>, April–June 2017.</w:t>
      </w:r>
    </w:p>
    <w:p w14:paraId="5F8F3D82" w14:textId="77777777" w:rsidR="007C639B" w:rsidRPr="00556EBD" w:rsidRDefault="007C639B" w:rsidP="001978A1">
      <w:pPr>
        <w:pStyle w:val="FootnoteText"/>
        <w:rPr>
          <w:rFonts w:ascii="Times New Roman" w:eastAsia="Calibri" w:hAnsi="Times New Roman" w:cs="Times New Roman"/>
          <w:color w:val="000000"/>
          <w:sz w:val="24"/>
          <w:szCs w:val="24"/>
        </w:rPr>
      </w:pPr>
    </w:p>
  </w:footnote>
  <w:footnote w:id="10">
    <w:p w14:paraId="1F6FFCD9" w14:textId="537311E5" w:rsidR="009816A3" w:rsidRPr="00556EBD" w:rsidRDefault="009816A3" w:rsidP="009816A3">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A/HRC/43/50, paras. 32-45.</w:t>
      </w:r>
    </w:p>
    <w:p w14:paraId="00827256" w14:textId="77777777" w:rsidR="00B63587" w:rsidRPr="00556EBD" w:rsidRDefault="00B63587" w:rsidP="009816A3">
      <w:pPr>
        <w:pStyle w:val="FootnoteText"/>
        <w:rPr>
          <w:rFonts w:ascii="Times New Roman" w:hAnsi="Times New Roman" w:cs="Times New Roman"/>
          <w:sz w:val="24"/>
          <w:szCs w:val="24"/>
        </w:rPr>
      </w:pPr>
    </w:p>
  </w:footnote>
  <w:footnote w:id="11">
    <w:p w14:paraId="42E24F82" w14:textId="27B455B0" w:rsidR="001A1B89" w:rsidRPr="00556EBD" w:rsidRDefault="001A1B89" w:rsidP="001A1B89">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r w:rsidR="00B63587" w:rsidRPr="00556EBD">
        <w:rPr>
          <w:rFonts w:ascii="Times New Roman" w:hAnsi="Times New Roman" w:cs="Times New Roman"/>
          <w:sz w:val="24"/>
          <w:szCs w:val="24"/>
        </w:rPr>
        <w:t xml:space="preserve">CESCR </w:t>
      </w:r>
      <w:r w:rsidRPr="00556EBD">
        <w:rPr>
          <w:rFonts w:ascii="Times New Roman" w:hAnsi="Times New Roman" w:cs="Times New Roman"/>
          <w:sz w:val="24"/>
          <w:szCs w:val="24"/>
        </w:rPr>
        <w:t>General Comment No. 21, Para. 23.</w:t>
      </w:r>
    </w:p>
    <w:p w14:paraId="5A82D892" w14:textId="77777777" w:rsidR="000E2EF5" w:rsidRPr="00556EBD" w:rsidRDefault="000E2EF5" w:rsidP="001A1B89">
      <w:pPr>
        <w:pStyle w:val="FootnoteText"/>
        <w:rPr>
          <w:rFonts w:ascii="Times New Roman" w:hAnsi="Times New Roman" w:cs="Times New Roman"/>
          <w:sz w:val="24"/>
          <w:szCs w:val="24"/>
        </w:rPr>
      </w:pPr>
    </w:p>
  </w:footnote>
  <w:footnote w:id="12">
    <w:p w14:paraId="7F10FBD9" w14:textId="48BF3D9B" w:rsidR="001A1B89" w:rsidRPr="00556EBD" w:rsidRDefault="001A1B89" w:rsidP="001A1B89">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r w:rsidRPr="00556EBD">
        <w:rPr>
          <w:rFonts w:ascii="Times New Roman" w:hAnsi="Times New Roman" w:cs="Times New Roman"/>
          <w:i/>
          <w:iCs/>
          <w:sz w:val="24"/>
          <w:szCs w:val="24"/>
        </w:rPr>
        <w:t>Id</w:t>
      </w:r>
      <w:r w:rsidRPr="00556EBD">
        <w:rPr>
          <w:rFonts w:ascii="Times New Roman" w:hAnsi="Times New Roman" w:cs="Times New Roman"/>
          <w:sz w:val="24"/>
          <w:szCs w:val="24"/>
        </w:rPr>
        <w:t>.</w:t>
      </w:r>
      <w:r w:rsidR="00721FB3" w:rsidRPr="00556EBD">
        <w:rPr>
          <w:rFonts w:ascii="Times New Roman" w:hAnsi="Times New Roman" w:cs="Times New Roman"/>
          <w:sz w:val="24"/>
          <w:szCs w:val="24"/>
        </w:rPr>
        <w:t>,</w:t>
      </w:r>
      <w:r w:rsidRPr="00556EBD">
        <w:rPr>
          <w:rFonts w:ascii="Times New Roman" w:hAnsi="Times New Roman" w:cs="Times New Roman"/>
          <w:sz w:val="24"/>
          <w:szCs w:val="24"/>
        </w:rPr>
        <w:t xml:space="preserve"> para, 55(b).</w:t>
      </w:r>
    </w:p>
  </w:footnote>
  <w:footnote w:id="13">
    <w:p w14:paraId="0C6509EE" w14:textId="77777777" w:rsidR="007C639B" w:rsidRPr="00556EBD" w:rsidRDefault="007C639B" w:rsidP="00556EBD">
      <w:pPr>
        <w:pStyle w:val="FootnoteText"/>
        <w:rPr>
          <w:rFonts w:ascii="Times New Roman" w:hAnsi="Times New Roman" w:cs="Times New Roman"/>
          <w:sz w:val="24"/>
          <w:szCs w:val="24"/>
        </w:rPr>
      </w:pPr>
    </w:p>
    <w:p w14:paraId="5002031E" w14:textId="15377A8C" w:rsidR="001A1B89" w:rsidRPr="00556EBD" w:rsidRDefault="001A1B89" w:rsidP="00C30403">
      <w:pPr>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hyperlink r:id="rId3" w:history="1">
        <w:r w:rsidRPr="00556EBD">
          <w:rPr>
            <w:rFonts w:ascii="Times New Roman" w:hAnsi="Times New Roman" w:cs="Times New Roman"/>
            <w:sz w:val="24"/>
            <w:szCs w:val="24"/>
          </w:rPr>
          <w:t>A/HRC/44/57</w:t>
        </w:r>
      </w:hyperlink>
      <w:r w:rsidRPr="00556EBD">
        <w:rPr>
          <w:rFonts w:ascii="Times New Roman" w:hAnsi="Times New Roman" w:cs="Times New Roman"/>
          <w:sz w:val="24"/>
          <w:szCs w:val="24"/>
        </w:rPr>
        <w:t>, para. 51</w:t>
      </w:r>
      <w:r w:rsidRPr="00556EBD">
        <w:rPr>
          <w:rFonts w:ascii="Times New Roman" w:hAnsi="Times New Roman" w:cs="Times New Roman"/>
        </w:rPr>
        <w:t>.</w:t>
      </w:r>
    </w:p>
  </w:footnote>
  <w:footnote w:id="14">
    <w:p w14:paraId="53A54BC2" w14:textId="67C2BEB4" w:rsidR="001978A1" w:rsidRPr="00556EBD" w:rsidRDefault="001978A1" w:rsidP="001978A1">
      <w:pPr>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hyperlink r:id="rId4" w:tooltip="Mission to Greece (May 2016)" w:history="1">
        <w:r w:rsidRPr="00556EBD">
          <w:rPr>
            <w:rFonts w:ascii="Times New Roman" w:hAnsi="Times New Roman" w:cs="Times New Roman"/>
            <w:sz w:val="24"/>
            <w:szCs w:val="24"/>
          </w:rPr>
          <w:t>A/HRC/32/50/Add.1</w:t>
        </w:r>
      </w:hyperlink>
      <w:r w:rsidRPr="00556EBD">
        <w:rPr>
          <w:rFonts w:ascii="Times New Roman" w:hAnsi="Times New Roman" w:cs="Times New Roman"/>
          <w:sz w:val="24"/>
          <w:szCs w:val="24"/>
        </w:rPr>
        <w:t>, para 34</w:t>
      </w:r>
      <w:r w:rsidR="00B63587" w:rsidRPr="00556EBD">
        <w:rPr>
          <w:rFonts w:ascii="Times New Roman" w:hAnsi="Times New Roman" w:cs="Times New Roman"/>
          <w:sz w:val="24"/>
          <w:szCs w:val="24"/>
        </w:rPr>
        <w:t xml:space="preserve">, and </w:t>
      </w:r>
      <w:hyperlink r:id="rId5" w:history="1">
        <w:r w:rsidRPr="00556EBD">
          <w:rPr>
            <w:rFonts w:ascii="Times New Roman" w:hAnsi="Times New Roman" w:cs="Times New Roman"/>
            <w:sz w:val="24"/>
            <w:szCs w:val="24"/>
          </w:rPr>
          <w:t>A/61/335</w:t>
        </w:r>
      </w:hyperlink>
      <w:r w:rsidRPr="00556EBD">
        <w:rPr>
          <w:rFonts w:ascii="Times New Roman" w:hAnsi="Times New Roman" w:cs="Times New Roman"/>
          <w:sz w:val="24"/>
          <w:szCs w:val="24"/>
        </w:rPr>
        <w:t>, para. 16</w:t>
      </w:r>
      <w:r w:rsidR="00B63587" w:rsidRPr="00556EBD">
        <w:rPr>
          <w:rFonts w:ascii="Times New Roman" w:hAnsi="Times New Roman" w:cs="Times New Roman"/>
          <w:sz w:val="24"/>
          <w:szCs w:val="24"/>
        </w:rPr>
        <w:t>.</w:t>
      </w:r>
    </w:p>
  </w:footnote>
  <w:footnote w:id="15">
    <w:p w14:paraId="0758453F" w14:textId="77777777" w:rsidR="001978A1" w:rsidRPr="00556EBD" w:rsidRDefault="001978A1" w:rsidP="001978A1">
      <w:pPr>
        <w:rPr>
          <w:rFonts w:ascii="Times New Roman" w:eastAsia="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hyperlink r:id="rId6" w:history="1">
        <w:r w:rsidRPr="00556EBD">
          <w:rPr>
            <w:rFonts w:ascii="Times New Roman" w:hAnsi="Times New Roman" w:cs="Times New Roman"/>
            <w:sz w:val="24"/>
            <w:szCs w:val="24"/>
          </w:rPr>
          <w:t>A/HRC/7/19</w:t>
        </w:r>
      </w:hyperlink>
      <w:r w:rsidRPr="00556EBD">
        <w:rPr>
          <w:rFonts w:ascii="Times New Roman" w:hAnsi="Times New Roman" w:cs="Times New Roman"/>
          <w:sz w:val="24"/>
          <w:szCs w:val="24"/>
        </w:rPr>
        <w:t>, para. 64.</w:t>
      </w:r>
    </w:p>
  </w:footnote>
  <w:footnote w:id="16">
    <w:p w14:paraId="49D65759" w14:textId="2FCD534D" w:rsidR="009816A3" w:rsidRPr="00556EBD" w:rsidRDefault="009816A3">
      <w:pPr>
        <w:pStyle w:val="FootnoteText"/>
        <w:rPr>
          <w:rFonts w:ascii="Times New Roman" w:eastAsia="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hyperlink r:id="rId7" w:history="1">
        <w:r w:rsidRPr="00556EBD">
          <w:rPr>
            <w:rFonts w:ascii="Times New Roman" w:hAnsi="Times New Roman" w:cs="Times New Roman"/>
            <w:sz w:val="24"/>
            <w:szCs w:val="24"/>
          </w:rPr>
          <w:t>A/HRC/44/57</w:t>
        </w:r>
      </w:hyperlink>
      <w:r w:rsidRPr="00556EBD">
        <w:rPr>
          <w:rFonts w:ascii="Times New Roman" w:hAnsi="Times New Roman" w:cs="Times New Roman"/>
          <w:sz w:val="24"/>
          <w:szCs w:val="24"/>
        </w:rPr>
        <w:t>, par</w:t>
      </w:r>
      <w:r w:rsidRPr="00556EBD">
        <w:rPr>
          <w:rFonts w:ascii="Times New Roman" w:eastAsia="Times New Roman" w:hAnsi="Times New Roman" w:cs="Times New Roman"/>
          <w:sz w:val="24"/>
          <w:szCs w:val="24"/>
        </w:rPr>
        <w:t>a. 52.</w:t>
      </w:r>
    </w:p>
    <w:p w14:paraId="1767F238" w14:textId="77777777" w:rsidR="009816A3" w:rsidRPr="00556EBD" w:rsidRDefault="009816A3">
      <w:pPr>
        <w:pStyle w:val="FootnoteText"/>
        <w:rPr>
          <w:rFonts w:ascii="Times New Roman" w:hAnsi="Times New Roman" w:cs="Times New Roman"/>
          <w:sz w:val="24"/>
          <w:szCs w:val="24"/>
        </w:rPr>
      </w:pPr>
    </w:p>
  </w:footnote>
  <w:footnote w:id="17">
    <w:p w14:paraId="048A1D75" w14:textId="41D692C7" w:rsidR="0050218F" w:rsidRPr="00556EBD" w:rsidRDefault="0050218F" w:rsidP="00BF20F4">
      <w:pPr>
        <w:pStyle w:val="NormalWeb"/>
      </w:pPr>
      <w:r w:rsidRPr="00556EBD">
        <w:rPr>
          <w:rStyle w:val="FootnoteReference"/>
        </w:rPr>
        <w:footnoteRef/>
      </w:r>
      <w:r w:rsidRPr="00556EBD">
        <w:t xml:space="preserve"> A series of reports </w:t>
      </w:r>
      <w:r w:rsidR="00B63587" w:rsidRPr="00556EBD">
        <w:t xml:space="preserve">prepared in relation </w:t>
      </w:r>
      <w:r w:rsidR="006D7B68" w:rsidRPr="00556EBD">
        <w:t>to</w:t>
      </w:r>
      <w:r w:rsidRPr="00556EBD">
        <w:t xml:space="preserve"> implementation of the 2005 UNESCO Convention are a valuable resource: </w:t>
      </w:r>
      <w:hyperlink r:id="rId8" w:history="1">
        <w:r w:rsidRPr="00556EBD">
          <w:rPr>
            <w:rStyle w:val="cf01"/>
            <w:rFonts w:ascii="Times New Roman" w:hAnsi="Times New Roman" w:cs="Times New Roman"/>
            <w:color w:val="0000FF"/>
            <w:sz w:val="24"/>
            <w:szCs w:val="24"/>
            <w:u w:val="single"/>
          </w:rPr>
          <w:t>Publications | Diversity of Cultural Expressions (unesco.org)</w:t>
        </w:r>
      </w:hyperlink>
      <w:r w:rsidRPr="00556EBD">
        <w:t xml:space="preserve">; </w:t>
      </w:r>
      <w:hyperlink r:id="rId9" w:history="1">
        <w:r w:rsidRPr="00556EBD">
          <w:rPr>
            <w:rStyle w:val="cf01"/>
            <w:rFonts w:ascii="Times New Roman" w:hAnsi="Times New Roman" w:cs="Times New Roman"/>
            <w:color w:val="0000FF"/>
            <w:sz w:val="24"/>
            <w:szCs w:val="24"/>
            <w:u w:val="single"/>
          </w:rPr>
          <w:t xml:space="preserve">2018 Global Report - </w:t>
        </w:r>
        <w:proofErr w:type="spellStart"/>
        <w:r w:rsidRPr="00556EBD">
          <w:rPr>
            <w:rStyle w:val="cf01"/>
            <w:rFonts w:ascii="Times New Roman" w:hAnsi="Times New Roman" w:cs="Times New Roman"/>
            <w:color w:val="0000FF"/>
            <w:sz w:val="24"/>
            <w:szCs w:val="24"/>
            <w:u w:val="single"/>
          </w:rPr>
          <w:t>Re|Shaping</w:t>
        </w:r>
        <w:proofErr w:type="spellEnd"/>
        <w:r w:rsidRPr="00556EBD">
          <w:rPr>
            <w:rStyle w:val="cf01"/>
            <w:rFonts w:ascii="Times New Roman" w:hAnsi="Times New Roman" w:cs="Times New Roman"/>
            <w:color w:val="0000FF"/>
            <w:sz w:val="24"/>
            <w:szCs w:val="24"/>
            <w:u w:val="single"/>
          </w:rPr>
          <w:t xml:space="preserve"> Cultural Policies | Diversity of Cultural Expressions (unesco.org)</w:t>
        </w:r>
      </w:hyperlink>
      <w:r w:rsidRPr="00556EBD">
        <w:t>;</w:t>
      </w:r>
      <w:r w:rsidR="006D7B68" w:rsidRPr="00556EBD">
        <w:t xml:space="preserve"> and</w:t>
      </w:r>
      <w:r w:rsidRPr="00556EBD">
        <w:t xml:space="preserve"> </w:t>
      </w:r>
      <w:hyperlink r:id="rId10" w:history="1">
        <w:r w:rsidRPr="00556EBD">
          <w:rPr>
            <w:rStyle w:val="cf01"/>
            <w:rFonts w:ascii="Times New Roman" w:hAnsi="Times New Roman" w:cs="Times New Roman"/>
            <w:color w:val="0000FF"/>
            <w:sz w:val="24"/>
            <w:szCs w:val="24"/>
            <w:u w:val="single"/>
          </w:rPr>
          <w:t>Freedom &amp; Creativity: Defending art, defending diversity | Diversity of Cultural Expressions (unesco.org)</w:t>
        </w:r>
      </w:hyperlink>
      <w:r w:rsidR="006D7B68" w:rsidRPr="00556EBD">
        <w:t>.</w:t>
      </w:r>
    </w:p>
  </w:footnote>
  <w:footnote w:id="18">
    <w:p w14:paraId="0FF80453" w14:textId="521301E6" w:rsidR="001A1B89" w:rsidRPr="00556EBD" w:rsidRDefault="001A1B89" w:rsidP="001A1B89">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The convention notes that “</w:t>
      </w:r>
      <w:r w:rsidR="007C639B" w:rsidRPr="00556EBD">
        <w:rPr>
          <w:rFonts w:ascii="Times New Roman" w:hAnsi="Times New Roman" w:cs="Times New Roman"/>
          <w:sz w:val="24"/>
          <w:szCs w:val="24"/>
        </w:rPr>
        <w:t>i</w:t>
      </w:r>
      <w:r w:rsidRPr="00556EBD">
        <w:rPr>
          <w:rFonts w:ascii="Times New Roman" w:hAnsi="Times New Roman" w:cs="Times New Roman"/>
          <w:sz w:val="24"/>
          <w:szCs w:val="24"/>
        </w:rPr>
        <w:t xml:space="preserve">nterculturality” </w:t>
      </w:r>
      <w:r w:rsidR="00BF20F4" w:rsidRPr="00556EBD">
        <w:rPr>
          <w:rFonts w:ascii="Times New Roman" w:hAnsi="Times New Roman" w:cs="Times New Roman"/>
          <w:sz w:val="24"/>
          <w:szCs w:val="24"/>
        </w:rPr>
        <w:t>“</w:t>
      </w:r>
      <w:r w:rsidRPr="00556EBD">
        <w:rPr>
          <w:rFonts w:ascii="Times New Roman" w:hAnsi="Times New Roman" w:cs="Times New Roman"/>
          <w:sz w:val="24"/>
          <w:szCs w:val="24"/>
        </w:rPr>
        <w:t>refers to the existence and equitable interaction of diverse cultures and the possibility of generating shared cultural expressions through dialogue and mutual respect…”</w:t>
      </w:r>
      <w:r w:rsidR="007C639B" w:rsidRPr="00556EBD">
        <w:rPr>
          <w:rFonts w:ascii="Times New Roman" w:hAnsi="Times New Roman" w:cs="Times New Roman"/>
          <w:sz w:val="24"/>
          <w:szCs w:val="24"/>
        </w:rPr>
        <w:t xml:space="preserve"> (article 4(8)).</w:t>
      </w:r>
    </w:p>
    <w:p w14:paraId="567E9D3E" w14:textId="77777777" w:rsidR="000E2EF5" w:rsidRPr="00556EBD" w:rsidRDefault="000E2EF5" w:rsidP="001A1B89">
      <w:pPr>
        <w:pStyle w:val="FootnoteText"/>
        <w:rPr>
          <w:rFonts w:ascii="Times New Roman" w:hAnsi="Times New Roman" w:cs="Times New Roman"/>
          <w:sz w:val="24"/>
          <w:szCs w:val="24"/>
        </w:rPr>
      </w:pPr>
    </w:p>
  </w:footnote>
  <w:footnote w:id="19">
    <w:p w14:paraId="0171AFC8" w14:textId="4D19E55B" w:rsidR="001A1B89" w:rsidRPr="00556EBD" w:rsidRDefault="001A1B89" w:rsidP="001A1B89">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A/73/227.</w:t>
      </w:r>
    </w:p>
    <w:p w14:paraId="7580A98D" w14:textId="77777777" w:rsidR="007C639B" w:rsidRPr="00556EBD" w:rsidRDefault="007C639B" w:rsidP="001A1B89">
      <w:pPr>
        <w:pStyle w:val="FootnoteText"/>
        <w:rPr>
          <w:rFonts w:ascii="Times New Roman" w:hAnsi="Times New Roman" w:cs="Times New Roman"/>
          <w:sz w:val="24"/>
          <w:szCs w:val="24"/>
        </w:rPr>
      </w:pPr>
    </w:p>
  </w:footnote>
  <w:footnote w:id="20">
    <w:p w14:paraId="01713984" w14:textId="63F569BA" w:rsidR="001A1B89" w:rsidRPr="00556EBD" w:rsidRDefault="001A1B89" w:rsidP="001A1B89">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r w:rsidRPr="00556EBD">
        <w:rPr>
          <w:rFonts w:ascii="Times New Roman" w:hAnsi="Times New Roman" w:cs="Times New Roman"/>
          <w:i/>
          <w:iCs/>
          <w:sz w:val="24"/>
          <w:szCs w:val="24"/>
        </w:rPr>
        <w:t>Id</w:t>
      </w:r>
      <w:r w:rsidRPr="00556EBD">
        <w:rPr>
          <w:rFonts w:ascii="Times New Roman" w:hAnsi="Times New Roman" w:cs="Times New Roman"/>
          <w:sz w:val="24"/>
          <w:szCs w:val="24"/>
        </w:rPr>
        <w:t>., para. 18, citing UN Charter, arts. 55, 56.</w:t>
      </w:r>
    </w:p>
    <w:p w14:paraId="58E5E6CD" w14:textId="77777777" w:rsidR="007C639B" w:rsidRPr="00556EBD" w:rsidRDefault="007C639B" w:rsidP="001A1B89">
      <w:pPr>
        <w:pStyle w:val="FootnoteText"/>
        <w:rPr>
          <w:rFonts w:ascii="Times New Roman" w:hAnsi="Times New Roman" w:cs="Times New Roman"/>
          <w:sz w:val="24"/>
          <w:szCs w:val="24"/>
        </w:rPr>
      </w:pPr>
    </w:p>
  </w:footnote>
  <w:footnote w:id="21">
    <w:p w14:paraId="6FB836B9" w14:textId="06D42556" w:rsidR="001A1B89" w:rsidRPr="00556EBD" w:rsidRDefault="001A1B89" w:rsidP="001A1B89">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r w:rsidRPr="00556EBD">
        <w:rPr>
          <w:rFonts w:ascii="Times New Roman" w:hAnsi="Times New Roman" w:cs="Times New Roman"/>
          <w:i/>
          <w:iCs/>
          <w:sz w:val="24"/>
          <w:szCs w:val="24"/>
        </w:rPr>
        <w:t>Id</w:t>
      </w:r>
      <w:r w:rsidRPr="00556EBD">
        <w:rPr>
          <w:rFonts w:ascii="Times New Roman" w:hAnsi="Times New Roman" w:cs="Times New Roman"/>
          <w:sz w:val="24"/>
          <w:szCs w:val="24"/>
        </w:rPr>
        <w:t xml:space="preserve">., paras. 1, 2, and 9.  See also </w:t>
      </w:r>
      <w:hyperlink r:id="rId11" w:history="1">
        <w:r w:rsidRPr="00556EBD">
          <w:rPr>
            <w:rStyle w:val="Hyperlink"/>
            <w:rFonts w:ascii="Times New Roman" w:hAnsi="Times New Roman" w:cs="Times New Roman"/>
            <w:sz w:val="24"/>
            <w:szCs w:val="24"/>
          </w:rPr>
          <w:t>A/HRC/14/36</w:t>
        </w:r>
      </w:hyperlink>
      <w:r w:rsidRPr="00556EBD">
        <w:rPr>
          <w:rFonts w:ascii="Times New Roman" w:hAnsi="Times New Roman" w:cs="Times New Roman"/>
          <w:sz w:val="24"/>
          <w:szCs w:val="24"/>
        </w:rPr>
        <w:t xml:space="preserve">, para. 3. </w:t>
      </w:r>
    </w:p>
    <w:p w14:paraId="13A90613" w14:textId="77777777" w:rsidR="007C639B" w:rsidRPr="00556EBD" w:rsidRDefault="007C639B" w:rsidP="001A1B89">
      <w:pPr>
        <w:pStyle w:val="FootnoteText"/>
        <w:rPr>
          <w:rFonts w:ascii="Times New Roman" w:hAnsi="Times New Roman" w:cs="Times New Roman"/>
          <w:sz w:val="24"/>
          <w:szCs w:val="24"/>
        </w:rPr>
      </w:pPr>
    </w:p>
  </w:footnote>
  <w:footnote w:id="22">
    <w:p w14:paraId="09183E46" w14:textId="565AB25C" w:rsidR="001A1B89" w:rsidRPr="00556EBD" w:rsidRDefault="001A1B89" w:rsidP="001A1B89">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r w:rsidRPr="00556EBD">
        <w:rPr>
          <w:rFonts w:ascii="Times New Roman" w:hAnsi="Times New Roman" w:cs="Times New Roman"/>
          <w:i/>
          <w:iCs/>
          <w:sz w:val="24"/>
          <w:szCs w:val="24"/>
        </w:rPr>
        <w:t>Id</w:t>
      </w:r>
      <w:r w:rsidRPr="00556EBD">
        <w:rPr>
          <w:rFonts w:ascii="Times New Roman" w:hAnsi="Times New Roman" w:cs="Times New Roman"/>
          <w:sz w:val="24"/>
          <w:szCs w:val="24"/>
        </w:rPr>
        <w:t>., para. 11.</w:t>
      </w:r>
    </w:p>
    <w:p w14:paraId="70795ABF" w14:textId="77777777" w:rsidR="007C639B" w:rsidRPr="00556EBD" w:rsidRDefault="007C639B" w:rsidP="001A1B89">
      <w:pPr>
        <w:pStyle w:val="FootnoteText"/>
        <w:rPr>
          <w:rFonts w:ascii="Times New Roman" w:hAnsi="Times New Roman" w:cs="Times New Roman"/>
          <w:sz w:val="24"/>
          <w:szCs w:val="24"/>
        </w:rPr>
      </w:pPr>
    </w:p>
  </w:footnote>
  <w:footnote w:id="23">
    <w:p w14:paraId="0219AD52" w14:textId="58EBCAF5" w:rsidR="001A1B89" w:rsidRPr="00556EBD" w:rsidRDefault="001A1B89" w:rsidP="001A1B8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r w:rsidRPr="00556EBD">
        <w:rPr>
          <w:rFonts w:ascii="Times New Roman" w:hAnsi="Times New Roman" w:cs="Times New Roman"/>
          <w:sz w:val="24"/>
          <w:szCs w:val="24"/>
        </w:rPr>
        <w:tab/>
        <w:t xml:space="preserve">See </w:t>
      </w:r>
      <w:hyperlink r:id="rId12" w:history="1">
        <w:r w:rsidRPr="00556EBD">
          <w:rPr>
            <w:rStyle w:val="Hyperlink"/>
            <w:rFonts w:ascii="Times New Roman" w:hAnsi="Times New Roman" w:cs="Times New Roman"/>
            <w:sz w:val="24"/>
            <w:szCs w:val="24"/>
          </w:rPr>
          <w:t>A/CONF.157/24 (Part I</w:t>
        </w:r>
      </w:hyperlink>
      <w:r w:rsidRPr="00556EBD">
        <w:rPr>
          <w:rFonts w:ascii="Times New Roman" w:hAnsi="Times New Roman" w:cs="Times New Roman"/>
          <w:sz w:val="24"/>
          <w:szCs w:val="24"/>
        </w:rPr>
        <w:t>),</w:t>
      </w:r>
      <w:r w:rsidR="000A117D">
        <w:rPr>
          <w:rFonts w:ascii="Times New Roman" w:hAnsi="Times New Roman" w:cs="Times New Roman"/>
          <w:sz w:val="24"/>
          <w:szCs w:val="24"/>
        </w:rPr>
        <w:t xml:space="preserve"> para. 5,</w:t>
      </w:r>
      <w:r w:rsidRPr="00556EBD">
        <w:rPr>
          <w:rFonts w:ascii="Times New Roman" w:hAnsi="Times New Roman" w:cs="Times New Roman"/>
          <w:sz w:val="24"/>
          <w:szCs w:val="24"/>
        </w:rPr>
        <w:t xml:space="preserve"> chap. III (Vienna Declaration and </w:t>
      </w:r>
      <w:proofErr w:type="spellStart"/>
      <w:r w:rsidRPr="00556EBD">
        <w:rPr>
          <w:rFonts w:ascii="Times New Roman" w:hAnsi="Times New Roman" w:cs="Times New Roman"/>
          <w:sz w:val="24"/>
          <w:szCs w:val="24"/>
        </w:rPr>
        <w:t>Programme</w:t>
      </w:r>
      <w:proofErr w:type="spellEnd"/>
      <w:r w:rsidRPr="00556EBD">
        <w:rPr>
          <w:rFonts w:ascii="Times New Roman" w:hAnsi="Times New Roman" w:cs="Times New Roman"/>
          <w:sz w:val="24"/>
          <w:szCs w:val="24"/>
        </w:rPr>
        <w:t xml:space="preserve"> of Action).</w:t>
      </w:r>
    </w:p>
  </w:footnote>
  <w:footnote w:id="24">
    <w:p w14:paraId="42D3B231" w14:textId="7A9B3DBB" w:rsidR="007C2FB7" w:rsidRPr="00556EBD" w:rsidRDefault="007C2FB7">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See also E/CN.4/Sub.2/1995/26.</w:t>
      </w:r>
    </w:p>
    <w:p w14:paraId="309C21F3" w14:textId="77777777" w:rsidR="007C639B" w:rsidRPr="00556EBD" w:rsidRDefault="007C639B">
      <w:pPr>
        <w:pStyle w:val="FootnoteText"/>
        <w:rPr>
          <w:rFonts w:ascii="Times New Roman" w:hAnsi="Times New Roman" w:cs="Times New Roman"/>
          <w:sz w:val="24"/>
          <w:szCs w:val="24"/>
        </w:rPr>
      </w:pPr>
    </w:p>
  </w:footnote>
  <w:footnote w:id="25">
    <w:p w14:paraId="2CD12AAC" w14:textId="0932FF9D" w:rsidR="00633452" w:rsidRPr="00556EBD" w:rsidRDefault="00633452">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A/70/279.</w:t>
      </w:r>
    </w:p>
  </w:footnote>
  <w:footnote w:id="26">
    <w:p w14:paraId="5F68711A" w14:textId="34CD7D09" w:rsidR="003569DC" w:rsidRPr="00556EBD" w:rsidRDefault="003569DC" w:rsidP="003569DC">
      <w:pPr>
        <w:pStyle w:val="FootnoteText"/>
        <w:rPr>
          <w:rFonts w:ascii="Times New Roman" w:hAnsi="Times New Roman" w:cs="Times New Roman"/>
        </w:rPr>
      </w:pPr>
      <w:r w:rsidRPr="00556EBD">
        <w:rPr>
          <w:rStyle w:val="FootnoteReference"/>
          <w:rFonts w:ascii="Times New Roman" w:hAnsi="Times New Roman" w:cs="Times New Roman"/>
          <w:sz w:val="24"/>
          <w:szCs w:val="24"/>
        </w:rPr>
        <w:footnoteRef/>
      </w:r>
      <w:r w:rsidRPr="00556EBD">
        <w:rPr>
          <w:rFonts w:ascii="Times New Roman" w:hAnsi="Times New Roman" w:cs="Times New Roman"/>
        </w:rPr>
        <w:t xml:space="preserve"> </w:t>
      </w:r>
      <w:r w:rsidRPr="00556EBD">
        <w:rPr>
          <w:rFonts w:ascii="Times New Roman" w:hAnsi="Times New Roman" w:cs="Times New Roman"/>
          <w:sz w:val="24"/>
          <w:szCs w:val="24"/>
        </w:rPr>
        <w:t>A/HRC/23/34, para. 34.</w:t>
      </w:r>
    </w:p>
  </w:footnote>
  <w:footnote w:id="27">
    <w:p w14:paraId="625AB5E3" w14:textId="77777777" w:rsidR="003569DC" w:rsidRPr="00556EBD" w:rsidRDefault="009816A3" w:rsidP="009816A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rFonts w:ascii="Times New Roman" w:hAnsi="Times New Roman" w:cs="Times New Roman"/>
          <w:sz w:val="24"/>
          <w:szCs w:val="24"/>
        </w:rPr>
      </w:pPr>
      <w:r w:rsidRPr="00556EBD">
        <w:rPr>
          <w:rFonts w:ascii="Times New Roman" w:hAnsi="Times New Roman" w:cs="Times New Roman"/>
          <w:sz w:val="24"/>
          <w:szCs w:val="24"/>
        </w:rPr>
        <w:tab/>
      </w:r>
    </w:p>
    <w:p w14:paraId="0256061F" w14:textId="5B31D88F" w:rsidR="009816A3" w:rsidRDefault="009816A3" w:rsidP="00556EBD">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r w:rsidRPr="00556EBD">
        <w:rPr>
          <w:rFonts w:ascii="Times New Roman" w:hAnsi="Times New Roman" w:cs="Times New Roman"/>
          <w:sz w:val="24"/>
          <w:szCs w:val="24"/>
        </w:rPr>
        <w:tab/>
        <w:t>A/HRC/31/59, paras. 25 and 26.</w:t>
      </w:r>
    </w:p>
    <w:p w14:paraId="4C21606D" w14:textId="77777777" w:rsidR="00556EBD" w:rsidRPr="00556EBD" w:rsidRDefault="00556EBD" w:rsidP="009816A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rFonts w:ascii="Times New Roman" w:hAnsi="Times New Roman" w:cs="Times New Roman"/>
          <w:sz w:val="24"/>
          <w:szCs w:val="24"/>
        </w:rPr>
      </w:pPr>
    </w:p>
  </w:footnote>
  <w:footnote w:id="28">
    <w:p w14:paraId="2B0BDB05" w14:textId="69734202" w:rsidR="00556EBD" w:rsidRPr="00556EBD" w:rsidRDefault="00556EBD" w:rsidP="00556EBD">
      <w:pPr>
        <w:pStyle w:val="FootnoteText"/>
        <w:rPr>
          <w:rFonts w:ascii="Times New Roman" w:hAnsi="Times New Roman" w:cs="Times New Roman"/>
        </w:rPr>
      </w:pPr>
      <w:r w:rsidRPr="00556EBD">
        <w:rPr>
          <w:rStyle w:val="FootnoteReference"/>
          <w:rFonts w:ascii="Times New Roman" w:hAnsi="Times New Roman" w:cs="Times New Roman"/>
          <w:sz w:val="24"/>
          <w:szCs w:val="24"/>
        </w:rPr>
        <w:footnoteRef/>
      </w:r>
      <w:r w:rsidRPr="00556EBD">
        <w:rPr>
          <w:rStyle w:val="FootnoteReference"/>
        </w:rPr>
        <w:t xml:space="preserve"> </w:t>
      </w:r>
      <w:r>
        <w:rPr>
          <w:rStyle w:val="FootnoteReference"/>
        </w:rPr>
        <w:t xml:space="preserve"> </w:t>
      </w:r>
      <w:r w:rsidRPr="00556EBD">
        <w:rPr>
          <w:rFonts w:ascii="Times New Roman" w:hAnsi="Times New Roman" w:cs="Times New Roman"/>
          <w:sz w:val="24"/>
          <w:szCs w:val="24"/>
        </w:rPr>
        <w:t>With regard to limitations on freedom of expression under Article 19 of the ICCPR, it is important to take into account the specific language of that instrument, and its interpretation by successive Special Rapporteurs on freedom of expression, and the UN Human Rights Committee.</w:t>
      </w:r>
      <w:r w:rsidRPr="00556EBD">
        <w:rPr>
          <w:rFonts w:ascii="Times New Roman" w:hAnsi="Times New Roman" w:cs="Times New Roman"/>
        </w:rPr>
        <w:t xml:space="preserve"> </w:t>
      </w:r>
    </w:p>
  </w:footnote>
  <w:footnote w:id="29">
    <w:p w14:paraId="172B0AA7" w14:textId="77777777" w:rsidR="00B5416F" w:rsidRPr="00556EBD" w:rsidRDefault="00B5416F" w:rsidP="00B5416F">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Coco Fusco, English is Broken Here: Notes on Cultural Fusion in the Americas (1995) ix.</w:t>
      </w:r>
    </w:p>
    <w:p w14:paraId="6944697B" w14:textId="77777777" w:rsidR="00B5416F" w:rsidRPr="00556EBD" w:rsidRDefault="00B5416F" w:rsidP="00B5416F">
      <w:pPr>
        <w:pStyle w:val="FootnoteText"/>
        <w:rPr>
          <w:rFonts w:ascii="Times New Roman" w:hAnsi="Times New Roman" w:cs="Times New Roman"/>
          <w:sz w:val="24"/>
          <w:szCs w:val="24"/>
        </w:rPr>
      </w:pPr>
    </w:p>
  </w:footnote>
  <w:footnote w:id="30">
    <w:p w14:paraId="008F7219" w14:textId="77777777" w:rsidR="00B5416F" w:rsidRPr="00556EBD" w:rsidRDefault="00B5416F" w:rsidP="00B5416F">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proofErr w:type="spellStart"/>
      <w:r w:rsidRPr="00556EBD">
        <w:rPr>
          <w:rFonts w:ascii="Times New Roman" w:hAnsi="Times New Roman" w:cs="Times New Roman"/>
          <w:sz w:val="24"/>
          <w:szCs w:val="24"/>
        </w:rPr>
        <w:t>Homi</w:t>
      </w:r>
      <w:proofErr w:type="spellEnd"/>
      <w:r w:rsidRPr="00556EBD">
        <w:rPr>
          <w:rFonts w:ascii="Times New Roman" w:hAnsi="Times New Roman" w:cs="Times New Roman"/>
          <w:sz w:val="24"/>
          <w:szCs w:val="24"/>
        </w:rPr>
        <w:t xml:space="preserve"> Bhabha, Cultural Diversity and Cultural Differences, in the Post-Colonial Reader (Bill Ashcroft </w:t>
      </w:r>
      <w:r w:rsidRPr="00556EBD">
        <w:rPr>
          <w:rFonts w:ascii="Times New Roman" w:hAnsi="Times New Roman" w:cs="Times New Roman"/>
          <w:i/>
          <w:iCs/>
          <w:sz w:val="24"/>
          <w:szCs w:val="24"/>
        </w:rPr>
        <w:t>et al</w:t>
      </w:r>
      <w:r w:rsidRPr="00556EBD">
        <w:rPr>
          <w:rFonts w:ascii="Times New Roman" w:hAnsi="Times New Roman" w:cs="Times New Roman"/>
          <w:sz w:val="24"/>
          <w:szCs w:val="24"/>
        </w:rPr>
        <w:t xml:space="preserve"> eds, 1995) at 206.</w:t>
      </w:r>
    </w:p>
  </w:footnote>
  <w:footnote w:id="31">
    <w:p w14:paraId="1A18D777" w14:textId="77777777" w:rsidR="00B5416F" w:rsidRPr="00556EBD" w:rsidRDefault="00B5416F" w:rsidP="00B5416F">
      <w:pPr>
        <w:pStyle w:val="FootnoteText"/>
        <w:rPr>
          <w:rFonts w:ascii="Times New Roman" w:hAnsi="Times New Roman" w:cs="Times New Roman"/>
          <w:sz w:val="24"/>
          <w:szCs w:val="24"/>
        </w:rPr>
      </w:pPr>
    </w:p>
    <w:p w14:paraId="460EB46B" w14:textId="3E1D5F47" w:rsidR="00B5416F" w:rsidRPr="00556EBD" w:rsidRDefault="00B5416F" w:rsidP="00B5416F">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r w:rsidRPr="00C91D00">
        <w:rPr>
          <w:rFonts w:ascii="Times New Roman" w:hAnsi="Times New Roman" w:cs="Times New Roman"/>
          <w:sz w:val="24"/>
          <w:szCs w:val="24"/>
        </w:rPr>
        <w:t>Jia Hao et al</w:t>
      </w:r>
      <w:r w:rsidR="000A117D">
        <w:rPr>
          <w:rFonts w:ascii="Times New Roman" w:hAnsi="Times New Roman" w:cs="Times New Roman"/>
          <w:sz w:val="24"/>
          <w:szCs w:val="24"/>
        </w:rPr>
        <w:t>.</w:t>
      </w:r>
      <w:r w:rsidRPr="00C91D00">
        <w:rPr>
          <w:rFonts w:ascii="Times New Roman" w:hAnsi="Times New Roman" w:cs="Times New Roman"/>
          <w:sz w:val="24"/>
          <w:szCs w:val="24"/>
        </w:rPr>
        <w:t>, Advancing Our Understanding of Cultural Mixing, Journal of Cross-Cultural Psychology 2016, Vol. 47(10) 1257-1267,</w:t>
      </w:r>
      <w:r w:rsidR="000A117D" w:rsidRPr="00C91D00">
        <w:rPr>
          <w:rFonts w:ascii="Times New Roman" w:hAnsi="Times New Roman" w:cs="Times New Roman"/>
          <w:sz w:val="24"/>
          <w:szCs w:val="24"/>
        </w:rPr>
        <w:t xml:space="preserve"> 1258.</w:t>
      </w:r>
    </w:p>
  </w:footnote>
  <w:footnote w:id="32">
    <w:p w14:paraId="3D2C3717" w14:textId="77777777" w:rsidR="00B5416F" w:rsidRPr="00556EBD" w:rsidRDefault="00B5416F" w:rsidP="00B5416F">
      <w:pPr>
        <w:pStyle w:val="NormalWeb"/>
      </w:pPr>
      <w:r w:rsidRPr="00556EBD">
        <w:rPr>
          <w:rStyle w:val="FootnoteReference"/>
        </w:rPr>
        <w:footnoteRef/>
      </w:r>
      <w:r w:rsidRPr="00556EBD">
        <w:t xml:space="preserve"> </w:t>
      </w:r>
      <w:r w:rsidRPr="00556EBD">
        <w:rPr>
          <w:rStyle w:val="cf11"/>
          <w:rFonts w:ascii="Times New Roman" w:hAnsi="Times New Roman" w:cs="Times New Roman"/>
          <w:sz w:val="24"/>
          <w:szCs w:val="24"/>
        </w:rPr>
        <w:t>Brown v. Bd. of Educ.</w:t>
      </w:r>
      <w:r w:rsidRPr="00556EBD">
        <w:rPr>
          <w:rStyle w:val="cf01"/>
          <w:rFonts w:ascii="Times New Roman" w:hAnsi="Times New Roman" w:cs="Times New Roman"/>
          <w:sz w:val="24"/>
          <w:szCs w:val="24"/>
        </w:rPr>
        <w:t xml:space="preserve">, 347 U.S. 483, 494-95 (1954) </w:t>
      </w:r>
    </w:p>
  </w:footnote>
  <w:footnote w:id="33">
    <w:p w14:paraId="637EF14B" w14:textId="70CF3A38" w:rsidR="00D743DA" w:rsidRPr="00556EBD" w:rsidRDefault="00D743DA" w:rsidP="00D743DA">
      <w:pPr>
        <w:pStyle w:val="FootnoteText"/>
        <w:rPr>
          <w:rFonts w:ascii="Times New Roman" w:hAnsi="Times New Roman" w:cs="Times New Roman"/>
          <w:color w:val="0000FF"/>
          <w:sz w:val="24"/>
          <w:szCs w:val="24"/>
          <w:u w:val="single"/>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hyperlink r:id="rId13" w:history="1">
        <w:r w:rsidRPr="00556EBD">
          <w:rPr>
            <w:rFonts w:ascii="Times New Roman" w:hAnsi="Times New Roman" w:cs="Times New Roman"/>
            <w:color w:val="0000FF"/>
            <w:sz w:val="24"/>
            <w:szCs w:val="24"/>
            <w:u w:val="single"/>
          </w:rPr>
          <w:t xml:space="preserve">Stop </w:t>
        </w:r>
        <w:proofErr w:type="spellStart"/>
        <w:r w:rsidRPr="00556EBD">
          <w:rPr>
            <w:rFonts w:ascii="Times New Roman" w:hAnsi="Times New Roman" w:cs="Times New Roman"/>
            <w:color w:val="0000FF"/>
            <w:sz w:val="24"/>
            <w:szCs w:val="24"/>
            <w:u w:val="single"/>
          </w:rPr>
          <w:t>homogenising</w:t>
        </w:r>
        <w:proofErr w:type="spellEnd"/>
        <w:r w:rsidRPr="00556EBD">
          <w:rPr>
            <w:rFonts w:ascii="Times New Roman" w:hAnsi="Times New Roman" w:cs="Times New Roman"/>
            <w:color w:val="0000FF"/>
            <w:sz w:val="24"/>
            <w:szCs w:val="24"/>
            <w:u w:val="single"/>
          </w:rPr>
          <w:t xml:space="preserve"> us: mixing and matching faith and beliefs in India and beyond | Institute of Development Studies (ids.ac.uk)</w:t>
        </w:r>
      </w:hyperlink>
    </w:p>
    <w:p w14:paraId="58F97978" w14:textId="77777777" w:rsidR="007C639B" w:rsidRPr="00556EBD" w:rsidRDefault="007C639B" w:rsidP="00D743DA">
      <w:pPr>
        <w:pStyle w:val="FootnoteText"/>
        <w:rPr>
          <w:rFonts w:ascii="Times New Roman" w:hAnsi="Times New Roman" w:cs="Times New Roman"/>
          <w:sz w:val="24"/>
          <w:szCs w:val="24"/>
        </w:rPr>
      </w:pPr>
    </w:p>
  </w:footnote>
  <w:footnote w:id="34">
    <w:p w14:paraId="2060942C" w14:textId="75B5C5A2" w:rsidR="00173C29" w:rsidRPr="00556EBD" w:rsidRDefault="00173C29" w:rsidP="00173C29">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See Human Rights Council resolution 20/8; A/74/255, para. 70.</w:t>
      </w:r>
    </w:p>
    <w:p w14:paraId="596BDE46" w14:textId="77777777" w:rsidR="007C639B" w:rsidRPr="00556EBD" w:rsidRDefault="007C639B" w:rsidP="00173C29">
      <w:pPr>
        <w:pStyle w:val="FootnoteText"/>
        <w:rPr>
          <w:rFonts w:ascii="Times New Roman" w:hAnsi="Times New Roman" w:cs="Times New Roman"/>
          <w:sz w:val="24"/>
          <w:szCs w:val="24"/>
        </w:rPr>
      </w:pPr>
    </w:p>
  </w:footnote>
  <w:footnote w:id="35">
    <w:p w14:paraId="34211E39" w14:textId="77777777" w:rsidR="00173C29" w:rsidRPr="00556EBD" w:rsidRDefault="00173C29" w:rsidP="00173C29">
      <w:pPr>
        <w:pStyle w:val="FootnoteText"/>
        <w:rPr>
          <w:rFonts w:ascii="Times New Roman" w:hAnsi="Times New Roman" w:cs="Times New Roman"/>
          <w:sz w:val="24"/>
          <w:szCs w:val="24"/>
        </w:rPr>
      </w:pPr>
      <w:r w:rsidRPr="00556EBD">
        <w:rPr>
          <w:rStyle w:val="FootnoteReference"/>
          <w:rFonts w:ascii="Times New Roman" w:hAnsi="Times New Roman" w:cs="Times New Roman"/>
          <w:sz w:val="24"/>
          <w:szCs w:val="24"/>
        </w:rPr>
        <w:footnoteRef/>
      </w:r>
      <w:r w:rsidRPr="00556EBD">
        <w:rPr>
          <w:rFonts w:ascii="Times New Roman" w:hAnsi="Times New Roman" w:cs="Times New Roman"/>
          <w:sz w:val="24"/>
          <w:szCs w:val="24"/>
        </w:rPr>
        <w:t xml:space="preserve"> </w:t>
      </w:r>
      <w:hyperlink r:id="rId14" w:history="1">
        <w:r w:rsidRPr="00556EBD">
          <w:rPr>
            <w:rFonts w:ascii="Times New Roman" w:hAnsi="Times New Roman" w:cs="Times New Roman"/>
            <w:color w:val="0000FF"/>
            <w:sz w:val="24"/>
            <w:szCs w:val="24"/>
            <w:u w:val="single"/>
          </w:rPr>
          <w:t xml:space="preserve">Arda </w:t>
        </w:r>
        <w:proofErr w:type="spellStart"/>
        <w:r w:rsidRPr="00556EBD">
          <w:rPr>
            <w:rFonts w:ascii="Times New Roman" w:hAnsi="Times New Roman" w:cs="Times New Roman"/>
            <w:color w:val="0000FF"/>
            <w:sz w:val="24"/>
            <w:szCs w:val="24"/>
            <w:u w:val="single"/>
          </w:rPr>
          <w:t>Awais</w:t>
        </w:r>
        <w:proofErr w:type="spellEnd"/>
        <w:r w:rsidRPr="00556EBD">
          <w:rPr>
            <w:rFonts w:ascii="Times New Roman" w:hAnsi="Times New Roman" w:cs="Times New Roman"/>
            <w:color w:val="0000FF"/>
            <w:sz w:val="24"/>
            <w:szCs w:val="24"/>
            <w:u w:val="single"/>
          </w:rPr>
          <w:t xml:space="preserve"> and </w:t>
        </w:r>
        <w:proofErr w:type="spellStart"/>
        <w:r w:rsidRPr="00556EBD">
          <w:rPr>
            <w:rFonts w:ascii="Times New Roman" w:hAnsi="Times New Roman" w:cs="Times New Roman"/>
            <w:color w:val="0000FF"/>
            <w:sz w:val="24"/>
            <w:szCs w:val="24"/>
            <w:u w:val="single"/>
          </w:rPr>
          <w:t>Savena</w:t>
        </w:r>
        <w:proofErr w:type="spellEnd"/>
        <w:r w:rsidRPr="00556EBD">
          <w:rPr>
            <w:rFonts w:ascii="Times New Roman" w:hAnsi="Times New Roman" w:cs="Times New Roman"/>
            <w:color w:val="0000FF"/>
            <w:sz w:val="24"/>
            <w:szCs w:val="24"/>
            <w:u w:val="single"/>
          </w:rPr>
          <w:t xml:space="preserve"> Surana – World Wide Web Foundation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80331"/>
    <w:multiLevelType w:val="hybridMultilevel"/>
    <w:tmpl w:val="D9E48770"/>
    <w:lvl w:ilvl="0" w:tplc="333CE0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691362"/>
    <w:multiLevelType w:val="hybridMultilevel"/>
    <w:tmpl w:val="6C68649C"/>
    <w:lvl w:ilvl="0" w:tplc="216458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CD15C8"/>
    <w:multiLevelType w:val="hybridMultilevel"/>
    <w:tmpl w:val="D932E8B4"/>
    <w:lvl w:ilvl="0" w:tplc="E918D4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D42B83"/>
    <w:multiLevelType w:val="hybridMultilevel"/>
    <w:tmpl w:val="7574735E"/>
    <w:lvl w:ilvl="0" w:tplc="0A20CF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BA32466"/>
    <w:multiLevelType w:val="hybridMultilevel"/>
    <w:tmpl w:val="6D8CFEA6"/>
    <w:lvl w:ilvl="0" w:tplc="87DEF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AF6DCB"/>
    <w:multiLevelType w:val="hybridMultilevel"/>
    <w:tmpl w:val="5C22010C"/>
    <w:lvl w:ilvl="0" w:tplc="9D5ECA0A">
      <w:start w:val="1"/>
      <w:numFmt w:val="upperLetter"/>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34F71B3"/>
    <w:multiLevelType w:val="hybridMultilevel"/>
    <w:tmpl w:val="40961F8E"/>
    <w:lvl w:ilvl="0" w:tplc="2CA873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89"/>
    <w:rsid w:val="00004288"/>
    <w:rsid w:val="0003228E"/>
    <w:rsid w:val="00076792"/>
    <w:rsid w:val="0008545D"/>
    <w:rsid w:val="000A117D"/>
    <w:rsid w:val="000E2EF5"/>
    <w:rsid w:val="00160A11"/>
    <w:rsid w:val="00173C29"/>
    <w:rsid w:val="001750D0"/>
    <w:rsid w:val="001978A1"/>
    <w:rsid w:val="001A1B89"/>
    <w:rsid w:val="00245488"/>
    <w:rsid w:val="00315380"/>
    <w:rsid w:val="003569DC"/>
    <w:rsid w:val="00385456"/>
    <w:rsid w:val="003F244B"/>
    <w:rsid w:val="0042364D"/>
    <w:rsid w:val="00483E22"/>
    <w:rsid w:val="004978C7"/>
    <w:rsid w:val="0050218F"/>
    <w:rsid w:val="0054760F"/>
    <w:rsid w:val="00556EBD"/>
    <w:rsid w:val="00567FE4"/>
    <w:rsid w:val="005701AD"/>
    <w:rsid w:val="005C69B7"/>
    <w:rsid w:val="00633452"/>
    <w:rsid w:val="006928CF"/>
    <w:rsid w:val="006A669A"/>
    <w:rsid w:val="006D1252"/>
    <w:rsid w:val="006D7B68"/>
    <w:rsid w:val="007141DF"/>
    <w:rsid w:val="00721FB3"/>
    <w:rsid w:val="007C1BC1"/>
    <w:rsid w:val="007C2FB7"/>
    <w:rsid w:val="007C639B"/>
    <w:rsid w:val="00870420"/>
    <w:rsid w:val="008C179D"/>
    <w:rsid w:val="008C52D6"/>
    <w:rsid w:val="008C7BBF"/>
    <w:rsid w:val="008F08C0"/>
    <w:rsid w:val="00907E2E"/>
    <w:rsid w:val="00945B72"/>
    <w:rsid w:val="009816A3"/>
    <w:rsid w:val="00993F09"/>
    <w:rsid w:val="009A5544"/>
    <w:rsid w:val="00A00274"/>
    <w:rsid w:val="00A13133"/>
    <w:rsid w:val="00A8446E"/>
    <w:rsid w:val="00A972A5"/>
    <w:rsid w:val="00AC6259"/>
    <w:rsid w:val="00B402DE"/>
    <w:rsid w:val="00B5416F"/>
    <w:rsid w:val="00B63587"/>
    <w:rsid w:val="00BD02D6"/>
    <w:rsid w:val="00BF20F4"/>
    <w:rsid w:val="00C30403"/>
    <w:rsid w:val="00C91D00"/>
    <w:rsid w:val="00C9778A"/>
    <w:rsid w:val="00CB29C8"/>
    <w:rsid w:val="00CC0289"/>
    <w:rsid w:val="00D743DA"/>
    <w:rsid w:val="00DA0DD4"/>
    <w:rsid w:val="00DF3024"/>
    <w:rsid w:val="00E728A5"/>
    <w:rsid w:val="00F13275"/>
    <w:rsid w:val="00F366FF"/>
    <w:rsid w:val="00F43089"/>
    <w:rsid w:val="00F60471"/>
    <w:rsid w:val="00F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6B24"/>
  <w15:chartTrackingRefBased/>
  <w15:docId w15:val="{EB33A9B6-5BFB-4553-9700-D0AC114F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B89"/>
    <w:rPr>
      <w:color w:val="0000FF"/>
      <w:u w:val="single"/>
    </w:rPr>
  </w:style>
  <w:style w:type="paragraph" w:styleId="FootnoteText">
    <w:name w:val="footnote text"/>
    <w:aliases w:val="5_G"/>
    <w:basedOn w:val="Normal"/>
    <w:link w:val="FootnoteTextChar"/>
    <w:unhideWhenUsed/>
    <w:qFormat/>
    <w:rsid w:val="001A1B89"/>
    <w:pPr>
      <w:spacing w:after="0" w:line="240" w:lineRule="auto"/>
    </w:pPr>
    <w:rPr>
      <w:sz w:val="20"/>
      <w:szCs w:val="20"/>
    </w:rPr>
  </w:style>
  <w:style w:type="character" w:customStyle="1" w:styleId="FootnoteTextChar">
    <w:name w:val="Footnote Text Char"/>
    <w:aliases w:val="5_G Char"/>
    <w:basedOn w:val="DefaultParagraphFont"/>
    <w:link w:val="FootnoteText"/>
    <w:rsid w:val="001A1B89"/>
    <w:rPr>
      <w:sz w:val="20"/>
      <w:szCs w:val="20"/>
    </w:rPr>
  </w:style>
  <w:style w:type="character" w:styleId="FootnoteReference">
    <w:name w:val="footnote reference"/>
    <w:aliases w:val="4_G"/>
    <w:basedOn w:val="DefaultParagraphFont"/>
    <w:unhideWhenUsed/>
    <w:qFormat/>
    <w:rsid w:val="001A1B89"/>
    <w:rPr>
      <w:vertAlign w:val="superscript"/>
    </w:rPr>
  </w:style>
  <w:style w:type="character" w:styleId="CommentReference">
    <w:name w:val="annotation reference"/>
    <w:basedOn w:val="DefaultParagraphFont"/>
    <w:uiPriority w:val="99"/>
    <w:semiHidden/>
    <w:unhideWhenUsed/>
    <w:rsid w:val="001A1B89"/>
    <w:rPr>
      <w:sz w:val="16"/>
      <w:szCs w:val="16"/>
    </w:rPr>
  </w:style>
  <w:style w:type="paragraph" w:styleId="CommentText">
    <w:name w:val="annotation text"/>
    <w:basedOn w:val="Normal"/>
    <w:link w:val="CommentTextChar"/>
    <w:uiPriority w:val="99"/>
    <w:unhideWhenUsed/>
    <w:rsid w:val="001A1B89"/>
    <w:pPr>
      <w:spacing w:line="240" w:lineRule="auto"/>
    </w:pPr>
    <w:rPr>
      <w:sz w:val="20"/>
      <w:szCs w:val="20"/>
    </w:rPr>
  </w:style>
  <w:style w:type="character" w:customStyle="1" w:styleId="CommentTextChar">
    <w:name w:val="Comment Text Char"/>
    <w:basedOn w:val="DefaultParagraphFont"/>
    <w:link w:val="CommentText"/>
    <w:uiPriority w:val="99"/>
    <w:rsid w:val="001A1B89"/>
    <w:rPr>
      <w:sz w:val="20"/>
      <w:szCs w:val="20"/>
    </w:rPr>
  </w:style>
  <w:style w:type="paragraph" w:styleId="ListParagraph">
    <w:name w:val="List Paragraph"/>
    <w:basedOn w:val="Normal"/>
    <w:uiPriority w:val="34"/>
    <w:qFormat/>
    <w:rsid w:val="001A1B89"/>
    <w:pPr>
      <w:ind w:left="720"/>
      <w:contextualSpacing/>
    </w:pPr>
  </w:style>
  <w:style w:type="paragraph" w:customStyle="1" w:styleId="pf0">
    <w:name w:val="pf0"/>
    <w:basedOn w:val="Normal"/>
    <w:rsid w:val="009A5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A5544"/>
    <w:rPr>
      <w:rFonts w:ascii="Segoe UI" w:hAnsi="Segoe UI" w:cs="Segoe UI" w:hint="default"/>
      <w:sz w:val="18"/>
      <w:szCs w:val="18"/>
    </w:rPr>
  </w:style>
  <w:style w:type="paragraph" w:styleId="NormalWeb">
    <w:name w:val="Normal (Web)"/>
    <w:basedOn w:val="Normal"/>
    <w:uiPriority w:val="99"/>
    <w:unhideWhenUsed/>
    <w:rsid w:val="009A554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C179D"/>
    <w:rPr>
      <w:b/>
      <w:bCs/>
    </w:rPr>
  </w:style>
  <w:style w:type="character" w:customStyle="1" w:styleId="CommentSubjectChar">
    <w:name w:val="Comment Subject Char"/>
    <w:basedOn w:val="CommentTextChar"/>
    <w:link w:val="CommentSubject"/>
    <w:uiPriority w:val="99"/>
    <w:semiHidden/>
    <w:rsid w:val="008C179D"/>
    <w:rPr>
      <w:b/>
      <w:bCs/>
      <w:sz w:val="20"/>
      <w:szCs w:val="20"/>
    </w:rPr>
  </w:style>
  <w:style w:type="character" w:customStyle="1" w:styleId="UnresolvedMention1">
    <w:name w:val="Unresolved Mention1"/>
    <w:basedOn w:val="DefaultParagraphFont"/>
    <w:uiPriority w:val="99"/>
    <w:semiHidden/>
    <w:unhideWhenUsed/>
    <w:rsid w:val="008C179D"/>
    <w:rPr>
      <w:color w:val="605E5C"/>
      <w:shd w:val="clear" w:color="auto" w:fill="E1DFDD"/>
    </w:rPr>
  </w:style>
  <w:style w:type="paragraph" w:styleId="Header">
    <w:name w:val="header"/>
    <w:basedOn w:val="Normal"/>
    <w:link w:val="HeaderChar"/>
    <w:uiPriority w:val="99"/>
    <w:unhideWhenUsed/>
    <w:rsid w:val="00CB2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9C8"/>
  </w:style>
  <w:style w:type="paragraph" w:styleId="Footer">
    <w:name w:val="footer"/>
    <w:basedOn w:val="Normal"/>
    <w:link w:val="FooterChar"/>
    <w:uiPriority w:val="99"/>
    <w:unhideWhenUsed/>
    <w:rsid w:val="00CB2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9C8"/>
  </w:style>
  <w:style w:type="character" w:customStyle="1" w:styleId="cf11">
    <w:name w:val="cf11"/>
    <w:basedOn w:val="DefaultParagraphFont"/>
    <w:rsid w:val="00DA0DD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63738">
      <w:bodyDiv w:val="1"/>
      <w:marLeft w:val="0"/>
      <w:marRight w:val="0"/>
      <w:marTop w:val="0"/>
      <w:marBottom w:val="0"/>
      <w:divBdr>
        <w:top w:val="none" w:sz="0" w:space="0" w:color="auto"/>
        <w:left w:val="none" w:sz="0" w:space="0" w:color="auto"/>
        <w:bottom w:val="none" w:sz="0" w:space="0" w:color="auto"/>
        <w:right w:val="none" w:sz="0" w:space="0" w:color="auto"/>
      </w:divBdr>
    </w:div>
    <w:div w:id="667293618">
      <w:bodyDiv w:val="1"/>
      <w:marLeft w:val="0"/>
      <w:marRight w:val="0"/>
      <w:marTop w:val="0"/>
      <w:marBottom w:val="0"/>
      <w:divBdr>
        <w:top w:val="none" w:sz="0" w:space="0" w:color="auto"/>
        <w:left w:val="none" w:sz="0" w:space="0" w:color="auto"/>
        <w:bottom w:val="none" w:sz="0" w:space="0" w:color="auto"/>
        <w:right w:val="none" w:sz="0" w:space="0" w:color="auto"/>
      </w:divBdr>
    </w:div>
    <w:div w:id="847912822">
      <w:bodyDiv w:val="1"/>
      <w:marLeft w:val="0"/>
      <w:marRight w:val="0"/>
      <w:marTop w:val="0"/>
      <w:marBottom w:val="0"/>
      <w:divBdr>
        <w:top w:val="none" w:sz="0" w:space="0" w:color="auto"/>
        <w:left w:val="none" w:sz="0" w:space="0" w:color="auto"/>
        <w:bottom w:val="none" w:sz="0" w:space="0" w:color="auto"/>
        <w:right w:val="none" w:sz="0" w:space="0" w:color="auto"/>
      </w:divBdr>
    </w:div>
    <w:div w:id="921257968">
      <w:bodyDiv w:val="1"/>
      <w:marLeft w:val="0"/>
      <w:marRight w:val="0"/>
      <w:marTop w:val="0"/>
      <w:marBottom w:val="0"/>
      <w:divBdr>
        <w:top w:val="none" w:sz="0" w:space="0" w:color="auto"/>
        <w:left w:val="none" w:sz="0" w:space="0" w:color="auto"/>
        <w:bottom w:val="none" w:sz="0" w:space="0" w:color="auto"/>
        <w:right w:val="none" w:sz="0" w:space="0" w:color="auto"/>
      </w:divBdr>
    </w:div>
    <w:div w:id="1026054899">
      <w:bodyDiv w:val="1"/>
      <w:marLeft w:val="0"/>
      <w:marRight w:val="0"/>
      <w:marTop w:val="0"/>
      <w:marBottom w:val="0"/>
      <w:divBdr>
        <w:top w:val="none" w:sz="0" w:space="0" w:color="auto"/>
        <w:left w:val="none" w:sz="0" w:space="0" w:color="auto"/>
        <w:bottom w:val="none" w:sz="0" w:space="0" w:color="auto"/>
        <w:right w:val="none" w:sz="0" w:space="0" w:color="auto"/>
      </w:divBdr>
    </w:div>
    <w:div w:id="1046491355">
      <w:bodyDiv w:val="1"/>
      <w:marLeft w:val="0"/>
      <w:marRight w:val="0"/>
      <w:marTop w:val="0"/>
      <w:marBottom w:val="0"/>
      <w:divBdr>
        <w:top w:val="none" w:sz="0" w:space="0" w:color="auto"/>
        <w:left w:val="none" w:sz="0" w:space="0" w:color="auto"/>
        <w:bottom w:val="none" w:sz="0" w:space="0" w:color="auto"/>
        <w:right w:val="none" w:sz="0" w:space="0" w:color="auto"/>
      </w:divBdr>
    </w:div>
    <w:div w:id="1228108965">
      <w:bodyDiv w:val="1"/>
      <w:marLeft w:val="0"/>
      <w:marRight w:val="0"/>
      <w:marTop w:val="0"/>
      <w:marBottom w:val="0"/>
      <w:divBdr>
        <w:top w:val="none" w:sz="0" w:space="0" w:color="auto"/>
        <w:left w:val="none" w:sz="0" w:space="0" w:color="auto"/>
        <w:bottom w:val="none" w:sz="0" w:space="0" w:color="auto"/>
        <w:right w:val="none" w:sz="0" w:space="0" w:color="auto"/>
      </w:divBdr>
    </w:div>
    <w:div w:id="1238973802">
      <w:bodyDiv w:val="1"/>
      <w:marLeft w:val="0"/>
      <w:marRight w:val="0"/>
      <w:marTop w:val="0"/>
      <w:marBottom w:val="0"/>
      <w:divBdr>
        <w:top w:val="none" w:sz="0" w:space="0" w:color="auto"/>
        <w:left w:val="none" w:sz="0" w:space="0" w:color="auto"/>
        <w:bottom w:val="none" w:sz="0" w:space="0" w:color="auto"/>
        <w:right w:val="none" w:sz="0" w:space="0" w:color="auto"/>
      </w:divBdr>
    </w:div>
    <w:div w:id="1450540743">
      <w:bodyDiv w:val="1"/>
      <w:marLeft w:val="0"/>
      <w:marRight w:val="0"/>
      <w:marTop w:val="0"/>
      <w:marBottom w:val="0"/>
      <w:divBdr>
        <w:top w:val="none" w:sz="0" w:space="0" w:color="auto"/>
        <w:left w:val="none" w:sz="0" w:space="0" w:color="auto"/>
        <w:bottom w:val="none" w:sz="0" w:space="0" w:color="auto"/>
        <w:right w:val="none" w:sz="0" w:space="0" w:color="auto"/>
      </w:divBdr>
    </w:div>
    <w:div w:id="1567033954">
      <w:bodyDiv w:val="1"/>
      <w:marLeft w:val="0"/>
      <w:marRight w:val="0"/>
      <w:marTop w:val="0"/>
      <w:marBottom w:val="0"/>
      <w:divBdr>
        <w:top w:val="none" w:sz="0" w:space="0" w:color="auto"/>
        <w:left w:val="none" w:sz="0" w:space="0" w:color="auto"/>
        <w:bottom w:val="none" w:sz="0" w:space="0" w:color="auto"/>
        <w:right w:val="none" w:sz="0" w:space="0" w:color="auto"/>
      </w:divBdr>
    </w:div>
    <w:div w:id="1802186788">
      <w:bodyDiv w:val="1"/>
      <w:marLeft w:val="0"/>
      <w:marRight w:val="0"/>
      <w:marTop w:val="0"/>
      <w:marBottom w:val="0"/>
      <w:divBdr>
        <w:top w:val="none" w:sz="0" w:space="0" w:color="auto"/>
        <w:left w:val="none" w:sz="0" w:space="0" w:color="auto"/>
        <w:bottom w:val="none" w:sz="0" w:space="0" w:color="auto"/>
        <w:right w:val="none" w:sz="0" w:space="0" w:color="auto"/>
      </w:divBdr>
    </w:div>
    <w:div w:id="2039699678">
      <w:bodyDiv w:val="1"/>
      <w:marLeft w:val="0"/>
      <w:marRight w:val="0"/>
      <w:marTop w:val="0"/>
      <w:marBottom w:val="0"/>
      <w:divBdr>
        <w:top w:val="none" w:sz="0" w:space="0" w:color="auto"/>
        <w:left w:val="none" w:sz="0" w:space="0" w:color="auto"/>
        <w:bottom w:val="none" w:sz="0" w:space="0" w:color="auto"/>
        <w:right w:val="none" w:sz="0" w:space="0" w:color="auto"/>
      </w:divBdr>
    </w:div>
    <w:div w:id="20670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n.unesco.org/creativity/publications" TargetMode="External"/><Relationship Id="rId13" Type="http://schemas.openxmlformats.org/officeDocument/2006/relationships/hyperlink" Target="https://www.ids.ac.uk/opinions/stop-homogenising-us-mixing-and-matching-faith-and-beliefs-in-india-and-beyond/" TargetMode="External"/><Relationship Id="rId3" Type="http://schemas.openxmlformats.org/officeDocument/2006/relationships/hyperlink" Target="mailto:A/HRC/44/57" TargetMode="External"/><Relationship Id="rId7" Type="http://schemas.openxmlformats.org/officeDocument/2006/relationships/hyperlink" Target="https://undocs.org/A/HRC/44/57" TargetMode="External"/><Relationship Id="rId12" Type="http://schemas.openxmlformats.org/officeDocument/2006/relationships/hyperlink" Target="https://documents-dds-ny.un.org/doc/UNDOC/GEN/G93/853/46/pdf/G9385346.pdf?OpenElement" TargetMode="External"/><Relationship Id="rId2" Type="http://schemas.openxmlformats.org/officeDocument/2006/relationships/hyperlink" Target="http://www.un.org/en/ga/search/view_doc.asp?symbol=A/RES/47/135" TargetMode="External"/><Relationship Id="rId1" Type="http://schemas.openxmlformats.org/officeDocument/2006/relationships/hyperlink" Target="http://www.ohchr.org/EN/Issues/CulturalRights/Pages/InternationalStandards.aspx" TargetMode="External"/><Relationship Id="rId6" Type="http://schemas.openxmlformats.org/officeDocument/2006/relationships/hyperlink" Target="file:///C:\Users\katiecrawford\Downloads\A\HRC\7\19" TargetMode="External"/><Relationship Id="rId11" Type="http://schemas.openxmlformats.org/officeDocument/2006/relationships/hyperlink" Target="https://undocs.org/A/HRC/14/36" TargetMode="External"/><Relationship Id="rId5" Type="http://schemas.openxmlformats.org/officeDocument/2006/relationships/hyperlink" Target="file:///C:\Users\katiecrawford\Downloads\A\61\335" TargetMode="External"/><Relationship Id="rId10" Type="http://schemas.openxmlformats.org/officeDocument/2006/relationships/hyperlink" Target="https://en.unesco.org/creativity/publications/freedom-creativity-defending-art-defending" TargetMode="External"/><Relationship Id="rId4" Type="http://schemas.openxmlformats.org/officeDocument/2006/relationships/hyperlink" Target="http://undocs.org/A/HRC/32/50/Add.1" TargetMode="External"/><Relationship Id="rId9" Type="http://schemas.openxmlformats.org/officeDocument/2006/relationships/hyperlink" Target="https://en.unesco.org/creativity/global-report-2018" TargetMode="External"/><Relationship Id="rId14" Type="http://schemas.openxmlformats.org/officeDocument/2006/relationships/hyperlink" Target="https://webfoundation.org/2021/03/web-champion-arda-sav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C78696-D7A6-404C-81AC-AEADF0448A72}">
  <ds:schemaRefs>
    <ds:schemaRef ds:uri="http://schemas.openxmlformats.org/officeDocument/2006/bibliography"/>
  </ds:schemaRefs>
</ds:datastoreItem>
</file>

<file path=customXml/itemProps2.xml><?xml version="1.0" encoding="utf-8"?>
<ds:datastoreItem xmlns:ds="http://schemas.openxmlformats.org/officeDocument/2006/customXml" ds:itemID="{240BD3AE-2E32-4BA8-831D-02F4DAD69055}"/>
</file>

<file path=customXml/itemProps3.xml><?xml version="1.0" encoding="utf-8"?>
<ds:datastoreItem xmlns:ds="http://schemas.openxmlformats.org/officeDocument/2006/customXml" ds:itemID="{AD0929DA-464C-4920-B56B-B6DE672957B5}"/>
</file>

<file path=customXml/itemProps4.xml><?xml version="1.0" encoding="utf-8"?>
<ds:datastoreItem xmlns:ds="http://schemas.openxmlformats.org/officeDocument/2006/customXml" ds:itemID="{BF5FD620-002A-4F38-8E35-95300E0F6E44}"/>
</file>

<file path=docProps/app.xml><?xml version="1.0" encoding="utf-8"?>
<Properties xmlns="http://schemas.openxmlformats.org/officeDocument/2006/extended-properties" xmlns:vt="http://schemas.openxmlformats.org/officeDocument/2006/docPropsVTypes">
  <Template>Normal.dotm</Template>
  <TotalTime>0</TotalTime>
  <Pages>14</Pages>
  <Words>5183</Words>
  <Characters>29546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Karima E Bennoune</cp:lastModifiedBy>
  <cp:revision>3</cp:revision>
  <dcterms:created xsi:type="dcterms:W3CDTF">2021-09-27T21:55:00Z</dcterms:created>
  <dcterms:modified xsi:type="dcterms:W3CDTF">2021-09-27T21:55:00Z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