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C98EA" w14:textId="77777777" w:rsidR="0094294D" w:rsidRPr="00B359EB" w:rsidRDefault="00AC6FAE" w:rsidP="00A45BCE">
      <w:pPr>
        <w:jc w:val="center"/>
        <w:outlineLvl w:val="0"/>
        <w:rPr>
          <w:rFonts w:ascii="Times New Roman" w:hAnsi="Times New Roman" w:cs="Times New Roman"/>
          <w:b/>
          <w:lang w:val="es-ES"/>
        </w:rPr>
      </w:pPr>
      <w:r w:rsidRPr="00B359EB">
        <w:rPr>
          <w:rFonts w:ascii="Times New Roman" w:hAnsi="Times New Roman" w:cs="Times New Roman"/>
          <w:b/>
          <w:lang w:val="es-ES"/>
        </w:rPr>
        <w:t xml:space="preserve">Cuestionario de la Relatora Especial de la ONU </w:t>
      </w:r>
    </w:p>
    <w:p w14:paraId="172062BA" w14:textId="7271B0E8" w:rsidR="0094294D" w:rsidRPr="00B359EB" w:rsidRDefault="00AC6FAE" w:rsidP="00A45BCE">
      <w:pPr>
        <w:jc w:val="center"/>
        <w:outlineLvl w:val="0"/>
        <w:rPr>
          <w:rFonts w:ascii="Times New Roman" w:hAnsi="Times New Roman" w:cs="Times New Roman"/>
          <w:b/>
          <w:lang w:val="es-ES"/>
        </w:rPr>
      </w:pPr>
      <w:r w:rsidRPr="00B359EB">
        <w:rPr>
          <w:rFonts w:ascii="Times New Roman" w:hAnsi="Times New Roman" w:cs="Times New Roman"/>
          <w:b/>
          <w:lang w:val="es-ES"/>
        </w:rPr>
        <w:t xml:space="preserve">sobre la situación de los defensores de los derechos humanos </w:t>
      </w:r>
    </w:p>
    <w:p w14:paraId="3828909F" w14:textId="3CF827EC" w:rsidR="00AF6BE5" w:rsidRPr="00B359EB" w:rsidRDefault="0094294D" w:rsidP="00A45BCE">
      <w:pPr>
        <w:jc w:val="center"/>
        <w:outlineLvl w:val="0"/>
        <w:rPr>
          <w:rFonts w:ascii="Times New Roman" w:hAnsi="Times New Roman" w:cs="Times New Roman"/>
          <w:b/>
          <w:lang w:val="es-ES"/>
        </w:rPr>
      </w:pPr>
      <w:r w:rsidRPr="00B359EB">
        <w:rPr>
          <w:rFonts w:ascii="Times New Roman" w:hAnsi="Times New Roman" w:cs="Times New Roman"/>
          <w:b/>
          <w:lang w:val="es-ES"/>
        </w:rPr>
        <w:t>para los Organismos inter-gubernamentales y la sociedad civil</w:t>
      </w:r>
    </w:p>
    <w:p w14:paraId="5C1D364C" w14:textId="3C016C0F" w:rsidR="00AC6FAE" w:rsidRPr="00B359EB" w:rsidRDefault="00AC6FAE" w:rsidP="00AC6FAE">
      <w:pPr>
        <w:jc w:val="center"/>
        <w:outlineLvl w:val="0"/>
        <w:rPr>
          <w:rFonts w:ascii="Times New Roman" w:hAnsi="Times New Roman" w:cs="Times New Roman"/>
          <w:b/>
          <w:lang w:val="es-ES"/>
        </w:rPr>
      </w:pPr>
      <w:r w:rsidRPr="00B359EB">
        <w:rPr>
          <w:rFonts w:ascii="Times New Roman" w:hAnsi="Times New Roman" w:cs="Times New Roman"/>
          <w:b/>
          <w:lang w:val="es-ES"/>
        </w:rPr>
        <w:t xml:space="preserve">Mary </w:t>
      </w:r>
      <w:proofErr w:type="spellStart"/>
      <w:r w:rsidRPr="00B359EB">
        <w:rPr>
          <w:rFonts w:ascii="Times New Roman" w:hAnsi="Times New Roman" w:cs="Times New Roman"/>
          <w:b/>
          <w:lang w:val="es-ES"/>
        </w:rPr>
        <w:t>Lawlor</w:t>
      </w:r>
      <w:proofErr w:type="spellEnd"/>
      <w:r w:rsidRPr="00B359EB">
        <w:rPr>
          <w:rFonts w:ascii="Times New Roman" w:hAnsi="Times New Roman" w:cs="Times New Roman"/>
          <w:b/>
          <w:lang w:val="es-ES"/>
        </w:rPr>
        <w:t xml:space="preserve">, </w:t>
      </w:r>
      <w:r w:rsidR="003B5C8A" w:rsidRPr="00B359EB">
        <w:rPr>
          <w:rFonts w:ascii="Times New Roman" w:hAnsi="Times New Roman" w:cs="Times New Roman"/>
          <w:b/>
          <w:lang w:val="es-ES"/>
        </w:rPr>
        <w:t xml:space="preserve">9 </w:t>
      </w:r>
      <w:r w:rsidR="00EA0DDF" w:rsidRPr="00B359EB">
        <w:rPr>
          <w:rFonts w:ascii="Times New Roman" w:hAnsi="Times New Roman" w:cs="Times New Roman"/>
          <w:b/>
          <w:lang w:val="es-ES"/>
        </w:rPr>
        <w:t>de febrero</w:t>
      </w:r>
      <w:r w:rsidR="00203EBA" w:rsidRPr="00B359EB">
        <w:rPr>
          <w:rFonts w:ascii="Times New Roman" w:hAnsi="Times New Roman" w:cs="Times New Roman"/>
          <w:b/>
          <w:lang w:val="es-ES"/>
        </w:rPr>
        <w:t xml:space="preserve"> de</w:t>
      </w:r>
      <w:r w:rsidR="0094294D" w:rsidRPr="00B359EB">
        <w:rPr>
          <w:rFonts w:ascii="Times New Roman" w:hAnsi="Times New Roman" w:cs="Times New Roman"/>
          <w:b/>
          <w:lang w:val="es-ES"/>
        </w:rPr>
        <w:t xml:space="preserve"> 2021</w:t>
      </w:r>
    </w:p>
    <w:p w14:paraId="4521D64B" w14:textId="77777777" w:rsidR="0069084A" w:rsidRPr="00B359EB" w:rsidRDefault="0069084A" w:rsidP="00AC6FAE">
      <w:pPr>
        <w:jc w:val="center"/>
        <w:outlineLvl w:val="0"/>
        <w:rPr>
          <w:rFonts w:ascii="Times New Roman" w:hAnsi="Times New Roman" w:cs="Times New Roman"/>
          <w:b/>
          <w:lang w:val="es-ES"/>
        </w:rPr>
      </w:pPr>
    </w:p>
    <w:p w14:paraId="61D63BFF" w14:textId="1D9B5AC3" w:rsidR="00AC6FAE" w:rsidRPr="00B359EB" w:rsidRDefault="00AC6FAE">
      <w:pPr>
        <w:autoSpaceDE w:val="0"/>
        <w:autoSpaceDN w:val="0"/>
        <w:adjustRightInd w:val="0"/>
        <w:spacing w:line="240" w:lineRule="atLeast"/>
        <w:ind w:firstLine="567"/>
        <w:rPr>
          <w:rFonts w:ascii="Times New Roman" w:hAnsi="Times New Roman" w:cs="Times New Roman"/>
          <w:sz w:val="23"/>
          <w:szCs w:val="23"/>
          <w:lang w:val="es-ES"/>
        </w:rPr>
      </w:pPr>
      <w:r w:rsidRPr="00B359EB">
        <w:rPr>
          <w:rFonts w:ascii="Times New Roman" w:hAnsi="Times New Roman" w:cs="Times New Roman"/>
          <w:sz w:val="23"/>
          <w:szCs w:val="23"/>
          <w:lang w:val="es-ES"/>
        </w:rPr>
        <w:t xml:space="preserve">La Relatora Especial de las Naciones Unidas sobre la situación de los defensores de los derechos humanos, Sra. Mary </w:t>
      </w:r>
      <w:proofErr w:type="spellStart"/>
      <w:r w:rsidRPr="00B359EB">
        <w:rPr>
          <w:rFonts w:ascii="Times New Roman" w:hAnsi="Times New Roman" w:cs="Times New Roman"/>
          <w:sz w:val="23"/>
          <w:szCs w:val="23"/>
          <w:lang w:val="es-ES"/>
        </w:rPr>
        <w:t>Lawlor</w:t>
      </w:r>
      <w:proofErr w:type="spellEnd"/>
      <w:r w:rsidRPr="00B359EB">
        <w:rPr>
          <w:rFonts w:ascii="Times New Roman" w:hAnsi="Times New Roman" w:cs="Times New Roman"/>
          <w:sz w:val="23"/>
          <w:szCs w:val="23"/>
          <w:lang w:val="es-ES"/>
        </w:rPr>
        <w:t xml:space="preserve">, invita a </w:t>
      </w:r>
      <w:r w:rsidR="003B5C8A" w:rsidRPr="00B359EB">
        <w:rPr>
          <w:rFonts w:ascii="Times New Roman" w:hAnsi="Times New Roman" w:cs="Times New Roman"/>
          <w:sz w:val="23"/>
          <w:szCs w:val="23"/>
          <w:lang w:val="es-ES"/>
        </w:rPr>
        <w:t>los organismos intergubernamentales y organizaciones de la sociedad civil</w:t>
      </w:r>
      <w:r w:rsidRPr="00B359EB">
        <w:rPr>
          <w:rFonts w:ascii="Times New Roman" w:hAnsi="Times New Roman" w:cs="Times New Roman"/>
          <w:sz w:val="23"/>
          <w:szCs w:val="23"/>
          <w:lang w:val="es-ES"/>
        </w:rPr>
        <w:t xml:space="preserve"> a que respondan al cuestionario que figura a continuación. Los insumos que se reciban servirán de base para el informe temático de la Relator</w:t>
      </w:r>
      <w:r w:rsidR="00724E87" w:rsidRPr="00B359EB">
        <w:rPr>
          <w:rFonts w:ascii="Times New Roman" w:hAnsi="Times New Roman" w:cs="Times New Roman"/>
          <w:sz w:val="23"/>
          <w:szCs w:val="23"/>
          <w:lang w:val="es-ES"/>
        </w:rPr>
        <w:t>a Especial sobre la cuestión de la detención de larga duración</w:t>
      </w:r>
      <w:r w:rsidRPr="00B359EB">
        <w:rPr>
          <w:rFonts w:ascii="Times New Roman" w:hAnsi="Times New Roman" w:cs="Times New Roman"/>
          <w:sz w:val="23"/>
          <w:szCs w:val="23"/>
          <w:lang w:val="es-ES"/>
        </w:rPr>
        <w:t xml:space="preserve"> de defensores y defensoras de los derechos humanos, que se presentará </w:t>
      </w:r>
      <w:r w:rsidR="00724E87" w:rsidRPr="00B359EB">
        <w:rPr>
          <w:rFonts w:ascii="Times New Roman" w:hAnsi="Times New Roman" w:cs="Times New Roman"/>
          <w:sz w:val="23"/>
          <w:szCs w:val="23"/>
          <w:lang w:val="es-ES"/>
        </w:rPr>
        <w:t xml:space="preserve">a la Asamblea General de </w:t>
      </w:r>
      <w:r w:rsidRPr="00B359EB">
        <w:rPr>
          <w:rFonts w:ascii="Times New Roman" w:hAnsi="Times New Roman" w:cs="Times New Roman"/>
          <w:sz w:val="23"/>
          <w:szCs w:val="23"/>
          <w:lang w:val="es-ES"/>
        </w:rPr>
        <w:t xml:space="preserve">las Naciones Unidas en </w:t>
      </w:r>
      <w:r w:rsidR="0079543D" w:rsidRPr="00B359EB">
        <w:rPr>
          <w:rFonts w:ascii="Times New Roman" w:hAnsi="Times New Roman" w:cs="Times New Roman"/>
          <w:sz w:val="23"/>
          <w:szCs w:val="23"/>
          <w:lang w:val="es-ES"/>
        </w:rPr>
        <w:t>septiemb</w:t>
      </w:r>
      <w:r w:rsidR="00724E87" w:rsidRPr="00B359EB">
        <w:rPr>
          <w:rFonts w:ascii="Times New Roman" w:hAnsi="Times New Roman" w:cs="Times New Roman"/>
          <w:sz w:val="23"/>
          <w:szCs w:val="23"/>
          <w:lang w:val="es-ES"/>
        </w:rPr>
        <w:t>re</w:t>
      </w:r>
      <w:r w:rsidRPr="00B359EB">
        <w:rPr>
          <w:rFonts w:ascii="Times New Roman" w:hAnsi="Times New Roman" w:cs="Times New Roman"/>
          <w:sz w:val="23"/>
          <w:szCs w:val="23"/>
          <w:lang w:val="es-ES"/>
        </w:rPr>
        <w:t xml:space="preserve"> de 2021.</w:t>
      </w:r>
    </w:p>
    <w:p w14:paraId="26679B24" w14:textId="77777777" w:rsidR="00AC6FAE" w:rsidRPr="00B359EB" w:rsidRDefault="00AC6FAE" w:rsidP="00AC6FAE">
      <w:pPr>
        <w:autoSpaceDE w:val="0"/>
        <w:autoSpaceDN w:val="0"/>
        <w:adjustRightInd w:val="0"/>
        <w:spacing w:line="240" w:lineRule="atLeast"/>
        <w:ind w:firstLine="567"/>
        <w:rPr>
          <w:rFonts w:ascii="Times New Roman" w:hAnsi="Times New Roman" w:cs="Times New Roman"/>
          <w:sz w:val="23"/>
          <w:szCs w:val="23"/>
          <w:lang w:val="es-ES"/>
        </w:rPr>
      </w:pPr>
    </w:p>
    <w:p w14:paraId="1CEE044B" w14:textId="43984ED1" w:rsidR="00650B26" w:rsidRPr="00B359EB" w:rsidRDefault="00AC6FAE" w:rsidP="00AC6FAE">
      <w:pPr>
        <w:autoSpaceDE w:val="0"/>
        <w:autoSpaceDN w:val="0"/>
        <w:adjustRightInd w:val="0"/>
        <w:spacing w:line="240" w:lineRule="atLeast"/>
        <w:ind w:firstLine="567"/>
        <w:rPr>
          <w:rFonts w:ascii="Times New Roman" w:hAnsi="Times New Roman" w:cs="Times New Roman"/>
          <w:color w:val="000000" w:themeColor="text1"/>
          <w:sz w:val="23"/>
          <w:szCs w:val="23"/>
          <w:lang w:val="es-ES"/>
        </w:rPr>
      </w:pPr>
      <w:r w:rsidRPr="00B359EB">
        <w:rPr>
          <w:rFonts w:ascii="Times New Roman" w:hAnsi="Times New Roman" w:cs="Times New Roman"/>
          <w:sz w:val="23"/>
          <w:szCs w:val="23"/>
          <w:lang w:val="es-ES"/>
        </w:rPr>
        <w:t>El cuestionario y la correspondiente nota conceptual sobre el informe se pueden consultar en el sitio web de la Oficina, en inglés (idioma original), así como en francés, español, ruso y árabe (traducciones no oficiales):</w:t>
      </w:r>
      <w:r w:rsidR="00D051B3" w:rsidRPr="00B359EB">
        <w:rPr>
          <w:rFonts w:ascii="Times New Roman" w:hAnsi="Times New Roman" w:cs="Times New Roman"/>
          <w:sz w:val="23"/>
          <w:szCs w:val="23"/>
          <w:lang w:val="es-ES"/>
        </w:rPr>
        <w:t xml:space="preserve"> </w:t>
      </w:r>
      <w:r w:rsidR="00650B26" w:rsidRPr="00B359EB">
        <w:rPr>
          <w:rFonts w:ascii="Times New Roman" w:hAnsi="Times New Roman" w:cs="Times New Roman"/>
          <w:color w:val="000000" w:themeColor="text1"/>
          <w:sz w:val="23"/>
          <w:szCs w:val="23"/>
          <w:lang w:val="es-ES"/>
        </w:rPr>
        <w:t>(</w:t>
      </w:r>
      <w:hyperlink r:id="rId11" w:history="1">
        <w:r w:rsidR="00650B26" w:rsidRPr="00B359EB">
          <w:rPr>
            <w:rStyle w:val="Hipervnculo"/>
            <w:rFonts w:ascii="Times New Roman" w:hAnsi="Times New Roman" w:cs="Times New Roman"/>
            <w:sz w:val="23"/>
            <w:szCs w:val="23"/>
            <w:lang w:val="es-ES"/>
          </w:rPr>
          <w:t>https://www.ohchr.org/EN/Issues/SRHRDefenders/Pages/SRHRDefendersIndex.aspx</w:t>
        </w:r>
      </w:hyperlink>
      <w:r w:rsidR="005D5B11" w:rsidRPr="00B359EB">
        <w:rPr>
          <w:rFonts w:ascii="Times New Roman" w:hAnsi="Times New Roman" w:cs="Times New Roman"/>
          <w:color w:val="000000" w:themeColor="text1"/>
          <w:sz w:val="23"/>
          <w:szCs w:val="23"/>
          <w:lang w:val="es-ES"/>
        </w:rPr>
        <w:t>).</w:t>
      </w:r>
    </w:p>
    <w:p w14:paraId="48D778CF" w14:textId="77777777" w:rsidR="009306CB" w:rsidRPr="00B359EB" w:rsidRDefault="009306CB" w:rsidP="00D051B3">
      <w:pPr>
        <w:pStyle w:val="Default"/>
        <w:ind w:firstLine="567"/>
        <w:rPr>
          <w:color w:val="auto"/>
          <w:sz w:val="23"/>
          <w:szCs w:val="23"/>
          <w:lang w:val="es-ES"/>
        </w:rPr>
      </w:pPr>
    </w:p>
    <w:p w14:paraId="7FA57891" w14:textId="0F641B3F" w:rsidR="00DA41F1" w:rsidRPr="00B359EB" w:rsidRDefault="00DA41F1" w:rsidP="00DA41F1">
      <w:pPr>
        <w:ind w:firstLine="567"/>
        <w:rPr>
          <w:rFonts w:ascii="Times New Roman" w:hAnsi="Times New Roman"/>
          <w:sz w:val="23"/>
          <w:szCs w:val="23"/>
          <w:lang w:val="es-ES"/>
        </w:rPr>
      </w:pPr>
      <w:r w:rsidRPr="00B359EB">
        <w:rPr>
          <w:rFonts w:ascii="Times New Roman" w:hAnsi="Times New Roman" w:cs="Times New Roman"/>
          <w:color w:val="000000"/>
          <w:sz w:val="23"/>
          <w:szCs w:val="23"/>
          <w:lang w:val="es-ES"/>
        </w:rPr>
        <w:t xml:space="preserve">Todas las respuestas recibidas se publicarán en el mencionado sitio web, a menos que el remitente haya indicado claramente que no desea que su </w:t>
      </w:r>
      <w:r w:rsidR="00414AD1" w:rsidRPr="00B359EB">
        <w:rPr>
          <w:rFonts w:ascii="Times New Roman" w:hAnsi="Times New Roman" w:cs="Times New Roman"/>
          <w:color w:val="000000"/>
          <w:sz w:val="23"/>
          <w:szCs w:val="23"/>
          <w:lang w:val="es-ES"/>
        </w:rPr>
        <w:t>respuesta</w:t>
      </w:r>
      <w:r w:rsidRPr="00B359EB">
        <w:rPr>
          <w:rFonts w:ascii="Times New Roman" w:hAnsi="Times New Roman" w:cs="Times New Roman"/>
          <w:color w:val="000000"/>
          <w:sz w:val="23"/>
          <w:szCs w:val="23"/>
          <w:lang w:val="es-ES"/>
        </w:rPr>
        <w:t xml:space="preserve"> se haga pública.</w:t>
      </w:r>
    </w:p>
    <w:p w14:paraId="2A4751A4" w14:textId="77777777" w:rsidR="006B6D2F" w:rsidRPr="00B359EB" w:rsidRDefault="006B6D2F" w:rsidP="006B6D2F">
      <w:pPr>
        <w:rPr>
          <w:rFonts w:ascii="Times New Roman" w:hAnsi="Times New Roman" w:cs="Times New Roman"/>
          <w:sz w:val="23"/>
          <w:szCs w:val="23"/>
          <w:lang w:val="es-ES"/>
        </w:rPr>
      </w:pPr>
      <w:r w:rsidRPr="00B359EB">
        <w:rPr>
          <w:rFonts w:ascii="Times New Roman" w:hAnsi="Times New Roman" w:cs="Times New Roman"/>
          <w:sz w:val="23"/>
          <w:szCs w:val="23"/>
          <w:lang w:val="es-ES"/>
        </w:rPr>
        <w:t> </w:t>
      </w:r>
    </w:p>
    <w:p w14:paraId="1F19D5F6" w14:textId="04AF416E" w:rsidR="00D051B3" w:rsidRPr="00B359EB" w:rsidRDefault="004B63C8" w:rsidP="00D051B3">
      <w:pPr>
        <w:ind w:firstLine="567"/>
        <w:rPr>
          <w:rFonts w:ascii="Times New Roman" w:hAnsi="Times New Roman" w:cs="Times New Roman"/>
          <w:sz w:val="23"/>
          <w:szCs w:val="23"/>
          <w:lang w:val="es-ES"/>
        </w:rPr>
      </w:pPr>
      <w:r w:rsidRPr="00B359EB">
        <w:rPr>
          <w:rFonts w:ascii="Times New Roman" w:hAnsi="Times New Roman" w:cs="Times New Roman"/>
          <w:sz w:val="23"/>
          <w:szCs w:val="23"/>
          <w:lang w:val="es-ES"/>
        </w:rPr>
        <w:t>Nótese que h</w:t>
      </w:r>
      <w:r w:rsidR="008F30F8" w:rsidRPr="00B359EB">
        <w:rPr>
          <w:rFonts w:ascii="Times New Roman" w:hAnsi="Times New Roman" w:cs="Times New Roman"/>
          <w:sz w:val="23"/>
          <w:szCs w:val="23"/>
          <w:lang w:val="es-ES"/>
        </w:rPr>
        <w:t>ay un límite de 2500 palabras por cuestionario.</w:t>
      </w:r>
      <w:r w:rsidRPr="00B359EB">
        <w:rPr>
          <w:rFonts w:ascii="Times New Roman" w:hAnsi="Times New Roman" w:cs="Times New Roman"/>
          <w:sz w:val="23"/>
          <w:szCs w:val="23"/>
          <w:lang w:val="es-ES"/>
        </w:rPr>
        <w:t xml:space="preserve"> </w:t>
      </w:r>
      <w:r w:rsidR="00414AD1" w:rsidRPr="00B359EB">
        <w:rPr>
          <w:rFonts w:ascii="Times New Roman" w:hAnsi="Times New Roman" w:cs="Times New Roman"/>
          <w:sz w:val="23"/>
          <w:szCs w:val="23"/>
          <w:lang w:val="es-ES"/>
        </w:rPr>
        <w:t xml:space="preserve">Sírvase </w:t>
      </w:r>
      <w:r w:rsidRPr="00B359EB">
        <w:rPr>
          <w:rFonts w:ascii="Times New Roman" w:hAnsi="Times New Roman" w:cs="Times New Roman"/>
          <w:sz w:val="23"/>
          <w:szCs w:val="23"/>
          <w:lang w:val="es-ES"/>
        </w:rPr>
        <w:t xml:space="preserve">por favor </w:t>
      </w:r>
      <w:r w:rsidR="00414AD1" w:rsidRPr="00B359EB">
        <w:rPr>
          <w:rFonts w:ascii="Times New Roman" w:hAnsi="Times New Roman" w:cs="Times New Roman"/>
          <w:sz w:val="23"/>
          <w:szCs w:val="23"/>
          <w:lang w:val="es-ES"/>
        </w:rPr>
        <w:t>enviar las respuestas al cuestionario a:</w:t>
      </w:r>
      <w:r w:rsidR="00D051B3" w:rsidRPr="00B359EB">
        <w:rPr>
          <w:rFonts w:ascii="Times New Roman" w:hAnsi="Times New Roman" w:cs="Times New Roman"/>
          <w:sz w:val="23"/>
          <w:szCs w:val="23"/>
          <w:lang w:val="es-ES"/>
        </w:rPr>
        <w:t xml:space="preserve"> </w:t>
      </w:r>
      <w:hyperlink r:id="rId12" w:history="1">
        <w:r w:rsidR="00D051B3" w:rsidRPr="00B359EB">
          <w:rPr>
            <w:rStyle w:val="Hipervnculo"/>
            <w:rFonts w:ascii="Times New Roman" w:hAnsi="Times New Roman" w:cs="Times New Roman"/>
            <w:sz w:val="23"/>
            <w:szCs w:val="23"/>
            <w:lang w:val="es-ES"/>
          </w:rPr>
          <w:t>defenders@ohchr.org</w:t>
        </w:r>
      </w:hyperlink>
    </w:p>
    <w:p w14:paraId="71A826F1" w14:textId="0FC069B4" w:rsidR="00D051B3" w:rsidRPr="00B359EB" w:rsidRDefault="00D051B3" w:rsidP="00D051B3">
      <w:pPr>
        <w:ind w:firstLine="567"/>
        <w:rPr>
          <w:rFonts w:ascii="Times New Roman" w:hAnsi="Times New Roman" w:cs="Times New Roman"/>
          <w:sz w:val="23"/>
          <w:szCs w:val="23"/>
          <w:lang w:val="es-ES"/>
        </w:rPr>
      </w:pPr>
    </w:p>
    <w:p w14:paraId="63A3E80B" w14:textId="462BEA3E" w:rsidR="00D051B3" w:rsidRPr="00B359EB" w:rsidRDefault="00414AD1" w:rsidP="00D051B3">
      <w:pPr>
        <w:ind w:firstLine="567"/>
        <w:rPr>
          <w:rFonts w:ascii="Times New Roman" w:hAnsi="Times New Roman" w:cs="Times New Roman"/>
          <w:sz w:val="23"/>
          <w:szCs w:val="23"/>
          <w:lang w:val="es-ES"/>
        </w:rPr>
      </w:pPr>
      <w:r w:rsidRPr="00B359EB">
        <w:rPr>
          <w:rFonts w:ascii="Times New Roman" w:hAnsi="Times New Roman" w:cs="Times New Roman"/>
          <w:sz w:val="23"/>
          <w:szCs w:val="23"/>
          <w:lang w:val="es-ES"/>
        </w:rPr>
        <w:t>Fecha final para enviar las respuestas</w:t>
      </w:r>
      <w:r w:rsidR="00D051B3" w:rsidRPr="00B359EB">
        <w:rPr>
          <w:rFonts w:ascii="Times New Roman" w:hAnsi="Times New Roman" w:cs="Times New Roman"/>
          <w:sz w:val="23"/>
          <w:szCs w:val="23"/>
          <w:lang w:val="es-ES"/>
        </w:rPr>
        <w:t xml:space="preserve">: </w:t>
      </w:r>
      <w:r w:rsidR="00532DEE" w:rsidRPr="00B359EB">
        <w:rPr>
          <w:rFonts w:ascii="Times New Roman" w:hAnsi="Times New Roman" w:cs="Times New Roman"/>
          <w:b/>
          <w:sz w:val="23"/>
          <w:szCs w:val="23"/>
          <w:lang w:val="es-ES"/>
        </w:rPr>
        <w:t>1</w:t>
      </w:r>
      <w:r w:rsidR="002C1CA8" w:rsidRPr="00B359EB">
        <w:rPr>
          <w:rFonts w:ascii="Times New Roman" w:hAnsi="Times New Roman" w:cs="Times New Roman"/>
          <w:b/>
          <w:sz w:val="23"/>
          <w:szCs w:val="23"/>
          <w:lang w:val="es-ES"/>
        </w:rPr>
        <w:t>9</w:t>
      </w:r>
      <w:r w:rsidR="00D051B3" w:rsidRPr="00B359EB">
        <w:rPr>
          <w:rFonts w:ascii="Times New Roman" w:hAnsi="Times New Roman" w:cs="Times New Roman"/>
          <w:b/>
          <w:sz w:val="23"/>
          <w:szCs w:val="23"/>
          <w:lang w:val="es-ES"/>
        </w:rPr>
        <w:t xml:space="preserve"> </w:t>
      </w:r>
      <w:r w:rsidR="00DA221E" w:rsidRPr="00B359EB">
        <w:rPr>
          <w:rFonts w:ascii="Times New Roman" w:hAnsi="Times New Roman" w:cs="Times New Roman"/>
          <w:b/>
          <w:sz w:val="23"/>
          <w:szCs w:val="23"/>
          <w:lang w:val="es-ES"/>
        </w:rPr>
        <w:t xml:space="preserve">de </w:t>
      </w:r>
      <w:r w:rsidR="00532DEE" w:rsidRPr="00B359EB">
        <w:rPr>
          <w:rFonts w:ascii="Times New Roman" w:hAnsi="Times New Roman" w:cs="Times New Roman"/>
          <w:b/>
          <w:sz w:val="23"/>
          <w:szCs w:val="23"/>
          <w:lang w:val="es-ES"/>
        </w:rPr>
        <w:t>marzo</w:t>
      </w:r>
      <w:r w:rsidR="00D051B3" w:rsidRPr="00B359EB">
        <w:rPr>
          <w:rFonts w:ascii="Times New Roman" w:hAnsi="Times New Roman" w:cs="Times New Roman"/>
          <w:b/>
          <w:sz w:val="23"/>
          <w:szCs w:val="23"/>
          <w:lang w:val="es-ES"/>
        </w:rPr>
        <w:t xml:space="preserve"> </w:t>
      </w:r>
      <w:r w:rsidR="00203EBA" w:rsidRPr="00B359EB">
        <w:rPr>
          <w:rFonts w:ascii="Times New Roman" w:hAnsi="Times New Roman" w:cs="Times New Roman"/>
          <w:b/>
          <w:sz w:val="23"/>
          <w:szCs w:val="23"/>
          <w:lang w:val="es-ES"/>
        </w:rPr>
        <w:t xml:space="preserve">de </w:t>
      </w:r>
      <w:r w:rsidR="00D051B3" w:rsidRPr="00B359EB">
        <w:rPr>
          <w:rFonts w:ascii="Times New Roman" w:hAnsi="Times New Roman" w:cs="Times New Roman"/>
          <w:b/>
          <w:sz w:val="23"/>
          <w:szCs w:val="23"/>
          <w:lang w:val="es-ES"/>
        </w:rPr>
        <w:t>202</w:t>
      </w:r>
      <w:r w:rsidR="00F46A11" w:rsidRPr="00B359EB">
        <w:rPr>
          <w:rFonts w:ascii="Times New Roman" w:hAnsi="Times New Roman" w:cs="Times New Roman"/>
          <w:b/>
          <w:sz w:val="23"/>
          <w:szCs w:val="23"/>
          <w:lang w:val="es-ES"/>
        </w:rPr>
        <w:t>1</w:t>
      </w:r>
    </w:p>
    <w:p w14:paraId="408A01D9" w14:textId="74034746" w:rsidR="00F240B1" w:rsidRPr="00B359EB" w:rsidRDefault="00F240B1" w:rsidP="00F240B1">
      <w:pPr>
        <w:pBdr>
          <w:bottom w:val="single" w:sz="4" w:space="1" w:color="auto"/>
        </w:pBdr>
        <w:outlineLvl w:val="0"/>
        <w:rPr>
          <w:rFonts w:ascii="Times New Roman" w:hAnsi="Times New Roman" w:cs="Times New Roman"/>
          <w:lang w:val="es-ES"/>
        </w:rPr>
      </w:pPr>
    </w:p>
    <w:p w14:paraId="7BED3134" w14:textId="77777777" w:rsidR="00FA3A26" w:rsidRPr="00B359EB" w:rsidRDefault="00FA3A26" w:rsidP="00FA3A26">
      <w:pPr>
        <w:rPr>
          <w:rFonts w:ascii="Times New Roman" w:hAnsi="Times New Roman" w:cs="Times New Roman"/>
          <w:b/>
          <w:lang w:val="es-ES"/>
        </w:rPr>
      </w:pPr>
      <w:r w:rsidRPr="00B359EB">
        <w:rPr>
          <w:rFonts w:ascii="Times New Roman" w:hAnsi="Times New Roman" w:cs="Times New Roman"/>
          <w:b/>
          <w:lang w:val="es-ES"/>
        </w:rPr>
        <w:t xml:space="preserve">Datos de contacto </w:t>
      </w:r>
    </w:p>
    <w:p w14:paraId="55859AF0" w14:textId="77777777" w:rsidR="00FA3A26" w:rsidRPr="00B359EB" w:rsidRDefault="00FA3A26" w:rsidP="00FA3A26">
      <w:pPr>
        <w:rPr>
          <w:rFonts w:ascii="Times New Roman" w:hAnsi="Times New Roman" w:cs="Times New Roman"/>
          <w:lang w:val="es-ES"/>
        </w:rPr>
      </w:pPr>
    </w:p>
    <w:p w14:paraId="0195DD8E" w14:textId="77777777" w:rsidR="00FA3A26" w:rsidRPr="00B359EB" w:rsidRDefault="00FA3A26" w:rsidP="00FA3A26">
      <w:pPr>
        <w:rPr>
          <w:rFonts w:ascii="Times New Roman" w:hAnsi="Times New Roman" w:cs="Times New Roman"/>
          <w:lang w:val="es-ES"/>
        </w:rPr>
      </w:pPr>
      <w:r w:rsidRPr="00B359EB">
        <w:rPr>
          <w:rFonts w:ascii="Times New Roman" w:hAnsi="Times New Roman" w:cs="Times New Roman"/>
          <w:lang w:val="es-ES"/>
        </w:rPr>
        <w:t>Comparta por favor sus datos de contacto en caso de que necesitemos comunicarnos con usted en relación con este cuestionario. (opcional)</w:t>
      </w:r>
    </w:p>
    <w:p w14:paraId="436C6790" w14:textId="77777777" w:rsidR="006B6D2F" w:rsidRPr="00B359EB" w:rsidRDefault="006B6D2F">
      <w:pPr>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2897"/>
        <w:gridCol w:w="5393"/>
      </w:tblGrid>
      <w:tr w:rsidR="007C576D" w:rsidRPr="00B359EB" w14:paraId="2601FAA7" w14:textId="77777777" w:rsidTr="00332A96">
        <w:tc>
          <w:tcPr>
            <w:tcW w:w="2897" w:type="dxa"/>
          </w:tcPr>
          <w:p w14:paraId="3510BF17" w14:textId="2703582C" w:rsidR="007C576D" w:rsidRPr="00B359EB" w:rsidRDefault="00414AD1" w:rsidP="004A74A5">
            <w:pPr>
              <w:rPr>
                <w:rFonts w:ascii="Times New Roman" w:hAnsi="Times New Roman" w:cs="Times New Roman"/>
                <w:lang w:val="es-ES"/>
              </w:rPr>
            </w:pPr>
            <w:r w:rsidRPr="00B359EB">
              <w:rPr>
                <w:rFonts w:ascii="Times New Roman" w:hAnsi="Times New Roman" w:cs="Times New Roman"/>
                <w:lang w:val="es-ES"/>
              </w:rPr>
              <w:t>Tipo de actor (por favor seleccione uno)</w:t>
            </w:r>
          </w:p>
          <w:p w14:paraId="5E7FB244" w14:textId="77777777" w:rsidR="007C576D" w:rsidRPr="00B359EB" w:rsidRDefault="007C576D" w:rsidP="004A74A5">
            <w:pPr>
              <w:rPr>
                <w:rFonts w:ascii="Times New Roman" w:hAnsi="Times New Roman" w:cs="Times New Roman"/>
                <w:lang w:val="es-ES"/>
              </w:rPr>
            </w:pPr>
          </w:p>
        </w:tc>
        <w:tc>
          <w:tcPr>
            <w:tcW w:w="5393" w:type="dxa"/>
          </w:tcPr>
          <w:p w14:paraId="2435AC1F" w14:textId="5BC89523" w:rsidR="00A67BFB" w:rsidRPr="00B359EB" w:rsidRDefault="00C623C9" w:rsidP="004A74A5">
            <w:pPr>
              <w:rPr>
                <w:rFonts w:ascii="Times New Roman" w:hAnsi="Times New Roman" w:cs="Times New Roman"/>
                <w:lang w:val="es-ES"/>
              </w:rPr>
            </w:pPr>
            <w:r w:rsidRPr="00B359EB">
              <w:rPr>
                <w:rFonts w:ascii="Times New Roman" w:hAnsi="Times New Roman" w:cs="Times New Roman"/>
                <w:lang w:val="es-ES"/>
              </w:rPr>
              <w:fldChar w:fldCharType="begin">
                <w:ffData>
                  <w:name w:val="Check1"/>
                  <w:enabled/>
                  <w:calcOnExit w:val="0"/>
                  <w:checkBox>
                    <w:sizeAuto/>
                    <w:default w:val="0"/>
                  </w:checkBox>
                </w:ffData>
              </w:fldChar>
            </w:r>
            <w:bookmarkStart w:id="0" w:name="Check1"/>
            <w:r w:rsidRPr="00B359EB">
              <w:rPr>
                <w:rFonts w:ascii="Times New Roman" w:hAnsi="Times New Roman" w:cs="Times New Roman"/>
                <w:lang w:val="es-ES"/>
              </w:rPr>
              <w:instrText xml:space="preserve"> FORMCHECKBOX </w:instrText>
            </w:r>
            <w:r w:rsidR="00517DEE">
              <w:rPr>
                <w:rFonts w:ascii="Times New Roman" w:hAnsi="Times New Roman" w:cs="Times New Roman"/>
                <w:lang w:val="es-ES"/>
              </w:rPr>
            </w:r>
            <w:r w:rsidR="00517DEE">
              <w:rPr>
                <w:rFonts w:ascii="Times New Roman" w:hAnsi="Times New Roman" w:cs="Times New Roman"/>
                <w:lang w:val="es-ES"/>
              </w:rPr>
              <w:fldChar w:fldCharType="separate"/>
            </w:r>
            <w:r w:rsidRPr="00B359EB">
              <w:rPr>
                <w:rFonts w:ascii="Times New Roman" w:hAnsi="Times New Roman" w:cs="Times New Roman"/>
                <w:lang w:val="es-ES"/>
              </w:rPr>
              <w:fldChar w:fldCharType="end"/>
            </w:r>
            <w:bookmarkEnd w:id="0"/>
            <w:r w:rsidRPr="00B359EB">
              <w:rPr>
                <w:rFonts w:ascii="Times New Roman" w:hAnsi="Times New Roman" w:cs="Times New Roman"/>
                <w:lang w:val="es-ES"/>
              </w:rPr>
              <w:t xml:space="preserve">  </w:t>
            </w:r>
            <w:r w:rsidR="008B6DC2" w:rsidRPr="00B359EB">
              <w:rPr>
                <w:rFonts w:ascii="Times New Roman" w:hAnsi="Times New Roman" w:cs="Times New Roman"/>
                <w:lang w:val="es-ES"/>
              </w:rPr>
              <w:t>Organización Inter-gubernamental</w:t>
            </w:r>
          </w:p>
          <w:p w14:paraId="14795D9E" w14:textId="6751ABFB" w:rsidR="00332A96" w:rsidRPr="00B359EB" w:rsidRDefault="007610E9" w:rsidP="004F6BCB">
            <w:pPr>
              <w:rPr>
                <w:rFonts w:ascii="Times New Roman" w:hAnsi="Times New Roman" w:cs="Times New Roman"/>
                <w:lang w:val="es-ES"/>
              </w:rPr>
            </w:pPr>
            <w:r w:rsidRPr="00B359EB">
              <w:rPr>
                <w:rFonts w:ascii="Times New Roman" w:hAnsi="Times New Roman" w:cs="Times New Roman"/>
                <w:lang w:val="es-ES"/>
              </w:rPr>
              <w:fldChar w:fldCharType="begin">
                <w:ffData>
                  <w:name w:val="Check2"/>
                  <w:enabled/>
                  <w:calcOnExit w:val="0"/>
                  <w:checkBox>
                    <w:sizeAuto/>
                    <w:default w:val="1"/>
                  </w:checkBox>
                </w:ffData>
              </w:fldChar>
            </w:r>
            <w:bookmarkStart w:id="1" w:name="Check2"/>
            <w:r w:rsidRPr="00B359EB">
              <w:rPr>
                <w:rFonts w:ascii="Times New Roman" w:hAnsi="Times New Roman" w:cs="Times New Roman"/>
                <w:lang w:val="es-ES"/>
              </w:rPr>
              <w:instrText xml:space="preserve"> FORMCHECKBOX </w:instrText>
            </w:r>
            <w:r w:rsidR="00517DEE">
              <w:rPr>
                <w:rFonts w:ascii="Times New Roman" w:hAnsi="Times New Roman" w:cs="Times New Roman"/>
                <w:lang w:val="es-ES"/>
              </w:rPr>
            </w:r>
            <w:r w:rsidR="00517DEE">
              <w:rPr>
                <w:rFonts w:ascii="Times New Roman" w:hAnsi="Times New Roman" w:cs="Times New Roman"/>
                <w:lang w:val="es-ES"/>
              </w:rPr>
              <w:fldChar w:fldCharType="separate"/>
            </w:r>
            <w:r w:rsidRPr="00B359EB">
              <w:rPr>
                <w:rFonts w:ascii="Times New Roman" w:hAnsi="Times New Roman" w:cs="Times New Roman"/>
                <w:lang w:val="es-ES"/>
              </w:rPr>
              <w:fldChar w:fldCharType="end"/>
            </w:r>
            <w:bookmarkEnd w:id="1"/>
            <w:r w:rsidR="00C623C9" w:rsidRPr="00B359EB">
              <w:rPr>
                <w:rFonts w:ascii="Times New Roman" w:hAnsi="Times New Roman" w:cs="Times New Roman"/>
                <w:lang w:val="es-ES"/>
              </w:rPr>
              <w:t xml:space="preserve">  </w:t>
            </w:r>
            <w:r w:rsidR="00FF0402" w:rsidRPr="00B359EB">
              <w:rPr>
                <w:rFonts w:ascii="Times New Roman" w:hAnsi="Times New Roman" w:cs="Times New Roman"/>
                <w:lang w:val="es-ES"/>
              </w:rPr>
              <w:t xml:space="preserve">Grupo u Organización de la </w:t>
            </w:r>
            <w:r w:rsidR="008B6DC2" w:rsidRPr="00B359EB">
              <w:rPr>
                <w:rFonts w:ascii="Times New Roman" w:hAnsi="Times New Roman" w:cs="Times New Roman"/>
                <w:lang w:val="es-ES"/>
              </w:rPr>
              <w:t>Sociedad Civil</w:t>
            </w:r>
          </w:p>
          <w:p w14:paraId="2D1144B4" w14:textId="665C36F4" w:rsidR="00532DEE" w:rsidRPr="00B359EB" w:rsidRDefault="00532DEE" w:rsidP="00532DEE">
            <w:pPr>
              <w:rPr>
                <w:rFonts w:ascii="Times New Roman" w:hAnsi="Times New Roman" w:cs="Times New Roman"/>
                <w:lang w:val="es-ES"/>
              </w:rPr>
            </w:pPr>
            <w:r w:rsidRPr="00B359EB">
              <w:rPr>
                <w:rFonts w:ascii="Times New Roman" w:hAnsi="Times New Roman" w:cs="Times New Roman"/>
                <w:lang w:val="es-ES"/>
              </w:rPr>
              <w:fldChar w:fldCharType="begin">
                <w:ffData>
                  <w:name w:val="Check1"/>
                  <w:enabled/>
                  <w:calcOnExit w:val="0"/>
                  <w:checkBox>
                    <w:sizeAuto/>
                    <w:default w:val="0"/>
                  </w:checkBox>
                </w:ffData>
              </w:fldChar>
            </w:r>
            <w:r w:rsidRPr="00B359EB">
              <w:rPr>
                <w:rFonts w:ascii="Times New Roman" w:hAnsi="Times New Roman" w:cs="Times New Roman"/>
                <w:lang w:val="es-ES"/>
              </w:rPr>
              <w:instrText xml:space="preserve"> FORMCHECKBOX </w:instrText>
            </w:r>
            <w:r w:rsidR="00517DEE">
              <w:rPr>
                <w:rFonts w:ascii="Times New Roman" w:hAnsi="Times New Roman" w:cs="Times New Roman"/>
                <w:lang w:val="es-ES"/>
              </w:rPr>
            </w:r>
            <w:r w:rsidR="00517DEE">
              <w:rPr>
                <w:rFonts w:ascii="Times New Roman" w:hAnsi="Times New Roman" w:cs="Times New Roman"/>
                <w:lang w:val="es-ES"/>
              </w:rPr>
              <w:fldChar w:fldCharType="separate"/>
            </w:r>
            <w:r w:rsidRPr="00B359EB">
              <w:rPr>
                <w:rFonts w:ascii="Times New Roman" w:hAnsi="Times New Roman" w:cs="Times New Roman"/>
                <w:lang w:val="es-ES"/>
              </w:rPr>
              <w:fldChar w:fldCharType="end"/>
            </w:r>
            <w:r w:rsidRPr="00B359EB">
              <w:rPr>
                <w:rFonts w:ascii="Times New Roman" w:hAnsi="Times New Roman" w:cs="Times New Roman"/>
                <w:lang w:val="es-ES"/>
              </w:rPr>
              <w:t xml:space="preserve">  </w:t>
            </w:r>
            <w:r w:rsidR="00FF0402" w:rsidRPr="00B359EB">
              <w:rPr>
                <w:rFonts w:ascii="Times New Roman" w:hAnsi="Times New Roman" w:cs="Times New Roman"/>
                <w:lang w:val="es-ES"/>
              </w:rPr>
              <w:t xml:space="preserve">Defensor o </w:t>
            </w:r>
            <w:r w:rsidR="008B6DC2" w:rsidRPr="00B359EB">
              <w:rPr>
                <w:rFonts w:ascii="Times New Roman" w:hAnsi="Times New Roman" w:cs="Times New Roman"/>
                <w:lang w:val="es-ES"/>
              </w:rPr>
              <w:t>defensora de derechos humanos</w:t>
            </w:r>
          </w:p>
          <w:p w14:paraId="7AB51451" w14:textId="3FAEBEEA" w:rsidR="00FF0402" w:rsidRPr="00B359EB" w:rsidRDefault="00FF0402" w:rsidP="00FF0402">
            <w:pPr>
              <w:ind w:left="394" w:hanging="394"/>
              <w:rPr>
                <w:rFonts w:ascii="Times New Roman" w:hAnsi="Times New Roman" w:cs="Times New Roman"/>
                <w:lang w:val="es-ES"/>
              </w:rPr>
            </w:pPr>
            <w:r w:rsidRPr="00B359EB">
              <w:rPr>
                <w:rFonts w:ascii="Times New Roman" w:hAnsi="Times New Roman" w:cs="Times New Roman"/>
                <w:lang w:val="es-ES"/>
              </w:rPr>
              <w:fldChar w:fldCharType="begin">
                <w:ffData>
                  <w:name w:val="Check6"/>
                  <w:enabled/>
                  <w:calcOnExit w:val="0"/>
                  <w:checkBox>
                    <w:sizeAuto/>
                    <w:default w:val="0"/>
                  </w:checkBox>
                </w:ffData>
              </w:fldChar>
            </w:r>
            <w:r w:rsidRPr="00B359EB">
              <w:rPr>
                <w:rFonts w:ascii="Times New Roman" w:hAnsi="Times New Roman" w:cs="Times New Roman"/>
                <w:lang w:val="es-ES"/>
              </w:rPr>
              <w:instrText xml:space="preserve"> FORMCHECKBOX </w:instrText>
            </w:r>
            <w:r w:rsidR="00517DEE">
              <w:rPr>
                <w:rFonts w:ascii="Times New Roman" w:hAnsi="Times New Roman" w:cs="Times New Roman"/>
                <w:lang w:val="es-ES"/>
              </w:rPr>
            </w:r>
            <w:r w:rsidR="00517DEE">
              <w:rPr>
                <w:rFonts w:ascii="Times New Roman" w:hAnsi="Times New Roman" w:cs="Times New Roman"/>
                <w:lang w:val="es-ES"/>
              </w:rPr>
              <w:fldChar w:fldCharType="separate"/>
            </w:r>
            <w:r w:rsidRPr="00B359EB">
              <w:rPr>
                <w:rFonts w:ascii="Times New Roman" w:hAnsi="Times New Roman" w:cs="Times New Roman"/>
                <w:lang w:val="es-ES"/>
              </w:rPr>
              <w:fldChar w:fldCharType="end"/>
            </w:r>
            <w:r w:rsidRPr="00B359EB">
              <w:rPr>
                <w:rFonts w:ascii="Times New Roman" w:hAnsi="Times New Roman" w:cs="Times New Roman"/>
                <w:lang w:val="es-ES"/>
              </w:rPr>
              <w:t xml:space="preserve">  </w:t>
            </w:r>
            <w:r w:rsidRPr="00B359EB">
              <w:rPr>
                <w:rFonts w:ascii="Times New Roman" w:hAnsi="Times New Roman" w:cs="Times New Roman"/>
                <w:sz w:val="22"/>
                <w:szCs w:val="22"/>
                <w:lang w:val="es-ES"/>
              </w:rPr>
              <w:t>Institución Académica</w:t>
            </w:r>
            <w:r w:rsidR="0026778C" w:rsidRPr="00B359EB">
              <w:rPr>
                <w:rFonts w:ascii="Times New Roman" w:hAnsi="Times New Roman" w:cs="Times New Roman"/>
                <w:sz w:val="22"/>
                <w:szCs w:val="22"/>
                <w:lang w:val="es-ES"/>
              </w:rPr>
              <w:t xml:space="preserve"> de </w:t>
            </w:r>
            <w:r w:rsidRPr="00B359EB">
              <w:rPr>
                <w:rFonts w:ascii="Times New Roman" w:hAnsi="Times New Roman" w:cs="Times New Roman"/>
                <w:sz w:val="22"/>
                <w:szCs w:val="22"/>
                <w:lang w:val="es-ES"/>
              </w:rPr>
              <w:t>formación</w:t>
            </w:r>
            <w:r w:rsidR="0026778C" w:rsidRPr="00B359EB">
              <w:rPr>
                <w:rFonts w:ascii="Times New Roman" w:hAnsi="Times New Roman" w:cs="Times New Roman"/>
                <w:sz w:val="22"/>
                <w:szCs w:val="22"/>
                <w:lang w:val="es-ES"/>
              </w:rPr>
              <w:t xml:space="preserve"> o </w:t>
            </w:r>
            <w:r w:rsidRPr="00B359EB">
              <w:rPr>
                <w:rFonts w:ascii="Times New Roman" w:hAnsi="Times New Roman" w:cs="Times New Roman"/>
                <w:sz w:val="22"/>
                <w:szCs w:val="22"/>
                <w:lang w:val="es-ES"/>
              </w:rPr>
              <w:t>Investigación</w:t>
            </w:r>
          </w:p>
          <w:p w14:paraId="63E6BD88" w14:textId="672748F6" w:rsidR="00532DEE" w:rsidRPr="00B359EB" w:rsidRDefault="00FA3D29" w:rsidP="00532DEE">
            <w:pPr>
              <w:ind w:left="394" w:hanging="394"/>
              <w:rPr>
                <w:rFonts w:ascii="Times New Roman" w:hAnsi="Times New Roman" w:cs="Times New Roman"/>
                <w:lang w:val="es-ES"/>
              </w:rPr>
            </w:pPr>
            <w:r w:rsidRPr="00B359EB">
              <w:rPr>
                <w:rFonts w:ascii="Times New Roman" w:hAnsi="Times New Roman" w:cs="Times New Roman"/>
                <w:lang w:val="es-ES"/>
              </w:rPr>
              <w:fldChar w:fldCharType="begin">
                <w:ffData>
                  <w:name w:val="Check6"/>
                  <w:enabled/>
                  <w:calcOnExit w:val="0"/>
                  <w:checkBox>
                    <w:sizeAuto/>
                    <w:default w:val="0"/>
                  </w:checkBox>
                </w:ffData>
              </w:fldChar>
            </w:r>
            <w:bookmarkStart w:id="2" w:name="Check6"/>
            <w:r w:rsidRPr="00B359EB">
              <w:rPr>
                <w:rFonts w:ascii="Times New Roman" w:hAnsi="Times New Roman" w:cs="Times New Roman"/>
                <w:lang w:val="es-ES"/>
              </w:rPr>
              <w:instrText xml:space="preserve"> FORMCHECKBOX </w:instrText>
            </w:r>
            <w:r w:rsidR="00517DEE">
              <w:rPr>
                <w:rFonts w:ascii="Times New Roman" w:hAnsi="Times New Roman" w:cs="Times New Roman"/>
                <w:lang w:val="es-ES"/>
              </w:rPr>
            </w:r>
            <w:r w:rsidR="00517DEE">
              <w:rPr>
                <w:rFonts w:ascii="Times New Roman" w:hAnsi="Times New Roman" w:cs="Times New Roman"/>
                <w:lang w:val="es-ES"/>
              </w:rPr>
              <w:fldChar w:fldCharType="separate"/>
            </w:r>
            <w:r w:rsidRPr="00B359EB">
              <w:rPr>
                <w:rFonts w:ascii="Times New Roman" w:hAnsi="Times New Roman" w:cs="Times New Roman"/>
                <w:lang w:val="es-ES"/>
              </w:rPr>
              <w:fldChar w:fldCharType="end"/>
            </w:r>
            <w:bookmarkEnd w:id="2"/>
            <w:r w:rsidRPr="00B359EB">
              <w:rPr>
                <w:rFonts w:ascii="Times New Roman" w:hAnsi="Times New Roman" w:cs="Times New Roman"/>
                <w:lang w:val="es-ES"/>
              </w:rPr>
              <w:t xml:space="preserve">  </w:t>
            </w:r>
            <w:r w:rsidR="00414AD1" w:rsidRPr="00B359EB">
              <w:rPr>
                <w:rFonts w:ascii="Times New Roman" w:hAnsi="Times New Roman" w:cs="Times New Roman"/>
                <w:lang w:val="es-ES"/>
              </w:rPr>
              <w:t>Otro</w:t>
            </w:r>
            <w:r w:rsidRPr="00B359EB">
              <w:rPr>
                <w:rFonts w:ascii="Times New Roman" w:hAnsi="Times New Roman" w:cs="Times New Roman"/>
                <w:lang w:val="es-ES"/>
              </w:rPr>
              <w:t xml:space="preserve"> (</w:t>
            </w:r>
            <w:r w:rsidR="00414AD1" w:rsidRPr="00B359EB">
              <w:rPr>
                <w:rFonts w:ascii="Times New Roman" w:hAnsi="Times New Roman" w:cs="Times New Roman"/>
                <w:lang w:val="es-ES"/>
              </w:rPr>
              <w:t>por favor especifique</w:t>
            </w:r>
            <w:r w:rsidRPr="00B359EB">
              <w:rPr>
                <w:rFonts w:ascii="Times New Roman" w:hAnsi="Times New Roman" w:cs="Times New Roman"/>
                <w:lang w:val="es-ES"/>
              </w:rPr>
              <w:t>):</w:t>
            </w:r>
          </w:p>
        </w:tc>
      </w:tr>
      <w:tr w:rsidR="006B6D2F" w:rsidRPr="00B359EB" w14:paraId="14D58AF4" w14:textId="77777777" w:rsidTr="00332A96">
        <w:tc>
          <w:tcPr>
            <w:tcW w:w="2897" w:type="dxa"/>
          </w:tcPr>
          <w:p w14:paraId="2176D7EF" w14:textId="77777777" w:rsidR="00414AD1" w:rsidRPr="00B359EB" w:rsidRDefault="00414AD1" w:rsidP="00414AD1">
            <w:pPr>
              <w:rPr>
                <w:rFonts w:ascii="Times New Roman" w:hAnsi="Times New Roman" w:cs="Times New Roman"/>
                <w:lang w:val="es-ES"/>
              </w:rPr>
            </w:pPr>
            <w:r w:rsidRPr="00B359EB">
              <w:rPr>
                <w:rFonts w:ascii="Times New Roman" w:hAnsi="Times New Roman" w:cs="Times New Roman"/>
                <w:lang w:val="es-ES"/>
              </w:rPr>
              <w:t>Nombre de la organización/institución</w:t>
            </w:r>
          </w:p>
          <w:p w14:paraId="6746B88C" w14:textId="77777777" w:rsidR="00414AD1" w:rsidRPr="00B359EB" w:rsidRDefault="00414AD1" w:rsidP="00414AD1">
            <w:pPr>
              <w:rPr>
                <w:rFonts w:ascii="Times New Roman" w:hAnsi="Times New Roman" w:cs="Times New Roman"/>
                <w:lang w:val="es-ES"/>
              </w:rPr>
            </w:pPr>
            <w:r w:rsidRPr="00B359EB">
              <w:rPr>
                <w:rFonts w:ascii="Times New Roman" w:hAnsi="Times New Roman" w:cs="Times New Roman"/>
                <w:lang w:val="es-ES"/>
              </w:rPr>
              <w:t>(si procede)</w:t>
            </w:r>
          </w:p>
          <w:p w14:paraId="74D8EAEA" w14:textId="54570DC2" w:rsidR="006B6D2F" w:rsidRPr="00B359EB" w:rsidRDefault="00414AD1" w:rsidP="00414AD1">
            <w:pPr>
              <w:rPr>
                <w:rFonts w:ascii="Times New Roman" w:hAnsi="Times New Roman" w:cs="Times New Roman"/>
                <w:lang w:val="es-ES"/>
              </w:rPr>
            </w:pPr>
            <w:r w:rsidRPr="00B359EB">
              <w:rPr>
                <w:rFonts w:ascii="Times New Roman" w:hAnsi="Times New Roman" w:cs="Times New Roman"/>
                <w:lang w:val="es-ES"/>
              </w:rPr>
              <w:t>Nombre de la persona encuestada</w:t>
            </w:r>
          </w:p>
        </w:tc>
        <w:tc>
          <w:tcPr>
            <w:tcW w:w="5393" w:type="dxa"/>
          </w:tcPr>
          <w:p w14:paraId="33673F3F" w14:textId="77777777" w:rsidR="00C44573" w:rsidRPr="00B359EB" w:rsidRDefault="007610E9" w:rsidP="00C44573">
            <w:pPr>
              <w:pStyle w:val="Prrafodelista"/>
              <w:numPr>
                <w:ilvl w:val="0"/>
                <w:numId w:val="26"/>
              </w:numPr>
              <w:rPr>
                <w:rFonts w:ascii="Times New Roman" w:hAnsi="Times New Roman" w:cs="Times New Roman"/>
                <w:lang w:val="es-ES"/>
              </w:rPr>
            </w:pPr>
            <w:r w:rsidRPr="00B359EB">
              <w:rPr>
                <w:rFonts w:ascii="Times New Roman" w:hAnsi="Times New Roman" w:cs="Times New Roman"/>
                <w:lang w:val="es-ES"/>
              </w:rPr>
              <w:t xml:space="preserve">Consorcio para el Diálogo Parlamentario y la Equidad, Oaxaca A. C. </w:t>
            </w:r>
          </w:p>
          <w:p w14:paraId="4283ACEE" w14:textId="77777777" w:rsidR="00C44573" w:rsidRPr="00B359EB" w:rsidRDefault="00395C46" w:rsidP="00C44573">
            <w:pPr>
              <w:pStyle w:val="Prrafodelista"/>
              <w:numPr>
                <w:ilvl w:val="0"/>
                <w:numId w:val="26"/>
              </w:numPr>
              <w:rPr>
                <w:rFonts w:ascii="Times New Roman" w:hAnsi="Times New Roman" w:cs="Times New Roman"/>
                <w:lang w:val="es-ES"/>
              </w:rPr>
            </w:pPr>
            <w:r w:rsidRPr="00B359EB">
              <w:rPr>
                <w:rFonts w:ascii="Times New Roman" w:hAnsi="Times New Roman" w:cs="Times New Roman"/>
                <w:lang w:val="es-ES"/>
              </w:rPr>
              <w:t>Organización Mundial Contra la Tortura</w:t>
            </w:r>
          </w:p>
          <w:p w14:paraId="4DD40619" w14:textId="5529E003" w:rsidR="00395C46" w:rsidRPr="00B359EB" w:rsidRDefault="00395C46" w:rsidP="00C44573">
            <w:pPr>
              <w:pStyle w:val="Prrafodelista"/>
              <w:numPr>
                <w:ilvl w:val="0"/>
                <w:numId w:val="26"/>
              </w:numPr>
              <w:rPr>
                <w:rFonts w:ascii="Times New Roman" w:hAnsi="Times New Roman" w:cs="Times New Roman"/>
                <w:lang w:val="es-ES"/>
              </w:rPr>
            </w:pPr>
            <w:r w:rsidRPr="00B359EB">
              <w:rPr>
                <w:rFonts w:ascii="Times New Roman" w:hAnsi="Times New Roman" w:cs="Times New Roman"/>
                <w:lang w:val="es-ES"/>
              </w:rPr>
              <w:t xml:space="preserve">Front Line </w:t>
            </w:r>
            <w:proofErr w:type="spellStart"/>
            <w:r w:rsidRPr="00B359EB">
              <w:rPr>
                <w:rFonts w:ascii="Times New Roman" w:hAnsi="Times New Roman" w:cs="Times New Roman"/>
                <w:lang w:val="es-ES"/>
              </w:rPr>
              <w:t>Defenders</w:t>
            </w:r>
            <w:proofErr w:type="spellEnd"/>
          </w:p>
          <w:p w14:paraId="40B903DA" w14:textId="1D05B89D" w:rsidR="00332A96" w:rsidRPr="00B359EB" w:rsidRDefault="00332A96">
            <w:pPr>
              <w:rPr>
                <w:rFonts w:ascii="Times New Roman" w:hAnsi="Times New Roman" w:cs="Times New Roman"/>
                <w:lang w:val="es-ES"/>
              </w:rPr>
            </w:pPr>
          </w:p>
        </w:tc>
      </w:tr>
      <w:tr w:rsidR="006B6D2F" w:rsidRPr="00B359EB" w14:paraId="61BE6EAB" w14:textId="77777777" w:rsidTr="00332A96">
        <w:tc>
          <w:tcPr>
            <w:tcW w:w="2897" w:type="dxa"/>
          </w:tcPr>
          <w:p w14:paraId="37B3E18C" w14:textId="1B5D3F8C" w:rsidR="006B6D2F" w:rsidRPr="00B359EB" w:rsidRDefault="00222093" w:rsidP="00AF7A9F">
            <w:pPr>
              <w:rPr>
                <w:rFonts w:ascii="Times New Roman" w:hAnsi="Times New Roman" w:cs="Times New Roman"/>
                <w:lang w:val="es-ES"/>
              </w:rPr>
            </w:pPr>
            <w:r w:rsidRPr="00B359EB">
              <w:rPr>
                <w:rFonts w:ascii="Times New Roman" w:hAnsi="Times New Roman" w:cs="Times New Roman"/>
                <w:lang w:val="es-ES"/>
              </w:rPr>
              <w:t>Correo electrónico</w:t>
            </w:r>
          </w:p>
        </w:tc>
        <w:tc>
          <w:tcPr>
            <w:tcW w:w="5393" w:type="dxa"/>
          </w:tcPr>
          <w:p w14:paraId="7B18A701" w14:textId="32038C40" w:rsidR="006B6D2F" w:rsidRPr="00B359EB" w:rsidRDefault="00517DEE">
            <w:pPr>
              <w:rPr>
                <w:rStyle w:val="Hipervnculo"/>
                <w:rFonts w:ascii="Times New Roman" w:hAnsi="Times New Roman" w:cs="Times New Roman"/>
                <w:lang w:val="es-ES"/>
              </w:rPr>
            </w:pPr>
            <w:hyperlink r:id="rId13" w:history="1">
              <w:r w:rsidR="00395C46" w:rsidRPr="00B359EB">
                <w:rPr>
                  <w:rStyle w:val="Hipervnculo"/>
                  <w:rFonts w:ascii="Times New Roman" w:hAnsi="Times New Roman" w:cs="Times New Roman"/>
                  <w:lang w:val="es-ES"/>
                </w:rPr>
                <w:t>incidencia.consorciooaxaca@gmail.com</w:t>
              </w:r>
            </w:hyperlink>
          </w:p>
          <w:p w14:paraId="4D283F01" w14:textId="1C05D558" w:rsidR="00C44573" w:rsidRPr="00B359EB" w:rsidRDefault="00517DEE">
            <w:pPr>
              <w:rPr>
                <w:rFonts w:ascii="Times New Roman" w:hAnsi="Times New Roman" w:cs="Times New Roman"/>
                <w:lang w:val="es-ES"/>
              </w:rPr>
            </w:pPr>
            <w:hyperlink r:id="rId14" w:history="1">
              <w:r w:rsidR="00C44573" w:rsidRPr="00B359EB">
                <w:rPr>
                  <w:rStyle w:val="Hipervnculo"/>
                  <w:rFonts w:ascii="Times New Roman" w:hAnsi="Times New Roman" w:cs="Times New Roman"/>
                  <w:lang w:val="es-ES"/>
                </w:rPr>
                <w:t>tfp@omct.org</w:t>
              </w:r>
            </w:hyperlink>
          </w:p>
          <w:p w14:paraId="3E3640EC" w14:textId="77777777" w:rsidR="00395C46" w:rsidRPr="00B359EB" w:rsidRDefault="00517DEE">
            <w:pPr>
              <w:rPr>
                <w:rFonts w:ascii="Times New Roman" w:hAnsi="Times New Roman" w:cs="Times New Roman"/>
                <w:lang w:val="es-ES"/>
              </w:rPr>
            </w:pPr>
            <w:hyperlink r:id="rId15" w:history="1">
              <w:r w:rsidR="00395C46" w:rsidRPr="00B359EB">
                <w:rPr>
                  <w:rStyle w:val="Hipervnculo"/>
                  <w:rFonts w:ascii="Times New Roman" w:hAnsi="Times New Roman" w:cs="Times New Roman"/>
                  <w:lang w:val="es-ES"/>
                </w:rPr>
                <w:t>sandra@frontlinedefenders.org</w:t>
              </w:r>
            </w:hyperlink>
            <w:r w:rsidR="00395C46" w:rsidRPr="00B359EB">
              <w:rPr>
                <w:rFonts w:ascii="Times New Roman" w:hAnsi="Times New Roman" w:cs="Times New Roman"/>
                <w:lang w:val="es-ES"/>
              </w:rPr>
              <w:t xml:space="preserve"> </w:t>
            </w:r>
          </w:p>
          <w:p w14:paraId="0AE080EB" w14:textId="717509BD" w:rsidR="00395C46" w:rsidRPr="00B359EB" w:rsidRDefault="00395C46">
            <w:pPr>
              <w:rPr>
                <w:rFonts w:ascii="Times New Roman" w:hAnsi="Times New Roman" w:cs="Times New Roman"/>
                <w:lang w:val="es-ES"/>
              </w:rPr>
            </w:pPr>
          </w:p>
        </w:tc>
      </w:tr>
      <w:tr w:rsidR="000C7E8A" w:rsidRPr="00BD2E5D" w14:paraId="59FF036F" w14:textId="77777777" w:rsidTr="0026778C">
        <w:trPr>
          <w:trHeight w:val="416"/>
        </w:trPr>
        <w:tc>
          <w:tcPr>
            <w:tcW w:w="2897" w:type="dxa"/>
          </w:tcPr>
          <w:p w14:paraId="5B706B27" w14:textId="799894FE" w:rsidR="007C576D" w:rsidRPr="00B359EB" w:rsidRDefault="00222093" w:rsidP="005A5180">
            <w:pPr>
              <w:rPr>
                <w:rFonts w:ascii="Times New Roman" w:hAnsi="Times New Roman" w:cs="Times New Roman"/>
                <w:lang w:val="es-ES"/>
              </w:rPr>
            </w:pPr>
            <w:r w:rsidRPr="00B359EB">
              <w:rPr>
                <w:rFonts w:ascii="Times New Roman" w:hAnsi="Times New Roman" w:cs="Times New Roman"/>
                <w:lang w:val="es-ES"/>
              </w:rPr>
              <w:t>¿Podemos atribuir p</w:t>
            </w:r>
            <w:r w:rsidR="005A5180" w:rsidRPr="00B359EB">
              <w:rPr>
                <w:rFonts w:ascii="Times New Roman" w:hAnsi="Times New Roman" w:cs="Times New Roman"/>
                <w:lang w:val="es-ES"/>
              </w:rPr>
              <w:t>úblicamente estas respuestas a usted o su organización</w:t>
            </w:r>
            <w:r w:rsidR="00FF7A85" w:rsidRPr="00B359EB">
              <w:rPr>
                <w:rFonts w:ascii="Times New Roman" w:hAnsi="Times New Roman" w:cs="Times New Roman"/>
                <w:sz w:val="20"/>
                <w:szCs w:val="20"/>
                <w:lang w:val="es-ES"/>
              </w:rPr>
              <w:t>*</w:t>
            </w:r>
            <w:r w:rsidRPr="00B359EB">
              <w:rPr>
                <w:rFonts w:ascii="Times New Roman" w:hAnsi="Times New Roman" w:cs="Times New Roman"/>
                <w:sz w:val="20"/>
                <w:szCs w:val="20"/>
                <w:lang w:val="es-ES"/>
              </w:rPr>
              <w:t>?</w:t>
            </w:r>
            <w:r w:rsidR="00532DEE" w:rsidRPr="00B359EB">
              <w:rPr>
                <w:rFonts w:ascii="Times New Roman" w:hAnsi="Times New Roman" w:cs="Times New Roman"/>
                <w:sz w:val="20"/>
                <w:szCs w:val="20"/>
                <w:lang w:val="es-ES"/>
              </w:rPr>
              <w:t xml:space="preserve"> (En la web de la OACDH, en la sección de la Relatoría)</w:t>
            </w:r>
            <w:r w:rsidR="00532DEE" w:rsidRPr="00B359EB">
              <w:rPr>
                <w:rFonts w:ascii="Times New Roman" w:hAnsi="Times New Roman" w:cs="Times New Roman"/>
                <w:lang w:val="es-ES"/>
              </w:rPr>
              <w:t xml:space="preserve"> </w:t>
            </w:r>
          </w:p>
        </w:tc>
        <w:tc>
          <w:tcPr>
            <w:tcW w:w="5393" w:type="dxa"/>
          </w:tcPr>
          <w:p w14:paraId="691F7A21" w14:textId="00E813CE" w:rsidR="004F52FB" w:rsidRPr="00B359EB" w:rsidRDefault="007610E9" w:rsidP="004F52FB">
            <w:pPr>
              <w:rPr>
                <w:rFonts w:ascii="Times New Roman" w:hAnsi="Times New Roman" w:cs="Times New Roman"/>
                <w:lang w:val="es-ES"/>
              </w:rPr>
            </w:pPr>
            <w:r w:rsidRPr="00B359EB">
              <w:rPr>
                <w:rFonts w:ascii="Times New Roman" w:hAnsi="Times New Roman" w:cs="Times New Roman"/>
                <w:lang w:val="es-ES"/>
              </w:rPr>
              <w:fldChar w:fldCharType="begin">
                <w:ffData>
                  <w:name w:val=""/>
                  <w:enabled/>
                  <w:calcOnExit w:val="0"/>
                  <w:checkBox>
                    <w:sizeAuto/>
                    <w:default w:val="1"/>
                  </w:checkBox>
                </w:ffData>
              </w:fldChar>
            </w:r>
            <w:r w:rsidRPr="00B359EB">
              <w:rPr>
                <w:rFonts w:ascii="Times New Roman" w:hAnsi="Times New Roman" w:cs="Times New Roman"/>
                <w:lang w:val="es-ES"/>
              </w:rPr>
              <w:instrText xml:space="preserve"> FORMCHECKBOX </w:instrText>
            </w:r>
            <w:r w:rsidR="00517DEE">
              <w:rPr>
                <w:rFonts w:ascii="Times New Roman" w:hAnsi="Times New Roman" w:cs="Times New Roman"/>
                <w:lang w:val="es-ES"/>
              </w:rPr>
            </w:r>
            <w:r w:rsidR="00517DEE">
              <w:rPr>
                <w:rFonts w:ascii="Times New Roman" w:hAnsi="Times New Roman" w:cs="Times New Roman"/>
                <w:lang w:val="es-ES"/>
              </w:rPr>
              <w:fldChar w:fldCharType="separate"/>
            </w:r>
            <w:r w:rsidRPr="00B359EB">
              <w:rPr>
                <w:rFonts w:ascii="Times New Roman" w:hAnsi="Times New Roman" w:cs="Times New Roman"/>
                <w:lang w:val="es-ES"/>
              </w:rPr>
              <w:fldChar w:fldCharType="end"/>
            </w:r>
            <w:r w:rsidR="00222093" w:rsidRPr="00B359EB">
              <w:rPr>
                <w:rFonts w:ascii="Times New Roman" w:hAnsi="Times New Roman" w:cs="Times New Roman"/>
                <w:lang w:val="es-ES"/>
              </w:rPr>
              <w:t xml:space="preserve"> Si</w:t>
            </w:r>
            <w:r w:rsidR="004F52FB" w:rsidRPr="00B359EB">
              <w:rPr>
                <w:rFonts w:ascii="Times New Roman" w:hAnsi="Times New Roman" w:cs="Times New Roman"/>
                <w:lang w:val="es-ES"/>
              </w:rPr>
              <w:t xml:space="preserve">          </w:t>
            </w:r>
            <w:r w:rsidR="004F52FB" w:rsidRPr="00B359EB">
              <w:rPr>
                <w:rFonts w:ascii="Times New Roman" w:hAnsi="Times New Roman" w:cs="Times New Roman"/>
                <w:lang w:val="es-ES"/>
              </w:rPr>
              <w:fldChar w:fldCharType="begin">
                <w:ffData>
                  <w:name w:val="Check1"/>
                  <w:enabled/>
                  <w:calcOnExit w:val="0"/>
                  <w:checkBox>
                    <w:sizeAuto/>
                    <w:default w:val="0"/>
                  </w:checkBox>
                </w:ffData>
              </w:fldChar>
            </w:r>
            <w:r w:rsidR="004F52FB" w:rsidRPr="00B359EB">
              <w:rPr>
                <w:rFonts w:ascii="Times New Roman" w:hAnsi="Times New Roman" w:cs="Times New Roman"/>
                <w:lang w:val="es-ES"/>
              </w:rPr>
              <w:instrText xml:space="preserve"> FORMCHECKBOX </w:instrText>
            </w:r>
            <w:r w:rsidR="00517DEE">
              <w:rPr>
                <w:rFonts w:ascii="Times New Roman" w:hAnsi="Times New Roman" w:cs="Times New Roman"/>
                <w:lang w:val="es-ES"/>
              </w:rPr>
            </w:r>
            <w:r w:rsidR="00517DEE">
              <w:rPr>
                <w:rFonts w:ascii="Times New Roman" w:hAnsi="Times New Roman" w:cs="Times New Roman"/>
                <w:lang w:val="es-ES"/>
              </w:rPr>
              <w:fldChar w:fldCharType="separate"/>
            </w:r>
            <w:r w:rsidR="004F52FB" w:rsidRPr="00B359EB">
              <w:rPr>
                <w:rFonts w:ascii="Times New Roman" w:hAnsi="Times New Roman" w:cs="Times New Roman"/>
                <w:lang w:val="es-ES"/>
              </w:rPr>
              <w:fldChar w:fldCharType="end"/>
            </w:r>
            <w:r w:rsidR="004F52FB" w:rsidRPr="00B359EB">
              <w:rPr>
                <w:rFonts w:ascii="Times New Roman" w:hAnsi="Times New Roman" w:cs="Times New Roman"/>
                <w:lang w:val="es-ES"/>
              </w:rPr>
              <w:t xml:space="preserve"> No</w:t>
            </w:r>
          </w:p>
          <w:p w14:paraId="2C3B13E2" w14:textId="77777777" w:rsidR="007C576D" w:rsidRPr="00B359EB" w:rsidRDefault="007C576D">
            <w:pPr>
              <w:rPr>
                <w:rFonts w:ascii="Times New Roman" w:hAnsi="Times New Roman" w:cs="Times New Roman"/>
                <w:lang w:val="es-ES"/>
              </w:rPr>
            </w:pPr>
          </w:p>
          <w:p w14:paraId="02CBA82A" w14:textId="04A64F19" w:rsidR="007C576D" w:rsidRPr="00B359EB" w:rsidRDefault="00CA7577">
            <w:pPr>
              <w:rPr>
                <w:rFonts w:ascii="Times New Roman" w:hAnsi="Times New Roman" w:cs="Times New Roman"/>
                <w:lang w:val="es-ES"/>
              </w:rPr>
            </w:pPr>
            <w:r w:rsidRPr="00B359EB">
              <w:rPr>
                <w:rFonts w:ascii="Times New Roman" w:hAnsi="Times New Roman" w:cs="Times New Roman"/>
                <w:lang w:val="es-ES"/>
              </w:rPr>
              <w:t>Co</w:t>
            </w:r>
            <w:r w:rsidR="00222093" w:rsidRPr="00B359EB">
              <w:rPr>
                <w:rFonts w:ascii="Times New Roman" w:hAnsi="Times New Roman" w:cs="Times New Roman"/>
                <w:lang w:val="es-ES"/>
              </w:rPr>
              <w:t>mentarios (si fuera relevante</w:t>
            </w:r>
            <w:r w:rsidR="00C623C9" w:rsidRPr="00B359EB">
              <w:rPr>
                <w:rFonts w:ascii="Times New Roman" w:hAnsi="Times New Roman" w:cs="Times New Roman"/>
                <w:lang w:val="es-ES"/>
              </w:rPr>
              <w:t>):</w:t>
            </w:r>
          </w:p>
        </w:tc>
      </w:tr>
    </w:tbl>
    <w:p w14:paraId="1C8F4743" w14:textId="77777777" w:rsidR="00791A35" w:rsidRPr="00B359EB" w:rsidRDefault="00791A35" w:rsidP="00BE7B54">
      <w:pPr>
        <w:pStyle w:val="Default"/>
        <w:jc w:val="both"/>
        <w:rPr>
          <w:b/>
          <w:color w:val="auto"/>
          <w:lang w:val="es-ES"/>
        </w:rPr>
      </w:pPr>
    </w:p>
    <w:p w14:paraId="6014AA92" w14:textId="6D8EDBB3" w:rsidR="00222093" w:rsidRPr="00B359EB" w:rsidRDefault="00222093" w:rsidP="00BE7B54">
      <w:pPr>
        <w:pStyle w:val="Default"/>
        <w:jc w:val="both"/>
        <w:rPr>
          <w:b/>
          <w:color w:val="auto"/>
          <w:lang w:val="es-ES"/>
        </w:rPr>
      </w:pPr>
      <w:r w:rsidRPr="00B359EB">
        <w:rPr>
          <w:b/>
          <w:color w:val="auto"/>
          <w:lang w:val="es-ES"/>
        </w:rPr>
        <w:t>Preguntas</w:t>
      </w:r>
    </w:p>
    <w:p w14:paraId="13E09EAC" w14:textId="77777777" w:rsidR="00222093" w:rsidRPr="00B359EB" w:rsidRDefault="00222093" w:rsidP="00BE7B54">
      <w:pPr>
        <w:pStyle w:val="Default"/>
        <w:jc w:val="both"/>
        <w:rPr>
          <w:color w:val="222222"/>
          <w:sz w:val="16"/>
          <w:szCs w:val="16"/>
          <w:shd w:val="clear" w:color="auto" w:fill="FFFFFF"/>
          <w:lang w:val="es-ES"/>
        </w:rPr>
      </w:pPr>
    </w:p>
    <w:p w14:paraId="510E47B5" w14:textId="77777777" w:rsidR="0068481E" w:rsidRPr="00B359EB" w:rsidRDefault="0068481E" w:rsidP="00BE7B54">
      <w:pPr>
        <w:pStyle w:val="Default"/>
        <w:jc w:val="both"/>
        <w:rPr>
          <w:color w:val="222222"/>
          <w:sz w:val="23"/>
          <w:szCs w:val="23"/>
          <w:shd w:val="clear" w:color="auto" w:fill="FFFFFF"/>
          <w:lang w:val="es-ES"/>
        </w:rPr>
      </w:pPr>
      <w:r w:rsidRPr="00B359EB">
        <w:rPr>
          <w:color w:val="222222"/>
          <w:shd w:val="clear" w:color="auto" w:fill="FFFFFF"/>
          <w:lang w:val="es-ES"/>
        </w:rPr>
        <w:t>Los defensores y defensoras de los derechos humanos son personas que, individual o colectivamente, trabajan pacíficamente para promover y procurar la protección y realización de los derechos humanos y las libertades fundamentales universalmente reconocidos, de conformidad con la Declaración de las Naciones Unidas sobre los Defensores de los Derechos Humanos</w:t>
      </w:r>
      <w:r w:rsidRPr="00B359EB">
        <w:rPr>
          <w:color w:val="222222"/>
          <w:sz w:val="23"/>
          <w:szCs w:val="23"/>
          <w:shd w:val="clear" w:color="auto" w:fill="FFFFFF"/>
          <w:lang w:val="es-ES"/>
        </w:rPr>
        <w:t>.</w:t>
      </w:r>
    </w:p>
    <w:p w14:paraId="2BE1DA19" w14:textId="0B664945" w:rsidR="0068481E" w:rsidRPr="00B359EB" w:rsidRDefault="0068481E" w:rsidP="00BE7B54">
      <w:pPr>
        <w:pStyle w:val="Default"/>
        <w:jc w:val="both"/>
        <w:rPr>
          <w:color w:val="222222"/>
          <w:sz w:val="16"/>
          <w:szCs w:val="16"/>
          <w:shd w:val="clear" w:color="auto" w:fill="FFFFFF"/>
          <w:lang w:val="es-ES"/>
        </w:rPr>
      </w:pPr>
    </w:p>
    <w:p w14:paraId="272246B9" w14:textId="5A8AF592" w:rsidR="00F904B3" w:rsidRPr="00B359EB" w:rsidRDefault="00F904B3" w:rsidP="00BE7B54">
      <w:pPr>
        <w:pStyle w:val="Default"/>
        <w:jc w:val="both"/>
        <w:rPr>
          <w:color w:val="222222"/>
          <w:shd w:val="clear" w:color="auto" w:fill="FFFFFF"/>
          <w:lang w:val="es-ES"/>
        </w:rPr>
      </w:pPr>
      <w:r w:rsidRPr="00B359EB">
        <w:rPr>
          <w:color w:val="222222"/>
          <w:shd w:val="clear" w:color="auto" w:fill="FFFFFF"/>
          <w:lang w:val="es-ES"/>
        </w:rPr>
        <w:t>Los defensores y defensoras que promueven y defienden pacíficamente los derechos humanos actúan en marcos jurídicos nacionales que no siempre concuerdan plenamente con la Carta de las Naciones Unidas y el derecho internacional de los derechos humanos. En algunos casos, tal y como se recoge en múltiples resoluciones del Consejo de Derechos Humanos y de la Asamblea General</w:t>
      </w:r>
      <w:r w:rsidR="00BE7B54" w:rsidRPr="00B359EB">
        <w:rPr>
          <w:rStyle w:val="Refdenotaalpie"/>
          <w:color w:val="222222"/>
          <w:shd w:val="clear" w:color="auto" w:fill="FFFFFF"/>
          <w:lang w:val="es-ES"/>
        </w:rPr>
        <w:footnoteReference w:id="1"/>
      </w:r>
      <w:r w:rsidR="00BE7B54" w:rsidRPr="00B359EB">
        <w:rPr>
          <w:color w:val="222222"/>
          <w:shd w:val="clear" w:color="auto" w:fill="FFFFFF"/>
          <w:lang w:val="es-ES"/>
        </w:rPr>
        <w:t xml:space="preserve"> </w:t>
      </w:r>
      <w:r w:rsidRPr="00B359EB">
        <w:rPr>
          <w:color w:val="222222"/>
          <w:shd w:val="clear" w:color="auto" w:fill="FFFFFF"/>
          <w:lang w:val="es-ES"/>
        </w:rPr>
        <w:t xml:space="preserve">la legislación nacional, en particular las leyes de seguridad nacional y de lucha contra el terrorismo, o las leyes sobre la sociedad civil y las libertades públicas se han utilizado indebidamente para perseguir a los defensores y defensoras de manera contraria al derecho internacional, pudiendo dar lugar a una privación de libertad arbitraria de larga duración. </w:t>
      </w:r>
    </w:p>
    <w:p w14:paraId="68FFF44E" w14:textId="77777777" w:rsidR="00F904B3" w:rsidRPr="00B359EB" w:rsidRDefault="00F904B3" w:rsidP="00BE7B54">
      <w:pPr>
        <w:pStyle w:val="Default"/>
        <w:jc w:val="both"/>
        <w:rPr>
          <w:color w:val="222222"/>
          <w:sz w:val="16"/>
          <w:szCs w:val="16"/>
          <w:shd w:val="clear" w:color="auto" w:fill="FFFFFF"/>
          <w:lang w:val="es-ES"/>
        </w:rPr>
      </w:pPr>
    </w:p>
    <w:p w14:paraId="2F33AAF5" w14:textId="39308B3D" w:rsidR="006E2294" w:rsidRPr="00B359EB" w:rsidRDefault="00F904B3" w:rsidP="00BE7B54">
      <w:pPr>
        <w:pStyle w:val="Default"/>
        <w:jc w:val="both"/>
        <w:rPr>
          <w:color w:val="222222"/>
          <w:shd w:val="clear" w:color="auto" w:fill="FFFFFF"/>
          <w:lang w:val="es-ES"/>
        </w:rPr>
      </w:pPr>
      <w:r w:rsidRPr="00B359EB">
        <w:rPr>
          <w:color w:val="222222"/>
          <w:shd w:val="clear" w:color="auto" w:fill="FFFFFF"/>
          <w:lang w:val="es-ES"/>
        </w:rPr>
        <w:t>1) ¿Sabe de algún defensor de los derechos huma</w:t>
      </w:r>
      <w:r w:rsidR="00BE7B54" w:rsidRPr="00B359EB">
        <w:rPr>
          <w:color w:val="222222"/>
          <w:shd w:val="clear" w:color="auto" w:fill="FFFFFF"/>
          <w:lang w:val="es-ES"/>
        </w:rPr>
        <w:t>nos, actualmente detenido por el</w:t>
      </w:r>
      <w:r w:rsidRPr="00B359EB">
        <w:rPr>
          <w:color w:val="222222"/>
          <w:shd w:val="clear" w:color="auto" w:fill="FFFFFF"/>
          <w:lang w:val="es-ES"/>
        </w:rPr>
        <w:t xml:space="preserve"> Estado, que haya sido encarcelado por cargos que conlleven una pena de prisión de al menos 10 años o más? Por favor, facilite una lista de casos.</w:t>
      </w:r>
      <w:r w:rsidR="006E2294" w:rsidRPr="00B359EB">
        <w:rPr>
          <w:color w:val="222222"/>
          <w:shd w:val="clear" w:color="auto" w:fill="FFFFFF"/>
          <w:lang w:val="es-ES"/>
        </w:rPr>
        <w:t xml:space="preserve"> </w:t>
      </w:r>
    </w:p>
    <w:p w14:paraId="10CCE9E3" w14:textId="77777777" w:rsidR="00F904B3" w:rsidRPr="00B359EB" w:rsidRDefault="00F904B3" w:rsidP="00BE7B54">
      <w:pPr>
        <w:pStyle w:val="Default"/>
        <w:jc w:val="both"/>
        <w:rPr>
          <w:color w:val="222222"/>
          <w:sz w:val="16"/>
          <w:szCs w:val="16"/>
          <w:shd w:val="clear" w:color="auto" w:fill="FFFFFF"/>
          <w:lang w:val="es-ES"/>
        </w:rPr>
      </w:pPr>
    </w:p>
    <w:p w14:paraId="20355E5E" w14:textId="5B5F9CEE" w:rsidR="00F904B3" w:rsidRPr="00B359EB" w:rsidRDefault="00F904B3" w:rsidP="00BE7B54">
      <w:pPr>
        <w:pStyle w:val="Default"/>
        <w:jc w:val="both"/>
        <w:rPr>
          <w:color w:val="222222"/>
          <w:shd w:val="clear" w:color="auto" w:fill="FFFFFF"/>
          <w:lang w:val="es-ES"/>
        </w:rPr>
      </w:pPr>
      <w:r w:rsidRPr="00B359EB">
        <w:rPr>
          <w:color w:val="222222"/>
          <w:shd w:val="clear" w:color="auto" w:fill="FFFFFF"/>
          <w:lang w:val="es-ES"/>
        </w:rPr>
        <w:t xml:space="preserve">2) ¿Sabe de algún defensor de los derechos humanos, actualmente detenido por </w:t>
      </w:r>
      <w:r w:rsidR="00BE7B54" w:rsidRPr="00B359EB">
        <w:rPr>
          <w:color w:val="222222"/>
          <w:shd w:val="clear" w:color="auto" w:fill="FFFFFF"/>
          <w:lang w:val="es-ES"/>
        </w:rPr>
        <w:t>el</w:t>
      </w:r>
      <w:r w:rsidRPr="00B359EB">
        <w:rPr>
          <w:color w:val="222222"/>
          <w:shd w:val="clear" w:color="auto" w:fill="FFFFFF"/>
          <w:lang w:val="es-ES"/>
        </w:rPr>
        <w:t xml:space="preserve"> Estado, que haya sido encarcelado con sentencias continuas de 10 años o más?  Por ejemplo, ¿un </w:t>
      </w:r>
      <w:r w:rsidR="00CB4F6C" w:rsidRPr="00B359EB">
        <w:rPr>
          <w:color w:val="222222"/>
          <w:shd w:val="clear" w:color="auto" w:fill="FFFFFF"/>
          <w:lang w:val="es-ES"/>
        </w:rPr>
        <w:t>defensor o defensora</w:t>
      </w:r>
      <w:r w:rsidRPr="00B359EB">
        <w:rPr>
          <w:color w:val="222222"/>
          <w:shd w:val="clear" w:color="auto" w:fill="FFFFFF"/>
          <w:lang w:val="es-ES"/>
        </w:rPr>
        <w:t xml:space="preserve"> que </w:t>
      </w:r>
      <w:r w:rsidR="00CB4F6C" w:rsidRPr="00B359EB">
        <w:rPr>
          <w:color w:val="222222"/>
          <w:shd w:val="clear" w:color="auto" w:fill="FFFFFF"/>
          <w:lang w:val="es-ES"/>
        </w:rPr>
        <w:t>termina de cumplir</w:t>
      </w:r>
      <w:r w:rsidRPr="00B359EB">
        <w:rPr>
          <w:color w:val="222222"/>
          <w:shd w:val="clear" w:color="auto" w:fill="FFFFFF"/>
          <w:lang w:val="es-ES"/>
        </w:rPr>
        <w:t xml:space="preserve"> una condena de cuatro años de </w:t>
      </w:r>
      <w:r w:rsidR="00CB4F6C" w:rsidRPr="00B359EB">
        <w:rPr>
          <w:color w:val="222222"/>
          <w:shd w:val="clear" w:color="auto" w:fill="FFFFFF"/>
          <w:lang w:val="es-ES"/>
        </w:rPr>
        <w:t>prisi</w:t>
      </w:r>
      <w:r w:rsidRPr="00B359EB">
        <w:rPr>
          <w:color w:val="222222"/>
          <w:shd w:val="clear" w:color="auto" w:fill="FFFFFF"/>
          <w:lang w:val="es-ES"/>
        </w:rPr>
        <w:t xml:space="preserve">ón </w:t>
      </w:r>
      <w:r w:rsidR="00CB4F6C" w:rsidRPr="00B359EB">
        <w:rPr>
          <w:color w:val="222222"/>
          <w:shd w:val="clear" w:color="auto" w:fill="FFFFFF"/>
          <w:lang w:val="es-ES"/>
        </w:rPr>
        <w:t>y</w:t>
      </w:r>
      <w:r w:rsidRPr="00B359EB">
        <w:rPr>
          <w:color w:val="222222"/>
          <w:shd w:val="clear" w:color="auto" w:fill="FFFFFF"/>
          <w:lang w:val="es-ES"/>
        </w:rPr>
        <w:t xml:space="preserve"> que, en lugar de ser liberado, recibe otra condena de seis años? Si es posible, facilite una lista de casos o ejemplos. </w:t>
      </w:r>
    </w:p>
    <w:p w14:paraId="3A71F8C4" w14:textId="77777777" w:rsidR="00F904B3" w:rsidRPr="00B359EB" w:rsidRDefault="00F904B3" w:rsidP="00BE7B54">
      <w:pPr>
        <w:pStyle w:val="Default"/>
        <w:jc w:val="both"/>
        <w:rPr>
          <w:color w:val="222222"/>
          <w:sz w:val="18"/>
          <w:szCs w:val="18"/>
          <w:shd w:val="clear" w:color="auto" w:fill="FFFFFF"/>
          <w:lang w:val="es-ES"/>
        </w:rPr>
      </w:pPr>
    </w:p>
    <w:p w14:paraId="4D214829" w14:textId="146B5835" w:rsidR="00F904B3" w:rsidRPr="00B359EB" w:rsidRDefault="00F904B3" w:rsidP="00BE7B54">
      <w:pPr>
        <w:pStyle w:val="Default"/>
        <w:jc w:val="both"/>
        <w:rPr>
          <w:color w:val="222222"/>
          <w:shd w:val="clear" w:color="auto" w:fill="FFFFFF"/>
          <w:lang w:val="es-ES"/>
        </w:rPr>
      </w:pPr>
      <w:r w:rsidRPr="00B359EB">
        <w:rPr>
          <w:color w:val="222222"/>
          <w:shd w:val="clear" w:color="auto" w:fill="FFFFFF"/>
          <w:lang w:val="es-ES"/>
        </w:rPr>
        <w:t>3) ¿Sabe usted de algún defensor</w:t>
      </w:r>
      <w:r w:rsidR="00CB4F6C" w:rsidRPr="00B359EB">
        <w:rPr>
          <w:color w:val="222222"/>
          <w:shd w:val="clear" w:color="auto" w:fill="FFFFFF"/>
          <w:lang w:val="es-ES"/>
        </w:rPr>
        <w:t xml:space="preserve"> o defensora de</w:t>
      </w:r>
      <w:r w:rsidRPr="00B359EB">
        <w:rPr>
          <w:color w:val="222222"/>
          <w:shd w:val="clear" w:color="auto" w:fill="FFFFFF"/>
          <w:lang w:val="es-ES"/>
        </w:rPr>
        <w:t xml:space="preserve"> derechos humanos cuyo tiempo de detención preventiva y/o detenció</w:t>
      </w:r>
      <w:r w:rsidR="00BE7B54" w:rsidRPr="00B359EB">
        <w:rPr>
          <w:color w:val="222222"/>
          <w:shd w:val="clear" w:color="auto" w:fill="FFFFFF"/>
          <w:lang w:val="es-ES"/>
        </w:rPr>
        <w:t>n administrativa por parte del</w:t>
      </w:r>
      <w:r w:rsidRPr="00B359EB">
        <w:rPr>
          <w:color w:val="222222"/>
          <w:shd w:val="clear" w:color="auto" w:fill="FFFFFF"/>
          <w:lang w:val="es-ES"/>
        </w:rPr>
        <w:t xml:space="preserve"> Estado se </w:t>
      </w:r>
      <w:r w:rsidR="00CB4F6C" w:rsidRPr="00B359EB">
        <w:rPr>
          <w:color w:val="222222"/>
          <w:shd w:val="clear" w:color="auto" w:fill="FFFFFF"/>
          <w:lang w:val="es-ES"/>
        </w:rPr>
        <w:t>combine</w:t>
      </w:r>
      <w:r w:rsidRPr="00B359EB">
        <w:rPr>
          <w:color w:val="222222"/>
          <w:shd w:val="clear" w:color="auto" w:fill="FFFFFF"/>
          <w:lang w:val="es-ES"/>
        </w:rPr>
        <w:t xml:space="preserve"> con una sentencia q</w:t>
      </w:r>
      <w:r w:rsidR="00CB4F6C" w:rsidRPr="00B359EB">
        <w:rPr>
          <w:color w:val="222222"/>
          <w:shd w:val="clear" w:color="auto" w:fill="FFFFFF"/>
          <w:lang w:val="es-ES"/>
        </w:rPr>
        <w:t>ue ascienda</w:t>
      </w:r>
      <w:r w:rsidRPr="00B359EB">
        <w:rPr>
          <w:color w:val="222222"/>
          <w:shd w:val="clear" w:color="auto" w:fill="FFFFFF"/>
          <w:lang w:val="es-ES"/>
        </w:rPr>
        <w:t>, a 10 años o más? Por favor, facilite una lista de casos.</w:t>
      </w:r>
      <w:r w:rsidR="006E2294" w:rsidRPr="00B359EB">
        <w:rPr>
          <w:color w:val="222222"/>
          <w:shd w:val="clear" w:color="auto" w:fill="FFFFFF"/>
          <w:lang w:val="es-ES"/>
        </w:rPr>
        <w:t xml:space="preserve"> </w:t>
      </w:r>
    </w:p>
    <w:p w14:paraId="10DA2277" w14:textId="77777777" w:rsidR="00F904B3" w:rsidRPr="00B359EB" w:rsidRDefault="00F904B3" w:rsidP="00BE7B54">
      <w:pPr>
        <w:pStyle w:val="Default"/>
        <w:jc w:val="both"/>
        <w:rPr>
          <w:color w:val="222222"/>
          <w:sz w:val="16"/>
          <w:szCs w:val="16"/>
          <w:shd w:val="clear" w:color="auto" w:fill="FFFFFF"/>
          <w:lang w:val="es-ES"/>
        </w:rPr>
      </w:pPr>
    </w:p>
    <w:p w14:paraId="1B68F358" w14:textId="46A27179" w:rsidR="00F904B3" w:rsidRPr="00B359EB" w:rsidRDefault="00F904B3" w:rsidP="00BE7B54">
      <w:pPr>
        <w:pStyle w:val="Default"/>
        <w:jc w:val="both"/>
        <w:rPr>
          <w:color w:val="222222"/>
          <w:shd w:val="clear" w:color="auto" w:fill="FFFFFF"/>
          <w:lang w:val="es-ES"/>
        </w:rPr>
      </w:pPr>
      <w:r w:rsidRPr="00B359EB">
        <w:rPr>
          <w:color w:val="222222"/>
          <w:shd w:val="clear" w:color="auto" w:fill="FFFFFF"/>
          <w:lang w:val="es-ES"/>
        </w:rPr>
        <w:t>4) ¿Sabe de algún defensor</w:t>
      </w:r>
      <w:r w:rsidR="00CB4F6C" w:rsidRPr="00B359EB">
        <w:rPr>
          <w:color w:val="222222"/>
          <w:shd w:val="clear" w:color="auto" w:fill="FFFFFF"/>
          <w:lang w:val="es-ES"/>
        </w:rPr>
        <w:t xml:space="preserve"> o defensora</w:t>
      </w:r>
      <w:r w:rsidRPr="00B359EB">
        <w:rPr>
          <w:color w:val="222222"/>
          <w:shd w:val="clear" w:color="auto" w:fill="FFFFFF"/>
          <w:lang w:val="es-ES"/>
        </w:rPr>
        <w:t xml:space="preserve"> de los derechos humanos incluido en alguna de las categorías anteriores que haya sido puesto en libertad antes de finalizar su condena de larga duración por cualquier </w:t>
      </w:r>
      <w:r w:rsidR="00CB4F6C" w:rsidRPr="00B359EB">
        <w:rPr>
          <w:color w:val="222222"/>
          <w:shd w:val="clear" w:color="auto" w:fill="FFFFFF"/>
          <w:lang w:val="es-ES"/>
        </w:rPr>
        <w:t>motivo (por ejemplo, si se le hubiese</w:t>
      </w:r>
      <w:r w:rsidRPr="00B359EB">
        <w:rPr>
          <w:color w:val="222222"/>
          <w:shd w:val="clear" w:color="auto" w:fill="FFFFFF"/>
          <w:lang w:val="es-ES"/>
        </w:rPr>
        <w:t xml:space="preserve"> concedido un indulto, como res</w:t>
      </w:r>
      <w:r w:rsidR="00CB4F6C" w:rsidRPr="00B359EB">
        <w:rPr>
          <w:color w:val="222222"/>
          <w:shd w:val="clear" w:color="auto" w:fill="FFFFFF"/>
          <w:lang w:val="es-ES"/>
        </w:rPr>
        <w:t>ultado de una apelación, o si hubiese</w:t>
      </w:r>
      <w:r w:rsidRPr="00B359EB">
        <w:rPr>
          <w:color w:val="222222"/>
          <w:shd w:val="clear" w:color="auto" w:fill="FFFFFF"/>
          <w:lang w:val="es-ES"/>
        </w:rPr>
        <w:t xml:space="preserve"> sido puesto</w:t>
      </w:r>
      <w:r w:rsidR="00CB4F6C" w:rsidRPr="00B359EB">
        <w:rPr>
          <w:color w:val="222222"/>
          <w:shd w:val="clear" w:color="auto" w:fill="FFFFFF"/>
          <w:lang w:val="es-ES"/>
        </w:rPr>
        <w:t>/a</w:t>
      </w:r>
      <w:r w:rsidRPr="00B359EB">
        <w:rPr>
          <w:color w:val="222222"/>
          <w:shd w:val="clear" w:color="auto" w:fill="FFFFFF"/>
          <w:lang w:val="es-ES"/>
        </w:rPr>
        <w:t xml:space="preserve"> en libertad por motivos humanitarios o de otro tipo)? Por favor, facilite una lista de casos.</w:t>
      </w:r>
      <w:r w:rsidR="006E2294" w:rsidRPr="00B359EB">
        <w:rPr>
          <w:color w:val="222222"/>
          <w:shd w:val="clear" w:color="auto" w:fill="FFFFFF"/>
          <w:lang w:val="es-ES"/>
        </w:rPr>
        <w:t xml:space="preserve"> </w:t>
      </w:r>
    </w:p>
    <w:p w14:paraId="3733AB29" w14:textId="4AB44594" w:rsidR="0079543D" w:rsidRPr="00B359EB" w:rsidRDefault="0079543D">
      <w:pPr>
        <w:rPr>
          <w:rFonts w:ascii="Times New Roman" w:hAnsi="Times New Roman" w:cs="Times New Roman"/>
          <w:color w:val="222222"/>
          <w:sz w:val="16"/>
          <w:szCs w:val="16"/>
          <w:shd w:val="clear" w:color="auto" w:fill="FFFFFF"/>
          <w:lang w:val="es-ES"/>
        </w:rPr>
      </w:pPr>
    </w:p>
    <w:p w14:paraId="19A901B8" w14:textId="165A20AD" w:rsidR="00F904B3" w:rsidRPr="00B359EB" w:rsidRDefault="00F904B3" w:rsidP="00BE7B54">
      <w:pPr>
        <w:pStyle w:val="Default"/>
        <w:jc w:val="both"/>
        <w:rPr>
          <w:color w:val="222222"/>
          <w:shd w:val="clear" w:color="auto" w:fill="FFFFFF"/>
          <w:lang w:val="es-ES"/>
        </w:rPr>
      </w:pPr>
      <w:r w:rsidRPr="00B359EB">
        <w:rPr>
          <w:color w:val="222222"/>
          <w:shd w:val="clear" w:color="auto" w:fill="FFFFFF"/>
          <w:lang w:val="es-ES"/>
        </w:rPr>
        <w:t xml:space="preserve">5) ¿Qué acciones sugiere que </w:t>
      </w:r>
      <w:r w:rsidR="00203EBA" w:rsidRPr="00B359EB">
        <w:rPr>
          <w:color w:val="222222"/>
          <w:shd w:val="clear" w:color="auto" w:fill="FFFFFF"/>
          <w:lang w:val="es-ES"/>
        </w:rPr>
        <w:t>la</w:t>
      </w:r>
      <w:r w:rsidRPr="00B359EB">
        <w:rPr>
          <w:color w:val="222222"/>
          <w:shd w:val="clear" w:color="auto" w:fill="FFFFFF"/>
          <w:lang w:val="es-ES"/>
        </w:rPr>
        <w:t xml:space="preserve"> Relator</w:t>
      </w:r>
      <w:r w:rsidR="00203EBA" w:rsidRPr="00B359EB">
        <w:rPr>
          <w:color w:val="222222"/>
          <w:shd w:val="clear" w:color="auto" w:fill="FFFFFF"/>
          <w:lang w:val="es-ES"/>
        </w:rPr>
        <w:t>a</w:t>
      </w:r>
      <w:r w:rsidRPr="00B359EB">
        <w:rPr>
          <w:color w:val="222222"/>
          <w:shd w:val="clear" w:color="auto" w:fill="FFFFFF"/>
          <w:lang w:val="es-ES"/>
        </w:rPr>
        <w:t xml:space="preserve"> Especial pueda tomar para</w:t>
      </w:r>
      <w:r w:rsidR="00CB4F6C" w:rsidRPr="00B359EB">
        <w:rPr>
          <w:color w:val="222222"/>
          <w:shd w:val="clear" w:color="auto" w:fill="FFFFFF"/>
          <w:lang w:val="es-ES"/>
        </w:rPr>
        <w:t>:</w:t>
      </w:r>
    </w:p>
    <w:p w14:paraId="0533EEC1" w14:textId="77777777" w:rsidR="00DB59EC" w:rsidRPr="00B359EB" w:rsidRDefault="00DB59EC" w:rsidP="00BE7B54">
      <w:pPr>
        <w:pStyle w:val="Default"/>
        <w:jc w:val="both"/>
        <w:rPr>
          <w:color w:val="222222"/>
          <w:sz w:val="4"/>
          <w:szCs w:val="4"/>
          <w:shd w:val="clear" w:color="auto" w:fill="FFFFFF"/>
          <w:lang w:val="es-ES"/>
        </w:rPr>
      </w:pPr>
    </w:p>
    <w:p w14:paraId="03B39E27" w14:textId="659FBE6C" w:rsidR="00F904B3" w:rsidRPr="00B359EB" w:rsidRDefault="00F904B3" w:rsidP="003408C4">
      <w:pPr>
        <w:pStyle w:val="Default"/>
        <w:numPr>
          <w:ilvl w:val="0"/>
          <w:numId w:val="5"/>
        </w:numPr>
        <w:jc w:val="both"/>
        <w:rPr>
          <w:color w:val="222222"/>
          <w:shd w:val="clear" w:color="auto" w:fill="FFFFFF"/>
          <w:lang w:val="es-ES"/>
        </w:rPr>
      </w:pPr>
      <w:proofErr w:type="gramStart"/>
      <w:r w:rsidRPr="00B359EB">
        <w:rPr>
          <w:color w:val="222222"/>
          <w:shd w:val="clear" w:color="auto" w:fill="FFFFFF"/>
          <w:lang w:val="es-ES"/>
        </w:rPr>
        <w:t xml:space="preserve">Evitar que </w:t>
      </w:r>
      <w:r w:rsidR="00AF6BE5" w:rsidRPr="00B359EB">
        <w:rPr>
          <w:color w:val="222222"/>
          <w:shd w:val="clear" w:color="auto" w:fill="FFFFFF"/>
          <w:lang w:val="es-ES"/>
        </w:rPr>
        <w:t>las personas defensoras sean detenidas</w:t>
      </w:r>
      <w:r w:rsidRPr="00B359EB">
        <w:rPr>
          <w:color w:val="222222"/>
          <w:shd w:val="clear" w:color="auto" w:fill="FFFFFF"/>
          <w:lang w:val="es-ES"/>
        </w:rPr>
        <w:t xml:space="preserve"> por largos períodos en relación con s</w:t>
      </w:r>
      <w:r w:rsidR="00CB4F6C" w:rsidRPr="00B359EB">
        <w:rPr>
          <w:color w:val="222222"/>
          <w:shd w:val="clear" w:color="auto" w:fill="FFFFFF"/>
          <w:lang w:val="es-ES"/>
        </w:rPr>
        <w:t>u trabajo de derechos humanos?</w:t>
      </w:r>
      <w:proofErr w:type="gramEnd"/>
      <w:r w:rsidR="00CB4F6C" w:rsidRPr="00B359EB">
        <w:rPr>
          <w:color w:val="222222"/>
          <w:shd w:val="clear" w:color="auto" w:fill="FFFFFF"/>
          <w:lang w:val="es-ES"/>
        </w:rPr>
        <w:t xml:space="preserve"> y;</w:t>
      </w:r>
    </w:p>
    <w:p w14:paraId="2AD4111D" w14:textId="36C7A9FB" w:rsidR="00E27698" w:rsidRPr="00B359EB" w:rsidRDefault="00AF6BE5" w:rsidP="00BE7B54">
      <w:pPr>
        <w:pStyle w:val="Default"/>
        <w:numPr>
          <w:ilvl w:val="0"/>
          <w:numId w:val="5"/>
        </w:numPr>
        <w:jc w:val="both"/>
        <w:rPr>
          <w:color w:val="222222"/>
          <w:shd w:val="clear" w:color="auto" w:fill="FFFFFF"/>
          <w:lang w:val="es-ES"/>
        </w:rPr>
      </w:pPr>
      <w:proofErr w:type="gramStart"/>
      <w:r w:rsidRPr="00B359EB">
        <w:rPr>
          <w:color w:val="222222"/>
          <w:shd w:val="clear" w:color="auto" w:fill="FFFFFF"/>
          <w:lang w:val="es-ES"/>
        </w:rPr>
        <w:t>Lograr que la</w:t>
      </w:r>
      <w:r w:rsidR="00F904B3" w:rsidRPr="00B359EB">
        <w:rPr>
          <w:color w:val="222222"/>
          <w:shd w:val="clear" w:color="auto" w:fill="FFFFFF"/>
          <w:lang w:val="es-ES"/>
        </w:rPr>
        <w:t xml:space="preserve">s </w:t>
      </w:r>
      <w:r w:rsidRPr="00B359EB">
        <w:rPr>
          <w:color w:val="222222"/>
          <w:shd w:val="clear" w:color="auto" w:fill="FFFFFF"/>
          <w:lang w:val="es-ES"/>
        </w:rPr>
        <w:t>personas defensora</w:t>
      </w:r>
      <w:r w:rsidR="00F904B3" w:rsidRPr="00B359EB">
        <w:rPr>
          <w:color w:val="222222"/>
          <w:shd w:val="clear" w:color="auto" w:fill="FFFFFF"/>
          <w:lang w:val="es-ES"/>
        </w:rPr>
        <w:t xml:space="preserve">s </w:t>
      </w:r>
      <w:r w:rsidRPr="00B359EB">
        <w:rPr>
          <w:color w:val="222222"/>
          <w:shd w:val="clear" w:color="auto" w:fill="FFFFFF"/>
          <w:lang w:val="es-ES"/>
        </w:rPr>
        <w:t>de los derechos humanos detenida</w:t>
      </w:r>
      <w:r w:rsidR="00F904B3" w:rsidRPr="00B359EB">
        <w:rPr>
          <w:color w:val="222222"/>
          <w:shd w:val="clear" w:color="auto" w:fill="FFFFFF"/>
          <w:lang w:val="es-ES"/>
        </w:rPr>
        <w:t>s arbitrariamente bajo largas condenas sean lib</w:t>
      </w:r>
      <w:r w:rsidRPr="00B359EB">
        <w:rPr>
          <w:color w:val="222222"/>
          <w:shd w:val="clear" w:color="auto" w:fill="FFFFFF"/>
          <w:lang w:val="es-ES"/>
        </w:rPr>
        <w:t>erada</w:t>
      </w:r>
      <w:r w:rsidR="00F904B3" w:rsidRPr="00B359EB">
        <w:rPr>
          <w:color w:val="222222"/>
          <w:shd w:val="clear" w:color="auto" w:fill="FFFFFF"/>
          <w:lang w:val="es-ES"/>
        </w:rPr>
        <w:t>s?</w:t>
      </w:r>
      <w:proofErr w:type="gramEnd"/>
    </w:p>
    <w:p w14:paraId="3EDE7679" w14:textId="77777777" w:rsidR="00E27698" w:rsidRPr="00B359EB" w:rsidRDefault="00E27698" w:rsidP="00E27698">
      <w:pPr>
        <w:pStyle w:val="Default"/>
        <w:jc w:val="both"/>
        <w:rPr>
          <w:color w:val="222222"/>
          <w:shd w:val="clear" w:color="auto" w:fill="FFFFFF"/>
          <w:lang w:val="es-ES"/>
        </w:rPr>
      </w:pPr>
    </w:p>
    <w:p w14:paraId="7773DCF1" w14:textId="77777777" w:rsidR="00E27698" w:rsidRPr="00B359EB" w:rsidRDefault="00E27698" w:rsidP="00E27698">
      <w:pPr>
        <w:pStyle w:val="Default"/>
        <w:pBdr>
          <w:top w:val="single" w:sz="4" w:space="1" w:color="auto"/>
          <w:left w:val="single" w:sz="4" w:space="4" w:color="auto"/>
          <w:bottom w:val="single" w:sz="4" w:space="1" w:color="auto"/>
          <w:right w:val="single" w:sz="4" w:space="4" w:color="auto"/>
        </w:pBdr>
        <w:jc w:val="both"/>
        <w:rPr>
          <w:color w:val="222222"/>
          <w:sz w:val="21"/>
          <w:szCs w:val="21"/>
          <w:shd w:val="clear" w:color="auto" w:fill="FFFFFF"/>
          <w:lang w:val="es-ES"/>
        </w:rPr>
      </w:pPr>
      <w:r w:rsidRPr="00B359EB">
        <w:rPr>
          <w:color w:val="222222"/>
          <w:sz w:val="21"/>
          <w:szCs w:val="21"/>
          <w:shd w:val="clear" w:color="auto" w:fill="FFFFFF"/>
          <w:lang w:val="es-ES"/>
        </w:rPr>
        <w:t xml:space="preserve">NOTA: Cuando proporcione la lista de casos/ejemplos en cada pregunta, por favor incluya: el nombre de la(s) persona(s) defensora(s), un resumen de su trabajo de derechos humanos, el historial de detención (fecha de la(s) detención(es), cargos y condena, incluidos los artículos de la(s) ley(es) pertinente(s), una breve explicación de los hechos pertinentes a su caso).  </w:t>
      </w:r>
    </w:p>
    <w:p w14:paraId="7B3B8A1C" w14:textId="77777777" w:rsidR="00E27698" w:rsidRPr="00B359EB" w:rsidRDefault="00E27698" w:rsidP="00E27698">
      <w:pPr>
        <w:rPr>
          <w:rFonts w:ascii="Times New Roman" w:eastAsia="Times New Roman" w:hAnsi="Times New Roman" w:cs="Times New Roman"/>
          <w:b/>
          <w:bCs/>
          <w:sz w:val="26"/>
          <w:szCs w:val="26"/>
          <w:lang w:val="es-ES" w:eastAsia="es-ES_tradnl"/>
        </w:rPr>
      </w:pPr>
    </w:p>
    <w:p w14:paraId="17DF4859" w14:textId="15CB0536" w:rsidR="008456B2" w:rsidRPr="00B359EB" w:rsidRDefault="008456B2" w:rsidP="00E27698">
      <w:pPr>
        <w:jc w:val="center"/>
        <w:rPr>
          <w:rFonts w:ascii="Times New Roman" w:eastAsia="Times New Roman" w:hAnsi="Times New Roman" w:cs="Times New Roman"/>
          <w:b/>
          <w:bCs/>
          <w:sz w:val="26"/>
          <w:szCs w:val="26"/>
          <w:lang w:val="es-ES" w:eastAsia="es-ES_tradnl"/>
        </w:rPr>
      </w:pPr>
      <w:r w:rsidRPr="00B359EB">
        <w:rPr>
          <w:noProof/>
          <w:lang w:val="es-ES" w:eastAsia="es-ES_tradnl"/>
        </w:rPr>
        <w:lastRenderedPageBreak/>
        <w:drawing>
          <wp:anchor distT="0" distB="0" distL="114300" distR="114300" simplePos="0" relativeHeight="251659264" behindDoc="0" locked="0" layoutInCell="1" allowOverlap="1" wp14:anchorId="08C8CF78" wp14:editId="328B843A">
            <wp:simplePos x="0" y="0"/>
            <wp:positionH relativeFrom="column">
              <wp:posOffset>2033660</wp:posOffset>
            </wp:positionH>
            <wp:positionV relativeFrom="paragraph">
              <wp:posOffset>-257566</wp:posOffset>
            </wp:positionV>
            <wp:extent cx="908539" cy="543833"/>
            <wp:effectExtent l="0" t="0" r="6350" b="254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8539" cy="543833"/>
                    </a:xfrm>
                    <a:prstGeom prst="rect">
                      <a:avLst/>
                    </a:prstGeom>
                  </pic:spPr>
                </pic:pic>
              </a:graphicData>
            </a:graphic>
            <wp14:sizeRelH relativeFrom="page">
              <wp14:pctWidth>0</wp14:pctWidth>
            </wp14:sizeRelH>
            <wp14:sizeRelV relativeFrom="page">
              <wp14:pctHeight>0</wp14:pctHeight>
            </wp14:sizeRelV>
          </wp:anchor>
        </w:drawing>
      </w:r>
      <w:r w:rsidRPr="00B359EB">
        <w:rPr>
          <w:noProof/>
          <w:lang w:val="es-ES" w:eastAsia="es-ES_tradnl"/>
        </w:rPr>
        <w:drawing>
          <wp:anchor distT="0" distB="0" distL="114300" distR="114300" simplePos="0" relativeHeight="251661312" behindDoc="0" locked="0" layoutInCell="1" allowOverlap="1" wp14:anchorId="0B701F70" wp14:editId="792098CF">
            <wp:simplePos x="0" y="0"/>
            <wp:positionH relativeFrom="column">
              <wp:posOffset>3528646</wp:posOffset>
            </wp:positionH>
            <wp:positionV relativeFrom="paragraph">
              <wp:posOffset>-257908</wp:posOffset>
            </wp:positionV>
            <wp:extent cx="1342913" cy="539262"/>
            <wp:effectExtent l="0" t="0" r="381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51129" cy="542561"/>
                    </a:xfrm>
                    <a:prstGeom prst="rect">
                      <a:avLst/>
                    </a:prstGeom>
                  </pic:spPr>
                </pic:pic>
              </a:graphicData>
            </a:graphic>
            <wp14:sizeRelH relativeFrom="page">
              <wp14:pctWidth>0</wp14:pctWidth>
            </wp14:sizeRelH>
            <wp14:sizeRelV relativeFrom="page">
              <wp14:pctHeight>0</wp14:pctHeight>
            </wp14:sizeRelV>
          </wp:anchor>
        </w:drawing>
      </w:r>
      <w:r w:rsidRPr="00B359EB">
        <w:rPr>
          <w:noProof/>
          <w:color w:val="000000"/>
          <w:lang w:val="es-ES" w:eastAsia="es-ES_tradnl"/>
        </w:rPr>
        <w:drawing>
          <wp:anchor distT="0" distB="0" distL="114300" distR="114300" simplePos="0" relativeHeight="251663360" behindDoc="0" locked="0" layoutInCell="1" allowOverlap="1" wp14:anchorId="060B4767" wp14:editId="0D60E95C">
            <wp:simplePos x="0" y="0"/>
            <wp:positionH relativeFrom="column">
              <wp:posOffset>175845</wp:posOffset>
            </wp:positionH>
            <wp:positionV relativeFrom="paragraph">
              <wp:posOffset>-310662</wp:posOffset>
            </wp:positionV>
            <wp:extent cx="1002323" cy="633653"/>
            <wp:effectExtent l="0" t="0" r="1270" b="190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6634" cy="636378"/>
                    </a:xfrm>
                    <a:prstGeom prst="rect">
                      <a:avLst/>
                    </a:prstGeom>
                  </pic:spPr>
                </pic:pic>
              </a:graphicData>
            </a:graphic>
            <wp14:sizeRelH relativeFrom="page">
              <wp14:pctWidth>0</wp14:pctWidth>
            </wp14:sizeRelH>
            <wp14:sizeRelV relativeFrom="page">
              <wp14:pctHeight>0</wp14:pctHeight>
            </wp14:sizeRelV>
          </wp:anchor>
        </w:drawing>
      </w:r>
    </w:p>
    <w:p w14:paraId="2079F7D9" w14:textId="523C892D" w:rsidR="008456B2" w:rsidRPr="00B359EB" w:rsidRDefault="008456B2" w:rsidP="00E27698">
      <w:pPr>
        <w:jc w:val="center"/>
        <w:rPr>
          <w:rFonts w:ascii="Times New Roman" w:eastAsia="Times New Roman" w:hAnsi="Times New Roman" w:cs="Times New Roman"/>
          <w:b/>
          <w:bCs/>
          <w:sz w:val="26"/>
          <w:szCs w:val="26"/>
          <w:lang w:val="es-ES" w:eastAsia="es-ES_tradnl"/>
        </w:rPr>
      </w:pPr>
    </w:p>
    <w:p w14:paraId="04F3EF60" w14:textId="28883CB4" w:rsidR="008456B2" w:rsidRPr="00B359EB" w:rsidRDefault="008456B2" w:rsidP="00E27698">
      <w:pPr>
        <w:jc w:val="center"/>
        <w:rPr>
          <w:rFonts w:ascii="Times New Roman" w:eastAsia="Times New Roman" w:hAnsi="Times New Roman" w:cs="Times New Roman"/>
          <w:b/>
          <w:bCs/>
          <w:sz w:val="26"/>
          <w:szCs w:val="26"/>
          <w:lang w:val="es-ES" w:eastAsia="es-ES_tradnl"/>
        </w:rPr>
      </w:pPr>
    </w:p>
    <w:p w14:paraId="76AFD0FF" w14:textId="0FFB55D3" w:rsidR="00E27698" w:rsidRPr="00B359EB" w:rsidRDefault="00E27698" w:rsidP="00E27698">
      <w:pPr>
        <w:jc w:val="center"/>
        <w:rPr>
          <w:rFonts w:ascii="Times New Roman" w:eastAsia="Times New Roman" w:hAnsi="Times New Roman" w:cs="Times New Roman"/>
          <w:b/>
          <w:bCs/>
          <w:sz w:val="26"/>
          <w:szCs w:val="26"/>
          <w:lang w:val="es-ES" w:eastAsia="es-ES_tradnl"/>
        </w:rPr>
      </w:pPr>
    </w:p>
    <w:p w14:paraId="29F1DE00" w14:textId="74D6FCDE" w:rsidR="00E27698" w:rsidRPr="00B359EB" w:rsidRDefault="00E27698" w:rsidP="00E27698">
      <w:pPr>
        <w:jc w:val="center"/>
        <w:rPr>
          <w:rFonts w:ascii="Times New Roman" w:eastAsia="Times New Roman" w:hAnsi="Times New Roman" w:cs="Times New Roman"/>
          <w:b/>
          <w:bCs/>
          <w:sz w:val="26"/>
          <w:szCs w:val="26"/>
          <w:lang w:val="es-ES" w:eastAsia="es-ES_tradnl"/>
        </w:rPr>
      </w:pPr>
      <w:r w:rsidRPr="00B359EB">
        <w:rPr>
          <w:rFonts w:ascii="Times New Roman" w:eastAsia="Times New Roman" w:hAnsi="Times New Roman" w:cs="Times New Roman"/>
          <w:b/>
          <w:bCs/>
          <w:sz w:val="26"/>
          <w:szCs w:val="26"/>
          <w:lang w:val="es-ES" w:eastAsia="es-ES_tradnl"/>
        </w:rPr>
        <w:t>INFORME DE CONSORCIO OAXACA, ORGANIZACIÓN MUNDIAL CONTRA LA TORTURA Y FRONT LINE DEFENDERS</w:t>
      </w:r>
    </w:p>
    <w:p w14:paraId="718D4E50" w14:textId="77777777" w:rsidR="00E27698" w:rsidRPr="00B359EB" w:rsidRDefault="00E27698" w:rsidP="00E27698">
      <w:pPr>
        <w:jc w:val="center"/>
        <w:rPr>
          <w:rFonts w:ascii="Times New Roman" w:eastAsia="Times New Roman" w:hAnsi="Times New Roman" w:cs="Times New Roman"/>
          <w:lang w:val="es-ES" w:eastAsia="es-ES_tradnl"/>
        </w:rPr>
      </w:pPr>
    </w:p>
    <w:p w14:paraId="53BFFAC7" w14:textId="77777777" w:rsidR="00E27698" w:rsidRPr="00B359EB" w:rsidRDefault="00E27698" w:rsidP="00E27698">
      <w:pPr>
        <w:rPr>
          <w:rFonts w:ascii="Times New Roman" w:eastAsia="Times New Roman" w:hAnsi="Times New Roman" w:cs="Times New Roman"/>
          <w:lang w:val="es-ES" w:eastAsia="es-ES_tradnl"/>
        </w:rPr>
      </w:pPr>
    </w:p>
    <w:p w14:paraId="55A66AA6" w14:textId="0026DF11" w:rsidR="00E27698" w:rsidRPr="00B359EB" w:rsidRDefault="00E27698" w:rsidP="00A66DBA">
      <w:pPr>
        <w:pStyle w:val="Prrafodelista"/>
        <w:numPr>
          <w:ilvl w:val="0"/>
          <w:numId w:val="24"/>
        </w:numPr>
        <w:rPr>
          <w:rFonts w:ascii="Times New Roman" w:eastAsia="Times New Roman" w:hAnsi="Times New Roman" w:cs="Times New Roman"/>
          <w:b/>
          <w:bCs/>
          <w:color w:val="000000" w:themeColor="text1"/>
          <w:lang w:val="es-ES" w:eastAsia="es-ES_tradnl"/>
        </w:rPr>
      </w:pPr>
      <w:r w:rsidRPr="00B359EB">
        <w:rPr>
          <w:rFonts w:ascii="Times New Roman" w:eastAsia="Times New Roman" w:hAnsi="Times New Roman" w:cs="Times New Roman"/>
          <w:b/>
          <w:bCs/>
          <w:color w:val="000000" w:themeColor="text1"/>
          <w:lang w:val="es-ES" w:eastAsia="es-ES_tradnl"/>
        </w:rPr>
        <w:t>I</w:t>
      </w:r>
      <w:r w:rsidR="008456B2" w:rsidRPr="00B359EB">
        <w:rPr>
          <w:rFonts w:ascii="Times New Roman" w:eastAsia="Times New Roman" w:hAnsi="Times New Roman" w:cs="Times New Roman"/>
          <w:b/>
          <w:bCs/>
          <w:color w:val="000000" w:themeColor="text1"/>
          <w:lang w:val="es-ES" w:eastAsia="es-ES_tradnl"/>
        </w:rPr>
        <w:t>ntroducción</w:t>
      </w:r>
      <w:r w:rsidRPr="00B359EB">
        <w:rPr>
          <w:rFonts w:ascii="Times New Roman" w:eastAsia="Times New Roman" w:hAnsi="Times New Roman" w:cs="Times New Roman"/>
          <w:b/>
          <w:bCs/>
          <w:color w:val="000000" w:themeColor="text1"/>
          <w:lang w:val="es-ES" w:eastAsia="es-ES_tradnl"/>
        </w:rPr>
        <w:t xml:space="preserve"> </w:t>
      </w:r>
    </w:p>
    <w:p w14:paraId="3B83070F" w14:textId="77777777" w:rsidR="00E27698" w:rsidRPr="00B359EB" w:rsidRDefault="00E27698" w:rsidP="00E27698">
      <w:pPr>
        <w:ind w:left="360"/>
        <w:rPr>
          <w:rFonts w:ascii="Times New Roman" w:eastAsia="Times New Roman" w:hAnsi="Times New Roman" w:cs="Times New Roman"/>
          <w:sz w:val="22"/>
          <w:szCs w:val="22"/>
          <w:lang w:val="es-ES" w:eastAsia="es-ES_tradnl"/>
        </w:rPr>
      </w:pPr>
    </w:p>
    <w:p w14:paraId="3AA0E285" w14:textId="496BA9DF" w:rsidR="00E27698" w:rsidRPr="00B359EB" w:rsidRDefault="00E27698" w:rsidP="00E27698">
      <w:pPr>
        <w:ind w:left="360"/>
        <w:jc w:val="both"/>
        <w:rPr>
          <w:rFonts w:ascii="Times New Roman" w:eastAsia="Times New Roman" w:hAnsi="Times New Roman" w:cs="Times New Roman"/>
          <w:sz w:val="22"/>
          <w:szCs w:val="22"/>
          <w:lang w:val="es-ES" w:eastAsia="es-ES_tradnl"/>
        </w:rPr>
      </w:pPr>
      <w:r w:rsidRPr="00B359EB">
        <w:rPr>
          <w:rFonts w:ascii="Times New Roman" w:eastAsia="Times New Roman" w:hAnsi="Times New Roman" w:cs="Times New Roman"/>
          <w:sz w:val="22"/>
          <w:szCs w:val="22"/>
          <w:lang w:val="es-ES" w:eastAsia="es-ES_tradnl"/>
        </w:rPr>
        <w:t xml:space="preserve">A continuación, desde la organización feminista oaxaqueña Consorcio para el Diálogo Parlamentario y la Equidad Oaxaca A.C. (Consorcio Oaxaca), la Organización Mundial Contra la Tortura con sede en Ginebra Suiza y la Front Line </w:t>
      </w:r>
      <w:proofErr w:type="spellStart"/>
      <w:r w:rsidRPr="00B359EB">
        <w:rPr>
          <w:rFonts w:ascii="Times New Roman" w:eastAsia="Times New Roman" w:hAnsi="Times New Roman" w:cs="Times New Roman"/>
          <w:sz w:val="22"/>
          <w:szCs w:val="22"/>
          <w:lang w:val="es-ES" w:eastAsia="es-ES_tradnl"/>
        </w:rPr>
        <w:t>Defenders</w:t>
      </w:r>
      <w:proofErr w:type="spellEnd"/>
      <w:r w:rsidRPr="00B359EB">
        <w:rPr>
          <w:rFonts w:ascii="Times New Roman" w:eastAsia="Times New Roman" w:hAnsi="Times New Roman" w:cs="Times New Roman"/>
          <w:sz w:val="22"/>
          <w:szCs w:val="22"/>
          <w:lang w:val="es-ES" w:eastAsia="es-ES_tradnl"/>
        </w:rPr>
        <w:t xml:space="preserve"> con sede en Dublín, Irlanda, presentamos un informe</w:t>
      </w:r>
      <w:r w:rsidR="00CB340B" w:rsidRPr="00B359EB">
        <w:rPr>
          <w:rFonts w:ascii="Times New Roman" w:eastAsia="Times New Roman" w:hAnsi="Times New Roman" w:cs="Times New Roman"/>
          <w:sz w:val="22"/>
          <w:szCs w:val="22"/>
          <w:lang w:val="es-ES" w:eastAsia="es-ES_tradnl"/>
        </w:rPr>
        <w:t xml:space="preserve"> que</w:t>
      </w:r>
      <w:r w:rsidRPr="00B359EB">
        <w:rPr>
          <w:rFonts w:ascii="Times New Roman" w:eastAsia="Times New Roman" w:hAnsi="Times New Roman" w:cs="Times New Roman"/>
          <w:sz w:val="22"/>
          <w:szCs w:val="22"/>
          <w:lang w:val="es-ES" w:eastAsia="es-ES_tradnl"/>
        </w:rPr>
        <w:t xml:space="preserve"> da respuesta a las preguntas 1</w:t>
      </w:r>
      <w:r w:rsidR="00B359EB">
        <w:rPr>
          <w:rFonts w:ascii="Times New Roman" w:eastAsia="Times New Roman" w:hAnsi="Times New Roman" w:cs="Times New Roman"/>
          <w:sz w:val="22"/>
          <w:szCs w:val="22"/>
          <w:lang w:val="es-ES" w:eastAsia="es-ES_tradnl"/>
        </w:rPr>
        <w:t xml:space="preserve"> </w:t>
      </w:r>
      <w:r w:rsidRPr="00B359EB">
        <w:rPr>
          <w:rFonts w:ascii="Times New Roman" w:eastAsia="Times New Roman" w:hAnsi="Times New Roman" w:cs="Times New Roman"/>
          <w:sz w:val="22"/>
          <w:szCs w:val="22"/>
          <w:lang w:val="es-ES" w:eastAsia="es-ES_tradnl"/>
        </w:rPr>
        <w:t>y 5</w:t>
      </w:r>
      <w:r w:rsidR="00B359EB">
        <w:rPr>
          <w:rFonts w:ascii="Times New Roman" w:eastAsia="Times New Roman" w:hAnsi="Times New Roman" w:cs="Times New Roman"/>
          <w:sz w:val="22"/>
          <w:szCs w:val="22"/>
          <w:lang w:val="es-ES" w:eastAsia="es-ES_tradnl"/>
        </w:rPr>
        <w:t xml:space="preserve"> </w:t>
      </w:r>
      <w:r w:rsidRPr="00B359EB">
        <w:rPr>
          <w:rFonts w:ascii="Times New Roman" w:eastAsia="Times New Roman" w:hAnsi="Times New Roman" w:cs="Times New Roman"/>
          <w:sz w:val="22"/>
          <w:szCs w:val="22"/>
          <w:lang w:val="es-ES" w:eastAsia="es-ES_tradnl"/>
        </w:rPr>
        <w:t xml:space="preserve">de la Relatora Especial. </w:t>
      </w:r>
    </w:p>
    <w:p w14:paraId="403031B4" w14:textId="77777777" w:rsidR="00E27698" w:rsidRPr="00B359EB" w:rsidRDefault="00E27698" w:rsidP="00E27698">
      <w:pPr>
        <w:ind w:left="360"/>
        <w:jc w:val="both"/>
        <w:rPr>
          <w:rFonts w:ascii="Times New Roman" w:eastAsia="Times New Roman" w:hAnsi="Times New Roman" w:cs="Times New Roman"/>
          <w:sz w:val="22"/>
          <w:szCs w:val="22"/>
          <w:lang w:val="es-ES" w:eastAsia="es-ES_tradnl"/>
        </w:rPr>
      </w:pPr>
    </w:p>
    <w:p w14:paraId="2A92FB70" w14:textId="7F813609" w:rsidR="00E27698" w:rsidRPr="00B359EB" w:rsidRDefault="00E27698" w:rsidP="00E27698">
      <w:pPr>
        <w:ind w:left="360"/>
        <w:jc w:val="both"/>
        <w:rPr>
          <w:rFonts w:ascii="Times New Roman" w:eastAsia="Times New Roman" w:hAnsi="Times New Roman" w:cs="Times New Roman"/>
          <w:sz w:val="22"/>
          <w:szCs w:val="22"/>
          <w:lang w:val="es-ES" w:eastAsia="es-ES_tradnl"/>
        </w:rPr>
      </w:pPr>
      <w:r w:rsidRPr="00B359EB">
        <w:rPr>
          <w:rFonts w:ascii="Times New Roman" w:eastAsia="Times New Roman" w:hAnsi="Times New Roman" w:cs="Times New Roman"/>
          <w:sz w:val="22"/>
          <w:szCs w:val="22"/>
          <w:lang w:val="es-ES" w:eastAsia="es-ES_tradnl"/>
        </w:rPr>
        <w:t xml:space="preserve">Los datos se basan en el acompañamiento realizado por las tres organizaciones a </w:t>
      </w:r>
      <w:r w:rsidR="00AF6D59" w:rsidRPr="00B359EB">
        <w:rPr>
          <w:rFonts w:ascii="Times New Roman" w:eastAsia="Times New Roman" w:hAnsi="Times New Roman" w:cs="Times New Roman"/>
          <w:sz w:val="22"/>
          <w:szCs w:val="22"/>
          <w:lang w:val="es-ES" w:eastAsia="es-ES_tradnl"/>
        </w:rPr>
        <w:t>c</w:t>
      </w:r>
      <w:r w:rsidR="00CB340B" w:rsidRPr="00B359EB">
        <w:rPr>
          <w:rFonts w:ascii="Times New Roman" w:eastAsia="Times New Roman" w:hAnsi="Times New Roman" w:cs="Times New Roman"/>
          <w:sz w:val="22"/>
          <w:szCs w:val="22"/>
          <w:lang w:val="es-ES" w:eastAsia="es-ES_tradnl"/>
        </w:rPr>
        <w:t>a</w:t>
      </w:r>
      <w:r w:rsidR="00AF6D59" w:rsidRPr="00B359EB">
        <w:rPr>
          <w:rFonts w:ascii="Times New Roman" w:eastAsia="Times New Roman" w:hAnsi="Times New Roman" w:cs="Times New Roman"/>
          <w:sz w:val="22"/>
          <w:szCs w:val="22"/>
          <w:lang w:val="es-ES" w:eastAsia="es-ES_tradnl"/>
        </w:rPr>
        <w:t>sos de</w:t>
      </w:r>
      <w:r w:rsidR="00795104" w:rsidRPr="00B359EB">
        <w:rPr>
          <w:rFonts w:ascii="Times New Roman" w:eastAsia="Times New Roman" w:hAnsi="Times New Roman" w:cs="Times New Roman"/>
          <w:sz w:val="22"/>
          <w:szCs w:val="22"/>
          <w:lang w:val="es-ES" w:eastAsia="es-ES_tradnl"/>
        </w:rPr>
        <w:t xml:space="preserve"> difamación, </w:t>
      </w:r>
      <w:r w:rsidR="00AF6D59" w:rsidRPr="00B359EB">
        <w:rPr>
          <w:rFonts w:ascii="Times New Roman" w:eastAsia="Times New Roman" w:hAnsi="Times New Roman" w:cs="Times New Roman"/>
          <w:sz w:val="22"/>
          <w:szCs w:val="22"/>
          <w:lang w:val="es-ES" w:eastAsia="es-ES_tradnl"/>
        </w:rPr>
        <w:t xml:space="preserve">criminalización y detenciones arbitrarias de </w:t>
      </w:r>
      <w:r w:rsidRPr="00B359EB">
        <w:rPr>
          <w:rFonts w:ascii="Times New Roman" w:eastAsia="Times New Roman" w:hAnsi="Times New Roman" w:cs="Times New Roman"/>
          <w:sz w:val="22"/>
          <w:szCs w:val="22"/>
          <w:lang w:val="es-ES" w:eastAsia="es-ES_tradnl"/>
        </w:rPr>
        <w:t xml:space="preserve">personas defensoras en Oaxaca, en particular </w:t>
      </w:r>
      <w:r w:rsidR="00CB340B" w:rsidRPr="00B359EB">
        <w:rPr>
          <w:rFonts w:ascii="Times New Roman" w:eastAsia="Times New Roman" w:hAnsi="Times New Roman" w:cs="Times New Roman"/>
          <w:sz w:val="22"/>
          <w:szCs w:val="22"/>
          <w:lang w:val="es-ES" w:eastAsia="es-ES_tradnl"/>
        </w:rPr>
        <w:t xml:space="preserve">a </w:t>
      </w:r>
      <w:r w:rsidR="00B359EB" w:rsidRPr="00B359EB">
        <w:rPr>
          <w:rFonts w:ascii="Times New Roman" w:eastAsia="Times New Roman" w:hAnsi="Times New Roman" w:cs="Times New Roman"/>
          <w:sz w:val="22"/>
          <w:szCs w:val="22"/>
          <w:lang w:val="es-ES" w:eastAsia="es-ES_tradnl"/>
        </w:rPr>
        <w:t>través</w:t>
      </w:r>
      <w:r w:rsidR="00CB340B" w:rsidRPr="00B359EB">
        <w:rPr>
          <w:rFonts w:ascii="Times New Roman" w:eastAsia="Times New Roman" w:hAnsi="Times New Roman" w:cs="Times New Roman"/>
          <w:sz w:val="22"/>
          <w:szCs w:val="22"/>
          <w:lang w:val="es-ES" w:eastAsia="es-ES_tradnl"/>
        </w:rPr>
        <w:t xml:space="preserve"> de </w:t>
      </w:r>
      <w:r w:rsidRPr="00B359EB">
        <w:rPr>
          <w:rFonts w:ascii="Times New Roman" w:eastAsia="Times New Roman" w:hAnsi="Times New Roman" w:cs="Times New Roman"/>
          <w:sz w:val="22"/>
          <w:szCs w:val="22"/>
          <w:lang w:val="es-ES" w:eastAsia="es-ES_tradnl"/>
        </w:rPr>
        <w:t xml:space="preserve">los casos </w:t>
      </w:r>
      <w:r w:rsidR="00B359EB" w:rsidRPr="00E05FAC">
        <w:rPr>
          <w:rFonts w:ascii="Times New Roman" w:eastAsia="Times New Roman" w:hAnsi="Times New Roman" w:cs="Times New Roman"/>
          <w:sz w:val="22"/>
          <w:szCs w:val="22"/>
          <w:lang w:val="es-ES" w:eastAsia="es-ES_tradnl"/>
        </w:rPr>
        <w:t>emblemáticos</w:t>
      </w:r>
      <w:r w:rsidRPr="00E05FAC">
        <w:rPr>
          <w:rFonts w:ascii="Times New Roman" w:eastAsia="Times New Roman" w:hAnsi="Times New Roman" w:cs="Times New Roman"/>
          <w:sz w:val="22"/>
          <w:szCs w:val="22"/>
          <w:lang w:val="es-ES" w:eastAsia="es-ES_tradnl"/>
        </w:rPr>
        <w:t xml:space="preserve"> de los defensores de derechos </w:t>
      </w:r>
      <w:r w:rsidR="00CB340B" w:rsidRPr="00E05FAC">
        <w:rPr>
          <w:rFonts w:ascii="Times New Roman" w:eastAsia="Times New Roman" w:hAnsi="Times New Roman" w:cs="Times New Roman"/>
          <w:sz w:val="22"/>
          <w:szCs w:val="22"/>
          <w:lang w:val="es-ES" w:eastAsia="es-ES_tradnl"/>
        </w:rPr>
        <w:t>h</w:t>
      </w:r>
      <w:r w:rsidRPr="00E05FAC">
        <w:rPr>
          <w:rFonts w:ascii="Times New Roman" w:eastAsia="Times New Roman" w:hAnsi="Times New Roman" w:cs="Times New Roman"/>
          <w:sz w:val="22"/>
          <w:szCs w:val="22"/>
          <w:lang w:val="es-ES" w:eastAsia="es-ES_tradnl"/>
        </w:rPr>
        <w:t xml:space="preserve">umanos Pablo López </w:t>
      </w:r>
      <w:proofErr w:type="spellStart"/>
      <w:r w:rsidRPr="00E05FAC">
        <w:rPr>
          <w:rFonts w:ascii="Times New Roman" w:eastAsia="Times New Roman" w:hAnsi="Times New Roman" w:cs="Times New Roman"/>
          <w:sz w:val="22"/>
          <w:szCs w:val="22"/>
          <w:lang w:val="es-ES" w:eastAsia="es-ES_tradnl"/>
        </w:rPr>
        <w:t>Alavez</w:t>
      </w:r>
      <w:proofErr w:type="spellEnd"/>
      <w:r w:rsidRPr="00E05FAC">
        <w:rPr>
          <w:rFonts w:ascii="Times New Roman" w:eastAsia="Times New Roman" w:hAnsi="Times New Roman" w:cs="Times New Roman"/>
          <w:sz w:val="22"/>
          <w:szCs w:val="22"/>
          <w:lang w:val="es-ES" w:eastAsia="es-ES_tradnl"/>
        </w:rPr>
        <w:t xml:space="preserve"> </w:t>
      </w:r>
      <w:r w:rsidR="00540382" w:rsidRPr="00E05FAC">
        <w:rPr>
          <w:rFonts w:ascii="Times New Roman" w:eastAsia="Times New Roman" w:hAnsi="Times New Roman" w:cs="Times New Roman"/>
          <w:sz w:val="22"/>
          <w:szCs w:val="22"/>
          <w:lang w:val="es-ES" w:eastAsia="es-ES_tradnl"/>
        </w:rPr>
        <w:t>(pregunta 1)</w:t>
      </w:r>
      <w:r w:rsidR="00B359EB" w:rsidRPr="00E05FAC">
        <w:rPr>
          <w:rFonts w:ascii="Times New Roman" w:eastAsia="Times New Roman" w:hAnsi="Times New Roman" w:cs="Times New Roman"/>
          <w:sz w:val="22"/>
          <w:szCs w:val="22"/>
          <w:lang w:val="es-ES" w:eastAsia="es-ES_tradnl"/>
        </w:rPr>
        <w:t xml:space="preserve"> </w:t>
      </w:r>
      <w:r w:rsidRPr="00E05FAC">
        <w:rPr>
          <w:rFonts w:ascii="Times New Roman" w:eastAsia="Times New Roman" w:hAnsi="Times New Roman" w:cs="Times New Roman"/>
          <w:sz w:val="22"/>
          <w:szCs w:val="22"/>
          <w:lang w:val="es-ES" w:eastAsia="es-ES_tradnl"/>
        </w:rPr>
        <w:t>y Damián Gallardo Martínez</w:t>
      </w:r>
      <w:r w:rsidR="00540382" w:rsidRPr="00E05FAC">
        <w:rPr>
          <w:rFonts w:ascii="Times New Roman" w:eastAsia="Times New Roman" w:hAnsi="Times New Roman" w:cs="Times New Roman"/>
          <w:sz w:val="22"/>
          <w:szCs w:val="22"/>
          <w:lang w:val="es-ES" w:eastAsia="es-ES_tradnl"/>
        </w:rPr>
        <w:t xml:space="preserve"> (pregunta 5)</w:t>
      </w:r>
      <w:r w:rsidR="00CB340B" w:rsidRPr="00E05FAC">
        <w:rPr>
          <w:rFonts w:ascii="Times New Roman" w:eastAsia="Times New Roman" w:hAnsi="Times New Roman" w:cs="Times New Roman"/>
          <w:sz w:val="22"/>
          <w:szCs w:val="22"/>
          <w:lang w:val="es-ES" w:eastAsia="es-ES_tradnl"/>
        </w:rPr>
        <w:t>.</w:t>
      </w:r>
      <w:r w:rsidR="00540382" w:rsidRPr="00E05FAC">
        <w:rPr>
          <w:rFonts w:ascii="Times New Roman" w:eastAsia="Times New Roman" w:hAnsi="Times New Roman" w:cs="Times New Roman"/>
          <w:sz w:val="22"/>
          <w:szCs w:val="22"/>
          <w:lang w:val="es-ES" w:eastAsia="es-ES_tradnl"/>
        </w:rPr>
        <w:t xml:space="preserve"> En relación a este último caso, si bien el defensor permaneció privado de la libertad – sin sentencia – durante un periodo menor a 10 años (5 años, 7 meses), se incluye el caso por ilustrar el patrón especifico de criminalización contra personas defensoras en Oaxaca, la falta de acceso a la justicia y las acciones prioritarias que sugerimos para prevenir nuevas detenciones arbitrarias de larga duración.</w:t>
      </w:r>
    </w:p>
    <w:p w14:paraId="0FE8E647" w14:textId="77777777" w:rsidR="00E27698" w:rsidRPr="00B359EB" w:rsidRDefault="00E27698" w:rsidP="00E27698">
      <w:pPr>
        <w:ind w:left="360"/>
        <w:rPr>
          <w:rFonts w:ascii="Times New Roman" w:eastAsia="Times New Roman" w:hAnsi="Times New Roman" w:cs="Times New Roman"/>
          <w:sz w:val="22"/>
          <w:szCs w:val="22"/>
          <w:lang w:val="es-ES" w:eastAsia="es-ES_tradnl"/>
        </w:rPr>
      </w:pPr>
    </w:p>
    <w:p w14:paraId="24D0DE6C" w14:textId="2893931A" w:rsidR="00E27698" w:rsidRPr="00B359EB" w:rsidRDefault="00E27698" w:rsidP="008456B2">
      <w:pPr>
        <w:pStyle w:val="Default"/>
        <w:jc w:val="both"/>
        <w:rPr>
          <w:color w:val="632423" w:themeColor="accent2" w:themeShade="80"/>
          <w:sz w:val="22"/>
          <w:szCs w:val="22"/>
          <w:shd w:val="clear" w:color="auto" w:fill="FFFFFF"/>
          <w:lang w:val="es-ES"/>
        </w:rPr>
      </w:pPr>
    </w:p>
    <w:p w14:paraId="5C6CB3A4" w14:textId="6EC04D63" w:rsidR="00A66DBA" w:rsidRPr="00E05FAC" w:rsidRDefault="008456B2" w:rsidP="00A66DBA">
      <w:pPr>
        <w:pStyle w:val="Default"/>
        <w:numPr>
          <w:ilvl w:val="0"/>
          <w:numId w:val="24"/>
        </w:numPr>
        <w:rPr>
          <w:b/>
          <w:bCs/>
          <w:color w:val="000000" w:themeColor="text1"/>
          <w:shd w:val="clear" w:color="auto" w:fill="FFFFFF"/>
          <w:lang w:val="es-ES"/>
        </w:rPr>
      </w:pPr>
      <w:r w:rsidRPr="00E05FAC">
        <w:rPr>
          <w:b/>
          <w:bCs/>
          <w:color w:val="000000" w:themeColor="text1"/>
          <w:shd w:val="clear" w:color="auto" w:fill="FFFFFF"/>
          <w:lang w:val="es-ES"/>
        </w:rPr>
        <w:t xml:space="preserve">Caso de Pablo López </w:t>
      </w:r>
      <w:proofErr w:type="spellStart"/>
      <w:r w:rsidRPr="00E05FAC">
        <w:rPr>
          <w:b/>
          <w:bCs/>
          <w:color w:val="000000" w:themeColor="text1"/>
          <w:shd w:val="clear" w:color="auto" w:fill="FFFFFF"/>
          <w:lang w:val="es-ES"/>
        </w:rPr>
        <w:t>Alavez</w:t>
      </w:r>
      <w:proofErr w:type="spellEnd"/>
      <w:r w:rsidR="00AF6D59" w:rsidRPr="00E05FAC">
        <w:rPr>
          <w:b/>
          <w:bCs/>
          <w:color w:val="000000" w:themeColor="text1"/>
          <w:shd w:val="clear" w:color="auto" w:fill="FFFFFF"/>
          <w:lang w:val="es-ES"/>
        </w:rPr>
        <w:t>: víctima de detención arbitraria y privado de la libertad desde hace 10</w:t>
      </w:r>
      <w:r w:rsidR="00795104" w:rsidRPr="00E05FAC">
        <w:rPr>
          <w:b/>
          <w:bCs/>
          <w:color w:val="000000" w:themeColor="text1"/>
          <w:shd w:val="clear" w:color="auto" w:fill="FFFFFF"/>
          <w:lang w:val="es-ES"/>
        </w:rPr>
        <w:t xml:space="preserve"> </w:t>
      </w:r>
      <w:r w:rsidR="00AF6D59" w:rsidRPr="00E05FAC">
        <w:rPr>
          <w:b/>
          <w:bCs/>
          <w:color w:val="000000" w:themeColor="text1"/>
          <w:shd w:val="clear" w:color="auto" w:fill="FFFFFF"/>
          <w:lang w:val="es-ES"/>
        </w:rPr>
        <w:t>años</w:t>
      </w:r>
      <w:r w:rsidR="00795104" w:rsidRPr="00E05FAC">
        <w:rPr>
          <w:b/>
          <w:bCs/>
          <w:color w:val="000000" w:themeColor="text1"/>
          <w:shd w:val="clear" w:color="auto" w:fill="FFFFFF"/>
          <w:lang w:val="es-ES"/>
        </w:rPr>
        <w:t xml:space="preserve"> con 7 meses</w:t>
      </w:r>
    </w:p>
    <w:p w14:paraId="51349490" w14:textId="77777777" w:rsidR="00A66DBA" w:rsidRPr="00E05FAC" w:rsidRDefault="00A66DBA" w:rsidP="00A66DBA">
      <w:pPr>
        <w:rPr>
          <w:sz w:val="22"/>
          <w:szCs w:val="22"/>
          <w:lang w:val="es-ES"/>
        </w:rPr>
      </w:pPr>
    </w:p>
    <w:p w14:paraId="6934270F" w14:textId="494EFA64" w:rsidR="00A66DBA" w:rsidRPr="00E05FAC" w:rsidRDefault="00A66DBA" w:rsidP="00A66DBA">
      <w:pPr>
        <w:pStyle w:val="Prrafodelista"/>
        <w:numPr>
          <w:ilvl w:val="0"/>
          <w:numId w:val="20"/>
        </w:numPr>
        <w:jc w:val="both"/>
        <w:rPr>
          <w:rFonts w:ascii="Times New Roman" w:hAnsi="Times New Roman" w:cs="Times New Roman"/>
          <w:b/>
          <w:bCs/>
          <w:color w:val="000000" w:themeColor="text1"/>
          <w:sz w:val="22"/>
          <w:szCs w:val="22"/>
          <w:lang w:val="es-ES"/>
        </w:rPr>
      </w:pPr>
      <w:r w:rsidRPr="00E05FAC">
        <w:rPr>
          <w:rFonts w:ascii="Times New Roman" w:hAnsi="Times New Roman" w:cs="Times New Roman"/>
          <w:b/>
          <w:bCs/>
          <w:color w:val="000000" w:themeColor="text1"/>
          <w:sz w:val="22"/>
          <w:szCs w:val="22"/>
          <w:lang w:val="es-ES"/>
        </w:rPr>
        <w:t>Datos generales</w:t>
      </w:r>
    </w:p>
    <w:p w14:paraId="10CB66FC" w14:textId="77777777" w:rsidR="00A66DBA" w:rsidRPr="00E05FAC" w:rsidRDefault="00A66DBA" w:rsidP="00A66DBA">
      <w:pPr>
        <w:jc w:val="both"/>
        <w:rPr>
          <w:rFonts w:ascii="Times New Roman" w:hAnsi="Times New Roman" w:cs="Times New Roman"/>
          <w:b/>
          <w:bCs/>
          <w:color w:val="000000" w:themeColor="text1"/>
          <w:sz w:val="22"/>
          <w:szCs w:val="22"/>
          <w:lang w:val="es-ES"/>
        </w:rPr>
      </w:pPr>
    </w:p>
    <w:p w14:paraId="663A80AD" w14:textId="592C616B" w:rsidR="00A66DBA" w:rsidRPr="00E05FAC" w:rsidRDefault="00A66DBA" w:rsidP="00A66DBA">
      <w:pPr>
        <w:pStyle w:val="Prrafodelista"/>
        <w:numPr>
          <w:ilvl w:val="0"/>
          <w:numId w:val="11"/>
        </w:numPr>
        <w:jc w:val="both"/>
        <w:rPr>
          <w:rFonts w:ascii="Times New Roman" w:hAnsi="Times New Roman" w:cs="Times New Roman"/>
          <w:color w:val="000000" w:themeColor="text1"/>
          <w:sz w:val="22"/>
          <w:szCs w:val="22"/>
          <w:lang w:val="es-ES"/>
        </w:rPr>
      </w:pPr>
      <w:r w:rsidRPr="00E05FAC">
        <w:rPr>
          <w:rFonts w:ascii="Times New Roman" w:hAnsi="Times New Roman" w:cs="Times New Roman"/>
          <w:b/>
          <w:color w:val="404040" w:themeColor="text1" w:themeTint="BF"/>
          <w:sz w:val="22"/>
          <w:szCs w:val="22"/>
          <w:lang w:val="es-ES"/>
        </w:rPr>
        <w:t xml:space="preserve">Causa </w:t>
      </w:r>
      <w:r w:rsidRPr="00E05FAC">
        <w:rPr>
          <w:rFonts w:ascii="Times New Roman" w:hAnsi="Times New Roman" w:cs="Times New Roman"/>
          <w:b/>
          <w:color w:val="000000" w:themeColor="text1"/>
          <w:sz w:val="22"/>
          <w:szCs w:val="22"/>
          <w:lang w:val="es-ES"/>
        </w:rPr>
        <w:t xml:space="preserve">penal: </w:t>
      </w:r>
      <w:r w:rsidRPr="00E05FAC">
        <w:rPr>
          <w:rFonts w:ascii="Times New Roman" w:hAnsi="Times New Roman" w:cs="Times New Roman"/>
          <w:color w:val="000000" w:themeColor="text1"/>
          <w:sz w:val="22"/>
          <w:szCs w:val="22"/>
          <w:lang w:val="es-ES"/>
        </w:rPr>
        <w:t>102/2007</w:t>
      </w:r>
      <w:r w:rsidR="00BC3D91" w:rsidRPr="00E05FAC">
        <w:rPr>
          <w:rFonts w:ascii="Times New Roman" w:hAnsi="Times New Roman" w:cs="Times New Roman"/>
          <w:color w:val="000000" w:themeColor="text1"/>
          <w:sz w:val="22"/>
          <w:szCs w:val="22"/>
          <w:lang w:val="es-ES"/>
        </w:rPr>
        <w:t xml:space="preserve">, Juzgado Penal de </w:t>
      </w:r>
      <w:proofErr w:type="spellStart"/>
      <w:r w:rsidR="00BC3D91" w:rsidRPr="00E05FAC">
        <w:rPr>
          <w:rFonts w:ascii="Times New Roman" w:hAnsi="Times New Roman" w:cs="Times New Roman"/>
          <w:color w:val="000000" w:themeColor="text1"/>
          <w:sz w:val="22"/>
          <w:szCs w:val="22"/>
          <w:lang w:val="es-ES"/>
        </w:rPr>
        <w:t>Etla</w:t>
      </w:r>
      <w:proofErr w:type="spellEnd"/>
      <w:r w:rsidR="00BC3D91" w:rsidRPr="00E05FAC">
        <w:rPr>
          <w:rFonts w:ascii="Times New Roman" w:hAnsi="Times New Roman" w:cs="Times New Roman"/>
          <w:color w:val="000000" w:themeColor="text1"/>
          <w:sz w:val="22"/>
          <w:szCs w:val="22"/>
          <w:lang w:val="es-ES"/>
        </w:rPr>
        <w:t>, Oaxaca.</w:t>
      </w:r>
    </w:p>
    <w:p w14:paraId="6D67505A" w14:textId="6F08FECA" w:rsidR="00A66DBA" w:rsidRPr="00E05FAC" w:rsidRDefault="00A66DBA" w:rsidP="00A66DBA">
      <w:pPr>
        <w:pStyle w:val="Prrafodelista"/>
        <w:numPr>
          <w:ilvl w:val="0"/>
          <w:numId w:val="11"/>
        </w:numPr>
        <w:jc w:val="both"/>
        <w:rPr>
          <w:rFonts w:ascii="Times New Roman" w:hAnsi="Times New Roman" w:cs="Times New Roman"/>
          <w:b/>
          <w:color w:val="000000" w:themeColor="text1"/>
          <w:sz w:val="22"/>
          <w:szCs w:val="22"/>
          <w:lang w:val="es-ES"/>
        </w:rPr>
      </w:pPr>
      <w:r w:rsidRPr="00E05FAC">
        <w:rPr>
          <w:rFonts w:ascii="Times New Roman" w:hAnsi="Times New Roman" w:cs="Times New Roman"/>
          <w:b/>
          <w:color w:val="000000" w:themeColor="text1"/>
          <w:sz w:val="22"/>
          <w:szCs w:val="22"/>
          <w:lang w:val="es-ES"/>
        </w:rPr>
        <w:t>Delitos de que se le acusa:</w:t>
      </w:r>
      <w:r w:rsidRPr="00E05FAC">
        <w:rPr>
          <w:rFonts w:ascii="Times New Roman" w:hAnsi="Times New Roman" w:cs="Times New Roman"/>
          <w:color w:val="000000" w:themeColor="text1"/>
          <w:sz w:val="22"/>
          <w:szCs w:val="22"/>
          <w:lang w:val="es-ES"/>
        </w:rPr>
        <w:t xml:space="preserve"> Homicidio calificado, delito establecido en el artículo 291 del Código Penal vigente en el año 2007.</w:t>
      </w:r>
    </w:p>
    <w:p w14:paraId="2F826EED" w14:textId="77777777" w:rsidR="00A66DBA" w:rsidRPr="00E05FAC" w:rsidRDefault="00A66DBA" w:rsidP="00A66DBA">
      <w:pPr>
        <w:pStyle w:val="Prrafodelista"/>
        <w:numPr>
          <w:ilvl w:val="0"/>
          <w:numId w:val="11"/>
        </w:numPr>
        <w:jc w:val="both"/>
        <w:rPr>
          <w:rFonts w:ascii="Times New Roman" w:hAnsi="Times New Roman" w:cs="Times New Roman"/>
          <w:b/>
          <w:color w:val="000000" w:themeColor="text1"/>
          <w:sz w:val="22"/>
          <w:szCs w:val="22"/>
          <w:lang w:val="es-ES"/>
        </w:rPr>
      </w:pPr>
      <w:r w:rsidRPr="00E05FAC">
        <w:rPr>
          <w:rFonts w:ascii="Times New Roman" w:hAnsi="Times New Roman" w:cs="Times New Roman"/>
          <w:b/>
          <w:color w:val="000000" w:themeColor="text1"/>
          <w:sz w:val="22"/>
          <w:szCs w:val="22"/>
          <w:lang w:val="es-ES"/>
        </w:rPr>
        <w:t>Lugar de reclusión:</w:t>
      </w:r>
      <w:r w:rsidRPr="00E05FAC">
        <w:rPr>
          <w:rFonts w:ascii="Times New Roman" w:hAnsi="Times New Roman" w:cs="Times New Roman"/>
          <w:color w:val="000000" w:themeColor="text1"/>
          <w:sz w:val="22"/>
          <w:szCs w:val="22"/>
          <w:lang w:val="es-ES"/>
        </w:rPr>
        <w:t xml:space="preserve"> Centro de Readaptación Social No. 2 de la Villa de </w:t>
      </w:r>
      <w:proofErr w:type="spellStart"/>
      <w:r w:rsidRPr="00E05FAC">
        <w:rPr>
          <w:rFonts w:ascii="Times New Roman" w:hAnsi="Times New Roman" w:cs="Times New Roman"/>
          <w:color w:val="000000" w:themeColor="text1"/>
          <w:sz w:val="22"/>
          <w:szCs w:val="22"/>
          <w:lang w:val="es-ES"/>
        </w:rPr>
        <w:t>Etla</w:t>
      </w:r>
      <w:proofErr w:type="spellEnd"/>
      <w:r w:rsidRPr="00E05FAC">
        <w:rPr>
          <w:rFonts w:ascii="Times New Roman" w:hAnsi="Times New Roman" w:cs="Times New Roman"/>
          <w:color w:val="000000" w:themeColor="text1"/>
          <w:sz w:val="22"/>
          <w:szCs w:val="22"/>
          <w:lang w:val="es-ES"/>
        </w:rPr>
        <w:t>, Oaxaca</w:t>
      </w:r>
    </w:p>
    <w:p w14:paraId="39E65908" w14:textId="48ACAA45" w:rsidR="00A66DBA" w:rsidRPr="00E05FAC" w:rsidRDefault="00A66DBA" w:rsidP="00A66DBA">
      <w:pPr>
        <w:pStyle w:val="Prrafodelista"/>
        <w:numPr>
          <w:ilvl w:val="0"/>
          <w:numId w:val="11"/>
        </w:numPr>
        <w:jc w:val="both"/>
        <w:rPr>
          <w:rFonts w:ascii="Times New Roman" w:hAnsi="Times New Roman" w:cs="Times New Roman"/>
          <w:b/>
          <w:color w:val="000000" w:themeColor="text1"/>
          <w:sz w:val="22"/>
          <w:szCs w:val="22"/>
          <w:lang w:val="es-ES"/>
        </w:rPr>
      </w:pPr>
      <w:r w:rsidRPr="00E05FAC">
        <w:rPr>
          <w:rFonts w:ascii="Times New Roman" w:hAnsi="Times New Roman" w:cs="Times New Roman"/>
          <w:b/>
          <w:color w:val="000000" w:themeColor="text1"/>
          <w:sz w:val="22"/>
          <w:szCs w:val="22"/>
          <w:lang w:val="es-ES"/>
        </w:rPr>
        <w:t xml:space="preserve">Tiempo de reclusión: </w:t>
      </w:r>
      <w:r w:rsidRPr="00E05FAC">
        <w:rPr>
          <w:rFonts w:ascii="Times New Roman" w:hAnsi="Times New Roman" w:cs="Times New Roman"/>
          <w:color w:val="000000" w:themeColor="text1"/>
          <w:sz w:val="22"/>
          <w:szCs w:val="22"/>
          <w:lang w:val="es-ES"/>
        </w:rPr>
        <w:t xml:space="preserve">10 años y </w:t>
      </w:r>
      <w:r w:rsidR="00E801A8" w:rsidRPr="00E05FAC">
        <w:rPr>
          <w:rFonts w:ascii="Times New Roman" w:hAnsi="Times New Roman" w:cs="Times New Roman"/>
          <w:color w:val="000000" w:themeColor="text1"/>
          <w:sz w:val="22"/>
          <w:szCs w:val="22"/>
          <w:lang w:val="es-ES"/>
        </w:rPr>
        <w:t>7</w:t>
      </w:r>
      <w:r w:rsidRPr="00E05FAC">
        <w:rPr>
          <w:rFonts w:ascii="Times New Roman" w:hAnsi="Times New Roman" w:cs="Times New Roman"/>
          <w:color w:val="000000" w:themeColor="text1"/>
          <w:sz w:val="22"/>
          <w:szCs w:val="22"/>
          <w:lang w:val="es-ES"/>
        </w:rPr>
        <w:t xml:space="preserve"> meses</w:t>
      </w:r>
    </w:p>
    <w:p w14:paraId="7268C4E0" w14:textId="6052D86A" w:rsidR="00A66DBA" w:rsidRPr="00E05FAC" w:rsidRDefault="00A66DBA" w:rsidP="00795104">
      <w:pPr>
        <w:pStyle w:val="Prrafodelista"/>
        <w:numPr>
          <w:ilvl w:val="0"/>
          <w:numId w:val="11"/>
        </w:numPr>
        <w:jc w:val="both"/>
        <w:rPr>
          <w:rFonts w:ascii="Times New Roman" w:hAnsi="Times New Roman" w:cs="Times New Roman"/>
          <w:color w:val="000000" w:themeColor="text1"/>
          <w:sz w:val="22"/>
          <w:szCs w:val="22"/>
          <w:lang w:val="es-ES"/>
        </w:rPr>
      </w:pPr>
      <w:r w:rsidRPr="00E05FAC">
        <w:rPr>
          <w:rFonts w:ascii="Times New Roman" w:hAnsi="Times New Roman" w:cs="Times New Roman"/>
          <w:b/>
          <w:color w:val="000000" w:themeColor="text1"/>
          <w:sz w:val="22"/>
          <w:szCs w:val="22"/>
          <w:lang w:val="es-ES"/>
        </w:rPr>
        <w:t xml:space="preserve">Situación Jurídica: </w:t>
      </w:r>
      <w:r w:rsidR="006E674E" w:rsidRPr="00E05FAC">
        <w:rPr>
          <w:rFonts w:ascii="Times New Roman" w:hAnsi="Times New Roman" w:cs="Times New Roman"/>
          <w:bCs/>
          <w:color w:val="000000" w:themeColor="text1"/>
          <w:sz w:val="22"/>
          <w:szCs w:val="22"/>
          <w:lang w:val="es-ES"/>
        </w:rPr>
        <w:t>En el proceso judicial, s</w:t>
      </w:r>
      <w:r w:rsidR="00795104" w:rsidRPr="00E05FAC">
        <w:rPr>
          <w:rFonts w:ascii="Times New Roman" w:hAnsi="Times New Roman" w:cs="Times New Roman"/>
          <w:bCs/>
          <w:color w:val="000000" w:themeColor="text1"/>
          <w:sz w:val="22"/>
          <w:szCs w:val="22"/>
          <w:lang w:val="es-ES"/>
        </w:rPr>
        <w:t xml:space="preserve">e está en </w:t>
      </w:r>
      <w:r w:rsidR="00BC3D91" w:rsidRPr="00E05FAC">
        <w:rPr>
          <w:rFonts w:ascii="Times New Roman" w:hAnsi="Times New Roman" w:cs="Times New Roman"/>
          <w:bCs/>
          <w:color w:val="000000" w:themeColor="text1"/>
          <w:sz w:val="22"/>
          <w:szCs w:val="22"/>
          <w:lang w:val="es-ES"/>
        </w:rPr>
        <w:t>espera d</w:t>
      </w:r>
      <w:r w:rsidR="00795104" w:rsidRPr="00E05FAC">
        <w:rPr>
          <w:rFonts w:ascii="Times New Roman" w:hAnsi="Times New Roman" w:cs="Times New Roman"/>
          <w:bCs/>
          <w:color w:val="000000" w:themeColor="text1"/>
          <w:sz w:val="22"/>
          <w:szCs w:val="22"/>
          <w:lang w:val="es-ES"/>
        </w:rPr>
        <w:t>e que se resuelva la</w:t>
      </w:r>
      <w:r w:rsidR="00795104" w:rsidRPr="00E05FAC">
        <w:rPr>
          <w:rFonts w:ascii="Times New Roman" w:hAnsi="Times New Roman" w:cs="Times New Roman"/>
          <w:b/>
          <w:color w:val="000000" w:themeColor="text1"/>
          <w:sz w:val="22"/>
          <w:szCs w:val="22"/>
          <w:lang w:val="es-ES"/>
        </w:rPr>
        <w:t xml:space="preserve"> </w:t>
      </w:r>
      <w:r w:rsidR="00795104" w:rsidRPr="00E05FAC">
        <w:rPr>
          <w:rFonts w:ascii="Times New Roman" w:hAnsi="Times New Roman" w:cs="Times New Roman"/>
          <w:color w:val="000000" w:themeColor="text1"/>
          <w:sz w:val="22"/>
          <w:szCs w:val="22"/>
          <w:lang w:val="es-ES"/>
        </w:rPr>
        <w:t>a</w:t>
      </w:r>
      <w:r w:rsidRPr="00E05FAC">
        <w:rPr>
          <w:rFonts w:ascii="Times New Roman" w:hAnsi="Times New Roman" w:cs="Times New Roman"/>
          <w:color w:val="000000" w:themeColor="text1"/>
          <w:sz w:val="22"/>
          <w:szCs w:val="22"/>
          <w:lang w:val="es-ES"/>
        </w:rPr>
        <w:t>pelación del auto de formal prisión dictada por el juez de la causa en fecha 9 de octubre del año 2020</w:t>
      </w:r>
      <w:r w:rsidR="00795104" w:rsidRPr="00E05FAC">
        <w:rPr>
          <w:rFonts w:ascii="Times New Roman" w:hAnsi="Times New Roman" w:cs="Times New Roman"/>
          <w:color w:val="000000" w:themeColor="text1"/>
          <w:sz w:val="22"/>
          <w:szCs w:val="22"/>
          <w:lang w:val="es-ES"/>
        </w:rPr>
        <w:t>, después de que se ordenará</w:t>
      </w:r>
      <w:r w:rsidRPr="00E05FAC">
        <w:rPr>
          <w:rFonts w:ascii="Times New Roman" w:hAnsi="Times New Roman" w:cs="Times New Roman"/>
          <w:color w:val="000000" w:themeColor="text1"/>
          <w:sz w:val="22"/>
          <w:szCs w:val="22"/>
          <w:lang w:val="es-ES"/>
        </w:rPr>
        <w:t xml:space="preserve"> la reposición de</w:t>
      </w:r>
      <w:r w:rsidR="00795104" w:rsidRPr="00E05FAC">
        <w:rPr>
          <w:rFonts w:ascii="Times New Roman" w:hAnsi="Times New Roman" w:cs="Times New Roman"/>
          <w:color w:val="000000" w:themeColor="text1"/>
          <w:sz w:val="22"/>
          <w:szCs w:val="22"/>
          <w:lang w:val="es-ES"/>
        </w:rPr>
        <w:t xml:space="preserve"> </w:t>
      </w:r>
      <w:r w:rsidR="00BD2E5D">
        <w:rPr>
          <w:rFonts w:ascii="Times New Roman" w:hAnsi="Times New Roman" w:cs="Times New Roman"/>
          <w:color w:val="000000" w:themeColor="text1"/>
          <w:sz w:val="22"/>
          <w:szCs w:val="22"/>
          <w:lang w:val="es-ES"/>
        </w:rPr>
        <w:t xml:space="preserve">el </w:t>
      </w:r>
      <w:r w:rsidR="00795104" w:rsidRPr="00E05FAC">
        <w:rPr>
          <w:rFonts w:ascii="Times New Roman" w:hAnsi="Times New Roman" w:cs="Times New Roman"/>
          <w:color w:val="000000" w:themeColor="text1"/>
          <w:sz w:val="22"/>
          <w:szCs w:val="22"/>
          <w:lang w:val="es-ES"/>
        </w:rPr>
        <w:t>todo</w:t>
      </w:r>
      <w:r w:rsidRPr="00E05FAC">
        <w:rPr>
          <w:rFonts w:ascii="Times New Roman" w:hAnsi="Times New Roman" w:cs="Times New Roman"/>
          <w:color w:val="000000" w:themeColor="text1"/>
          <w:sz w:val="22"/>
          <w:szCs w:val="22"/>
          <w:lang w:val="es-ES"/>
        </w:rPr>
        <w:t xml:space="preserve"> procedimiento por el Primer Tribunal Colegiado Especializado en Materias Penal y del Trabajo del Décimo </w:t>
      </w:r>
      <w:r w:rsidR="00B359EB" w:rsidRPr="00E05FAC">
        <w:rPr>
          <w:rFonts w:ascii="Times New Roman" w:hAnsi="Times New Roman" w:cs="Times New Roman"/>
          <w:color w:val="000000" w:themeColor="text1"/>
          <w:sz w:val="22"/>
          <w:szCs w:val="22"/>
          <w:lang w:val="es-ES"/>
        </w:rPr>
        <w:t>Tercer</w:t>
      </w:r>
      <w:r w:rsidRPr="00E05FAC">
        <w:rPr>
          <w:rFonts w:ascii="Times New Roman" w:hAnsi="Times New Roman" w:cs="Times New Roman"/>
          <w:color w:val="000000" w:themeColor="text1"/>
          <w:sz w:val="22"/>
          <w:szCs w:val="22"/>
          <w:lang w:val="es-ES"/>
        </w:rPr>
        <w:t xml:space="preserve"> Circuito en el juicio de Amparo 511/2019</w:t>
      </w:r>
      <w:r w:rsidR="00C44573" w:rsidRPr="00E05FAC">
        <w:rPr>
          <w:rFonts w:ascii="Times New Roman" w:hAnsi="Times New Roman" w:cs="Times New Roman"/>
          <w:color w:val="000000" w:themeColor="text1"/>
          <w:sz w:val="22"/>
          <w:szCs w:val="22"/>
          <w:lang w:val="es-ES"/>
        </w:rPr>
        <w:t>, después</w:t>
      </w:r>
      <w:r w:rsidR="00795104" w:rsidRPr="00E05FAC">
        <w:rPr>
          <w:rFonts w:ascii="Times New Roman" w:hAnsi="Times New Roman" w:cs="Times New Roman"/>
          <w:color w:val="000000" w:themeColor="text1"/>
          <w:sz w:val="22"/>
          <w:szCs w:val="22"/>
          <w:lang w:val="es-ES"/>
        </w:rPr>
        <w:t xml:space="preserve"> de 10 años en juicio</w:t>
      </w:r>
      <w:r w:rsidR="00C44573" w:rsidRPr="00E05FAC">
        <w:rPr>
          <w:rFonts w:ascii="Times New Roman" w:hAnsi="Times New Roman" w:cs="Times New Roman"/>
          <w:color w:val="000000" w:themeColor="text1"/>
          <w:sz w:val="22"/>
          <w:szCs w:val="22"/>
          <w:lang w:val="es-ES"/>
        </w:rPr>
        <w:t>.</w:t>
      </w:r>
    </w:p>
    <w:p w14:paraId="01D20285" w14:textId="77777777" w:rsidR="00A66DBA" w:rsidRPr="00E05FAC" w:rsidRDefault="00A66DBA" w:rsidP="00A66DBA">
      <w:pPr>
        <w:pStyle w:val="Prrafodelista"/>
        <w:jc w:val="both"/>
        <w:rPr>
          <w:rFonts w:ascii="Times New Roman" w:hAnsi="Times New Roman" w:cs="Times New Roman"/>
          <w:color w:val="000000" w:themeColor="text1"/>
          <w:sz w:val="22"/>
          <w:szCs w:val="22"/>
          <w:lang w:val="es-ES"/>
        </w:rPr>
      </w:pPr>
    </w:p>
    <w:p w14:paraId="3855AD14" w14:textId="046CA91A" w:rsidR="00A66DBA" w:rsidRPr="00E05FAC" w:rsidRDefault="00A66DBA" w:rsidP="00A66DBA">
      <w:pPr>
        <w:pStyle w:val="Prrafodelista"/>
        <w:numPr>
          <w:ilvl w:val="0"/>
          <w:numId w:val="20"/>
        </w:numPr>
        <w:spacing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b/>
          <w:sz w:val="22"/>
          <w:szCs w:val="22"/>
          <w:lang w:val="es-ES" w:eastAsia="es-ES_tradnl"/>
        </w:rPr>
        <w:t xml:space="preserve">Perfil del defensor de derechos humanos </w:t>
      </w:r>
    </w:p>
    <w:p w14:paraId="49DD9ABA" w14:textId="6DFAF188" w:rsidR="00A66DBA" w:rsidRPr="00E05FAC" w:rsidRDefault="00A66DBA" w:rsidP="00A66DBA">
      <w:pPr>
        <w:spacing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sz w:val="22"/>
          <w:szCs w:val="22"/>
          <w:lang w:val="es-ES" w:eastAsia="es-ES_tradnl"/>
        </w:rPr>
        <w:t xml:space="preserve">Pablo López </w:t>
      </w:r>
      <w:proofErr w:type="spellStart"/>
      <w:r w:rsidRPr="00E05FAC">
        <w:rPr>
          <w:rFonts w:ascii="Times New Roman" w:hAnsi="Times New Roman" w:cs="Times New Roman"/>
          <w:sz w:val="22"/>
          <w:szCs w:val="22"/>
          <w:lang w:val="es-ES" w:eastAsia="es-ES_tradnl"/>
        </w:rPr>
        <w:t>Alavez</w:t>
      </w:r>
      <w:proofErr w:type="spellEnd"/>
      <w:r w:rsidR="00795104" w:rsidRPr="00E05FAC">
        <w:rPr>
          <w:rFonts w:ascii="Times New Roman" w:hAnsi="Times New Roman" w:cs="Times New Roman"/>
          <w:sz w:val="22"/>
          <w:szCs w:val="22"/>
          <w:lang w:val="es-ES" w:eastAsia="es-ES_tradnl"/>
        </w:rPr>
        <w:t xml:space="preserve">, </w:t>
      </w:r>
      <w:r w:rsidRPr="00E05FAC">
        <w:rPr>
          <w:rFonts w:ascii="Times New Roman" w:hAnsi="Times New Roman" w:cs="Times New Roman"/>
          <w:sz w:val="22"/>
          <w:szCs w:val="22"/>
          <w:lang w:val="es-ES" w:eastAsia="es-ES_tradnl"/>
        </w:rPr>
        <w:t xml:space="preserve">indígena zapoteco defensor del bosque, originario de San Isidro </w:t>
      </w:r>
      <w:proofErr w:type="spellStart"/>
      <w:r w:rsidRPr="00E05FAC">
        <w:rPr>
          <w:rFonts w:ascii="Times New Roman" w:hAnsi="Times New Roman" w:cs="Times New Roman"/>
          <w:sz w:val="22"/>
          <w:szCs w:val="22"/>
          <w:lang w:val="es-ES" w:eastAsia="es-ES_tradnl"/>
        </w:rPr>
        <w:t>Aloaopam</w:t>
      </w:r>
      <w:proofErr w:type="spellEnd"/>
      <w:r w:rsidRPr="00E05FAC">
        <w:rPr>
          <w:rFonts w:ascii="Times New Roman" w:hAnsi="Times New Roman" w:cs="Times New Roman"/>
          <w:sz w:val="22"/>
          <w:szCs w:val="22"/>
          <w:lang w:val="es-ES" w:eastAsia="es-ES_tradnl"/>
        </w:rPr>
        <w:t xml:space="preserve">, agencia de San Miguel </w:t>
      </w:r>
      <w:proofErr w:type="spellStart"/>
      <w:r w:rsidRPr="00E05FAC">
        <w:rPr>
          <w:rFonts w:ascii="Times New Roman" w:hAnsi="Times New Roman" w:cs="Times New Roman"/>
          <w:sz w:val="22"/>
          <w:szCs w:val="22"/>
          <w:lang w:val="es-ES" w:eastAsia="es-ES_tradnl"/>
        </w:rPr>
        <w:t>Aloapam</w:t>
      </w:r>
      <w:proofErr w:type="spellEnd"/>
      <w:r w:rsidRPr="00E05FAC">
        <w:rPr>
          <w:rFonts w:ascii="Times New Roman" w:hAnsi="Times New Roman" w:cs="Times New Roman"/>
          <w:sz w:val="22"/>
          <w:szCs w:val="22"/>
          <w:lang w:val="es-ES" w:eastAsia="es-ES_tradnl"/>
        </w:rPr>
        <w:t>, Ixtlán de Juárez,</w:t>
      </w:r>
      <w:r w:rsidR="00795104" w:rsidRPr="00E05FAC">
        <w:rPr>
          <w:rFonts w:ascii="Times New Roman" w:hAnsi="Times New Roman" w:cs="Times New Roman"/>
          <w:sz w:val="22"/>
          <w:szCs w:val="22"/>
          <w:lang w:val="es-ES" w:eastAsia="es-ES_tradnl"/>
        </w:rPr>
        <w:t xml:space="preserve"> Oaxaca,</w:t>
      </w:r>
      <w:r w:rsidRPr="00E05FAC">
        <w:rPr>
          <w:rFonts w:ascii="Times New Roman" w:hAnsi="Times New Roman" w:cs="Times New Roman"/>
          <w:sz w:val="22"/>
          <w:szCs w:val="22"/>
          <w:lang w:val="es-ES" w:eastAsia="es-ES_tradnl"/>
        </w:rPr>
        <w:t xml:space="preserve"> cumplió con los cargos comunitarios en su comunidad y por más de 20 años participó activamente en la defensa de los recursos naturales, representando a su pueblo en la denuncia pública de tala ilegal y exigiendo la conservación de manantiales y cuerpos de agua que abastecían a su comunidad.</w:t>
      </w:r>
    </w:p>
    <w:p w14:paraId="5585AFD4" w14:textId="3CAC05BA" w:rsidR="00A66DBA" w:rsidRPr="00E05FAC" w:rsidRDefault="00A66DBA" w:rsidP="00A66DBA">
      <w:pPr>
        <w:pStyle w:val="Prrafodelista"/>
        <w:numPr>
          <w:ilvl w:val="0"/>
          <w:numId w:val="19"/>
        </w:numPr>
        <w:spacing w:after="100" w:afterAutospacing="1"/>
        <w:jc w:val="both"/>
        <w:rPr>
          <w:rFonts w:ascii="Times New Roman" w:hAnsi="Times New Roman" w:cs="Times New Roman"/>
          <w:sz w:val="20"/>
          <w:szCs w:val="20"/>
          <w:lang w:val="es-ES" w:eastAsia="es-ES_tradnl"/>
        </w:rPr>
      </w:pPr>
      <w:r w:rsidRPr="00E05FAC">
        <w:rPr>
          <w:rFonts w:ascii="Times New Roman" w:hAnsi="Times New Roman" w:cs="Times New Roman"/>
          <w:sz w:val="20"/>
          <w:szCs w:val="20"/>
          <w:lang w:val="es-ES"/>
        </w:rPr>
        <w:t xml:space="preserve">En el año de 1990 fungió como </w:t>
      </w:r>
      <w:r w:rsidRPr="00E05FAC">
        <w:rPr>
          <w:rFonts w:ascii="Times New Roman" w:hAnsi="Times New Roman" w:cs="Times New Roman"/>
          <w:b/>
          <w:sz w:val="20"/>
          <w:szCs w:val="20"/>
          <w:lang w:val="es-ES"/>
        </w:rPr>
        <w:t xml:space="preserve">primer </w:t>
      </w:r>
      <w:r w:rsidR="00C44573" w:rsidRPr="00E05FAC">
        <w:rPr>
          <w:rFonts w:ascii="Times New Roman" w:hAnsi="Times New Roman" w:cs="Times New Roman"/>
          <w:b/>
          <w:sz w:val="20"/>
          <w:szCs w:val="20"/>
          <w:lang w:val="es-ES"/>
        </w:rPr>
        <w:t>topil</w:t>
      </w:r>
      <w:r w:rsidR="00795104" w:rsidRPr="00E05FAC">
        <w:rPr>
          <w:rFonts w:ascii="Times New Roman" w:hAnsi="Times New Roman" w:cs="Times New Roman"/>
          <w:b/>
          <w:sz w:val="20"/>
          <w:szCs w:val="20"/>
          <w:lang w:val="es-ES"/>
        </w:rPr>
        <w:t xml:space="preserve"> no armad</w:t>
      </w:r>
      <w:r w:rsidR="00C44573" w:rsidRPr="00E05FAC">
        <w:rPr>
          <w:rFonts w:ascii="Times New Roman" w:hAnsi="Times New Roman" w:cs="Times New Roman"/>
          <w:b/>
          <w:sz w:val="20"/>
          <w:szCs w:val="20"/>
          <w:lang w:val="es-ES"/>
        </w:rPr>
        <w:t>o</w:t>
      </w:r>
      <w:r w:rsidRPr="00E05FAC">
        <w:rPr>
          <w:rFonts w:ascii="Times New Roman" w:hAnsi="Times New Roman" w:cs="Times New Roman"/>
          <w:sz w:val="20"/>
          <w:szCs w:val="20"/>
          <w:lang w:val="es-ES"/>
        </w:rPr>
        <w:t xml:space="preserve"> de la agencia de policía municipal de San Isidro </w:t>
      </w:r>
      <w:proofErr w:type="spellStart"/>
      <w:r w:rsidRPr="00E05FAC">
        <w:rPr>
          <w:rFonts w:ascii="Times New Roman" w:hAnsi="Times New Roman" w:cs="Times New Roman"/>
          <w:sz w:val="20"/>
          <w:szCs w:val="20"/>
          <w:lang w:val="es-ES"/>
        </w:rPr>
        <w:t>Aloapam</w:t>
      </w:r>
      <w:proofErr w:type="spellEnd"/>
      <w:r w:rsidRPr="00E05FAC">
        <w:rPr>
          <w:rFonts w:ascii="Times New Roman" w:hAnsi="Times New Roman" w:cs="Times New Roman"/>
          <w:sz w:val="20"/>
          <w:szCs w:val="20"/>
          <w:lang w:val="es-ES"/>
        </w:rPr>
        <w:t xml:space="preserve">; </w:t>
      </w:r>
    </w:p>
    <w:p w14:paraId="04B74531" w14:textId="77777777" w:rsidR="00A66DBA" w:rsidRPr="00E05FAC" w:rsidRDefault="00A66DBA" w:rsidP="00A66DBA">
      <w:pPr>
        <w:pStyle w:val="Prrafodelista"/>
        <w:numPr>
          <w:ilvl w:val="0"/>
          <w:numId w:val="19"/>
        </w:numPr>
        <w:spacing w:after="100" w:afterAutospacing="1"/>
        <w:jc w:val="both"/>
        <w:rPr>
          <w:rFonts w:ascii="Times New Roman" w:hAnsi="Times New Roman" w:cs="Times New Roman"/>
          <w:sz w:val="20"/>
          <w:szCs w:val="20"/>
          <w:lang w:val="es-ES" w:eastAsia="es-ES_tradnl"/>
        </w:rPr>
      </w:pPr>
      <w:r w:rsidRPr="00E05FAC">
        <w:rPr>
          <w:rFonts w:ascii="Times New Roman" w:hAnsi="Times New Roman" w:cs="Times New Roman"/>
          <w:sz w:val="20"/>
          <w:szCs w:val="20"/>
          <w:lang w:val="es-ES"/>
        </w:rPr>
        <w:lastRenderedPageBreak/>
        <w:t xml:space="preserve">En el año de 1994 cumplió con el </w:t>
      </w:r>
      <w:r w:rsidRPr="00E05FAC">
        <w:rPr>
          <w:rFonts w:ascii="Times New Roman" w:hAnsi="Times New Roman" w:cs="Times New Roman"/>
          <w:b/>
          <w:sz w:val="20"/>
          <w:szCs w:val="20"/>
          <w:lang w:val="es-ES"/>
        </w:rPr>
        <w:t>encargo de Comité del Agua potable</w:t>
      </w:r>
      <w:r w:rsidRPr="00E05FAC">
        <w:rPr>
          <w:rFonts w:ascii="Times New Roman" w:hAnsi="Times New Roman" w:cs="Times New Roman"/>
          <w:sz w:val="20"/>
          <w:szCs w:val="20"/>
          <w:lang w:val="es-ES"/>
        </w:rPr>
        <w:t xml:space="preserve">, en donde estuvo encargado del mantenimiento del sistema de agua potable de toda la comunidad; </w:t>
      </w:r>
    </w:p>
    <w:p w14:paraId="05E60EDE" w14:textId="645F19A5" w:rsidR="00A66DBA" w:rsidRPr="00E05FAC" w:rsidRDefault="00A66DBA" w:rsidP="00A66DBA">
      <w:pPr>
        <w:pStyle w:val="Prrafodelista"/>
        <w:numPr>
          <w:ilvl w:val="0"/>
          <w:numId w:val="19"/>
        </w:numPr>
        <w:spacing w:after="100" w:afterAutospacing="1"/>
        <w:jc w:val="both"/>
        <w:rPr>
          <w:rFonts w:ascii="Times New Roman" w:hAnsi="Times New Roman" w:cs="Times New Roman"/>
          <w:sz w:val="20"/>
          <w:szCs w:val="20"/>
          <w:lang w:val="es-ES" w:eastAsia="es-ES_tradnl"/>
        </w:rPr>
      </w:pPr>
      <w:r w:rsidRPr="00E05FAC">
        <w:rPr>
          <w:rFonts w:ascii="Times New Roman" w:hAnsi="Times New Roman" w:cs="Times New Roman"/>
          <w:sz w:val="20"/>
          <w:szCs w:val="20"/>
          <w:lang w:val="es-ES"/>
        </w:rPr>
        <w:t xml:space="preserve">En el año de 1997 fungió como </w:t>
      </w:r>
      <w:r w:rsidR="00C44573" w:rsidRPr="00E05FAC">
        <w:rPr>
          <w:rFonts w:ascii="Times New Roman" w:hAnsi="Times New Roman" w:cs="Times New Roman"/>
          <w:b/>
          <w:sz w:val="20"/>
          <w:szCs w:val="20"/>
          <w:lang w:val="es-ES"/>
        </w:rPr>
        <w:t>s</w:t>
      </w:r>
      <w:r w:rsidRPr="00E05FAC">
        <w:rPr>
          <w:rFonts w:ascii="Times New Roman" w:hAnsi="Times New Roman" w:cs="Times New Roman"/>
          <w:b/>
          <w:sz w:val="20"/>
          <w:szCs w:val="20"/>
          <w:lang w:val="es-ES"/>
        </w:rPr>
        <w:t xml:space="preserve">egundo </w:t>
      </w:r>
      <w:r w:rsidR="00C44573" w:rsidRPr="00E05FAC">
        <w:rPr>
          <w:rFonts w:ascii="Times New Roman" w:hAnsi="Times New Roman" w:cs="Times New Roman"/>
          <w:b/>
          <w:sz w:val="20"/>
          <w:szCs w:val="20"/>
          <w:lang w:val="es-ES"/>
        </w:rPr>
        <w:t>topil</w:t>
      </w:r>
      <w:r w:rsidRPr="00E05FAC">
        <w:rPr>
          <w:rFonts w:ascii="Times New Roman" w:hAnsi="Times New Roman" w:cs="Times New Roman"/>
          <w:b/>
          <w:sz w:val="20"/>
          <w:szCs w:val="20"/>
          <w:lang w:val="es-ES"/>
        </w:rPr>
        <w:t xml:space="preserve"> no armado</w:t>
      </w:r>
      <w:r w:rsidRPr="00E05FAC">
        <w:rPr>
          <w:rFonts w:ascii="Times New Roman" w:hAnsi="Times New Roman" w:cs="Times New Roman"/>
          <w:sz w:val="20"/>
          <w:szCs w:val="20"/>
          <w:lang w:val="es-ES"/>
        </w:rPr>
        <w:t xml:space="preserve"> de la agencia de policía municipal. Ocupándose de guardar el orden en la comunidad y todo lo que por costumbre le corresponde; </w:t>
      </w:r>
    </w:p>
    <w:p w14:paraId="65D5189D" w14:textId="00D024B4" w:rsidR="00A66DBA" w:rsidRPr="00E05FAC" w:rsidRDefault="00A66DBA" w:rsidP="00A66DBA">
      <w:pPr>
        <w:pStyle w:val="Prrafodelista"/>
        <w:numPr>
          <w:ilvl w:val="0"/>
          <w:numId w:val="19"/>
        </w:numPr>
        <w:spacing w:after="100" w:afterAutospacing="1"/>
        <w:jc w:val="both"/>
        <w:rPr>
          <w:rFonts w:ascii="Times New Roman" w:hAnsi="Times New Roman" w:cs="Times New Roman"/>
          <w:sz w:val="20"/>
          <w:szCs w:val="20"/>
          <w:lang w:val="es-ES" w:eastAsia="es-ES_tradnl"/>
        </w:rPr>
      </w:pPr>
      <w:r w:rsidRPr="00E05FAC">
        <w:rPr>
          <w:rFonts w:ascii="Times New Roman" w:hAnsi="Times New Roman" w:cs="Times New Roman"/>
          <w:sz w:val="20"/>
          <w:szCs w:val="20"/>
          <w:lang w:val="es-ES"/>
        </w:rPr>
        <w:t xml:space="preserve">En el año de 2000 fungió como </w:t>
      </w:r>
      <w:r w:rsidRPr="00E05FAC">
        <w:rPr>
          <w:rFonts w:ascii="Times New Roman" w:hAnsi="Times New Roman" w:cs="Times New Roman"/>
          <w:b/>
          <w:sz w:val="20"/>
          <w:szCs w:val="20"/>
          <w:lang w:val="es-ES"/>
        </w:rPr>
        <w:t>tesorero del Comité Pro-camino</w:t>
      </w:r>
      <w:r w:rsidRPr="00E05FAC">
        <w:rPr>
          <w:rFonts w:ascii="Times New Roman" w:hAnsi="Times New Roman" w:cs="Times New Roman"/>
          <w:sz w:val="20"/>
          <w:szCs w:val="20"/>
          <w:lang w:val="es-ES"/>
        </w:rPr>
        <w:t xml:space="preserve">, habiendo gestionado la apertura del camino que conecta a este </w:t>
      </w:r>
      <w:r w:rsidR="00C44573" w:rsidRPr="00E05FAC">
        <w:rPr>
          <w:rFonts w:ascii="Times New Roman" w:hAnsi="Times New Roman" w:cs="Times New Roman"/>
          <w:sz w:val="20"/>
          <w:szCs w:val="20"/>
          <w:lang w:val="es-ES"/>
        </w:rPr>
        <w:t>p</w:t>
      </w:r>
      <w:r w:rsidRPr="00E05FAC">
        <w:rPr>
          <w:rFonts w:ascii="Times New Roman" w:hAnsi="Times New Roman" w:cs="Times New Roman"/>
          <w:sz w:val="20"/>
          <w:szCs w:val="20"/>
          <w:lang w:val="es-ES"/>
        </w:rPr>
        <w:t xml:space="preserve">ueblo con la comunidad de Santa Ana </w:t>
      </w:r>
      <w:proofErr w:type="spellStart"/>
      <w:r w:rsidRPr="00E05FAC">
        <w:rPr>
          <w:rFonts w:ascii="Times New Roman" w:hAnsi="Times New Roman" w:cs="Times New Roman"/>
          <w:sz w:val="20"/>
          <w:szCs w:val="20"/>
          <w:lang w:val="es-ES"/>
        </w:rPr>
        <w:t>Yareni</w:t>
      </w:r>
      <w:proofErr w:type="spellEnd"/>
      <w:r w:rsidRPr="00E05FAC">
        <w:rPr>
          <w:rFonts w:ascii="Times New Roman" w:hAnsi="Times New Roman" w:cs="Times New Roman"/>
          <w:sz w:val="20"/>
          <w:szCs w:val="20"/>
          <w:lang w:val="es-ES"/>
        </w:rPr>
        <w:t>, Ixtlán de Juárez, y poder comunicar</w:t>
      </w:r>
      <w:r w:rsidR="00C44573" w:rsidRPr="00E05FAC">
        <w:rPr>
          <w:rFonts w:ascii="Times New Roman" w:hAnsi="Times New Roman" w:cs="Times New Roman"/>
          <w:sz w:val="20"/>
          <w:szCs w:val="20"/>
          <w:lang w:val="es-ES"/>
        </w:rPr>
        <w:t>se</w:t>
      </w:r>
      <w:r w:rsidRPr="00E05FAC">
        <w:rPr>
          <w:rFonts w:ascii="Times New Roman" w:hAnsi="Times New Roman" w:cs="Times New Roman"/>
          <w:sz w:val="20"/>
          <w:szCs w:val="20"/>
          <w:lang w:val="es-ES"/>
        </w:rPr>
        <w:t xml:space="preserve"> con la Ciudad de Oaxaca; </w:t>
      </w:r>
    </w:p>
    <w:p w14:paraId="3B1E2131" w14:textId="70CE3683" w:rsidR="00A66DBA" w:rsidRPr="00E05FAC" w:rsidRDefault="00A66DBA" w:rsidP="00A66DBA">
      <w:pPr>
        <w:pStyle w:val="Prrafodelista"/>
        <w:numPr>
          <w:ilvl w:val="0"/>
          <w:numId w:val="19"/>
        </w:numPr>
        <w:spacing w:after="100" w:afterAutospacing="1"/>
        <w:jc w:val="both"/>
        <w:rPr>
          <w:rFonts w:ascii="Times New Roman" w:hAnsi="Times New Roman" w:cs="Times New Roman"/>
          <w:sz w:val="20"/>
          <w:szCs w:val="20"/>
          <w:lang w:val="es-ES" w:eastAsia="es-ES_tradnl"/>
        </w:rPr>
      </w:pPr>
      <w:r w:rsidRPr="00E05FAC">
        <w:rPr>
          <w:rFonts w:ascii="Times New Roman" w:hAnsi="Times New Roman" w:cs="Times New Roman"/>
          <w:sz w:val="20"/>
          <w:szCs w:val="20"/>
          <w:lang w:val="es-ES"/>
        </w:rPr>
        <w:t xml:space="preserve">En el año de 2004 cumplió el encargo de </w:t>
      </w:r>
      <w:r w:rsidRPr="00E05FAC">
        <w:rPr>
          <w:rFonts w:ascii="Times New Roman" w:hAnsi="Times New Roman" w:cs="Times New Roman"/>
          <w:b/>
          <w:sz w:val="20"/>
          <w:szCs w:val="20"/>
          <w:lang w:val="es-ES"/>
        </w:rPr>
        <w:t>Comité Administrador del Autobús</w:t>
      </w:r>
      <w:r w:rsidRPr="00E05FAC">
        <w:rPr>
          <w:rFonts w:ascii="Times New Roman" w:hAnsi="Times New Roman" w:cs="Times New Roman"/>
          <w:sz w:val="20"/>
          <w:szCs w:val="20"/>
          <w:lang w:val="es-ES"/>
        </w:rPr>
        <w:t xml:space="preserve"> de San Isidro </w:t>
      </w:r>
      <w:proofErr w:type="spellStart"/>
      <w:r w:rsidRPr="00E05FAC">
        <w:rPr>
          <w:rFonts w:ascii="Times New Roman" w:hAnsi="Times New Roman" w:cs="Times New Roman"/>
          <w:sz w:val="20"/>
          <w:szCs w:val="20"/>
          <w:lang w:val="es-ES"/>
        </w:rPr>
        <w:t>Aloapam</w:t>
      </w:r>
      <w:proofErr w:type="spellEnd"/>
      <w:r w:rsidRPr="00E05FAC">
        <w:rPr>
          <w:rFonts w:ascii="Times New Roman" w:hAnsi="Times New Roman" w:cs="Times New Roman"/>
          <w:sz w:val="20"/>
          <w:szCs w:val="20"/>
          <w:lang w:val="es-ES"/>
        </w:rPr>
        <w:t>, quienes se encargan de vigilar los gastos e ingresos que se reportan de este servicio que presta</w:t>
      </w:r>
      <w:r w:rsidR="00C44573" w:rsidRPr="00E05FAC">
        <w:rPr>
          <w:rFonts w:ascii="Times New Roman" w:hAnsi="Times New Roman" w:cs="Times New Roman"/>
          <w:sz w:val="20"/>
          <w:szCs w:val="20"/>
          <w:lang w:val="es-ES"/>
        </w:rPr>
        <w:t>n</w:t>
      </w:r>
      <w:r w:rsidRPr="00E05FAC">
        <w:rPr>
          <w:rFonts w:ascii="Times New Roman" w:hAnsi="Times New Roman" w:cs="Times New Roman"/>
          <w:sz w:val="20"/>
          <w:szCs w:val="20"/>
          <w:lang w:val="es-ES"/>
        </w:rPr>
        <w:t xml:space="preserve"> a </w:t>
      </w:r>
      <w:r w:rsidR="00C44573" w:rsidRPr="00E05FAC">
        <w:rPr>
          <w:rFonts w:ascii="Times New Roman" w:hAnsi="Times New Roman" w:cs="Times New Roman"/>
          <w:sz w:val="20"/>
          <w:szCs w:val="20"/>
          <w:lang w:val="es-ES"/>
        </w:rPr>
        <w:t>l</w:t>
      </w:r>
      <w:r w:rsidRPr="00E05FAC">
        <w:rPr>
          <w:rFonts w:ascii="Times New Roman" w:hAnsi="Times New Roman" w:cs="Times New Roman"/>
          <w:sz w:val="20"/>
          <w:szCs w:val="20"/>
          <w:lang w:val="es-ES"/>
        </w:rPr>
        <w:t>a comunidad.</w:t>
      </w:r>
    </w:p>
    <w:p w14:paraId="0DEC2CB2" w14:textId="77777777" w:rsidR="00A66DBA" w:rsidRPr="00E05FAC" w:rsidRDefault="00A66DBA" w:rsidP="00A66DBA">
      <w:pPr>
        <w:pStyle w:val="Prrafodelista"/>
        <w:spacing w:after="100" w:afterAutospacing="1"/>
        <w:jc w:val="both"/>
        <w:rPr>
          <w:rFonts w:ascii="Times New Roman" w:hAnsi="Times New Roman" w:cs="Times New Roman"/>
          <w:sz w:val="20"/>
          <w:szCs w:val="20"/>
          <w:lang w:val="es-ES" w:eastAsia="es-ES_tradnl"/>
        </w:rPr>
      </w:pPr>
    </w:p>
    <w:p w14:paraId="387B5E9D" w14:textId="77777777" w:rsidR="00A66DBA" w:rsidRPr="00E05FAC" w:rsidRDefault="00A66DBA" w:rsidP="00A66DBA">
      <w:pPr>
        <w:pStyle w:val="Prrafodelista"/>
        <w:numPr>
          <w:ilvl w:val="0"/>
          <w:numId w:val="20"/>
        </w:numPr>
        <w:spacing w:before="100" w:beforeAutospacing="1" w:after="100" w:afterAutospacing="1"/>
        <w:rPr>
          <w:rFonts w:ascii="Times New Roman" w:hAnsi="Times New Roman" w:cs="Times New Roman"/>
          <w:b/>
          <w:sz w:val="22"/>
          <w:szCs w:val="22"/>
          <w:lang w:val="es-ES" w:eastAsia="es-ES_tradnl"/>
        </w:rPr>
      </w:pPr>
      <w:r w:rsidRPr="00E05FAC">
        <w:rPr>
          <w:rFonts w:ascii="Times New Roman" w:hAnsi="Times New Roman" w:cs="Times New Roman"/>
          <w:b/>
          <w:sz w:val="22"/>
          <w:szCs w:val="22"/>
          <w:lang w:val="es-ES" w:eastAsia="es-ES_tradnl"/>
        </w:rPr>
        <w:t>Detención arbitraria y otras graves violaciones a sus derechos humanos</w:t>
      </w:r>
    </w:p>
    <w:p w14:paraId="6FE97E7B" w14:textId="77777777" w:rsidR="00A66DBA" w:rsidRPr="00E05FAC" w:rsidRDefault="00A66DBA" w:rsidP="00A66DBA">
      <w:p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sz w:val="22"/>
          <w:szCs w:val="22"/>
          <w:lang w:val="es-ES" w:eastAsia="es-ES_tradnl"/>
        </w:rPr>
        <w:t xml:space="preserve">El </w:t>
      </w:r>
      <w:r w:rsidRPr="00E05FAC">
        <w:rPr>
          <w:rFonts w:ascii="Times New Roman" w:hAnsi="Times New Roman" w:cs="Times New Roman"/>
          <w:b/>
          <w:sz w:val="22"/>
          <w:szCs w:val="22"/>
          <w:lang w:val="es-ES" w:eastAsia="es-ES_tradnl"/>
        </w:rPr>
        <w:t>15 de agosto del 2010</w:t>
      </w:r>
      <w:r w:rsidRPr="00E05FAC">
        <w:rPr>
          <w:rFonts w:ascii="Times New Roman" w:hAnsi="Times New Roman" w:cs="Times New Roman"/>
          <w:sz w:val="22"/>
          <w:szCs w:val="22"/>
          <w:lang w:val="es-ES" w:eastAsia="es-ES_tradnl"/>
        </w:rPr>
        <w:t xml:space="preserve">, Pablo López </w:t>
      </w:r>
      <w:proofErr w:type="spellStart"/>
      <w:r w:rsidRPr="00E05FAC">
        <w:rPr>
          <w:rFonts w:ascii="Times New Roman" w:hAnsi="Times New Roman" w:cs="Times New Roman"/>
          <w:sz w:val="22"/>
          <w:szCs w:val="22"/>
          <w:lang w:val="es-ES" w:eastAsia="es-ES_tradnl"/>
        </w:rPr>
        <w:t>Alavéz</w:t>
      </w:r>
      <w:proofErr w:type="spellEnd"/>
      <w:r w:rsidRPr="00E05FAC">
        <w:rPr>
          <w:rFonts w:ascii="Times New Roman" w:hAnsi="Times New Roman" w:cs="Times New Roman"/>
          <w:sz w:val="22"/>
          <w:szCs w:val="22"/>
          <w:lang w:val="es-ES" w:eastAsia="es-ES_tradnl"/>
        </w:rPr>
        <w:t xml:space="preserve"> fue detenido de manera arbitraria en las cercanías del Río Virgen en su comunidad San Isidro </w:t>
      </w:r>
      <w:proofErr w:type="spellStart"/>
      <w:r w:rsidRPr="00E05FAC">
        <w:rPr>
          <w:rFonts w:ascii="Times New Roman" w:hAnsi="Times New Roman" w:cs="Times New Roman"/>
          <w:sz w:val="22"/>
          <w:szCs w:val="22"/>
          <w:lang w:val="es-ES" w:eastAsia="es-ES_tradnl"/>
        </w:rPr>
        <w:t>Aloapam</w:t>
      </w:r>
      <w:proofErr w:type="spellEnd"/>
      <w:r w:rsidRPr="00E05FAC">
        <w:rPr>
          <w:rFonts w:ascii="Times New Roman" w:hAnsi="Times New Roman" w:cs="Times New Roman"/>
          <w:sz w:val="22"/>
          <w:szCs w:val="22"/>
          <w:lang w:val="es-ES" w:eastAsia="es-ES_tradnl"/>
        </w:rPr>
        <w:t xml:space="preserve"> por un grupo de aproximadamente 15 hombres quienes iban vestidos de negro, encapuchados y armados. Haciendo uso de violencia, este grupo de hombres, amenazaron al defensor y su familia, lo golpearon y subieron a una camioneta en donde lo mantuvieron por varias horas incomunicado, en ningún momento se identificaron o le mostraron alguna orden de aprehensión.</w:t>
      </w:r>
    </w:p>
    <w:p w14:paraId="6BA61F87" w14:textId="0780A7C2" w:rsidR="00A66DBA" w:rsidRPr="00E05FAC" w:rsidRDefault="00A66DBA" w:rsidP="00A66DBA">
      <w:p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sz w:val="22"/>
          <w:szCs w:val="22"/>
          <w:lang w:val="es-ES" w:eastAsia="es-ES_tradnl"/>
        </w:rPr>
        <w:t xml:space="preserve">Durante varias horas lo mantuvieron incomunicado, horas más tarde fue entregado a elementos de la policía estatal quienes a su vez lo trasladaron a la Villa de </w:t>
      </w:r>
      <w:proofErr w:type="spellStart"/>
      <w:r w:rsidRPr="00E05FAC">
        <w:rPr>
          <w:rFonts w:ascii="Times New Roman" w:hAnsi="Times New Roman" w:cs="Times New Roman"/>
          <w:sz w:val="22"/>
          <w:szCs w:val="22"/>
          <w:lang w:val="es-ES" w:eastAsia="es-ES_tradnl"/>
        </w:rPr>
        <w:t>Etla</w:t>
      </w:r>
      <w:proofErr w:type="spellEnd"/>
      <w:r w:rsidRPr="00E05FAC">
        <w:rPr>
          <w:rFonts w:ascii="Times New Roman" w:hAnsi="Times New Roman" w:cs="Times New Roman"/>
          <w:sz w:val="22"/>
          <w:szCs w:val="22"/>
          <w:lang w:val="es-ES" w:eastAsia="es-ES_tradnl"/>
        </w:rPr>
        <w:t xml:space="preserve"> y pusieron a disposición del Ministerio Público de dicha demarcación, bajo los cargos de tentativa de homicidio de </w:t>
      </w:r>
      <w:r w:rsidR="00DC6166" w:rsidRPr="00E05FAC">
        <w:rPr>
          <w:rFonts w:ascii="Times New Roman" w:hAnsi="Times New Roman" w:cs="Times New Roman"/>
          <w:sz w:val="22"/>
          <w:szCs w:val="22"/>
          <w:lang w:val="es-ES" w:eastAsia="es-ES_tradnl"/>
        </w:rPr>
        <w:t>siete</w:t>
      </w:r>
      <w:r w:rsidRPr="00E05FAC">
        <w:rPr>
          <w:rFonts w:ascii="Times New Roman" w:hAnsi="Times New Roman" w:cs="Times New Roman"/>
          <w:sz w:val="22"/>
          <w:szCs w:val="22"/>
          <w:lang w:val="es-ES" w:eastAsia="es-ES_tradnl"/>
        </w:rPr>
        <w:t xml:space="preserve"> personas y homicidio de otras </w:t>
      </w:r>
      <w:r w:rsidR="00DC6166" w:rsidRPr="00E05FAC">
        <w:rPr>
          <w:rFonts w:ascii="Times New Roman" w:hAnsi="Times New Roman" w:cs="Times New Roman"/>
          <w:sz w:val="22"/>
          <w:szCs w:val="22"/>
          <w:lang w:val="es-ES" w:eastAsia="es-ES_tradnl"/>
        </w:rPr>
        <w:t>dos</w:t>
      </w:r>
      <w:r w:rsidRPr="00E05FAC">
        <w:rPr>
          <w:rFonts w:ascii="Times New Roman" w:hAnsi="Times New Roman" w:cs="Times New Roman"/>
          <w:sz w:val="22"/>
          <w:szCs w:val="22"/>
          <w:lang w:val="es-ES" w:eastAsia="es-ES_tradnl"/>
        </w:rPr>
        <w:t xml:space="preserve">, en el expediente penal 102/2007 radicado en el juzgado penal de la Villa de </w:t>
      </w:r>
      <w:proofErr w:type="spellStart"/>
      <w:r w:rsidRPr="00E05FAC">
        <w:rPr>
          <w:rFonts w:ascii="Times New Roman" w:hAnsi="Times New Roman" w:cs="Times New Roman"/>
          <w:sz w:val="22"/>
          <w:szCs w:val="22"/>
          <w:lang w:val="es-ES" w:eastAsia="es-ES_tradnl"/>
        </w:rPr>
        <w:t>Etla</w:t>
      </w:r>
      <w:proofErr w:type="spellEnd"/>
      <w:r w:rsidRPr="00E05FAC">
        <w:rPr>
          <w:rFonts w:ascii="Times New Roman" w:hAnsi="Times New Roman" w:cs="Times New Roman"/>
          <w:sz w:val="22"/>
          <w:szCs w:val="22"/>
          <w:lang w:val="es-ES" w:eastAsia="es-ES_tradnl"/>
        </w:rPr>
        <w:t>.</w:t>
      </w:r>
    </w:p>
    <w:p w14:paraId="5F147F25" w14:textId="14433A4C" w:rsidR="00A66DBA" w:rsidRPr="00E05FAC" w:rsidRDefault="00A66DBA" w:rsidP="00A66DBA">
      <w:p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sz w:val="22"/>
          <w:szCs w:val="22"/>
          <w:lang w:val="es-ES" w:eastAsia="es-ES_tradnl"/>
        </w:rPr>
        <w:t xml:space="preserve">Desde su detención se desencadenaron una </w:t>
      </w:r>
      <w:r w:rsidRPr="00E05FAC">
        <w:rPr>
          <w:rFonts w:ascii="Times New Roman" w:hAnsi="Times New Roman" w:cs="Times New Roman"/>
          <w:b/>
          <w:bCs/>
          <w:i/>
          <w:iCs/>
          <w:sz w:val="22"/>
          <w:szCs w:val="22"/>
          <w:lang w:val="es-ES" w:eastAsia="es-ES_tradnl"/>
        </w:rPr>
        <w:t>serie de violaciones graves</w:t>
      </w:r>
      <w:r w:rsidRPr="00E05FAC">
        <w:rPr>
          <w:rFonts w:ascii="Times New Roman" w:hAnsi="Times New Roman" w:cs="Times New Roman"/>
          <w:sz w:val="22"/>
          <w:szCs w:val="22"/>
          <w:lang w:val="es-ES" w:eastAsia="es-ES_tradnl"/>
        </w:rPr>
        <w:t xml:space="preserve"> a sus </w:t>
      </w:r>
      <w:r w:rsidR="00DC6166" w:rsidRPr="00E05FAC">
        <w:rPr>
          <w:rFonts w:ascii="Times New Roman" w:hAnsi="Times New Roman" w:cs="Times New Roman"/>
          <w:sz w:val="22"/>
          <w:szCs w:val="22"/>
          <w:lang w:val="es-ES" w:eastAsia="es-ES_tradnl"/>
        </w:rPr>
        <w:t>d</w:t>
      </w:r>
      <w:r w:rsidRPr="00E05FAC">
        <w:rPr>
          <w:rFonts w:ascii="Times New Roman" w:hAnsi="Times New Roman" w:cs="Times New Roman"/>
          <w:sz w:val="22"/>
          <w:szCs w:val="22"/>
          <w:lang w:val="es-ES" w:eastAsia="es-ES_tradnl"/>
        </w:rPr>
        <w:t>erechos humanos y garantías procesales, tales como la detención arbitraria misma en la que no se le presentó orden de aprehensión, hubo incomunicación</w:t>
      </w:r>
      <w:r w:rsidR="00DC6166" w:rsidRPr="00E05FAC">
        <w:rPr>
          <w:rFonts w:ascii="Times New Roman" w:hAnsi="Times New Roman" w:cs="Times New Roman"/>
          <w:sz w:val="22"/>
          <w:szCs w:val="22"/>
          <w:lang w:val="es-ES" w:eastAsia="es-ES_tradnl"/>
        </w:rPr>
        <w:t>,</w:t>
      </w:r>
      <w:r w:rsidRPr="00E05FAC">
        <w:rPr>
          <w:rFonts w:ascii="Times New Roman" w:hAnsi="Times New Roman" w:cs="Times New Roman"/>
          <w:sz w:val="22"/>
          <w:szCs w:val="22"/>
          <w:lang w:val="es-ES" w:eastAsia="es-ES_tradnl"/>
        </w:rPr>
        <w:t xml:space="preserve"> a partir de la puesta a disposición ante el Juez Penal de la Villa de </w:t>
      </w:r>
      <w:proofErr w:type="spellStart"/>
      <w:r w:rsidRPr="00E05FAC">
        <w:rPr>
          <w:rFonts w:ascii="Times New Roman" w:hAnsi="Times New Roman" w:cs="Times New Roman"/>
          <w:sz w:val="22"/>
          <w:szCs w:val="22"/>
          <w:lang w:val="es-ES" w:eastAsia="es-ES_tradnl"/>
        </w:rPr>
        <w:t>Etla</w:t>
      </w:r>
      <w:proofErr w:type="spellEnd"/>
      <w:r w:rsidRPr="00E05FAC">
        <w:rPr>
          <w:rFonts w:ascii="Times New Roman" w:hAnsi="Times New Roman" w:cs="Times New Roman"/>
          <w:sz w:val="22"/>
          <w:szCs w:val="22"/>
          <w:lang w:val="es-ES" w:eastAsia="es-ES_tradnl"/>
        </w:rPr>
        <w:t xml:space="preserve">, no fue considerada su calidad de integrante de un pueblo indígena y hablante de lengua zapoteca y no fue garantizada la asesoría jurídica profesional. </w:t>
      </w:r>
      <w:r w:rsidR="00DC6166" w:rsidRPr="00E05FAC">
        <w:rPr>
          <w:rFonts w:ascii="Times New Roman" w:hAnsi="Times New Roman" w:cs="Times New Roman"/>
          <w:sz w:val="22"/>
          <w:szCs w:val="22"/>
          <w:lang w:val="es-ES" w:eastAsia="es-ES_tradnl"/>
        </w:rPr>
        <w:t xml:space="preserve"> </w:t>
      </w:r>
    </w:p>
    <w:p w14:paraId="305E8715" w14:textId="77777777" w:rsidR="00A66DBA" w:rsidRPr="00E05FAC" w:rsidRDefault="00A66DBA" w:rsidP="00A66DBA">
      <w:pPr>
        <w:pStyle w:val="Prrafodelista"/>
        <w:numPr>
          <w:ilvl w:val="0"/>
          <w:numId w:val="20"/>
        </w:numPr>
        <w:spacing w:before="100" w:beforeAutospacing="1" w:after="100" w:afterAutospacing="1"/>
        <w:rPr>
          <w:rFonts w:ascii="Times New Roman" w:hAnsi="Times New Roman" w:cs="Times New Roman"/>
          <w:b/>
          <w:sz w:val="22"/>
          <w:szCs w:val="22"/>
          <w:lang w:val="es-ES" w:eastAsia="es-ES_tradnl"/>
        </w:rPr>
      </w:pPr>
      <w:r w:rsidRPr="00E05FAC">
        <w:rPr>
          <w:rFonts w:ascii="Times New Roman" w:hAnsi="Times New Roman" w:cs="Times New Roman"/>
          <w:b/>
          <w:sz w:val="22"/>
          <w:szCs w:val="22"/>
          <w:lang w:val="es-ES" w:eastAsia="es-ES_tradnl"/>
        </w:rPr>
        <w:t>Principales etapas del proceso penal:</w:t>
      </w:r>
    </w:p>
    <w:p w14:paraId="357105E6" w14:textId="77777777" w:rsidR="00A66DBA" w:rsidRPr="00E05FAC" w:rsidRDefault="00A66DBA" w:rsidP="00A66DBA">
      <w:pPr>
        <w:pStyle w:val="Prrafodelista"/>
        <w:spacing w:before="100" w:beforeAutospacing="1" w:after="100" w:afterAutospacing="1"/>
        <w:rPr>
          <w:rFonts w:ascii="Times New Roman" w:hAnsi="Times New Roman" w:cs="Times New Roman"/>
          <w:b/>
          <w:sz w:val="22"/>
          <w:szCs w:val="22"/>
          <w:lang w:val="es-ES" w:eastAsia="es-ES_tradnl"/>
        </w:rPr>
      </w:pPr>
    </w:p>
    <w:p w14:paraId="4BFC1727" w14:textId="38F92E29" w:rsidR="00A66DBA" w:rsidRPr="00E05FAC" w:rsidRDefault="00A66DBA" w:rsidP="00A66DBA">
      <w:pPr>
        <w:pStyle w:val="Prrafodelista"/>
        <w:numPr>
          <w:ilvl w:val="0"/>
          <w:numId w:val="18"/>
        </w:num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i/>
          <w:iCs/>
          <w:sz w:val="22"/>
          <w:szCs w:val="22"/>
          <w:lang w:val="es-ES" w:eastAsia="es-ES_tradnl"/>
        </w:rPr>
        <w:t>2010 – 2017:</w:t>
      </w:r>
      <w:r w:rsidRPr="00E05FAC">
        <w:rPr>
          <w:rFonts w:ascii="Times New Roman" w:hAnsi="Times New Roman" w:cs="Times New Roman"/>
          <w:sz w:val="22"/>
          <w:szCs w:val="22"/>
          <w:lang w:val="es-ES" w:eastAsia="es-ES_tradnl"/>
        </w:rPr>
        <w:t xml:space="preserve"> </w:t>
      </w:r>
      <w:r w:rsidR="00E46126" w:rsidRPr="00E05FAC">
        <w:rPr>
          <w:rFonts w:ascii="Times New Roman" w:hAnsi="Times New Roman" w:cs="Times New Roman"/>
          <w:sz w:val="22"/>
          <w:szCs w:val="22"/>
          <w:lang w:val="es-ES" w:eastAsia="es-ES_tradnl"/>
        </w:rPr>
        <w:t>Luego de</w:t>
      </w:r>
      <w:r w:rsidRPr="00E05FAC">
        <w:rPr>
          <w:rFonts w:ascii="Times New Roman" w:hAnsi="Times New Roman" w:cs="Times New Roman"/>
          <w:sz w:val="22"/>
          <w:szCs w:val="22"/>
          <w:lang w:val="es-ES" w:eastAsia="es-ES_tradnl"/>
        </w:rPr>
        <w:t xml:space="preserve"> su detención arbitraria, el 15 de agosto de 2010,</w:t>
      </w:r>
      <w:r w:rsidR="00E46126" w:rsidRPr="00E05FAC">
        <w:rPr>
          <w:rFonts w:ascii="Times New Roman" w:hAnsi="Times New Roman" w:cs="Times New Roman"/>
          <w:sz w:val="22"/>
          <w:szCs w:val="22"/>
          <w:lang w:val="es-ES" w:eastAsia="es-ES_tradnl"/>
        </w:rPr>
        <w:t xml:space="preserve"> le fue dictado </w:t>
      </w:r>
      <w:r w:rsidR="00C04637" w:rsidRPr="00E05FAC">
        <w:rPr>
          <w:rFonts w:ascii="Times New Roman" w:hAnsi="Times New Roman" w:cs="Times New Roman"/>
          <w:sz w:val="22"/>
          <w:szCs w:val="22"/>
          <w:lang w:val="es-ES" w:eastAsia="es-ES_tradnl"/>
        </w:rPr>
        <w:t>auto</w:t>
      </w:r>
      <w:r w:rsidR="00E46126" w:rsidRPr="00E05FAC">
        <w:rPr>
          <w:rFonts w:ascii="Times New Roman" w:hAnsi="Times New Roman" w:cs="Times New Roman"/>
          <w:sz w:val="22"/>
          <w:szCs w:val="22"/>
          <w:lang w:val="es-ES" w:eastAsia="es-ES_tradnl"/>
        </w:rPr>
        <w:t xml:space="preserve"> de formal prisión hasta el 6 de diciembre 2010 finalmente por un solo homicidio. Permaneció</w:t>
      </w:r>
      <w:r w:rsidRPr="00E05FAC">
        <w:rPr>
          <w:rFonts w:ascii="Times New Roman" w:hAnsi="Times New Roman" w:cs="Times New Roman"/>
          <w:sz w:val="22"/>
          <w:szCs w:val="22"/>
          <w:lang w:val="es-ES" w:eastAsia="es-ES_tradnl"/>
        </w:rPr>
        <w:t xml:space="preserve"> por </w:t>
      </w:r>
      <w:r w:rsidR="00DC6166" w:rsidRPr="00E05FAC">
        <w:rPr>
          <w:rFonts w:ascii="Times New Roman" w:hAnsi="Times New Roman" w:cs="Times New Roman"/>
          <w:sz w:val="22"/>
          <w:szCs w:val="22"/>
          <w:lang w:val="es-ES" w:eastAsia="es-ES_tradnl"/>
        </w:rPr>
        <w:t>siete</w:t>
      </w:r>
      <w:r w:rsidRPr="00E05FAC">
        <w:rPr>
          <w:rFonts w:ascii="Times New Roman" w:hAnsi="Times New Roman" w:cs="Times New Roman"/>
          <w:sz w:val="22"/>
          <w:szCs w:val="22"/>
          <w:lang w:val="es-ES" w:eastAsia="es-ES_tradnl"/>
        </w:rPr>
        <w:t xml:space="preserve"> años y un mes recluido sin que se le hubiera dictado la sentencia respectiva.</w:t>
      </w:r>
    </w:p>
    <w:p w14:paraId="211121C4" w14:textId="183A0F0E" w:rsidR="00A66DBA" w:rsidRPr="00E05FAC" w:rsidRDefault="00A66DBA" w:rsidP="00A66DBA">
      <w:pPr>
        <w:pStyle w:val="Prrafodelista"/>
        <w:numPr>
          <w:ilvl w:val="0"/>
          <w:numId w:val="18"/>
        </w:numPr>
        <w:spacing w:before="100" w:beforeAutospacing="1" w:after="100" w:afterAutospacing="1"/>
        <w:jc w:val="both"/>
        <w:rPr>
          <w:rFonts w:ascii="Times New Roman" w:eastAsia="MS Mincho" w:hAnsi="Times New Roman" w:cs="Times New Roman"/>
          <w:sz w:val="22"/>
          <w:szCs w:val="22"/>
          <w:lang w:val="es-ES"/>
        </w:rPr>
      </w:pPr>
      <w:r w:rsidRPr="00E05FAC">
        <w:rPr>
          <w:rFonts w:ascii="Times New Roman" w:hAnsi="Times New Roman" w:cs="Times New Roman"/>
          <w:i/>
          <w:iCs/>
          <w:sz w:val="22"/>
          <w:szCs w:val="22"/>
          <w:lang w:val="es-ES" w:eastAsia="es-ES_tradnl"/>
        </w:rPr>
        <w:t>Septiembre 2017:</w:t>
      </w:r>
      <w:r w:rsidRPr="00E05FAC">
        <w:rPr>
          <w:rFonts w:ascii="Times New Roman" w:hAnsi="Times New Roman" w:cs="Times New Roman"/>
          <w:sz w:val="22"/>
          <w:szCs w:val="22"/>
          <w:lang w:val="es-ES" w:eastAsia="es-ES_tradnl"/>
        </w:rPr>
        <w:t xml:space="preserve"> </w:t>
      </w:r>
      <w:r w:rsidRPr="00E05FAC">
        <w:rPr>
          <w:rFonts w:ascii="Times New Roman" w:eastAsia="MS Mincho" w:hAnsi="Times New Roman" w:cs="Times New Roman"/>
          <w:sz w:val="22"/>
          <w:szCs w:val="22"/>
          <w:lang w:val="es-ES"/>
        </w:rPr>
        <w:t xml:space="preserve">el Juzgado Penal de </w:t>
      </w:r>
      <w:proofErr w:type="spellStart"/>
      <w:r w:rsidRPr="00E05FAC">
        <w:rPr>
          <w:rFonts w:ascii="Times New Roman" w:eastAsia="MS Mincho" w:hAnsi="Times New Roman" w:cs="Times New Roman"/>
          <w:sz w:val="22"/>
          <w:szCs w:val="22"/>
          <w:lang w:val="es-ES"/>
        </w:rPr>
        <w:t>Etla</w:t>
      </w:r>
      <w:proofErr w:type="spellEnd"/>
      <w:r w:rsidRPr="00E05FAC">
        <w:rPr>
          <w:rFonts w:ascii="Times New Roman" w:eastAsia="MS Mincho" w:hAnsi="Times New Roman" w:cs="Times New Roman"/>
          <w:sz w:val="22"/>
          <w:szCs w:val="22"/>
          <w:lang w:val="es-ES"/>
        </w:rPr>
        <w:t>, Oaxaca le dict</w:t>
      </w:r>
      <w:r w:rsidR="00BD2E5D">
        <w:rPr>
          <w:rFonts w:ascii="Times New Roman" w:eastAsia="MS Mincho" w:hAnsi="Times New Roman" w:cs="Times New Roman"/>
          <w:sz w:val="22"/>
          <w:szCs w:val="22"/>
          <w:lang w:val="es-ES"/>
        </w:rPr>
        <w:t>ó</w:t>
      </w:r>
      <w:r w:rsidRPr="00E05FAC">
        <w:rPr>
          <w:rFonts w:ascii="Times New Roman" w:eastAsia="MS Mincho" w:hAnsi="Times New Roman" w:cs="Times New Roman"/>
          <w:sz w:val="22"/>
          <w:szCs w:val="22"/>
          <w:lang w:val="es-ES"/>
        </w:rPr>
        <w:t xml:space="preserve"> finalmente sentencia condenatoria por el delito de Homicidio Calificado, imponiéndole la pena de treinta años de prisión y una multa por la de cantidad de $112,812.00. En dicha sentencia el juez no valoró las contradicciones en los testimonios de los testigos de cargo, las inconsistencias en los diversos dictámenes periciales, las discrepancias en los horarios de las diversas diligencias y su contraposición con las testimoniales.</w:t>
      </w:r>
    </w:p>
    <w:p w14:paraId="29491394" w14:textId="7AA89367" w:rsidR="00A66DBA" w:rsidRPr="00E05FAC" w:rsidRDefault="00A66DBA" w:rsidP="00A66DBA">
      <w:pPr>
        <w:pStyle w:val="Prrafodelista"/>
        <w:numPr>
          <w:ilvl w:val="0"/>
          <w:numId w:val="18"/>
        </w:numPr>
        <w:spacing w:before="100" w:beforeAutospacing="1" w:after="100" w:afterAutospacing="1"/>
        <w:jc w:val="both"/>
        <w:rPr>
          <w:rFonts w:ascii="Times New Roman" w:eastAsia="MS Mincho" w:hAnsi="Times New Roman" w:cs="Times New Roman"/>
          <w:sz w:val="22"/>
          <w:szCs w:val="22"/>
          <w:lang w:val="es-ES"/>
        </w:rPr>
      </w:pPr>
      <w:r w:rsidRPr="00E05FAC">
        <w:rPr>
          <w:rFonts w:ascii="Times New Roman" w:hAnsi="Times New Roman" w:cs="Times New Roman"/>
          <w:bCs/>
          <w:i/>
          <w:iCs/>
          <w:sz w:val="22"/>
          <w:szCs w:val="22"/>
          <w:lang w:val="es-ES" w:eastAsia="es-ES_tradnl"/>
        </w:rPr>
        <w:t>Octubre 2018:</w:t>
      </w:r>
      <w:r w:rsidRPr="00E05FAC">
        <w:rPr>
          <w:rFonts w:ascii="Times New Roman" w:hAnsi="Times New Roman" w:cs="Times New Roman"/>
          <w:sz w:val="22"/>
          <w:szCs w:val="22"/>
          <w:lang w:val="es-ES" w:eastAsia="es-ES_tradnl"/>
        </w:rPr>
        <w:t xml:space="preserve"> la Segunda Sala Penal del Honorable Tribunal Superior de Justicia del Estado de Oaxaca, confirm</w:t>
      </w:r>
      <w:r w:rsidR="00BD2E5D">
        <w:rPr>
          <w:rFonts w:ascii="Times New Roman" w:hAnsi="Times New Roman" w:cs="Times New Roman"/>
          <w:sz w:val="22"/>
          <w:szCs w:val="22"/>
          <w:lang w:val="es-ES" w:eastAsia="es-ES_tradnl"/>
        </w:rPr>
        <w:t>ó</w:t>
      </w:r>
      <w:r w:rsidRPr="00E05FAC">
        <w:rPr>
          <w:rFonts w:ascii="Times New Roman" w:hAnsi="Times New Roman" w:cs="Times New Roman"/>
          <w:sz w:val="22"/>
          <w:szCs w:val="22"/>
          <w:lang w:val="es-ES" w:eastAsia="es-ES_tradnl"/>
        </w:rPr>
        <w:t xml:space="preserve"> la sentencia del defensor Pablo López </w:t>
      </w:r>
      <w:proofErr w:type="spellStart"/>
      <w:r w:rsidRPr="00E05FAC">
        <w:rPr>
          <w:rFonts w:ascii="Times New Roman" w:hAnsi="Times New Roman" w:cs="Times New Roman"/>
          <w:sz w:val="22"/>
          <w:szCs w:val="22"/>
          <w:lang w:val="es-ES" w:eastAsia="es-ES_tradnl"/>
        </w:rPr>
        <w:t>Alavez</w:t>
      </w:r>
      <w:proofErr w:type="spellEnd"/>
      <w:r w:rsidRPr="00E05FAC">
        <w:rPr>
          <w:rFonts w:ascii="Times New Roman" w:hAnsi="Times New Roman" w:cs="Times New Roman"/>
          <w:sz w:val="22"/>
          <w:szCs w:val="22"/>
          <w:lang w:val="es-ES" w:eastAsia="es-ES_tradnl"/>
        </w:rPr>
        <w:t xml:space="preserve">, básicamente replicando los argumentos utilizados en primera instancia, al grado de </w:t>
      </w:r>
      <w:r w:rsidR="00C3329A" w:rsidRPr="00E05FAC">
        <w:rPr>
          <w:rFonts w:ascii="Times New Roman" w:hAnsi="Times New Roman" w:cs="Times New Roman"/>
          <w:sz w:val="22"/>
          <w:szCs w:val="22"/>
          <w:lang w:val="es-ES" w:eastAsia="es-ES_tradnl"/>
        </w:rPr>
        <w:t>rep</w:t>
      </w:r>
      <w:r w:rsidR="00E801A8" w:rsidRPr="00E05FAC">
        <w:rPr>
          <w:rFonts w:ascii="Times New Roman" w:hAnsi="Times New Roman" w:cs="Times New Roman"/>
          <w:sz w:val="22"/>
          <w:szCs w:val="22"/>
          <w:lang w:val="es-ES" w:eastAsia="es-ES_tradnl"/>
        </w:rPr>
        <w:t>l</w:t>
      </w:r>
      <w:r w:rsidR="00C3329A" w:rsidRPr="00E05FAC">
        <w:rPr>
          <w:rFonts w:ascii="Times New Roman" w:hAnsi="Times New Roman" w:cs="Times New Roman"/>
          <w:sz w:val="22"/>
          <w:szCs w:val="22"/>
          <w:lang w:val="es-ES" w:eastAsia="es-ES_tradnl"/>
        </w:rPr>
        <w:t xml:space="preserve">icar </w:t>
      </w:r>
      <w:r w:rsidRPr="00E05FAC">
        <w:rPr>
          <w:rFonts w:ascii="Times New Roman" w:hAnsi="Times New Roman" w:cs="Times New Roman"/>
          <w:sz w:val="22"/>
          <w:szCs w:val="22"/>
          <w:lang w:val="es-ES" w:eastAsia="es-ES_tradnl"/>
        </w:rPr>
        <w:t>los mismos errores ortográficos.</w:t>
      </w:r>
    </w:p>
    <w:p w14:paraId="7380D128" w14:textId="7E3A2552" w:rsidR="00A66DBA" w:rsidRPr="00E05FAC" w:rsidRDefault="00A66DBA" w:rsidP="00A66DBA">
      <w:pPr>
        <w:pStyle w:val="Prrafodelista"/>
        <w:numPr>
          <w:ilvl w:val="0"/>
          <w:numId w:val="18"/>
        </w:numPr>
        <w:spacing w:before="100" w:beforeAutospacing="1" w:after="100" w:afterAutospacing="1"/>
        <w:jc w:val="both"/>
        <w:rPr>
          <w:rFonts w:ascii="Times New Roman" w:eastAsia="MS Mincho" w:hAnsi="Times New Roman" w:cs="Times New Roman"/>
          <w:sz w:val="22"/>
          <w:szCs w:val="22"/>
          <w:lang w:val="es-ES"/>
        </w:rPr>
      </w:pPr>
      <w:r w:rsidRPr="00E05FAC">
        <w:rPr>
          <w:rFonts w:ascii="Times New Roman" w:hAnsi="Times New Roman" w:cs="Times New Roman"/>
          <w:i/>
          <w:iCs/>
          <w:sz w:val="22"/>
          <w:szCs w:val="22"/>
          <w:lang w:val="es-ES" w:eastAsia="es-ES_tradnl"/>
        </w:rPr>
        <w:t>Febrero 2019:</w:t>
      </w:r>
      <w:r w:rsidRPr="00E05FAC">
        <w:rPr>
          <w:rFonts w:ascii="Times New Roman" w:hAnsi="Times New Roman" w:cs="Times New Roman"/>
          <w:sz w:val="22"/>
          <w:szCs w:val="22"/>
          <w:lang w:val="es-ES" w:eastAsia="es-ES_tradnl"/>
        </w:rPr>
        <w:t xml:space="preserve"> frente a esta sentencia, se interp</w:t>
      </w:r>
      <w:r w:rsidR="00BD2E5D">
        <w:rPr>
          <w:rFonts w:ascii="Times New Roman" w:hAnsi="Times New Roman" w:cs="Times New Roman"/>
          <w:sz w:val="22"/>
          <w:szCs w:val="22"/>
          <w:lang w:val="es-ES" w:eastAsia="es-ES_tradnl"/>
        </w:rPr>
        <w:t>uso</w:t>
      </w:r>
      <w:r w:rsidRPr="00E05FAC">
        <w:rPr>
          <w:rFonts w:ascii="Times New Roman" w:hAnsi="Times New Roman" w:cs="Times New Roman"/>
          <w:sz w:val="22"/>
          <w:szCs w:val="22"/>
          <w:lang w:val="es-ES" w:eastAsia="es-ES_tradnl"/>
        </w:rPr>
        <w:t xml:space="preserve"> juicio de Amparo</w:t>
      </w:r>
      <w:r w:rsidRPr="00E05FAC">
        <w:rPr>
          <w:rFonts w:ascii="Times New Roman" w:eastAsia="Times New Roman" w:hAnsi="Times New Roman" w:cs="Times New Roman"/>
          <w:lang w:val="es-ES" w:eastAsia="es-ES_tradnl"/>
        </w:rPr>
        <w:t xml:space="preserve"> </w:t>
      </w:r>
      <w:r w:rsidRPr="00E05FAC">
        <w:rPr>
          <w:rFonts w:ascii="Times New Roman" w:eastAsia="Times New Roman" w:hAnsi="Times New Roman" w:cs="Times New Roman"/>
          <w:sz w:val="22"/>
          <w:szCs w:val="22"/>
          <w:lang w:val="es-ES" w:eastAsia="es-ES_tradnl"/>
        </w:rPr>
        <w:t xml:space="preserve">Directo, mismo que fue admitido en el </w:t>
      </w:r>
      <w:r w:rsidR="00BC3D91" w:rsidRPr="00E05FAC">
        <w:rPr>
          <w:rFonts w:ascii="Times New Roman" w:eastAsia="Times New Roman" w:hAnsi="Times New Roman" w:cs="Times New Roman"/>
          <w:sz w:val="22"/>
          <w:szCs w:val="22"/>
          <w:lang w:val="es-ES" w:eastAsia="es-ES_tradnl"/>
        </w:rPr>
        <w:t>Primer</w:t>
      </w:r>
      <w:r w:rsidRPr="00E05FAC">
        <w:rPr>
          <w:rFonts w:ascii="Times New Roman" w:eastAsia="Times New Roman" w:hAnsi="Times New Roman" w:cs="Times New Roman"/>
          <w:sz w:val="22"/>
          <w:szCs w:val="22"/>
          <w:lang w:val="es-ES" w:eastAsia="es-ES_tradnl"/>
        </w:rPr>
        <w:t xml:space="preserve"> Tribunal Colegiado en Materia Penal y del Trabajo del Decimotercer circuito con residencia en San Bartolo </w:t>
      </w:r>
      <w:proofErr w:type="spellStart"/>
      <w:r w:rsidRPr="00E05FAC">
        <w:rPr>
          <w:rFonts w:ascii="Times New Roman" w:eastAsia="Times New Roman" w:hAnsi="Times New Roman" w:cs="Times New Roman"/>
          <w:sz w:val="22"/>
          <w:szCs w:val="22"/>
          <w:lang w:val="es-ES" w:eastAsia="es-ES_tradnl"/>
        </w:rPr>
        <w:t>Coyotepec</w:t>
      </w:r>
      <w:proofErr w:type="spellEnd"/>
      <w:r w:rsidRPr="00E05FAC">
        <w:rPr>
          <w:rFonts w:ascii="Times New Roman" w:eastAsia="Times New Roman" w:hAnsi="Times New Roman" w:cs="Times New Roman"/>
          <w:sz w:val="22"/>
          <w:szCs w:val="22"/>
          <w:lang w:val="es-ES" w:eastAsia="es-ES_tradnl"/>
        </w:rPr>
        <w:t xml:space="preserve">, con el </w:t>
      </w:r>
      <w:r w:rsidR="00C25EC1" w:rsidRPr="00E05FAC">
        <w:rPr>
          <w:rFonts w:ascii="Times New Roman" w:eastAsia="Times New Roman" w:hAnsi="Times New Roman" w:cs="Times New Roman"/>
          <w:sz w:val="22"/>
          <w:szCs w:val="22"/>
          <w:lang w:val="es-ES" w:eastAsia="es-ES_tradnl"/>
        </w:rPr>
        <w:t>número</w:t>
      </w:r>
      <w:r w:rsidRPr="00E05FAC">
        <w:rPr>
          <w:rFonts w:ascii="Times New Roman" w:eastAsia="Times New Roman" w:hAnsi="Times New Roman" w:cs="Times New Roman"/>
          <w:sz w:val="22"/>
          <w:szCs w:val="22"/>
          <w:lang w:val="es-ES" w:eastAsia="es-ES_tradnl"/>
        </w:rPr>
        <w:t xml:space="preserve"> 511/2019. </w:t>
      </w:r>
    </w:p>
    <w:p w14:paraId="0201A844" w14:textId="438AE97D" w:rsidR="00C25EC1" w:rsidRPr="00E05FAC" w:rsidRDefault="00A66DBA" w:rsidP="00C25EC1">
      <w:pPr>
        <w:pStyle w:val="Prrafodelista"/>
        <w:numPr>
          <w:ilvl w:val="0"/>
          <w:numId w:val="18"/>
        </w:num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eastAsia="Times New Roman" w:hAnsi="Times New Roman" w:cs="Times New Roman"/>
          <w:i/>
          <w:iCs/>
          <w:sz w:val="22"/>
          <w:szCs w:val="22"/>
          <w:lang w:val="es-ES" w:eastAsia="es-ES_tradnl"/>
        </w:rPr>
        <w:t>Febrero 2020:</w:t>
      </w:r>
      <w:r w:rsidRPr="00E05FAC">
        <w:rPr>
          <w:rFonts w:ascii="Times New Roman" w:eastAsia="Times New Roman" w:hAnsi="Times New Roman" w:cs="Times New Roman"/>
          <w:sz w:val="22"/>
          <w:szCs w:val="22"/>
          <w:lang w:val="es-ES" w:eastAsia="es-ES_tradnl"/>
        </w:rPr>
        <w:t xml:space="preserve"> </w:t>
      </w:r>
      <w:r w:rsidRPr="00E05FAC">
        <w:rPr>
          <w:rFonts w:ascii="Times New Roman" w:hAnsi="Times New Roman" w:cs="Times New Roman"/>
          <w:sz w:val="22"/>
          <w:szCs w:val="22"/>
          <w:lang w:val="es-ES" w:eastAsia="es-ES_tradnl"/>
        </w:rPr>
        <w:t xml:space="preserve">el Primer Tribunal Colegiado Especializado en Materias Penal y del Trabajo del </w:t>
      </w:r>
      <w:r w:rsidR="00BD2E5D" w:rsidRPr="00E05FAC">
        <w:rPr>
          <w:rFonts w:ascii="Times New Roman" w:hAnsi="Times New Roman" w:cs="Times New Roman"/>
          <w:sz w:val="22"/>
          <w:szCs w:val="22"/>
          <w:lang w:val="es-ES" w:eastAsia="es-ES_tradnl"/>
        </w:rPr>
        <w:t>Decimo</w:t>
      </w:r>
      <w:r w:rsidR="00BD2E5D">
        <w:rPr>
          <w:rFonts w:ascii="Times New Roman" w:hAnsi="Times New Roman" w:cs="Times New Roman"/>
          <w:sz w:val="22"/>
          <w:szCs w:val="22"/>
          <w:lang w:val="es-ES" w:eastAsia="es-ES_tradnl"/>
        </w:rPr>
        <w:t>t</w:t>
      </w:r>
      <w:r w:rsidR="00BD2E5D" w:rsidRPr="00E05FAC">
        <w:rPr>
          <w:rFonts w:ascii="Times New Roman" w:hAnsi="Times New Roman" w:cs="Times New Roman"/>
          <w:sz w:val="22"/>
          <w:szCs w:val="22"/>
          <w:lang w:val="es-ES" w:eastAsia="es-ES_tradnl"/>
        </w:rPr>
        <w:t>ercer</w:t>
      </w:r>
      <w:r w:rsidRPr="00E05FAC">
        <w:rPr>
          <w:rFonts w:ascii="Times New Roman" w:hAnsi="Times New Roman" w:cs="Times New Roman"/>
          <w:sz w:val="22"/>
          <w:szCs w:val="22"/>
          <w:lang w:val="es-ES" w:eastAsia="es-ES_tradnl"/>
        </w:rPr>
        <w:t xml:space="preserve"> Circuito, con Sede en San Bartolo </w:t>
      </w:r>
      <w:proofErr w:type="spellStart"/>
      <w:r w:rsidRPr="00E05FAC">
        <w:rPr>
          <w:rFonts w:ascii="Times New Roman" w:hAnsi="Times New Roman" w:cs="Times New Roman"/>
          <w:sz w:val="22"/>
          <w:szCs w:val="22"/>
          <w:lang w:val="es-ES" w:eastAsia="es-ES_tradnl"/>
        </w:rPr>
        <w:t>Coyotepec</w:t>
      </w:r>
      <w:proofErr w:type="spellEnd"/>
      <w:r w:rsidRPr="00E05FAC">
        <w:rPr>
          <w:rFonts w:ascii="Times New Roman" w:hAnsi="Times New Roman" w:cs="Times New Roman"/>
          <w:sz w:val="22"/>
          <w:szCs w:val="22"/>
          <w:lang w:val="es-ES" w:eastAsia="es-ES_tradnl"/>
        </w:rPr>
        <w:t xml:space="preserve">, Oaxaca, resolvió </w:t>
      </w:r>
      <w:r w:rsidR="00BC3D91" w:rsidRPr="00E05FAC">
        <w:rPr>
          <w:rFonts w:ascii="Times New Roman" w:hAnsi="Times New Roman" w:cs="Times New Roman"/>
          <w:sz w:val="22"/>
          <w:szCs w:val="22"/>
          <w:lang w:val="es-ES" w:eastAsia="es-ES_tradnl"/>
        </w:rPr>
        <w:t xml:space="preserve">otorgar el Amparo y </w:t>
      </w:r>
      <w:r w:rsidR="00BD2E5D" w:rsidRPr="00E05FAC">
        <w:rPr>
          <w:rFonts w:ascii="Times New Roman" w:hAnsi="Times New Roman" w:cs="Times New Roman"/>
          <w:sz w:val="22"/>
          <w:szCs w:val="22"/>
          <w:lang w:val="es-ES" w:eastAsia="es-ES_tradnl"/>
        </w:rPr>
        <w:t>Protección</w:t>
      </w:r>
      <w:r w:rsidR="00BC3D91" w:rsidRPr="00E05FAC">
        <w:rPr>
          <w:rFonts w:ascii="Times New Roman" w:hAnsi="Times New Roman" w:cs="Times New Roman"/>
          <w:sz w:val="22"/>
          <w:szCs w:val="22"/>
          <w:lang w:val="es-ES" w:eastAsia="es-ES_tradnl"/>
        </w:rPr>
        <w:t xml:space="preserve"> de la justicia federal </w:t>
      </w:r>
      <w:r w:rsidRPr="00E05FAC">
        <w:rPr>
          <w:rFonts w:ascii="Times New Roman" w:hAnsi="Times New Roman" w:cs="Times New Roman"/>
          <w:sz w:val="22"/>
          <w:szCs w:val="22"/>
          <w:lang w:val="es-ES" w:eastAsia="es-ES_tradnl"/>
        </w:rPr>
        <w:t xml:space="preserve">para efectos de reponer el procedimiento por las graves violaciones procesales que se encontraron en el proceso </w:t>
      </w:r>
      <w:r w:rsidRPr="00E05FAC">
        <w:rPr>
          <w:rFonts w:ascii="Times New Roman" w:hAnsi="Times New Roman" w:cs="Times New Roman"/>
          <w:sz w:val="22"/>
          <w:szCs w:val="22"/>
          <w:lang w:val="es-ES" w:eastAsia="es-ES_tradnl"/>
        </w:rPr>
        <w:lastRenderedPageBreak/>
        <w:t xml:space="preserve">penal, es decir, el tribunal consideró que se violaron sus garantías de debido proceso en tanto que el defensor no contó con un intérprete que conociera su lengua y cultura, así mismo, que al momento de su detención no contaba con abogado o abogada que contara con un título profesional que avalara su </w:t>
      </w:r>
      <w:proofErr w:type="spellStart"/>
      <w:r w:rsidRPr="00E05FAC">
        <w:rPr>
          <w:rFonts w:ascii="Times New Roman" w:hAnsi="Times New Roman" w:cs="Times New Roman"/>
          <w:sz w:val="22"/>
          <w:szCs w:val="22"/>
          <w:lang w:val="es-ES" w:eastAsia="es-ES_tradnl"/>
        </w:rPr>
        <w:t>expertís</w:t>
      </w:r>
      <w:proofErr w:type="spellEnd"/>
      <w:r w:rsidR="00BD2E5D">
        <w:rPr>
          <w:rFonts w:ascii="Times New Roman" w:hAnsi="Times New Roman" w:cs="Times New Roman"/>
          <w:sz w:val="22"/>
          <w:szCs w:val="22"/>
          <w:lang w:val="es-ES" w:eastAsia="es-ES_tradnl"/>
        </w:rPr>
        <w:t>;</w:t>
      </w:r>
      <w:r w:rsidRPr="00E05FAC">
        <w:rPr>
          <w:rFonts w:ascii="Times New Roman" w:hAnsi="Times New Roman" w:cs="Times New Roman"/>
          <w:sz w:val="22"/>
          <w:szCs w:val="22"/>
          <w:lang w:val="es-ES" w:eastAsia="es-ES_tradnl"/>
        </w:rPr>
        <w:t xml:space="preserve"> ordenando que se r</w:t>
      </w:r>
      <w:r w:rsidR="00C3329A" w:rsidRPr="00E05FAC">
        <w:rPr>
          <w:rFonts w:ascii="Times New Roman" w:hAnsi="Times New Roman" w:cs="Times New Roman"/>
          <w:sz w:val="22"/>
          <w:szCs w:val="22"/>
          <w:lang w:val="es-ES" w:eastAsia="es-ES_tradnl"/>
        </w:rPr>
        <w:t>epusiera</w:t>
      </w:r>
      <w:r w:rsidRPr="00E05FAC">
        <w:rPr>
          <w:rFonts w:ascii="Times New Roman" w:hAnsi="Times New Roman" w:cs="Times New Roman"/>
          <w:sz w:val="22"/>
          <w:szCs w:val="22"/>
          <w:lang w:val="es-ES" w:eastAsia="es-ES_tradnl"/>
        </w:rPr>
        <w:t xml:space="preserve"> el proceso penal hasta el momento en el que </w:t>
      </w:r>
      <w:r w:rsidR="00C3329A" w:rsidRPr="00E05FAC">
        <w:rPr>
          <w:rFonts w:ascii="Times New Roman" w:hAnsi="Times New Roman" w:cs="Times New Roman"/>
          <w:sz w:val="22"/>
          <w:szCs w:val="22"/>
          <w:lang w:val="es-ES" w:eastAsia="es-ES_tradnl"/>
        </w:rPr>
        <w:t>Pablo López</w:t>
      </w:r>
      <w:r w:rsidRPr="00E05FAC">
        <w:rPr>
          <w:rFonts w:ascii="Times New Roman" w:hAnsi="Times New Roman" w:cs="Times New Roman"/>
          <w:sz w:val="22"/>
          <w:szCs w:val="22"/>
          <w:lang w:val="es-ES" w:eastAsia="es-ES_tradnl"/>
        </w:rPr>
        <w:t xml:space="preserve"> rindiera su declaración preparatoria, garantizando que en esta ocasión si estuviese acompañado </w:t>
      </w:r>
      <w:r w:rsidR="00DC6166" w:rsidRPr="00E05FAC">
        <w:rPr>
          <w:rFonts w:ascii="Times New Roman" w:hAnsi="Times New Roman" w:cs="Times New Roman"/>
          <w:sz w:val="22"/>
          <w:szCs w:val="22"/>
          <w:lang w:val="es-ES" w:eastAsia="es-ES_tradnl"/>
        </w:rPr>
        <w:t xml:space="preserve">por </w:t>
      </w:r>
      <w:r w:rsidRPr="00E05FAC">
        <w:rPr>
          <w:rFonts w:ascii="Times New Roman" w:hAnsi="Times New Roman" w:cs="Times New Roman"/>
          <w:sz w:val="22"/>
          <w:szCs w:val="22"/>
          <w:lang w:val="es-ES" w:eastAsia="es-ES_tradnl"/>
        </w:rPr>
        <w:t>intérprete y defens</w:t>
      </w:r>
      <w:r w:rsidR="00C3329A" w:rsidRPr="00E05FAC">
        <w:rPr>
          <w:rFonts w:ascii="Times New Roman" w:hAnsi="Times New Roman" w:cs="Times New Roman"/>
          <w:sz w:val="22"/>
          <w:szCs w:val="22"/>
          <w:lang w:val="es-ES" w:eastAsia="es-ES_tradnl"/>
        </w:rPr>
        <w:t>a</w:t>
      </w:r>
      <w:r w:rsidRPr="00E05FAC">
        <w:rPr>
          <w:rFonts w:ascii="Times New Roman" w:hAnsi="Times New Roman" w:cs="Times New Roman"/>
          <w:sz w:val="22"/>
          <w:szCs w:val="22"/>
          <w:lang w:val="es-ES" w:eastAsia="es-ES_tradnl"/>
        </w:rPr>
        <w:t xml:space="preserve"> acreditada. </w:t>
      </w:r>
    </w:p>
    <w:p w14:paraId="78C4C49D" w14:textId="5A66FF84" w:rsidR="00A66DBA" w:rsidRPr="00E05FAC" w:rsidRDefault="00A66DBA" w:rsidP="00A66DBA">
      <w:pPr>
        <w:pStyle w:val="Prrafodelista"/>
        <w:numPr>
          <w:ilvl w:val="0"/>
          <w:numId w:val="18"/>
        </w:num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i/>
          <w:iCs/>
          <w:sz w:val="22"/>
          <w:szCs w:val="22"/>
          <w:lang w:val="es-ES" w:eastAsia="es-ES_tradnl"/>
        </w:rPr>
        <w:t xml:space="preserve">Marzo a </w:t>
      </w:r>
      <w:r w:rsidR="00B359EB" w:rsidRPr="00E05FAC">
        <w:rPr>
          <w:rFonts w:ascii="Times New Roman" w:hAnsi="Times New Roman" w:cs="Times New Roman"/>
          <w:i/>
          <w:iCs/>
          <w:sz w:val="22"/>
          <w:szCs w:val="22"/>
          <w:lang w:val="es-ES" w:eastAsia="es-ES_tradnl"/>
        </w:rPr>
        <w:t>o</w:t>
      </w:r>
      <w:r w:rsidRPr="00E05FAC">
        <w:rPr>
          <w:rFonts w:ascii="Times New Roman" w:hAnsi="Times New Roman" w:cs="Times New Roman"/>
          <w:i/>
          <w:iCs/>
          <w:sz w:val="22"/>
          <w:szCs w:val="22"/>
          <w:lang w:val="es-ES" w:eastAsia="es-ES_tradnl"/>
        </w:rPr>
        <w:t>ctubre 2020</w:t>
      </w:r>
      <w:r w:rsidRPr="00E05FAC">
        <w:rPr>
          <w:rFonts w:ascii="Times New Roman" w:hAnsi="Times New Roman" w:cs="Times New Roman"/>
          <w:sz w:val="22"/>
          <w:szCs w:val="22"/>
          <w:lang w:val="es-ES" w:eastAsia="es-ES_tradnl"/>
        </w:rPr>
        <w:t xml:space="preserve">: En cumplimiento de la ejecutoria de amparo mencionada, el Juez Penal de la Villa de </w:t>
      </w:r>
      <w:proofErr w:type="spellStart"/>
      <w:r w:rsidRPr="00E05FAC">
        <w:rPr>
          <w:rFonts w:ascii="Times New Roman" w:hAnsi="Times New Roman" w:cs="Times New Roman"/>
          <w:sz w:val="22"/>
          <w:szCs w:val="22"/>
          <w:lang w:val="es-ES" w:eastAsia="es-ES_tradnl"/>
        </w:rPr>
        <w:t>Etla</w:t>
      </w:r>
      <w:proofErr w:type="spellEnd"/>
      <w:r w:rsidRPr="00E05FAC">
        <w:rPr>
          <w:rFonts w:ascii="Times New Roman" w:hAnsi="Times New Roman" w:cs="Times New Roman"/>
          <w:sz w:val="22"/>
          <w:szCs w:val="22"/>
          <w:lang w:val="es-ES" w:eastAsia="es-ES_tradnl"/>
        </w:rPr>
        <w:t xml:space="preserve">, señaló fecha de audiencia de declaración preparatoria para el día 9 de marzo de 2020, misma que no se efectuó por carecer de intérprete que conociera la lengua y cultura de su comunidad, San Isidro </w:t>
      </w:r>
      <w:proofErr w:type="spellStart"/>
      <w:r w:rsidRPr="00E05FAC">
        <w:rPr>
          <w:rFonts w:ascii="Times New Roman" w:hAnsi="Times New Roman" w:cs="Times New Roman"/>
          <w:sz w:val="22"/>
          <w:szCs w:val="22"/>
          <w:lang w:val="es-ES" w:eastAsia="es-ES_tradnl"/>
        </w:rPr>
        <w:t>Aloapam</w:t>
      </w:r>
      <w:proofErr w:type="spellEnd"/>
      <w:r w:rsidRPr="00E05FAC">
        <w:rPr>
          <w:rFonts w:ascii="Times New Roman" w:hAnsi="Times New Roman" w:cs="Times New Roman"/>
          <w:sz w:val="22"/>
          <w:szCs w:val="22"/>
          <w:lang w:val="es-ES" w:eastAsia="es-ES_tradnl"/>
        </w:rPr>
        <w:t>, Ixtlán de Juárez. Se señaló una segunda fecha para la audiencia el 17 de agosto del año 2020, en esta ocasión ya se contaba con una perita intérprete</w:t>
      </w:r>
      <w:r w:rsidR="00C3329A" w:rsidRPr="00E05FAC">
        <w:rPr>
          <w:rFonts w:ascii="Times New Roman" w:hAnsi="Times New Roman" w:cs="Times New Roman"/>
          <w:sz w:val="22"/>
          <w:szCs w:val="22"/>
          <w:lang w:val="es-ES" w:eastAsia="es-ES_tradnl"/>
        </w:rPr>
        <w:t xml:space="preserve"> para</w:t>
      </w:r>
      <w:r w:rsidRPr="00E05FAC">
        <w:rPr>
          <w:rFonts w:ascii="Times New Roman" w:hAnsi="Times New Roman" w:cs="Times New Roman"/>
          <w:sz w:val="22"/>
          <w:szCs w:val="22"/>
          <w:lang w:val="es-ES" w:eastAsia="es-ES_tradnl"/>
        </w:rPr>
        <w:t xml:space="preserve"> Pablo López </w:t>
      </w:r>
      <w:proofErr w:type="spellStart"/>
      <w:r w:rsidRPr="00E05FAC">
        <w:rPr>
          <w:rFonts w:ascii="Times New Roman" w:hAnsi="Times New Roman" w:cs="Times New Roman"/>
          <w:sz w:val="22"/>
          <w:szCs w:val="22"/>
          <w:lang w:val="es-ES" w:eastAsia="es-ES_tradnl"/>
        </w:rPr>
        <w:t>Alavez</w:t>
      </w:r>
      <w:proofErr w:type="spellEnd"/>
      <w:r w:rsidRPr="00E05FAC">
        <w:rPr>
          <w:rFonts w:ascii="Times New Roman" w:hAnsi="Times New Roman" w:cs="Times New Roman"/>
          <w:sz w:val="22"/>
          <w:szCs w:val="22"/>
          <w:lang w:val="es-ES" w:eastAsia="es-ES_tradnl"/>
        </w:rPr>
        <w:t>, sin embargo, fue nuevamente cancelada por el riesgo de contagio de COVID 19.</w:t>
      </w:r>
    </w:p>
    <w:p w14:paraId="2FB7BCD0" w14:textId="78BFD119" w:rsidR="00A66DBA" w:rsidRPr="00E05FAC" w:rsidRDefault="00A66DBA" w:rsidP="00A66DBA">
      <w:pPr>
        <w:pStyle w:val="Prrafodelista"/>
        <w:numPr>
          <w:ilvl w:val="0"/>
          <w:numId w:val="18"/>
        </w:num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i/>
          <w:iCs/>
          <w:sz w:val="22"/>
          <w:szCs w:val="22"/>
          <w:lang w:val="es-ES" w:eastAsia="es-ES_tradnl"/>
        </w:rPr>
        <w:t>5 de octubre 2020:</w:t>
      </w:r>
      <w:r w:rsidRPr="00E05FAC">
        <w:rPr>
          <w:rFonts w:ascii="Times New Roman" w:hAnsi="Times New Roman" w:cs="Times New Roman"/>
          <w:sz w:val="22"/>
          <w:szCs w:val="22"/>
          <w:lang w:val="es-ES" w:eastAsia="es-ES_tradnl"/>
        </w:rPr>
        <w:t xml:space="preserve"> se llevó finalmente a cabo la audiencia en la que Pablo López </w:t>
      </w:r>
      <w:proofErr w:type="spellStart"/>
      <w:r w:rsidRPr="00E05FAC">
        <w:rPr>
          <w:rFonts w:ascii="Times New Roman" w:hAnsi="Times New Roman" w:cs="Times New Roman"/>
          <w:sz w:val="22"/>
          <w:szCs w:val="22"/>
          <w:lang w:val="es-ES" w:eastAsia="es-ES_tradnl"/>
        </w:rPr>
        <w:t>Alavez</w:t>
      </w:r>
      <w:proofErr w:type="spellEnd"/>
      <w:r w:rsidRPr="00E05FAC">
        <w:rPr>
          <w:rFonts w:ascii="Times New Roman" w:hAnsi="Times New Roman" w:cs="Times New Roman"/>
          <w:sz w:val="22"/>
          <w:szCs w:val="22"/>
          <w:lang w:val="es-ES" w:eastAsia="es-ES_tradnl"/>
        </w:rPr>
        <w:t xml:space="preserve"> rindió su declaración preparatoria, haciendo de conocimiento del juez de la causa de tod</w:t>
      </w:r>
      <w:r w:rsidR="00DC6166" w:rsidRPr="00E05FAC">
        <w:rPr>
          <w:rFonts w:ascii="Times New Roman" w:hAnsi="Times New Roman" w:cs="Times New Roman"/>
          <w:sz w:val="22"/>
          <w:szCs w:val="22"/>
          <w:lang w:val="es-ES" w:eastAsia="es-ES_tradnl"/>
        </w:rPr>
        <w:t>a</w:t>
      </w:r>
      <w:r w:rsidRPr="00E05FAC">
        <w:rPr>
          <w:rFonts w:ascii="Times New Roman" w:hAnsi="Times New Roman" w:cs="Times New Roman"/>
          <w:sz w:val="22"/>
          <w:szCs w:val="22"/>
          <w:lang w:val="es-ES" w:eastAsia="es-ES_tradnl"/>
        </w:rPr>
        <w:t xml:space="preserve">s las irregularidades que sufrió al momento de su detención, además de informar sobre sus actividades en la fecha y hora en la que sucedieron los hechos de que lo acusan, </w:t>
      </w:r>
      <w:r w:rsidR="00BC3D91" w:rsidRPr="00E05FAC">
        <w:rPr>
          <w:rFonts w:ascii="Times New Roman" w:hAnsi="Times New Roman" w:cs="Times New Roman"/>
          <w:sz w:val="22"/>
          <w:szCs w:val="22"/>
          <w:lang w:val="es-ES" w:eastAsia="es-ES_tradnl"/>
        </w:rPr>
        <w:t xml:space="preserve">en un </w:t>
      </w:r>
      <w:r w:rsidRPr="00E05FAC">
        <w:rPr>
          <w:rFonts w:ascii="Times New Roman" w:hAnsi="Times New Roman" w:cs="Times New Roman"/>
          <w:sz w:val="22"/>
          <w:szCs w:val="22"/>
          <w:lang w:val="es-ES" w:eastAsia="es-ES_tradnl"/>
        </w:rPr>
        <w:t>lugar</w:t>
      </w:r>
      <w:r w:rsidR="00C3329A" w:rsidRPr="00E05FAC">
        <w:rPr>
          <w:rFonts w:ascii="Times New Roman" w:hAnsi="Times New Roman" w:cs="Times New Roman"/>
          <w:sz w:val="22"/>
          <w:szCs w:val="22"/>
          <w:lang w:val="es-ES" w:eastAsia="es-ES_tradnl"/>
        </w:rPr>
        <w:t xml:space="preserve"> </w:t>
      </w:r>
      <w:r w:rsidR="00BC3D91" w:rsidRPr="00E05FAC">
        <w:rPr>
          <w:rFonts w:ascii="Times New Roman" w:hAnsi="Times New Roman" w:cs="Times New Roman"/>
          <w:sz w:val="22"/>
          <w:szCs w:val="22"/>
          <w:lang w:val="es-ES" w:eastAsia="es-ES_tradnl"/>
        </w:rPr>
        <w:t>distinto</w:t>
      </w:r>
      <w:r w:rsidRPr="00E05FAC">
        <w:rPr>
          <w:rFonts w:ascii="Times New Roman" w:hAnsi="Times New Roman" w:cs="Times New Roman"/>
          <w:sz w:val="22"/>
          <w:szCs w:val="22"/>
          <w:lang w:val="es-ES" w:eastAsia="es-ES_tradnl"/>
        </w:rPr>
        <w:t xml:space="preserve"> que está a por lo menos 8 horas de distancia del lugar señalado en la acusación mini</w:t>
      </w:r>
      <w:r w:rsidR="00C3329A" w:rsidRPr="00E05FAC">
        <w:rPr>
          <w:rFonts w:ascii="Times New Roman" w:hAnsi="Times New Roman" w:cs="Times New Roman"/>
          <w:sz w:val="22"/>
          <w:szCs w:val="22"/>
          <w:lang w:val="es-ES" w:eastAsia="es-ES_tradnl"/>
        </w:rPr>
        <w:t>s</w:t>
      </w:r>
      <w:r w:rsidRPr="00E05FAC">
        <w:rPr>
          <w:rFonts w:ascii="Times New Roman" w:hAnsi="Times New Roman" w:cs="Times New Roman"/>
          <w:sz w:val="22"/>
          <w:szCs w:val="22"/>
          <w:lang w:val="es-ES" w:eastAsia="es-ES_tradnl"/>
        </w:rPr>
        <w:t>terial.</w:t>
      </w:r>
    </w:p>
    <w:p w14:paraId="6C532D4B" w14:textId="5D3FE960" w:rsidR="00181276" w:rsidRPr="00E05FAC" w:rsidRDefault="00A66DBA" w:rsidP="00E801A8">
      <w:pPr>
        <w:pStyle w:val="Prrafodelista"/>
        <w:spacing w:before="100" w:beforeAutospacing="1" w:after="100" w:afterAutospacing="1"/>
        <w:ind w:left="501"/>
        <w:jc w:val="both"/>
        <w:rPr>
          <w:rFonts w:ascii="Times New Roman" w:hAnsi="Times New Roman" w:cs="Times New Roman"/>
          <w:sz w:val="22"/>
          <w:szCs w:val="22"/>
          <w:lang w:val="es-ES" w:eastAsia="es-ES_tradnl"/>
        </w:rPr>
      </w:pPr>
      <w:r w:rsidRPr="00E05FAC">
        <w:rPr>
          <w:rFonts w:ascii="Times New Roman" w:hAnsi="Times New Roman" w:cs="Times New Roman"/>
          <w:i/>
          <w:iCs/>
          <w:sz w:val="22"/>
          <w:szCs w:val="22"/>
          <w:lang w:val="es-ES" w:eastAsia="es-ES_tradnl"/>
        </w:rPr>
        <w:t>9 de octubre 2020:</w:t>
      </w:r>
      <w:r w:rsidRPr="00E05FAC">
        <w:rPr>
          <w:rFonts w:ascii="Times New Roman" w:hAnsi="Times New Roman" w:cs="Times New Roman"/>
          <w:sz w:val="22"/>
          <w:szCs w:val="22"/>
          <w:lang w:val="es-ES" w:eastAsia="es-ES_tradnl"/>
        </w:rPr>
        <w:t xml:space="preserve"> el Juez Penal de la Villa de </w:t>
      </w:r>
      <w:proofErr w:type="spellStart"/>
      <w:r w:rsidRPr="00E05FAC">
        <w:rPr>
          <w:rFonts w:ascii="Times New Roman" w:hAnsi="Times New Roman" w:cs="Times New Roman"/>
          <w:sz w:val="22"/>
          <w:szCs w:val="22"/>
          <w:lang w:val="es-ES" w:eastAsia="es-ES_tradnl"/>
        </w:rPr>
        <w:t>Etla</w:t>
      </w:r>
      <w:proofErr w:type="spellEnd"/>
      <w:r w:rsidRPr="00E05FAC">
        <w:rPr>
          <w:rFonts w:ascii="Times New Roman" w:hAnsi="Times New Roman" w:cs="Times New Roman"/>
          <w:sz w:val="22"/>
          <w:szCs w:val="22"/>
          <w:lang w:val="es-ES" w:eastAsia="es-ES_tradnl"/>
        </w:rPr>
        <w:t>, Oaxaca, resolvió</w:t>
      </w:r>
      <w:r w:rsidR="00C3329A" w:rsidRPr="00E05FAC">
        <w:rPr>
          <w:rFonts w:ascii="Times New Roman" w:hAnsi="Times New Roman" w:cs="Times New Roman"/>
          <w:sz w:val="22"/>
          <w:szCs w:val="22"/>
          <w:lang w:val="es-ES" w:eastAsia="es-ES_tradnl"/>
        </w:rPr>
        <w:t xml:space="preserve"> el termino constitucional con</w:t>
      </w:r>
      <w:r w:rsidRPr="00E05FAC">
        <w:rPr>
          <w:rFonts w:ascii="Times New Roman" w:hAnsi="Times New Roman" w:cs="Times New Roman"/>
          <w:b/>
          <w:bCs/>
          <w:sz w:val="22"/>
          <w:szCs w:val="22"/>
          <w:lang w:val="es-ES" w:eastAsia="es-ES_tradnl"/>
        </w:rPr>
        <w:t xml:space="preserve"> auto de formal prisión en contra del defensor Pablo López</w:t>
      </w:r>
      <w:r w:rsidRPr="00E05FAC">
        <w:rPr>
          <w:rFonts w:ascii="Times New Roman" w:hAnsi="Times New Roman" w:cs="Times New Roman"/>
          <w:sz w:val="22"/>
          <w:szCs w:val="22"/>
          <w:lang w:val="es-ES" w:eastAsia="es-ES_tradnl"/>
        </w:rPr>
        <w:t>. Cabe</w:t>
      </w:r>
      <w:r w:rsidR="00C3329A" w:rsidRPr="00E05FAC">
        <w:rPr>
          <w:rFonts w:ascii="Times New Roman" w:hAnsi="Times New Roman" w:cs="Times New Roman"/>
          <w:sz w:val="22"/>
          <w:szCs w:val="22"/>
          <w:lang w:val="es-ES" w:eastAsia="es-ES_tradnl"/>
        </w:rPr>
        <w:t xml:space="preserve"> destacar</w:t>
      </w:r>
      <w:r w:rsidRPr="00E05FAC">
        <w:rPr>
          <w:rFonts w:ascii="Times New Roman" w:hAnsi="Times New Roman" w:cs="Times New Roman"/>
          <w:sz w:val="22"/>
          <w:szCs w:val="22"/>
          <w:lang w:val="es-ES" w:eastAsia="es-ES_tradnl"/>
        </w:rPr>
        <w:t xml:space="preserve"> que la resolución que emitió, fue en términos idénticos a </w:t>
      </w:r>
      <w:r w:rsidR="00BD2E5D">
        <w:rPr>
          <w:rFonts w:ascii="Times New Roman" w:hAnsi="Times New Roman" w:cs="Times New Roman"/>
          <w:sz w:val="22"/>
          <w:szCs w:val="22"/>
          <w:lang w:val="es-ES" w:eastAsia="es-ES_tradnl"/>
        </w:rPr>
        <w:t>l</w:t>
      </w:r>
      <w:r w:rsidRPr="00E05FAC">
        <w:rPr>
          <w:rFonts w:ascii="Times New Roman" w:hAnsi="Times New Roman" w:cs="Times New Roman"/>
          <w:sz w:val="22"/>
          <w:szCs w:val="22"/>
          <w:lang w:val="es-ES" w:eastAsia="es-ES_tradnl"/>
        </w:rPr>
        <w:t xml:space="preserve">a resolución dictada en fecha 6 de diciembre del 2010, </w:t>
      </w:r>
      <w:r w:rsidR="00EC76EE" w:rsidRPr="00E05FAC">
        <w:rPr>
          <w:rFonts w:ascii="Times New Roman" w:hAnsi="Times New Roman" w:cs="Times New Roman"/>
          <w:sz w:val="22"/>
          <w:szCs w:val="22"/>
          <w:lang w:val="es-MX" w:eastAsia="es-ES_tradnl"/>
        </w:rPr>
        <w:t xml:space="preserve">incluso se reprodujeron los mismos </w:t>
      </w:r>
      <w:r w:rsidRPr="00E05FAC">
        <w:rPr>
          <w:rFonts w:ascii="Times New Roman" w:hAnsi="Times New Roman" w:cs="Times New Roman"/>
          <w:sz w:val="22"/>
          <w:szCs w:val="22"/>
          <w:lang w:val="es-ES" w:eastAsia="es-ES_tradnl"/>
        </w:rPr>
        <w:t xml:space="preserve">errores ortográficos y de sintaxis. </w:t>
      </w:r>
    </w:p>
    <w:p w14:paraId="278B0AE3" w14:textId="34A6C118" w:rsidR="00E46126" w:rsidRPr="00E05FAC" w:rsidRDefault="00A66DBA" w:rsidP="00E46126">
      <w:pPr>
        <w:pStyle w:val="Prrafodelista"/>
        <w:numPr>
          <w:ilvl w:val="0"/>
          <w:numId w:val="18"/>
        </w:num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sz w:val="22"/>
          <w:szCs w:val="22"/>
          <w:lang w:val="es-ES" w:eastAsia="es-ES_tradnl"/>
        </w:rPr>
        <w:t xml:space="preserve">El Juez de la causa </w:t>
      </w:r>
      <w:r w:rsidR="00BC3D91" w:rsidRPr="00E05FAC">
        <w:rPr>
          <w:rFonts w:ascii="Times New Roman" w:hAnsi="Times New Roman" w:cs="Times New Roman"/>
          <w:sz w:val="22"/>
          <w:szCs w:val="22"/>
          <w:u w:val="single"/>
          <w:lang w:val="es-ES" w:eastAsia="es-ES_tradnl"/>
        </w:rPr>
        <w:t>no le concedió valor probatorio</w:t>
      </w:r>
      <w:r w:rsidR="00C3329A" w:rsidRPr="00E05FAC">
        <w:rPr>
          <w:rFonts w:ascii="Times New Roman" w:hAnsi="Times New Roman" w:cs="Times New Roman"/>
          <w:sz w:val="22"/>
          <w:szCs w:val="22"/>
          <w:u w:val="single"/>
          <w:lang w:val="es-ES" w:eastAsia="es-ES_tradnl"/>
        </w:rPr>
        <w:t xml:space="preserve"> a ninguna de</w:t>
      </w:r>
      <w:r w:rsidR="00BC3D91" w:rsidRPr="00E05FAC">
        <w:rPr>
          <w:rFonts w:ascii="Times New Roman" w:hAnsi="Times New Roman" w:cs="Times New Roman"/>
          <w:sz w:val="22"/>
          <w:szCs w:val="22"/>
          <w:u w:val="single"/>
          <w:lang w:val="es-ES" w:eastAsia="es-ES_tradnl"/>
        </w:rPr>
        <w:t xml:space="preserve"> </w:t>
      </w:r>
      <w:r w:rsidRPr="00E05FAC">
        <w:rPr>
          <w:rFonts w:ascii="Times New Roman" w:hAnsi="Times New Roman" w:cs="Times New Roman"/>
          <w:sz w:val="22"/>
          <w:szCs w:val="22"/>
          <w:u w:val="single"/>
          <w:lang w:val="es-ES" w:eastAsia="es-ES_tradnl"/>
        </w:rPr>
        <w:t>las pruebas y documentales</w:t>
      </w:r>
      <w:r w:rsidRPr="00E05FAC">
        <w:rPr>
          <w:rFonts w:ascii="Times New Roman" w:hAnsi="Times New Roman" w:cs="Times New Roman"/>
          <w:sz w:val="22"/>
          <w:szCs w:val="22"/>
          <w:lang w:val="es-ES" w:eastAsia="es-ES_tradnl"/>
        </w:rPr>
        <w:t xml:space="preserve"> aportadas por la defensa, argumentando que las documentales ofrecidas para acreditar la </w:t>
      </w:r>
      <w:r w:rsidRPr="00E05FAC">
        <w:rPr>
          <w:rFonts w:ascii="Times New Roman" w:hAnsi="Times New Roman" w:cs="Times New Roman"/>
          <w:sz w:val="22"/>
          <w:szCs w:val="22"/>
          <w:u w:val="single"/>
          <w:lang w:val="es-ES" w:eastAsia="es-ES_tradnl"/>
        </w:rPr>
        <w:t>calidad de defensor de derechos humanos no tenían relación alguna</w:t>
      </w:r>
      <w:r w:rsidRPr="00E05FAC">
        <w:rPr>
          <w:rFonts w:ascii="Times New Roman" w:hAnsi="Times New Roman" w:cs="Times New Roman"/>
          <w:sz w:val="22"/>
          <w:szCs w:val="22"/>
          <w:lang w:val="es-ES" w:eastAsia="es-ES_tradnl"/>
        </w:rPr>
        <w:t xml:space="preserve"> con el caso, cuando la defensa ha sostenido que es debido a esta calidad de defensor que se le </w:t>
      </w:r>
      <w:r w:rsidR="00181276" w:rsidRPr="00E05FAC">
        <w:rPr>
          <w:rFonts w:ascii="Times New Roman" w:hAnsi="Times New Roman" w:cs="Times New Roman"/>
          <w:sz w:val="22"/>
          <w:szCs w:val="22"/>
          <w:lang w:val="es-ES" w:eastAsia="es-ES_tradnl"/>
        </w:rPr>
        <w:t xml:space="preserve">imputaron </w:t>
      </w:r>
      <w:r w:rsidRPr="00E05FAC">
        <w:rPr>
          <w:rFonts w:ascii="Times New Roman" w:hAnsi="Times New Roman" w:cs="Times New Roman"/>
          <w:sz w:val="22"/>
          <w:szCs w:val="22"/>
          <w:lang w:val="es-ES" w:eastAsia="es-ES_tradnl"/>
        </w:rPr>
        <w:t>cargos falsos</w:t>
      </w:r>
      <w:r w:rsidR="00EC76EE" w:rsidRPr="00E05FAC">
        <w:rPr>
          <w:rFonts w:ascii="Times New Roman" w:hAnsi="Times New Roman" w:cs="Times New Roman"/>
          <w:sz w:val="22"/>
          <w:szCs w:val="22"/>
          <w:lang w:val="es-ES" w:eastAsia="es-ES_tradnl"/>
        </w:rPr>
        <w:t xml:space="preserve">. Además, </w:t>
      </w:r>
      <w:r w:rsidRPr="00E05FAC">
        <w:rPr>
          <w:rFonts w:ascii="Times New Roman" w:hAnsi="Times New Roman" w:cs="Times New Roman"/>
          <w:sz w:val="22"/>
          <w:szCs w:val="22"/>
          <w:lang w:val="es-ES" w:eastAsia="es-ES_tradnl"/>
        </w:rPr>
        <w:t>arguyó que únicamente se tomarían en cuenta las aportadas por las partes directamente involucradas y testigos</w:t>
      </w:r>
      <w:r w:rsidR="00181276" w:rsidRPr="00E05FAC">
        <w:rPr>
          <w:rFonts w:ascii="Times New Roman" w:hAnsi="Times New Roman" w:cs="Times New Roman"/>
          <w:sz w:val="22"/>
          <w:szCs w:val="22"/>
          <w:lang w:val="es-ES" w:eastAsia="es-ES_tradnl"/>
        </w:rPr>
        <w:t xml:space="preserve">, </w:t>
      </w:r>
      <w:r w:rsidRPr="00E05FAC">
        <w:rPr>
          <w:rFonts w:ascii="Times New Roman" w:hAnsi="Times New Roman" w:cs="Times New Roman"/>
          <w:sz w:val="22"/>
          <w:szCs w:val="22"/>
          <w:lang w:val="es-ES" w:eastAsia="es-ES_tradnl"/>
        </w:rPr>
        <w:t>más no de organismos internacionales de derechos humanos.</w:t>
      </w:r>
    </w:p>
    <w:p w14:paraId="10CD1C59" w14:textId="3CCBD3C8" w:rsidR="00C25EC1" w:rsidRPr="00E05FAC" w:rsidRDefault="00A66DBA" w:rsidP="00E46126">
      <w:pPr>
        <w:pStyle w:val="Prrafodelista"/>
        <w:numPr>
          <w:ilvl w:val="0"/>
          <w:numId w:val="18"/>
        </w:num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sz w:val="22"/>
          <w:szCs w:val="22"/>
          <w:lang w:val="es-ES" w:eastAsia="es-ES_tradnl"/>
        </w:rPr>
        <w:t xml:space="preserve">Respecto a una documental ofrecida, en la que autoridades comunitarias de San Pedro </w:t>
      </w:r>
      <w:proofErr w:type="spellStart"/>
      <w:r w:rsidRPr="00E05FAC">
        <w:rPr>
          <w:rFonts w:ascii="Times New Roman" w:hAnsi="Times New Roman" w:cs="Times New Roman"/>
          <w:sz w:val="22"/>
          <w:szCs w:val="22"/>
          <w:lang w:val="es-ES" w:eastAsia="es-ES_tradnl"/>
        </w:rPr>
        <w:t>Yolox</w:t>
      </w:r>
      <w:proofErr w:type="spellEnd"/>
      <w:r w:rsidRPr="00E05FAC">
        <w:rPr>
          <w:rFonts w:ascii="Times New Roman" w:hAnsi="Times New Roman" w:cs="Times New Roman"/>
          <w:sz w:val="22"/>
          <w:szCs w:val="22"/>
          <w:lang w:val="es-ES" w:eastAsia="es-ES_tradnl"/>
        </w:rPr>
        <w:t xml:space="preserve">, Ixtlán de Juárez, Oaxaca, corroboran que el defensor </w:t>
      </w:r>
      <w:r w:rsidRPr="00E05FAC">
        <w:rPr>
          <w:rFonts w:ascii="Times New Roman" w:hAnsi="Times New Roman" w:cs="Times New Roman"/>
          <w:sz w:val="22"/>
          <w:szCs w:val="22"/>
          <w:u w:val="single"/>
          <w:lang w:val="es-ES" w:eastAsia="es-ES_tradnl"/>
        </w:rPr>
        <w:t>se encontraba laborando en esa demarcación en la fecha en que se desarrollaron los hechos</w:t>
      </w:r>
      <w:r w:rsidRPr="00E05FAC">
        <w:rPr>
          <w:rFonts w:ascii="Times New Roman" w:hAnsi="Times New Roman" w:cs="Times New Roman"/>
          <w:sz w:val="22"/>
          <w:szCs w:val="22"/>
          <w:lang w:val="es-ES" w:eastAsia="es-ES_tradnl"/>
        </w:rPr>
        <w:t xml:space="preserve"> de los que se le acusa, </w:t>
      </w:r>
      <w:r w:rsidR="0031077F" w:rsidRPr="00E05FAC">
        <w:rPr>
          <w:rFonts w:ascii="Times New Roman" w:hAnsi="Times New Roman" w:cs="Times New Roman"/>
          <w:sz w:val="22"/>
          <w:szCs w:val="22"/>
          <w:lang w:val="es-ES" w:eastAsia="es-ES_tradnl"/>
        </w:rPr>
        <w:t>para no tomarla en cuenta</w:t>
      </w:r>
      <w:r w:rsidR="00E801A8" w:rsidRPr="00E05FAC">
        <w:rPr>
          <w:rFonts w:ascii="Times New Roman" w:hAnsi="Times New Roman" w:cs="Times New Roman"/>
          <w:sz w:val="22"/>
          <w:szCs w:val="22"/>
          <w:lang w:val="es-ES" w:eastAsia="es-ES_tradnl"/>
        </w:rPr>
        <w:t xml:space="preserve"> el juzgador</w:t>
      </w:r>
      <w:r w:rsidR="0031077F" w:rsidRPr="00E05FAC">
        <w:rPr>
          <w:rFonts w:ascii="Times New Roman" w:hAnsi="Times New Roman" w:cs="Times New Roman"/>
          <w:sz w:val="22"/>
          <w:szCs w:val="22"/>
          <w:lang w:val="es-ES" w:eastAsia="es-ES_tradnl"/>
        </w:rPr>
        <w:t xml:space="preserve"> adujo </w:t>
      </w:r>
      <w:r w:rsidRPr="00E05FAC">
        <w:rPr>
          <w:rFonts w:ascii="Times New Roman" w:hAnsi="Times New Roman" w:cs="Times New Roman"/>
          <w:sz w:val="22"/>
          <w:szCs w:val="22"/>
          <w:lang w:val="es-ES" w:eastAsia="es-ES_tradnl"/>
        </w:rPr>
        <w:t xml:space="preserve">que no hay otro medio de prueba que se relacione con dicha afirmación, cuando </w:t>
      </w:r>
      <w:r w:rsidR="0031077F" w:rsidRPr="00E05FAC">
        <w:rPr>
          <w:rFonts w:ascii="Times New Roman" w:hAnsi="Times New Roman" w:cs="Times New Roman"/>
          <w:sz w:val="22"/>
          <w:szCs w:val="22"/>
          <w:lang w:val="es-ES" w:eastAsia="es-ES_tradnl"/>
        </w:rPr>
        <w:t xml:space="preserve">de la declaración preparatoria de Pablo López </w:t>
      </w:r>
      <w:proofErr w:type="spellStart"/>
      <w:r w:rsidR="0031077F" w:rsidRPr="00E05FAC">
        <w:rPr>
          <w:rFonts w:ascii="Times New Roman" w:hAnsi="Times New Roman" w:cs="Times New Roman"/>
          <w:sz w:val="22"/>
          <w:szCs w:val="22"/>
          <w:lang w:val="es-ES" w:eastAsia="es-ES_tradnl"/>
        </w:rPr>
        <w:t>Alavéz</w:t>
      </w:r>
      <w:proofErr w:type="spellEnd"/>
      <w:r w:rsidRPr="00E05FAC">
        <w:rPr>
          <w:rFonts w:ascii="Times New Roman" w:hAnsi="Times New Roman" w:cs="Times New Roman"/>
          <w:sz w:val="22"/>
          <w:szCs w:val="22"/>
          <w:lang w:val="es-ES" w:eastAsia="es-ES_tradnl"/>
        </w:rPr>
        <w:t xml:space="preserve"> y de </w:t>
      </w:r>
      <w:r w:rsidR="0031077F" w:rsidRPr="00E05FAC">
        <w:rPr>
          <w:rFonts w:ascii="Times New Roman" w:hAnsi="Times New Roman" w:cs="Times New Roman"/>
          <w:sz w:val="22"/>
          <w:szCs w:val="22"/>
          <w:lang w:val="es-ES" w:eastAsia="es-ES_tradnl"/>
        </w:rPr>
        <w:t>las testigos</w:t>
      </w:r>
      <w:r w:rsidRPr="00E05FAC">
        <w:rPr>
          <w:rFonts w:ascii="Times New Roman" w:hAnsi="Times New Roman" w:cs="Times New Roman"/>
          <w:sz w:val="22"/>
          <w:szCs w:val="22"/>
          <w:lang w:val="es-ES" w:eastAsia="es-ES_tradnl"/>
        </w:rPr>
        <w:t xml:space="preserve"> apuntan en el mismo sentido</w:t>
      </w:r>
      <w:r w:rsidR="00EC76EE" w:rsidRPr="00E05FAC">
        <w:rPr>
          <w:rFonts w:ascii="Times New Roman" w:hAnsi="Times New Roman" w:cs="Times New Roman"/>
          <w:sz w:val="22"/>
          <w:szCs w:val="22"/>
          <w:lang w:val="es-ES" w:eastAsia="es-ES_tradnl"/>
        </w:rPr>
        <w:t>.</w:t>
      </w:r>
      <w:r w:rsidRPr="00E05FAC">
        <w:rPr>
          <w:rFonts w:ascii="Times New Roman" w:hAnsi="Times New Roman" w:cs="Times New Roman"/>
          <w:sz w:val="22"/>
          <w:szCs w:val="22"/>
          <w:lang w:val="es-ES" w:eastAsia="es-ES_tradnl"/>
        </w:rPr>
        <w:t xml:space="preserve"> </w:t>
      </w:r>
      <w:r w:rsidR="00EC76EE" w:rsidRPr="00E05FAC">
        <w:rPr>
          <w:rFonts w:ascii="Times New Roman" w:hAnsi="Times New Roman" w:cs="Times New Roman"/>
          <w:sz w:val="22"/>
          <w:szCs w:val="22"/>
          <w:lang w:val="es-ES" w:eastAsia="es-ES_tradnl"/>
        </w:rPr>
        <w:t>E</w:t>
      </w:r>
      <w:r w:rsidRPr="00E05FAC">
        <w:rPr>
          <w:rFonts w:ascii="Times New Roman" w:hAnsi="Times New Roman" w:cs="Times New Roman"/>
          <w:sz w:val="22"/>
          <w:szCs w:val="22"/>
          <w:lang w:val="es-ES" w:eastAsia="es-ES_tradnl"/>
        </w:rPr>
        <w:t xml:space="preserve">ste desdén a la documental pone de manifiesto el menosprecio por parte del juzgador del dicho de las autoridades comunitarias que emitieron </w:t>
      </w:r>
      <w:proofErr w:type="gramStart"/>
      <w:r w:rsidRPr="00E05FAC">
        <w:rPr>
          <w:rFonts w:ascii="Times New Roman" w:hAnsi="Times New Roman" w:cs="Times New Roman"/>
          <w:sz w:val="22"/>
          <w:szCs w:val="22"/>
          <w:lang w:val="es-ES" w:eastAsia="es-ES_tradnl"/>
        </w:rPr>
        <w:t>dicha</w:t>
      </w:r>
      <w:r w:rsidR="00BD2E5D">
        <w:rPr>
          <w:rFonts w:ascii="Times New Roman" w:hAnsi="Times New Roman" w:cs="Times New Roman"/>
          <w:sz w:val="22"/>
          <w:szCs w:val="22"/>
          <w:lang w:val="es-ES" w:eastAsia="es-ES_tradnl"/>
        </w:rPr>
        <w:t xml:space="preserve"> </w:t>
      </w:r>
      <w:r w:rsidRPr="00E05FAC">
        <w:rPr>
          <w:rFonts w:ascii="Times New Roman" w:hAnsi="Times New Roman" w:cs="Times New Roman"/>
          <w:sz w:val="22"/>
          <w:szCs w:val="22"/>
          <w:lang w:val="es-ES" w:eastAsia="es-ES_tradnl"/>
        </w:rPr>
        <w:t>documental</w:t>
      </w:r>
      <w:proofErr w:type="gramEnd"/>
      <w:r w:rsidRPr="00E05FAC">
        <w:rPr>
          <w:rFonts w:ascii="Times New Roman" w:hAnsi="Times New Roman" w:cs="Times New Roman"/>
          <w:sz w:val="22"/>
          <w:szCs w:val="22"/>
          <w:lang w:val="es-ES" w:eastAsia="es-ES_tradnl"/>
        </w:rPr>
        <w:t>. Así mismo, no tomó en cuenta las arbitrariedades cometidas en contra del defensor al momento de su detención.</w:t>
      </w:r>
    </w:p>
    <w:p w14:paraId="467F3BAA" w14:textId="76A52FF0" w:rsidR="00B06834" w:rsidRPr="00E05FAC" w:rsidRDefault="00B06834" w:rsidP="00C25EC1">
      <w:pPr>
        <w:pStyle w:val="Prrafodelista"/>
        <w:spacing w:before="100" w:beforeAutospacing="1" w:after="100" w:afterAutospacing="1"/>
        <w:jc w:val="both"/>
        <w:rPr>
          <w:rFonts w:ascii="Times New Roman" w:hAnsi="Times New Roman" w:cs="Times New Roman"/>
          <w:sz w:val="22"/>
          <w:szCs w:val="22"/>
          <w:lang w:val="es-ES" w:eastAsia="es-ES_tradnl"/>
        </w:rPr>
      </w:pPr>
    </w:p>
    <w:p w14:paraId="3A2D1422" w14:textId="01324E6E" w:rsidR="00B06834" w:rsidRPr="00E05FAC" w:rsidRDefault="00E801A8" w:rsidP="00C25EC1">
      <w:pPr>
        <w:pStyle w:val="Prrafodelista"/>
        <w:spacing w:before="100" w:beforeAutospacing="1" w:after="100" w:afterAutospacing="1"/>
        <w:jc w:val="both"/>
        <w:rPr>
          <w:rFonts w:ascii="Times New Roman" w:hAnsi="Times New Roman" w:cs="Times New Roman"/>
          <w:b/>
          <w:bCs/>
          <w:sz w:val="22"/>
          <w:szCs w:val="22"/>
          <w:lang w:val="es-ES" w:eastAsia="es-ES_tradnl"/>
        </w:rPr>
      </w:pPr>
      <w:r w:rsidRPr="00E05FAC">
        <w:rPr>
          <w:rFonts w:ascii="Times New Roman" w:hAnsi="Times New Roman" w:cs="Times New Roman"/>
          <w:b/>
          <w:bCs/>
          <w:sz w:val="22"/>
          <w:szCs w:val="22"/>
          <w:lang w:val="es-ES" w:eastAsia="es-ES_tradnl"/>
        </w:rPr>
        <w:t>5) Recursos</w:t>
      </w:r>
      <w:r w:rsidR="00B06834" w:rsidRPr="00E05FAC">
        <w:rPr>
          <w:rFonts w:ascii="Times New Roman" w:hAnsi="Times New Roman" w:cs="Times New Roman"/>
          <w:b/>
          <w:bCs/>
          <w:sz w:val="22"/>
          <w:szCs w:val="22"/>
          <w:lang w:val="es-ES" w:eastAsia="es-ES_tradnl"/>
        </w:rPr>
        <w:t xml:space="preserve"> de </w:t>
      </w:r>
      <w:r w:rsidRPr="00E05FAC">
        <w:rPr>
          <w:rFonts w:ascii="Times New Roman" w:hAnsi="Times New Roman" w:cs="Times New Roman"/>
          <w:b/>
          <w:bCs/>
          <w:sz w:val="22"/>
          <w:szCs w:val="22"/>
          <w:lang w:val="es-ES" w:eastAsia="es-ES_tradnl"/>
        </w:rPr>
        <w:t>impugnación</w:t>
      </w:r>
      <w:r w:rsidR="00B06834" w:rsidRPr="00E05FAC">
        <w:rPr>
          <w:rFonts w:ascii="Times New Roman" w:hAnsi="Times New Roman" w:cs="Times New Roman"/>
          <w:b/>
          <w:bCs/>
          <w:sz w:val="22"/>
          <w:szCs w:val="22"/>
          <w:lang w:val="es-ES" w:eastAsia="es-ES_tradnl"/>
        </w:rPr>
        <w:t xml:space="preserve"> vigentes: </w:t>
      </w:r>
    </w:p>
    <w:p w14:paraId="2142F95D" w14:textId="77777777" w:rsidR="00B06834" w:rsidRPr="00E05FAC" w:rsidRDefault="00B06834" w:rsidP="00C25EC1">
      <w:pPr>
        <w:pStyle w:val="Prrafodelista"/>
        <w:spacing w:before="100" w:beforeAutospacing="1" w:after="100" w:afterAutospacing="1"/>
        <w:jc w:val="both"/>
        <w:rPr>
          <w:rFonts w:ascii="Times New Roman" w:hAnsi="Times New Roman" w:cs="Times New Roman"/>
          <w:sz w:val="22"/>
          <w:szCs w:val="22"/>
          <w:lang w:val="es-ES" w:eastAsia="es-ES_tradnl"/>
        </w:rPr>
      </w:pPr>
    </w:p>
    <w:p w14:paraId="3A1D21C8" w14:textId="2BF4F83D" w:rsidR="00C25EC1" w:rsidRPr="00E05FAC" w:rsidRDefault="00972F9A" w:rsidP="00E801A8">
      <w:pPr>
        <w:pStyle w:val="Prrafodelista"/>
        <w:numPr>
          <w:ilvl w:val="0"/>
          <w:numId w:val="25"/>
        </w:numPr>
        <w:spacing w:before="100" w:beforeAutospacing="1" w:after="100" w:afterAutospacing="1"/>
        <w:jc w:val="both"/>
        <w:rPr>
          <w:rFonts w:ascii="Times New Roman" w:hAnsi="Times New Roman" w:cs="Times New Roman"/>
          <w:sz w:val="22"/>
          <w:szCs w:val="22"/>
          <w:lang w:val="es-ES" w:eastAsia="es-ES_tradnl"/>
        </w:rPr>
      </w:pPr>
      <w:r w:rsidRPr="00E05FAC">
        <w:rPr>
          <w:rFonts w:ascii="Times New Roman" w:hAnsi="Times New Roman" w:cs="Times New Roman"/>
          <w:i/>
          <w:sz w:val="22"/>
          <w:szCs w:val="22"/>
          <w:lang w:val="es-ES" w:eastAsia="es-ES_tradnl"/>
        </w:rPr>
        <w:t>13 de noviembre de 2020:</w:t>
      </w:r>
      <w:r w:rsidRPr="00E05FAC">
        <w:rPr>
          <w:rFonts w:ascii="Times New Roman" w:hAnsi="Times New Roman" w:cs="Times New Roman"/>
          <w:sz w:val="22"/>
          <w:szCs w:val="22"/>
          <w:lang w:val="es-ES" w:eastAsia="es-ES_tradnl"/>
        </w:rPr>
        <w:t xml:space="preserve"> Se hizo llegar al Primer Tribunal Colegiado Especializado en Materias Penal y del Trabajo del </w:t>
      </w:r>
      <w:proofErr w:type="spellStart"/>
      <w:r w:rsidRPr="00E05FAC">
        <w:rPr>
          <w:rFonts w:ascii="Times New Roman" w:hAnsi="Times New Roman" w:cs="Times New Roman"/>
          <w:sz w:val="22"/>
          <w:szCs w:val="22"/>
          <w:lang w:val="es-ES" w:eastAsia="es-ES_tradnl"/>
        </w:rPr>
        <w:t>Décimo</w:t>
      </w:r>
      <w:r w:rsidR="00BD2E5D">
        <w:rPr>
          <w:rFonts w:ascii="Times New Roman" w:hAnsi="Times New Roman" w:cs="Times New Roman"/>
          <w:sz w:val="22"/>
          <w:szCs w:val="22"/>
          <w:lang w:val="es-ES" w:eastAsia="es-ES_tradnl"/>
        </w:rPr>
        <w:t>t</w:t>
      </w:r>
      <w:r w:rsidRPr="00E05FAC">
        <w:rPr>
          <w:rFonts w:ascii="Times New Roman" w:hAnsi="Times New Roman" w:cs="Times New Roman"/>
          <w:sz w:val="22"/>
          <w:szCs w:val="22"/>
          <w:lang w:val="es-ES" w:eastAsia="es-ES_tradnl"/>
        </w:rPr>
        <w:t>erc</w:t>
      </w:r>
      <w:r w:rsidR="00B359EB" w:rsidRPr="00E05FAC">
        <w:rPr>
          <w:rFonts w:ascii="Times New Roman" w:hAnsi="Times New Roman" w:cs="Times New Roman"/>
          <w:sz w:val="22"/>
          <w:szCs w:val="22"/>
          <w:lang w:val="es-ES" w:eastAsia="es-ES_tradnl"/>
        </w:rPr>
        <w:t>e</w:t>
      </w:r>
      <w:r w:rsidRPr="00E05FAC">
        <w:rPr>
          <w:rFonts w:ascii="Times New Roman" w:hAnsi="Times New Roman" w:cs="Times New Roman"/>
          <w:sz w:val="22"/>
          <w:szCs w:val="22"/>
          <w:lang w:val="es-ES" w:eastAsia="es-ES_tradnl"/>
        </w:rPr>
        <w:t>r</w:t>
      </w:r>
      <w:proofErr w:type="spellEnd"/>
      <w:r w:rsidRPr="00E05FAC">
        <w:rPr>
          <w:rFonts w:ascii="Times New Roman" w:hAnsi="Times New Roman" w:cs="Times New Roman"/>
          <w:sz w:val="22"/>
          <w:szCs w:val="22"/>
          <w:lang w:val="es-ES" w:eastAsia="es-ES_tradnl"/>
        </w:rPr>
        <w:t xml:space="preserve"> Circuito </w:t>
      </w:r>
      <w:r w:rsidR="00BD2E5D">
        <w:rPr>
          <w:rFonts w:ascii="Times New Roman" w:hAnsi="Times New Roman" w:cs="Times New Roman"/>
          <w:sz w:val="22"/>
          <w:szCs w:val="22"/>
          <w:lang w:val="es-ES" w:eastAsia="es-ES_tradnl"/>
        </w:rPr>
        <w:t xml:space="preserve">un </w:t>
      </w:r>
      <w:r w:rsidRPr="00E05FAC">
        <w:rPr>
          <w:rFonts w:ascii="Times New Roman" w:hAnsi="Times New Roman" w:cs="Times New Roman"/>
          <w:sz w:val="22"/>
          <w:szCs w:val="22"/>
          <w:lang w:val="es-ES" w:eastAsia="es-ES_tradnl"/>
        </w:rPr>
        <w:t>escrito por parte de la defensa para solicitar al tribunal que no d</w:t>
      </w:r>
      <w:r w:rsidR="00E46126" w:rsidRPr="00E05FAC">
        <w:rPr>
          <w:rFonts w:ascii="Times New Roman" w:hAnsi="Times New Roman" w:cs="Times New Roman"/>
          <w:sz w:val="22"/>
          <w:szCs w:val="22"/>
          <w:lang w:val="es-ES" w:eastAsia="es-ES_tradnl"/>
        </w:rPr>
        <w:t>e</w:t>
      </w:r>
      <w:r w:rsidRPr="00E05FAC">
        <w:rPr>
          <w:rFonts w:ascii="Times New Roman" w:hAnsi="Times New Roman" w:cs="Times New Roman"/>
          <w:sz w:val="22"/>
          <w:szCs w:val="22"/>
          <w:lang w:val="es-ES" w:eastAsia="es-ES_tradnl"/>
        </w:rPr>
        <w:t xml:space="preserve"> por cumplida la ejecutoria de amparo, debido a todas las irregularidades señaladas en el p</w:t>
      </w:r>
      <w:r w:rsidR="00971B6D" w:rsidRPr="00E05FAC">
        <w:rPr>
          <w:rFonts w:ascii="Times New Roman" w:hAnsi="Times New Roman" w:cs="Times New Roman"/>
          <w:sz w:val="22"/>
          <w:szCs w:val="22"/>
          <w:lang w:val="es-ES" w:eastAsia="es-ES_tradnl"/>
        </w:rPr>
        <w:t xml:space="preserve">árrafo anterior sin que a la fecha haya manifestaciones por parte del tribunal. </w:t>
      </w:r>
      <w:r w:rsidRPr="00E05FAC">
        <w:rPr>
          <w:rFonts w:ascii="Times New Roman" w:hAnsi="Times New Roman" w:cs="Times New Roman"/>
          <w:sz w:val="22"/>
          <w:szCs w:val="22"/>
          <w:lang w:val="es-ES" w:eastAsia="es-ES_tradnl"/>
        </w:rPr>
        <w:t xml:space="preserve"> </w:t>
      </w:r>
    </w:p>
    <w:p w14:paraId="2650A4D2" w14:textId="52345A17" w:rsidR="005E4CE8" w:rsidRPr="00B359EB" w:rsidRDefault="00A66DBA" w:rsidP="00E801A8">
      <w:pPr>
        <w:pStyle w:val="Prrafodelista"/>
        <w:numPr>
          <w:ilvl w:val="0"/>
          <w:numId w:val="18"/>
        </w:numPr>
        <w:spacing w:before="100" w:beforeAutospacing="1" w:after="100" w:afterAutospacing="1"/>
        <w:jc w:val="both"/>
        <w:rPr>
          <w:color w:val="222222"/>
          <w:sz w:val="22"/>
          <w:szCs w:val="22"/>
          <w:shd w:val="clear" w:color="auto" w:fill="FFFFFF"/>
          <w:lang w:val="es-ES"/>
        </w:rPr>
      </w:pPr>
      <w:r w:rsidRPr="00E05FAC">
        <w:rPr>
          <w:rFonts w:ascii="Times New Roman" w:hAnsi="Times New Roman" w:cs="Times New Roman"/>
          <w:i/>
          <w:iCs/>
          <w:color w:val="222222"/>
          <w:sz w:val="22"/>
          <w:szCs w:val="22"/>
          <w:shd w:val="clear" w:color="auto" w:fill="FFFFFF"/>
          <w:lang w:val="es-ES"/>
        </w:rPr>
        <w:t>25 de enero 2021:</w:t>
      </w:r>
      <w:r w:rsidRPr="00E05FAC">
        <w:rPr>
          <w:rFonts w:ascii="Times New Roman" w:hAnsi="Times New Roman" w:cs="Times New Roman"/>
          <w:color w:val="222222"/>
          <w:sz w:val="22"/>
          <w:szCs w:val="22"/>
          <w:shd w:val="clear" w:color="auto" w:fill="FFFFFF"/>
          <w:lang w:val="es-ES"/>
        </w:rPr>
        <w:t xml:space="preserve"> fue </w:t>
      </w:r>
      <w:r w:rsidRPr="00E05FAC">
        <w:rPr>
          <w:rFonts w:ascii="Times New Roman" w:hAnsi="Times New Roman" w:cs="Times New Roman"/>
          <w:b/>
          <w:bCs/>
          <w:color w:val="222222"/>
          <w:sz w:val="22"/>
          <w:szCs w:val="22"/>
          <w:shd w:val="clear" w:color="auto" w:fill="FFFFFF"/>
          <w:lang w:val="es-ES"/>
        </w:rPr>
        <w:t>admitido</w:t>
      </w:r>
      <w:r w:rsidRPr="00B359EB">
        <w:rPr>
          <w:rFonts w:ascii="Times New Roman" w:hAnsi="Times New Roman" w:cs="Times New Roman"/>
          <w:b/>
          <w:bCs/>
          <w:color w:val="222222"/>
          <w:sz w:val="22"/>
          <w:szCs w:val="22"/>
          <w:shd w:val="clear" w:color="auto" w:fill="FFFFFF"/>
          <w:lang w:val="es-ES"/>
        </w:rPr>
        <w:t xml:space="preserve"> el recurso de apelación</w:t>
      </w:r>
      <w:r w:rsidRPr="00B359EB">
        <w:rPr>
          <w:rFonts w:ascii="Times New Roman" w:hAnsi="Times New Roman" w:cs="Times New Roman"/>
          <w:color w:val="222222"/>
          <w:sz w:val="22"/>
          <w:szCs w:val="22"/>
          <w:shd w:val="clear" w:color="auto" w:fill="FFFFFF"/>
          <w:lang w:val="es-ES"/>
        </w:rPr>
        <w:t xml:space="preserve"> en contra de</w:t>
      </w:r>
      <w:r w:rsidR="0031077F" w:rsidRPr="00B359EB">
        <w:rPr>
          <w:rFonts w:ascii="Times New Roman" w:hAnsi="Times New Roman" w:cs="Times New Roman"/>
          <w:color w:val="222222"/>
          <w:sz w:val="22"/>
          <w:szCs w:val="22"/>
          <w:shd w:val="clear" w:color="auto" w:fill="FFFFFF"/>
          <w:lang w:val="es-ES"/>
        </w:rPr>
        <w:t xml:space="preserve">l auto </w:t>
      </w:r>
      <w:r w:rsidRPr="00B359EB">
        <w:rPr>
          <w:rFonts w:ascii="Times New Roman" w:hAnsi="Times New Roman" w:cs="Times New Roman"/>
          <w:color w:val="222222"/>
          <w:sz w:val="22"/>
          <w:szCs w:val="22"/>
          <w:shd w:val="clear" w:color="auto" w:fill="FFFFFF"/>
          <w:lang w:val="es-ES"/>
        </w:rPr>
        <w:t>de formal prisión</w:t>
      </w:r>
      <w:r w:rsidR="00B06834" w:rsidRPr="00B359EB">
        <w:rPr>
          <w:rFonts w:ascii="Times New Roman" w:hAnsi="Times New Roman" w:cs="Times New Roman"/>
          <w:color w:val="222222"/>
          <w:sz w:val="22"/>
          <w:szCs w:val="22"/>
          <w:shd w:val="clear" w:color="auto" w:fill="FFFFFF"/>
          <w:lang w:val="es-ES"/>
        </w:rPr>
        <w:t xml:space="preserve">, después de tres meses de haberse interpuesto, </w:t>
      </w:r>
      <w:r w:rsidR="0031077F" w:rsidRPr="00B359EB">
        <w:rPr>
          <w:rFonts w:ascii="Times New Roman" w:hAnsi="Times New Roman" w:cs="Times New Roman"/>
          <w:color w:val="222222"/>
          <w:sz w:val="22"/>
          <w:szCs w:val="22"/>
          <w:shd w:val="clear" w:color="auto" w:fill="FFFFFF"/>
          <w:lang w:val="es-ES"/>
        </w:rPr>
        <w:t>a la fecha no</w:t>
      </w:r>
      <w:r w:rsidR="00B06834" w:rsidRPr="00B359EB">
        <w:rPr>
          <w:rFonts w:ascii="Times New Roman" w:hAnsi="Times New Roman" w:cs="Times New Roman"/>
          <w:color w:val="222222"/>
          <w:sz w:val="22"/>
          <w:szCs w:val="22"/>
          <w:shd w:val="clear" w:color="auto" w:fill="FFFFFF"/>
          <w:lang w:val="es-ES"/>
        </w:rPr>
        <w:t xml:space="preserve"> tiene</w:t>
      </w:r>
      <w:r w:rsidR="0031077F" w:rsidRPr="00B359EB">
        <w:rPr>
          <w:rFonts w:ascii="Times New Roman" w:hAnsi="Times New Roman" w:cs="Times New Roman"/>
          <w:color w:val="222222"/>
          <w:sz w:val="22"/>
          <w:szCs w:val="22"/>
          <w:shd w:val="clear" w:color="auto" w:fill="FFFFFF"/>
          <w:lang w:val="es-ES"/>
        </w:rPr>
        <w:t xml:space="preserve"> designado la Sala Penal que conocerá del recurso de apelación en segunda instancia</w:t>
      </w:r>
      <w:r w:rsidRPr="00B359EB">
        <w:rPr>
          <w:rFonts w:ascii="Times New Roman" w:hAnsi="Times New Roman" w:cs="Times New Roman"/>
          <w:color w:val="222222"/>
          <w:sz w:val="22"/>
          <w:szCs w:val="22"/>
          <w:shd w:val="clear" w:color="auto" w:fill="FFFFFF"/>
          <w:lang w:val="es-ES"/>
        </w:rPr>
        <w:t>.</w:t>
      </w:r>
    </w:p>
    <w:p w14:paraId="0F8A8E14" w14:textId="1FC8B0BA" w:rsidR="00E801A8" w:rsidRDefault="00FB0F92" w:rsidP="008456B2">
      <w:pPr>
        <w:pStyle w:val="Default"/>
        <w:jc w:val="both"/>
        <w:rPr>
          <w:color w:val="222222"/>
          <w:sz w:val="22"/>
          <w:szCs w:val="22"/>
          <w:shd w:val="clear" w:color="auto" w:fill="FFFFFF"/>
          <w:lang w:val="es-ES"/>
        </w:rPr>
      </w:pPr>
      <w:r>
        <w:rPr>
          <w:color w:val="222222"/>
          <w:sz w:val="22"/>
          <w:szCs w:val="22"/>
          <w:shd w:val="clear" w:color="auto" w:fill="FFFFFF"/>
          <w:lang w:val="es-ES"/>
        </w:rPr>
        <w:lastRenderedPageBreak/>
        <w:t>Cabe destacar también que el Grupo de Trabajo sobre Detenciones Arbitrarias se pronunció sobre este caso a través de su opinión 23/2017</w:t>
      </w:r>
      <w:r>
        <w:rPr>
          <w:rStyle w:val="Refdenotaalpie"/>
          <w:color w:val="222222"/>
          <w:sz w:val="22"/>
          <w:szCs w:val="22"/>
          <w:shd w:val="clear" w:color="auto" w:fill="FFFFFF"/>
          <w:lang w:val="es-ES"/>
        </w:rPr>
        <w:footnoteReference w:id="2"/>
      </w:r>
      <w:r>
        <w:rPr>
          <w:color w:val="222222"/>
          <w:sz w:val="22"/>
          <w:szCs w:val="22"/>
          <w:shd w:val="clear" w:color="auto" w:fill="FFFFFF"/>
          <w:lang w:val="es-ES"/>
        </w:rPr>
        <w:t xml:space="preserve"> calificando de arbitraria la detención y recomendando la liberación y reparación integral del daño para Pablo López </w:t>
      </w:r>
      <w:proofErr w:type="spellStart"/>
      <w:r>
        <w:rPr>
          <w:color w:val="222222"/>
          <w:sz w:val="22"/>
          <w:szCs w:val="22"/>
          <w:shd w:val="clear" w:color="auto" w:fill="FFFFFF"/>
          <w:lang w:val="es-ES"/>
        </w:rPr>
        <w:t>Alavez</w:t>
      </w:r>
      <w:proofErr w:type="spellEnd"/>
      <w:r>
        <w:rPr>
          <w:color w:val="222222"/>
          <w:sz w:val="22"/>
          <w:szCs w:val="22"/>
          <w:shd w:val="clear" w:color="auto" w:fill="FFFFFF"/>
          <w:lang w:val="es-ES"/>
        </w:rPr>
        <w:t xml:space="preserve">. </w:t>
      </w:r>
    </w:p>
    <w:p w14:paraId="0EDEDE68" w14:textId="37E61618" w:rsidR="00FB0F92" w:rsidRDefault="00FB0F92" w:rsidP="008456B2">
      <w:pPr>
        <w:pStyle w:val="Default"/>
        <w:jc w:val="both"/>
        <w:rPr>
          <w:color w:val="222222"/>
          <w:sz w:val="22"/>
          <w:szCs w:val="22"/>
          <w:shd w:val="clear" w:color="auto" w:fill="FFFFFF"/>
          <w:lang w:val="es-ES"/>
        </w:rPr>
      </w:pPr>
    </w:p>
    <w:p w14:paraId="10EA798D" w14:textId="77777777" w:rsidR="00FB0F92" w:rsidRPr="00B359EB" w:rsidRDefault="00FB0F92" w:rsidP="008456B2">
      <w:pPr>
        <w:pStyle w:val="Default"/>
        <w:jc w:val="both"/>
        <w:rPr>
          <w:color w:val="222222"/>
          <w:sz w:val="22"/>
          <w:szCs w:val="22"/>
          <w:shd w:val="clear" w:color="auto" w:fill="FFFFFF"/>
          <w:lang w:val="es-ES"/>
        </w:rPr>
      </w:pPr>
    </w:p>
    <w:p w14:paraId="0CED34EC" w14:textId="4FB82990" w:rsidR="008456B2" w:rsidRPr="00B359EB" w:rsidRDefault="008456B2" w:rsidP="00A66DBA">
      <w:pPr>
        <w:pStyle w:val="Default"/>
        <w:numPr>
          <w:ilvl w:val="0"/>
          <w:numId w:val="24"/>
        </w:numPr>
        <w:rPr>
          <w:b/>
          <w:bCs/>
          <w:color w:val="222222"/>
          <w:shd w:val="clear" w:color="auto" w:fill="FFFFFF"/>
          <w:lang w:val="es-ES"/>
        </w:rPr>
      </w:pPr>
      <w:r w:rsidRPr="00B359EB">
        <w:rPr>
          <w:b/>
          <w:bCs/>
          <w:color w:val="222222"/>
          <w:shd w:val="clear" w:color="auto" w:fill="FFFFFF"/>
          <w:lang w:val="es-ES"/>
        </w:rPr>
        <w:t>Caso de Damián Gallardo Martínez</w:t>
      </w:r>
      <w:r w:rsidR="00AF6D59" w:rsidRPr="00B359EB">
        <w:rPr>
          <w:b/>
          <w:bCs/>
          <w:color w:val="222222"/>
          <w:shd w:val="clear" w:color="auto" w:fill="FFFFFF"/>
          <w:lang w:val="es-ES"/>
        </w:rPr>
        <w:t xml:space="preserve">:  víctima de detención arbitraria y prisión sin sentencia </w:t>
      </w:r>
      <w:r w:rsidR="00BD2E5D">
        <w:rPr>
          <w:b/>
          <w:bCs/>
          <w:color w:val="222222"/>
          <w:shd w:val="clear" w:color="auto" w:fill="FFFFFF"/>
          <w:lang w:val="es-ES"/>
        </w:rPr>
        <w:t xml:space="preserve">por </w:t>
      </w:r>
      <w:r w:rsidR="00AF6D59" w:rsidRPr="00B359EB">
        <w:rPr>
          <w:b/>
          <w:bCs/>
          <w:color w:val="222222"/>
          <w:shd w:val="clear" w:color="auto" w:fill="FFFFFF"/>
          <w:lang w:val="es-ES"/>
        </w:rPr>
        <w:t xml:space="preserve">5 años 7 meses </w:t>
      </w:r>
    </w:p>
    <w:p w14:paraId="5EAA029C" w14:textId="5F75968A" w:rsidR="008456B2" w:rsidRPr="00B359EB" w:rsidRDefault="008456B2" w:rsidP="008456B2">
      <w:pPr>
        <w:pStyle w:val="Default"/>
        <w:jc w:val="both"/>
        <w:rPr>
          <w:color w:val="222222"/>
          <w:sz w:val="22"/>
          <w:szCs w:val="22"/>
          <w:shd w:val="clear" w:color="auto" w:fill="FFFFFF"/>
          <w:lang w:val="es-ES"/>
        </w:rPr>
      </w:pPr>
      <w:r w:rsidRPr="00B359EB">
        <w:rPr>
          <w:color w:val="222222"/>
          <w:sz w:val="22"/>
          <w:szCs w:val="22"/>
          <w:shd w:val="clear" w:color="auto" w:fill="FFFFFF"/>
          <w:lang w:val="es-ES"/>
        </w:rPr>
        <w:t xml:space="preserve"> </w:t>
      </w:r>
    </w:p>
    <w:p w14:paraId="5C6275C9" w14:textId="7E865E33" w:rsidR="00AF6D59" w:rsidRPr="00B359EB" w:rsidRDefault="00AF6D59" w:rsidP="00A66DBA">
      <w:pPr>
        <w:pStyle w:val="Prrafodelista"/>
        <w:numPr>
          <w:ilvl w:val="0"/>
          <w:numId w:val="21"/>
        </w:numPr>
        <w:jc w:val="both"/>
        <w:rPr>
          <w:rFonts w:ascii="Times New Roman" w:hAnsi="Times New Roman" w:cs="Times New Roman"/>
          <w:b/>
          <w:bCs/>
          <w:color w:val="000000" w:themeColor="text1"/>
          <w:sz w:val="22"/>
          <w:szCs w:val="22"/>
          <w:lang w:val="es-ES"/>
        </w:rPr>
      </w:pPr>
      <w:r w:rsidRPr="00B359EB">
        <w:rPr>
          <w:rFonts w:ascii="Times New Roman" w:hAnsi="Times New Roman" w:cs="Times New Roman"/>
          <w:b/>
          <w:bCs/>
          <w:color w:val="000000" w:themeColor="text1"/>
          <w:sz w:val="22"/>
          <w:szCs w:val="22"/>
          <w:lang w:val="es-ES"/>
        </w:rPr>
        <w:t>Datos generales</w:t>
      </w:r>
    </w:p>
    <w:p w14:paraId="484D8CF7" w14:textId="77777777" w:rsidR="00AF6D59" w:rsidRPr="00B359EB" w:rsidRDefault="00AF6D59" w:rsidP="00AF6D59">
      <w:pPr>
        <w:jc w:val="both"/>
        <w:rPr>
          <w:rFonts w:ascii="Times New Roman" w:hAnsi="Times New Roman" w:cs="Times New Roman"/>
          <w:b/>
          <w:bCs/>
          <w:color w:val="000000" w:themeColor="text1"/>
          <w:sz w:val="22"/>
          <w:szCs w:val="22"/>
          <w:lang w:val="es-ES"/>
        </w:rPr>
      </w:pPr>
    </w:p>
    <w:p w14:paraId="5CE820BA" w14:textId="246F6C78" w:rsidR="00AF6D59" w:rsidRPr="00B359EB" w:rsidRDefault="00AF6D59" w:rsidP="00AF6D59">
      <w:pPr>
        <w:pStyle w:val="Prrafodelista"/>
        <w:numPr>
          <w:ilvl w:val="0"/>
          <w:numId w:val="11"/>
        </w:numPr>
        <w:jc w:val="both"/>
        <w:rPr>
          <w:rFonts w:ascii="Times New Roman" w:hAnsi="Times New Roman" w:cs="Times New Roman"/>
          <w:b/>
          <w:color w:val="000000" w:themeColor="text1"/>
          <w:sz w:val="22"/>
          <w:szCs w:val="22"/>
          <w:lang w:val="es-ES"/>
        </w:rPr>
      </w:pPr>
      <w:r w:rsidRPr="00B359EB">
        <w:rPr>
          <w:rFonts w:ascii="Times New Roman" w:hAnsi="Times New Roman" w:cs="Times New Roman"/>
          <w:b/>
          <w:color w:val="000000" w:themeColor="text1"/>
          <w:sz w:val="22"/>
          <w:szCs w:val="22"/>
          <w:lang w:val="es-ES"/>
        </w:rPr>
        <w:t>Delitos de que se le acusó:</w:t>
      </w:r>
      <w:r w:rsidRPr="00B359EB">
        <w:rPr>
          <w:rFonts w:ascii="Times New Roman" w:hAnsi="Times New Roman" w:cs="Times New Roman"/>
          <w:color w:val="000000" w:themeColor="text1"/>
          <w:sz w:val="22"/>
          <w:szCs w:val="22"/>
          <w:lang w:val="es-ES"/>
        </w:rPr>
        <w:t xml:space="preserve"> Delincuencia organizada y secuestro, delitos establecidos en </w:t>
      </w:r>
      <w:r w:rsidR="00A66DBA" w:rsidRPr="00B359EB">
        <w:rPr>
          <w:rFonts w:ascii="Times New Roman" w:hAnsi="Times New Roman" w:cs="Times New Roman"/>
          <w:color w:val="000000" w:themeColor="text1"/>
          <w:sz w:val="22"/>
          <w:szCs w:val="22"/>
          <w:lang w:val="es-ES"/>
        </w:rPr>
        <w:t>el</w:t>
      </w:r>
      <w:r w:rsidRPr="00B359EB">
        <w:rPr>
          <w:rFonts w:ascii="Times New Roman" w:hAnsi="Times New Roman" w:cs="Times New Roman"/>
          <w:color w:val="000000" w:themeColor="text1"/>
          <w:sz w:val="22"/>
          <w:szCs w:val="22"/>
          <w:lang w:val="es-ES"/>
        </w:rPr>
        <w:t xml:space="preserve"> artícul</w:t>
      </w:r>
      <w:r w:rsidR="00A66DBA" w:rsidRPr="00B359EB">
        <w:rPr>
          <w:rFonts w:ascii="Times New Roman" w:hAnsi="Times New Roman" w:cs="Times New Roman"/>
          <w:color w:val="000000" w:themeColor="text1"/>
          <w:sz w:val="22"/>
          <w:szCs w:val="22"/>
          <w:lang w:val="es-ES"/>
        </w:rPr>
        <w:t>o</w:t>
      </w:r>
      <w:r w:rsidR="009B5E73" w:rsidRPr="00B359EB">
        <w:rPr>
          <w:rFonts w:ascii="Times New Roman" w:hAnsi="Times New Roman" w:cs="Times New Roman"/>
          <w:color w:val="000000" w:themeColor="text1"/>
          <w:sz w:val="22"/>
          <w:szCs w:val="22"/>
          <w:lang w:val="es-ES"/>
        </w:rPr>
        <w:t xml:space="preserve"> 2 de la Ley Federal contra la Delincuencia Organizada y </w:t>
      </w:r>
      <w:r w:rsidR="00A66DBA" w:rsidRPr="00B359EB">
        <w:rPr>
          <w:rFonts w:ascii="Times New Roman" w:hAnsi="Times New Roman" w:cs="Times New Roman"/>
          <w:color w:val="000000" w:themeColor="text1"/>
          <w:sz w:val="22"/>
          <w:szCs w:val="22"/>
          <w:lang w:val="es-ES"/>
        </w:rPr>
        <w:t xml:space="preserve">en el articulo 9 de la </w:t>
      </w:r>
      <w:r w:rsidR="00A66DBA" w:rsidRPr="00B359EB">
        <w:rPr>
          <w:rFonts w:ascii="Times New Roman" w:eastAsia="Times New Roman" w:hAnsi="Times New Roman" w:cs="Times New Roman"/>
          <w:sz w:val="22"/>
          <w:szCs w:val="22"/>
          <w:lang w:val="es-ES" w:eastAsia="es-ES"/>
        </w:rPr>
        <w:t>Ley General para Prevenir y Sancionar los Delitos en Materia de Secuestro;</w:t>
      </w:r>
      <w:r w:rsidRPr="00B359EB">
        <w:rPr>
          <w:rFonts w:ascii="Times New Roman" w:hAnsi="Times New Roman" w:cs="Times New Roman"/>
          <w:color w:val="000000" w:themeColor="text1"/>
          <w:sz w:val="22"/>
          <w:szCs w:val="22"/>
          <w:lang w:val="es-ES"/>
        </w:rPr>
        <w:t xml:space="preserve"> vigente</w:t>
      </w:r>
      <w:r w:rsidR="00A66DBA" w:rsidRPr="00B359EB">
        <w:rPr>
          <w:rFonts w:ascii="Times New Roman" w:hAnsi="Times New Roman" w:cs="Times New Roman"/>
          <w:color w:val="000000" w:themeColor="text1"/>
          <w:sz w:val="22"/>
          <w:szCs w:val="22"/>
          <w:lang w:val="es-ES"/>
        </w:rPr>
        <w:t>s</w:t>
      </w:r>
      <w:r w:rsidRPr="00B359EB">
        <w:rPr>
          <w:rFonts w:ascii="Times New Roman" w:hAnsi="Times New Roman" w:cs="Times New Roman"/>
          <w:color w:val="000000" w:themeColor="text1"/>
          <w:sz w:val="22"/>
          <w:szCs w:val="22"/>
          <w:lang w:val="es-ES"/>
        </w:rPr>
        <w:t xml:space="preserve"> en el año 2013</w:t>
      </w:r>
      <w:r w:rsidR="00A66DBA" w:rsidRPr="00B359EB">
        <w:rPr>
          <w:rFonts w:ascii="Times New Roman" w:hAnsi="Times New Roman" w:cs="Times New Roman"/>
          <w:color w:val="000000" w:themeColor="text1"/>
          <w:sz w:val="22"/>
          <w:szCs w:val="22"/>
          <w:lang w:val="es-ES"/>
        </w:rPr>
        <w:t>.</w:t>
      </w:r>
    </w:p>
    <w:p w14:paraId="503C609A" w14:textId="7ECBB1EB" w:rsidR="00AF6D59" w:rsidRPr="00B359EB" w:rsidRDefault="00AF6D59" w:rsidP="00AF6D59">
      <w:pPr>
        <w:pStyle w:val="Prrafodelista"/>
        <w:numPr>
          <w:ilvl w:val="0"/>
          <w:numId w:val="11"/>
        </w:numPr>
        <w:jc w:val="both"/>
        <w:rPr>
          <w:rFonts w:ascii="Times New Roman" w:hAnsi="Times New Roman" w:cs="Times New Roman"/>
          <w:b/>
          <w:color w:val="000000" w:themeColor="text1"/>
          <w:sz w:val="22"/>
          <w:szCs w:val="22"/>
          <w:lang w:val="es-ES"/>
        </w:rPr>
      </w:pPr>
      <w:r w:rsidRPr="00B359EB">
        <w:rPr>
          <w:rFonts w:ascii="Times New Roman" w:hAnsi="Times New Roman" w:cs="Times New Roman"/>
          <w:b/>
          <w:color w:val="000000" w:themeColor="text1"/>
          <w:sz w:val="22"/>
          <w:szCs w:val="22"/>
          <w:lang w:val="es-ES"/>
        </w:rPr>
        <w:t>Lugar de reclusión:</w:t>
      </w:r>
      <w:r w:rsidRPr="00B359EB">
        <w:rPr>
          <w:rFonts w:ascii="Times New Roman" w:hAnsi="Times New Roman" w:cs="Times New Roman"/>
          <w:color w:val="000000" w:themeColor="text1"/>
          <w:sz w:val="22"/>
          <w:szCs w:val="22"/>
          <w:lang w:val="es-ES"/>
        </w:rPr>
        <w:t xml:space="preserve"> </w:t>
      </w:r>
      <w:r w:rsidR="00905132" w:rsidRPr="00B359EB">
        <w:rPr>
          <w:rFonts w:ascii="Times New Roman" w:eastAsia="Times New Roman" w:hAnsi="Times New Roman" w:cs="Times New Roman"/>
          <w:sz w:val="22"/>
          <w:szCs w:val="22"/>
          <w:lang w:val="es-ES" w:eastAsia="es-ES_tradnl"/>
        </w:rPr>
        <w:t>CEFERESO nº2 de “Puente Grande” Guadalajara, Jalisco</w:t>
      </w:r>
      <w:r w:rsidR="00CB340B" w:rsidRPr="00B359EB">
        <w:rPr>
          <w:rFonts w:ascii="Times New Roman" w:eastAsia="Times New Roman" w:hAnsi="Times New Roman" w:cs="Times New Roman"/>
          <w:sz w:val="22"/>
          <w:szCs w:val="22"/>
          <w:lang w:val="es-ES" w:eastAsia="es-ES_tradnl"/>
        </w:rPr>
        <w:t>.</w:t>
      </w:r>
    </w:p>
    <w:p w14:paraId="3752D667" w14:textId="5EBD5890" w:rsidR="00AF6D59" w:rsidRPr="00B359EB" w:rsidRDefault="00AF6D59" w:rsidP="00AF6D59">
      <w:pPr>
        <w:pStyle w:val="Prrafodelista"/>
        <w:numPr>
          <w:ilvl w:val="0"/>
          <w:numId w:val="11"/>
        </w:numPr>
        <w:jc w:val="both"/>
        <w:rPr>
          <w:rFonts w:ascii="Times New Roman" w:hAnsi="Times New Roman" w:cs="Times New Roman"/>
          <w:b/>
          <w:color w:val="000000" w:themeColor="text1"/>
          <w:sz w:val="22"/>
          <w:szCs w:val="22"/>
          <w:lang w:val="es-ES"/>
        </w:rPr>
      </w:pPr>
      <w:r w:rsidRPr="00B359EB">
        <w:rPr>
          <w:rFonts w:ascii="Times New Roman" w:hAnsi="Times New Roman" w:cs="Times New Roman"/>
          <w:b/>
          <w:color w:val="000000" w:themeColor="text1"/>
          <w:sz w:val="22"/>
          <w:szCs w:val="22"/>
          <w:lang w:val="es-ES"/>
        </w:rPr>
        <w:t xml:space="preserve">Tiempo de reclusión: </w:t>
      </w:r>
      <w:r w:rsidR="00905132" w:rsidRPr="00B359EB">
        <w:rPr>
          <w:rFonts w:ascii="Times New Roman" w:hAnsi="Times New Roman" w:cs="Times New Roman"/>
          <w:color w:val="000000" w:themeColor="text1"/>
          <w:sz w:val="22"/>
          <w:szCs w:val="22"/>
          <w:lang w:val="es-ES"/>
        </w:rPr>
        <w:t>P</w:t>
      </w:r>
      <w:r w:rsidRPr="00B359EB">
        <w:rPr>
          <w:rFonts w:ascii="Times New Roman" w:hAnsi="Times New Roman" w:cs="Times New Roman"/>
          <w:color w:val="000000" w:themeColor="text1"/>
          <w:sz w:val="22"/>
          <w:szCs w:val="22"/>
          <w:lang w:val="es-ES"/>
        </w:rPr>
        <w:t>ermaneció privado de libertad</w:t>
      </w:r>
      <w:r w:rsidR="00E46126" w:rsidRPr="00B359EB">
        <w:rPr>
          <w:rFonts w:ascii="Times New Roman" w:hAnsi="Times New Roman" w:cs="Times New Roman"/>
          <w:color w:val="000000" w:themeColor="text1"/>
          <w:sz w:val="22"/>
          <w:szCs w:val="22"/>
          <w:lang w:val="es-ES"/>
        </w:rPr>
        <w:t>, sin sentencia, durante</w:t>
      </w:r>
      <w:r w:rsidRPr="00B359EB">
        <w:rPr>
          <w:rFonts w:ascii="Times New Roman" w:hAnsi="Times New Roman" w:cs="Times New Roman"/>
          <w:color w:val="000000" w:themeColor="text1"/>
          <w:sz w:val="22"/>
          <w:szCs w:val="22"/>
          <w:lang w:val="es-ES"/>
        </w:rPr>
        <w:t xml:space="preserve"> 5 años, 7 meses y 10 días</w:t>
      </w:r>
      <w:r w:rsidR="00CB340B" w:rsidRPr="00B359EB">
        <w:rPr>
          <w:rFonts w:ascii="Times New Roman" w:hAnsi="Times New Roman" w:cs="Times New Roman"/>
          <w:color w:val="000000" w:themeColor="text1"/>
          <w:sz w:val="22"/>
          <w:szCs w:val="22"/>
          <w:lang w:val="es-ES"/>
        </w:rPr>
        <w:t>.</w:t>
      </w:r>
    </w:p>
    <w:p w14:paraId="7FF7FAD1" w14:textId="08074A5C" w:rsidR="00AF6D59" w:rsidRPr="00B359EB" w:rsidRDefault="00AF6D59" w:rsidP="00AF6D59">
      <w:pPr>
        <w:pStyle w:val="Prrafodelista"/>
        <w:numPr>
          <w:ilvl w:val="0"/>
          <w:numId w:val="11"/>
        </w:numPr>
        <w:jc w:val="both"/>
        <w:rPr>
          <w:rFonts w:ascii="Times New Roman" w:hAnsi="Times New Roman" w:cs="Times New Roman"/>
          <w:color w:val="000000" w:themeColor="text1"/>
          <w:sz w:val="22"/>
          <w:szCs w:val="22"/>
          <w:lang w:val="es-ES"/>
        </w:rPr>
      </w:pPr>
      <w:r w:rsidRPr="00B359EB">
        <w:rPr>
          <w:rFonts w:ascii="Times New Roman" w:hAnsi="Times New Roman" w:cs="Times New Roman"/>
          <w:b/>
          <w:color w:val="000000" w:themeColor="text1"/>
          <w:sz w:val="22"/>
          <w:szCs w:val="22"/>
          <w:lang w:val="es-ES"/>
        </w:rPr>
        <w:t xml:space="preserve">Situación Jurídica: </w:t>
      </w:r>
      <w:r w:rsidRPr="00B359EB">
        <w:rPr>
          <w:rFonts w:ascii="Times New Roman" w:hAnsi="Times New Roman" w:cs="Times New Roman"/>
          <w:color w:val="000000" w:themeColor="text1"/>
          <w:sz w:val="22"/>
          <w:szCs w:val="22"/>
          <w:lang w:val="es-ES"/>
        </w:rPr>
        <w:t>El 28 de diciembre 2018 fue dictada libertad absolutoria</w:t>
      </w:r>
      <w:r w:rsidR="00EC76EE">
        <w:rPr>
          <w:rFonts w:ascii="Times New Roman" w:hAnsi="Times New Roman" w:cs="Times New Roman"/>
          <w:color w:val="000000" w:themeColor="text1"/>
          <w:sz w:val="22"/>
          <w:szCs w:val="22"/>
          <w:lang w:val="es-ES"/>
        </w:rPr>
        <w:t>.</w:t>
      </w:r>
      <w:r w:rsidR="00DE2B51">
        <w:rPr>
          <w:rFonts w:ascii="Times New Roman" w:hAnsi="Times New Roman" w:cs="Times New Roman"/>
          <w:color w:val="000000" w:themeColor="text1"/>
          <w:sz w:val="22"/>
          <w:szCs w:val="22"/>
          <w:lang w:val="es-ES"/>
        </w:rPr>
        <w:t xml:space="preserve"> </w:t>
      </w:r>
      <w:r w:rsidR="00EC76EE">
        <w:rPr>
          <w:rFonts w:ascii="Times New Roman" w:hAnsi="Times New Roman" w:cs="Times New Roman"/>
          <w:color w:val="000000" w:themeColor="text1"/>
          <w:sz w:val="22"/>
          <w:szCs w:val="22"/>
          <w:lang w:val="es-ES"/>
        </w:rPr>
        <w:t>Se han denunciado la tortura y otras graves violaciones a derechos humanos que sufrió</w:t>
      </w:r>
      <w:r w:rsidR="00DE2B51">
        <w:rPr>
          <w:rFonts w:ascii="Times New Roman" w:hAnsi="Times New Roman" w:cs="Times New Roman"/>
          <w:color w:val="000000" w:themeColor="text1"/>
          <w:sz w:val="22"/>
          <w:szCs w:val="22"/>
          <w:lang w:val="es-ES"/>
        </w:rPr>
        <w:t>.</w:t>
      </w:r>
      <w:r w:rsidR="00EC76EE" w:rsidRPr="00B359EB">
        <w:rPr>
          <w:rFonts w:ascii="Times New Roman" w:hAnsi="Times New Roman" w:cs="Times New Roman"/>
          <w:color w:val="000000" w:themeColor="text1"/>
          <w:sz w:val="22"/>
          <w:szCs w:val="22"/>
          <w:lang w:val="es-ES"/>
        </w:rPr>
        <w:t xml:space="preserve"> </w:t>
      </w:r>
      <w:r w:rsidR="00CB340B" w:rsidRPr="00B359EB">
        <w:rPr>
          <w:rFonts w:ascii="Times New Roman" w:hAnsi="Times New Roman" w:cs="Times New Roman"/>
          <w:color w:val="000000" w:themeColor="text1"/>
          <w:sz w:val="22"/>
          <w:szCs w:val="22"/>
          <w:lang w:val="es-ES"/>
        </w:rPr>
        <w:t>E</w:t>
      </w:r>
      <w:r w:rsidRPr="00B359EB">
        <w:rPr>
          <w:rFonts w:ascii="Times New Roman" w:hAnsi="Times New Roman" w:cs="Times New Roman"/>
          <w:color w:val="000000" w:themeColor="text1"/>
          <w:sz w:val="22"/>
          <w:szCs w:val="22"/>
          <w:lang w:val="es-ES"/>
        </w:rPr>
        <w:t>n febrero 2020 fue interpuesta solicitud de reparación integral del daño</w:t>
      </w:r>
      <w:r w:rsidR="00CB340B" w:rsidRPr="00B359EB">
        <w:rPr>
          <w:rFonts w:ascii="Times New Roman" w:hAnsi="Times New Roman" w:cs="Times New Roman"/>
          <w:color w:val="000000" w:themeColor="text1"/>
          <w:sz w:val="22"/>
          <w:szCs w:val="22"/>
          <w:lang w:val="es-ES"/>
        </w:rPr>
        <w:t xml:space="preserve"> ante la Comisión Ejecutiva de Atención a Víctimas</w:t>
      </w:r>
      <w:r w:rsidRPr="00B359EB">
        <w:rPr>
          <w:rFonts w:ascii="Times New Roman" w:hAnsi="Times New Roman" w:cs="Times New Roman"/>
          <w:color w:val="000000" w:themeColor="text1"/>
          <w:sz w:val="22"/>
          <w:szCs w:val="22"/>
          <w:lang w:val="es-ES"/>
        </w:rPr>
        <w:t xml:space="preserve">. Hasta la fecha permanecen sin avances </w:t>
      </w:r>
      <w:r w:rsidR="00905132" w:rsidRPr="00B359EB">
        <w:rPr>
          <w:rFonts w:ascii="Times New Roman" w:hAnsi="Times New Roman" w:cs="Times New Roman"/>
          <w:color w:val="000000" w:themeColor="text1"/>
          <w:sz w:val="22"/>
          <w:szCs w:val="22"/>
          <w:lang w:val="es-ES"/>
        </w:rPr>
        <w:t>el acceso a la justicia y la reparación integral del daño.</w:t>
      </w:r>
    </w:p>
    <w:p w14:paraId="3FC6E2B1" w14:textId="77777777" w:rsidR="008456B2" w:rsidRPr="00B359EB" w:rsidRDefault="008456B2" w:rsidP="008456B2">
      <w:pPr>
        <w:pStyle w:val="Default"/>
        <w:jc w:val="both"/>
        <w:rPr>
          <w:color w:val="222222"/>
          <w:sz w:val="22"/>
          <w:szCs w:val="22"/>
          <w:shd w:val="clear" w:color="auto" w:fill="FFFFFF"/>
          <w:lang w:val="es-ES"/>
        </w:rPr>
      </w:pPr>
    </w:p>
    <w:p w14:paraId="1F317C28" w14:textId="33B0F449" w:rsidR="008456B2" w:rsidRPr="00B359EB" w:rsidRDefault="00B8013C" w:rsidP="00A66DBA">
      <w:pPr>
        <w:pStyle w:val="Default"/>
        <w:numPr>
          <w:ilvl w:val="0"/>
          <w:numId w:val="21"/>
        </w:numPr>
        <w:jc w:val="both"/>
        <w:rPr>
          <w:b/>
          <w:bCs/>
          <w:color w:val="222222"/>
          <w:sz w:val="22"/>
          <w:szCs w:val="22"/>
          <w:shd w:val="clear" w:color="auto" w:fill="FFFFFF"/>
          <w:lang w:val="es-ES"/>
        </w:rPr>
      </w:pPr>
      <w:r w:rsidRPr="00B359EB">
        <w:rPr>
          <w:b/>
          <w:bCs/>
          <w:color w:val="222222"/>
          <w:sz w:val="22"/>
          <w:szCs w:val="22"/>
          <w:shd w:val="clear" w:color="auto" w:fill="FFFFFF"/>
          <w:lang w:val="es-ES"/>
        </w:rPr>
        <w:t xml:space="preserve">Perfil del defensor de derechos humanos </w:t>
      </w:r>
    </w:p>
    <w:p w14:paraId="793D003B" w14:textId="343ED47D" w:rsidR="009549B3" w:rsidRPr="00B359EB" w:rsidRDefault="009549B3" w:rsidP="008456B2">
      <w:pPr>
        <w:pStyle w:val="Default"/>
        <w:jc w:val="both"/>
        <w:rPr>
          <w:color w:val="222222"/>
          <w:sz w:val="22"/>
          <w:szCs w:val="22"/>
          <w:shd w:val="clear" w:color="auto" w:fill="FFFFFF"/>
          <w:lang w:val="es-ES"/>
        </w:rPr>
      </w:pPr>
    </w:p>
    <w:p w14:paraId="68EC409D" w14:textId="0CB5002F" w:rsidR="00905132" w:rsidRPr="00B359EB" w:rsidRDefault="006B02EC" w:rsidP="00CB340B">
      <w:pPr>
        <w:jc w:val="both"/>
        <w:rPr>
          <w:rFonts w:ascii="Times New Roman" w:hAnsi="Times New Roman" w:cs="Times New Roman"/>
          <w:b/>
          <w:sz w:val="22"/>
          <w:szCs w:val="22"/>
          <w:lang w:val="es-ES"/>
        </w:rPr>
      </w:pPr>
      <w:r w:rsidRPr="00B359EB">
        <w:rPr>
          <w:rFonts w:ascii="Times New Roman" w:eastAsia="Times New Roman" w:hAnsi="Times New Roman" w:cs="Times New Roman"/>
          <w:sz w:val="22"/>
          <w:szCs w:val="22"/>
          <w:lang w:val="es-ES" w:eastAsia="es-ES_tradnl"/>
        </w:rPr>
        <w:t xml:space="preserve">Damián Gallardo Martínez es defensor de derechos humanos indígena </w:t>
      </w:r>
      <w:proofErr w:type="spellStart"/>
      <w:r w:rsidRPr="00B359EB">
        <w:rPr>
          <w:rFonts w:ascii="Times New Roman" w:eastAsia="Times New Roman" w:hAnsi="Times New Roman" w:cs="Times New Roman"/>
          <w:sz w:val="22"/>
          <w:szCs w:val="22"/>
          <w:lang w:val="es-ES" w:eastAsia="es-ES_tradnl"/>
        </w:rPr>
        <w:t>Ayuujk</w:t>
      </w:r>
      <w:proofErr w:type="spellEnd"/>
      <w:r w:rsidRPr="00B359EB">
        <w:rPr>
          <w:rFonts w:ascii="Times New Roman" w:eastAsia="Times New Roman" w:hAnsi="Times New Roman" w:cs="Times New Roman"/>
          <w:sz w:val="22"/>
          <w:szCs w:val="22"/>
          <w:lang w:val="es-ES" w:eastAsia="es-ES_tradnl"/>
        </w:rPr>
        <w:t xml:space="preserve">, originario de la comunidad de Santa María </w:t>
      </w:r>
      <w:proofErr w:type="spellStart"/>
      <w:r w:rsidRPr="00B359EB">
        <w:rPr>
          <w:rFonts w:ascii="Times New Roman" w:eastAsia="Times New Roman" w:hAnsi="Times New Roman" w:cs="Times New Roman"/>
          <w:sz w:val="22"/>
          <w:szCs w:val="22"/>
          <w:lang w:val="es-ES" w:eastAsia="es-ES_tradnl"/>
        </w:rPr>
        <w:t>Tlahuitoltepec</w:t>
      </w:r>
      <w:proofErr w:type="spellEnd"/>
      <w:r w:rsidR="00B06834" w:rsidRPr="00B359EB">
        <w:rPr>
          <w:rFonts w:ascii="Times New Roman" w:eastAsia="Times New Roman" w:hAnsi="Times New Roman" w:cs="Times New Roman"/>
          <w:sz w:val="22"/>
          <w:szCs w:val="22"/>
          <w:lang w:val="es-ES" w:eastAsia="es-ES_tradnl"/>
        </w:rPr>
        <w:t>, Mixe,</w:t>
      </w:r>
      <w:r w:rsidRPr="00B359EB">
        <w:rPr>
          <w:rFonts w:ascii="Times New Roman" w:eastAsia="Times New Roman" w:hAnsi="Times New Roman" w:cs="Times New Roman"/>
          <w:sz w:val="22"/>
          <w:szCs w:val="22"/>
          <w:lang w:val="es-ES" w:eastAsia="es-ES_tradnl"/>
        </w:rPr>
        <w:t xml:space="preserve"> Oaxaca</w:t>
      </w:r>
      <w:r w:rsidR="00B06834" w:rsidRPr="00B359EB">
        <w:rPr>
          <w:rFonts w:ascii="Times New Roman" w:eastAsia="Times New Roman" w:hAnsi="Times New Roman" w:cs="Times New Roman"/>
          <w:sz w:val="22"/>
          <w:szCs w:val="22"/>
          <w:lang w:val="es-ES" w:eastAsia="es-ES_tradnl"/>
        </w:rPr>
        <w:t>, México.</w:t>
      </w:r>
      <w:r w:rsidRPr="00B359EB">
        <w:rPr>
          <w:rFonts w:ascii="Times New Roman" w:eastAsia="Times New Roman" w:hAnsi="Times New Roman" w:cs="Times New Roman"/>
          <w:sz w:val="22"/>
          <w:szCs w:val="22"/>
          <w:lang w:val="es-ES" w:eastAsia="es-ES_tradnl"/>
        </w:rPr>
        <w:t xml:space="preserve"> Tiene una larga trayectoria de activismo y defensa a favor de los derechos de los pueblos indígenas y de la educación</w:t>
      </w:r>
      <w:r w:rsidR="00905132" w:rsidRPr="00B359EB">
        <w:rPr>
          <w:rFonts w:ascii="Times New Roman" w:eastAsia="Times New Roman" w:hAnsi="Times New Roman" w:cs="Times New Roman"/>
          <w:sz w:val="22"/>
          <w:szCs w:val="22"/>
          <w:lang w:val="es-ES" w:eastAsia="es-ES_tradnl"/>
        </w:rPr>
        <w:t xml:space="preserve"> comunitaria y popular. </w:t>
      </w:r>
    </w:p>
    <w:p w14:paraId="1C88BF26" w14:textId="77777777" w:rsidR="00905132" w:rsidRPr="00B359EB" w:rsidRDefault="00905132" w:rsidP="00CB340B">
      <w:pPr>
        <w:jc w:val="both"/>
        <w:rPr>
          <w:rFonts w:ascii="Times New Roman" w:eastAsia="Times New Roman" w:hAnsi="Times New Roman" w:cs="Times New Roman"/>
          <w:sz w:val="22"/>
          <w:szCs w:val="22"/>
          <w:lang w:val="es-ES" w:eastAsia="es-ES_tradnl"/>
        </w:rPr>
      </w:pPr>
    </w:p>
    <w:p w14:paraId="437CFDFA" w14:textId="26985C01" w:rsidR="00905132" w:rsidRPr="00B359EB" w:rsidRDefault="00905132" w:rsidP="00B8013C">
      <w:pPr>
        <w:pStyle w:val="Default"/>
        <w:jc w:val="both"/>
        <w:rPr>
          <w:color w:val="222222"/>
          <w:sz w:val="22"/>
          <w:szCs w:val="22"/>
          <w:shd w:val="clear" w:color="auto" w:fill="FFFFFF"/>
          <w:lang w:val="es-ES"/>
        </w:rPr>
      </w:pPr>
      <w:r w:rsidRPr="00B359EB">
        <w:rPr>
          <w:color w:val="222222"/>
          <w:sz w:val="22"/>
          <w:szCs w:val="22"/>
          <w:shd w:val="clear" w:color="auto" w:fill="FFFFFF"/>
          <w:lang w:val="es-ES"/>
        </w:rPr>
        <w:t xml:space="preserve">Su detención arbitraria se dio en un contexto de grave incremento de la criminalización de la protesta social en Oaxaca y en particular en el contexto de </w:t>
      </w:r>
      <w:r w:rsidR="00CB340B" w:rsidRPr="00B359EB">
        <w:rPr>
          <w:color w:val="222222"/>
          <w:sz w:val="22"/>
          <w:szCs w:val="22"/>
          <w:shd w:val="clear" w:color="auto" w:fill="FFFFFF"/>
          <w:lang w:val="es-ES"/>
        </w:rPr>
        <w:t>la</w:t>
      </w:r>
      <w:r w:rsidRPr="00B359EB">
        <w:rPr>
          <w:color w:val="222222"/>
          <w:sz w:val="22"/>
          <w:szCs w:val="22"/>
          <w:shd w:val="clear" w:color="auto" w:fill="FFFFFF"/>
          <w:lang w:val="es-ES"/>
        </w:rPr>
        <w:t xml:space="preserve"> participación </w:t>
      </w:r>
      <w:r w:rsidR="00CB340B" w:rsidRPr="00B359EB">
        <w:rPr>
          <w:color w:val="222222"/>
          <w:sz w:val="22"/>
          <w:szCs w:val="22"/>
          <w:shd w:val="clear" w:color="auto" w:fill="FFFFFF"/>
          <w:lang w:val="es-ES"/>
        </w:rPr>
        <w:t xml:space="preserve">de Damián Gallardo </w:t>
      </w:r>
      <w:r w:rsidRPr="00B359EB">
        <w:rPr>
          <w:color w:val="222222"/>
          <w:sz w:val="22"/>
          <w:szCs w:val="22"/>
          <w:shd w:val="clear" w:color="auto" w:fill="FFFFFF"/>
          <w:lang w:val="es-ES"/>
        </w:rPr>
        <w:t xml:space="preserve">en los procesos de denuncia y resistencia frente a las reformas estructurales del gobierno del entonces presidente Enrique Peña Nieto, en especifico en contra de la reforma educativa. </w:t>
      </w:r>
    </w:p>
    <w:p w14:paraId="0A2B2654" w14:textId="77777777" w:rsidR="00905132" w:rsidRPr="00B359EB" w:rsidRDefault="00905132" w:rsidP="00905132">
      <w:pPr>
        <w:pStyle w:val="Prrafodelista"/>
        <w:spacing w:after="100" w:afterAutospacing="1"/>
        <w:jc w:val="both"/>
        <w:rPr>
          <w:rFonts w:ascii="Times New Roman" w:hAnsi="Times New Roman" w:cs="Times New Roman"/>
          <w:sz w:val="20"/>
          <w:szCs w:val="20"/>
          <w:lang w:val="es-ES" w:eastAsia="es-ES_tradnl"/>
        </w:rPr>
      </w:pPr>
    </w:p>
    <w:p w14:paraId="346A12BF" w14:textId="4F1E88DA" w:rsidR="00905132" w:rsidRPr="00B359EB" w:rsidRDefault="00905132" w:rsidP="00A66DBA">
      <w:pPr>
        <w:pStyle w:val="Prrafodelista"/>
        <w:numPr>
          <w:ilvl w:val="0"/>
          <w:numId w:val="21"/>
        </w:numPr>
        <w:spacing w:before="100" w:beforeAutospacing="1" w:after="100" w:afterAutospacing="1"/>
        <w:rPr>
          <w:rFonts w:ascii="Times New Roman" w:hAnsi="Times New Roman" w:cs="Times New Roman"/>
          <w:b/>
          <w:sz w:val="22"/>
          <w:szCs w:val="22"/>
          <w:lang w:val="es-ES" w:eastAsia="es-ES_tradnl"/>
        </w:rPr>
      </w:pPr>
      <w:r w:rsidRPr="00B359EB">
        <w:rPr>
          <w:rFonts w:ascii="Times New Roman" w:hAnsi="Times New Roman" w:cs="Times New Roman"/>
          <w:b/>
          <w:sz w:val="22"/>
          <w:szCs w:val="22"/>
          <w:lang w:val="es-ES" w:eastAsia="es-ES_tradnl"/>
        </w:rPr>
        <w:t>Detención arbitraria y otras graves violaciones a sus derechos humanos</w:t>
      </w:r>
    </w:p>
    <w:p w14:paraId="3CB797FB" w14:textId="13C9CF75" w:rsidR="00B8013C" w:rsidRPr="00B359EB" w:rsidRDefault="00B8013C" w:rsidP="00E94778">
      <w:pPr>
        <w:jc w:val="both"/>
        <w:rPr>
          <w:rFonts w:ascii="Times New Roman" w:eastAsia="Times New Roman" w:hAnsi="Times New Roman" w:cs="Times New Roman"/>
          <w:sz w:val="22"/>
          <w:szCs w:val="22"/>
          <w:lang w:val="es-ES" w:eastAsia="es-ES_tradnl"/>
        </w:rPr>
      </w:pPr>
      <w:r w:rsidRPr="00B359EB">
        <w:rPr>
          <w:rFonts w:ascii="Times New Roman" w:eastAsia="Times New Roman" w:hAnsi="Times New Roman" w:cs="Times New Roman"/>
          <w:sz w:val="22"/>
          <w:szCs w:val="22"/>
          <w:lang w:val="es-ES" w:eastAsia="es-ES_tradnl"/>
        </w:rPr>
        <w:t>Damián Gallardo Martínez fue detenido de forma arbitraria y con lujo de violencia el 18 de mayo de 201</w:t>
      </w:r>
      <w:r w:rsidR="00905132" w:rsidRPr="00B359EB">
        <w:rPr>
          <w:rFonts w:ascii="Times New Roman" w:eastAsia="Times New Roman" w:hAnsi="Times New Roman" w:cs="Times New Roman"/>
          <w:sz w:val="22"/>
          <w:szCs w:val="22"/>
          <w:lang w:val="es-ES" w:eastAsia="es-ES_tradnl"/>
        </w:rPr>
        <w:t>3; l</w:t>
      </w:r>
      <w:r w:rsidRPr="00B359EB">
        <w:rPr>
          <w:rFonts w:ascii="Times New Roman" w:eastAsia="Times New Roman" w:hAnsi="Times New Roman" w:cs="Times New Roman"/>
          <w:sz w:val="22"/>
          <w:szCs w:val="22"/>
          <w:lang w:val="es-ES" w:eastAsia="es-ES_tradnl"/>
        </w:rPr>
        <w:t xml:space="preserve">os elementos aprehensores </w:t>
      </w:r>
      <w:r w:rsidR="00905132" w:rsidRPr="00B359EB">
        <w:rPr>
          <w:rFonts w:ascii="Times New Roman" w:eastAsia="Times New Roman" w:hAnsi="Times New Roman" w:cs="Times New Roman"/>
          <w:sz w:val="22"/>
          <w:szCs w:val="22"/>
          <w:lang w:val="es-ES" w:eastAsia="es-ES_tradnl"/>
        </w:rPr>
        <w:t xml:space="preserve">irrumpieron en la madrugada en su domicilio, </w:t>
      </w:r>
      <w:r w:rsidRPr="00B359EB">
        <w:rPr>
          <w:rFonts w:ascii="Times New Roman" w:eastAsia="Times New Roman" w:hAnsi="Times New Roman" w:cs="Times New Roman"/>
          <w:sz w:val="22"/>
          <w:szCs w:val="22"/>
          <w:lang w:val="es-ES" w:eastAsia="es-ES_tradnl"/>
        </w:rPr>
        <w:t>rompieron la chapa de la puerta</w:t>
      </w:r>
      <w:r w:rsidR="00905132" w:rsidRPr="00B359EB">
        <w:rPr>
          <w:rFonts w:ascii="Times New Roman" w:eastAsia="Times New Roman" w:hAnsi="Times New Roman" w:cs="Times New Roman"/>
          <w:sz w:val="22"/>
          <w:szCs w:val="22"/>
          <w:lang w:val="es-ES" w:eastAsia="es-ES_tradnl"/>
        </w:rPr>
        <w:t xml:space="preserve"> y con lujo de violencia</w:t>
      </w:r>
      <w:r w:rsidRPr="00B359EB">
        <w:rPr>
          <w:rFonts w:ascii="Times New Roman" w:eastAsia="Times New Roman" w:hAnsi="Times New Roman" w:cs="Times New Roman"/>
          <w:sz w:val="22"/>
          <w:szCs w:val="22"/>
          <w:lang w:val="es-ES" w:eastAsia="es-ES_tradnl"/>
        </w:rPr>
        <w:t>. Permaneció incomunicado durante 30 horas</w:t>
      </w:r>
      <w:r w:rsidR="00E94778" w:rsidRPr="00B359EB">
        <w:rPr>
          <w:rFonts w:ascii="Times New Roman" w:eastAsia="Times New Roman" w:hAnsi="Times New Roman" w:cs="Times New Roman"/>
          <w:sz w:val="22"/>
          <w:szCs w:val="22"/>
          <w:lang w:val="es-ES" w:eastAsia="es-ES_tradnl"/>
        </w:rPr>
        <w:t>, en el momento de su detención todavía no se conocían ni existían cargos en su contra</w:t>
      </w:r>
      <w:r w:rsidR="00E94778" w:rsidRPr="00B359EB">
        <w:rPr>
          <w:rFonts w:ascii="Times New Roman" w:hAnsi="Times New Roman" w:cs="Times New Roman"/>
          <w:sz w:val="22"/>
          <w:szCs w:val="22"/>
          <w:lang w:val="es-ES"/>
        </w:rPr>
        <w:t xml:space="preserve">; fue hasta el 22 de mayo de 2013 que la autoridad ministerial federal </w:t>
      </w:r>
      <w:r w:rsidR="00B06834" w:rsidRPr="00B359EB">
        <w:rPr>
          <w:rFonts w:ascii="Times New Roman" w:hAnsi="Times New Roman" w:cs="Times New Roman"/>
          <w:sz w:val="22"/>
          <w:szCs w:val="22"/>
          <w:lang w:val="es-ES"/>
        </w:rPr>
        <w:t>calific</w:t>
      </w:r>
      <w:r w:rsidR="00FB0F92">
        <w:rPr>
          <w:rFonts w:ascii="Times New Roman" w:hAnsi="Times New Roman" w:cs="Times New Roman"/>
          <w:sz w:val="22"/>
          <w:szCs w:val="22"/>
          <w:lang w:val="es-ES"/>
        </w:rPr>
        <w:t>ó</w:t>
      </w:r>
      <w:r w:rsidR="00B06834" w:rsidRPr="00B359EB">
        <w:rPr>
          <w:rFonts w:ascii="Times New Roman" w:hAnsi="Times New Roman" w:cs="Times New Roman"/>
          <w:sz w:val="22"/>
          <w:szCs w:val="22"/>
          <w:lang w:val="es-ES"/>
        </w:rPr>
        <w:t xml:space="preserve"> de legal la detención y en consecuencia </w:t>
      </w:r>
      <w:r w:rsidR="00E94778" w:rsidRPr="00B359EB">
        <w:rPr>
          <w:rFonts w:ascii="Times New Roman" w:hAnsi="Times New Roman" w:cs="Times New Roman"/>
          <w:sz w:val="22"/>
          <w:szCs w:val="22"/>
          <w:lang w:val="es-ES"/>
        </w:rPr>
        <w:t>ejercitó acción penal por el delito de</w:t>
      </w:r>
      <w:r w:rsidR="00DE2B51">
        <w:rPr>
          <w:rFonts w:ascii="Times New Roman" w:hAnsi="Times New Roman" w:cs="Times New Roman"/>
          <w:sz w:val="22"/>
          <w:szCs w:val="22"/>
          <w:lang w:val="es-ES"/>
        </w:rPr>
        <w:t xml:space="preserve"> </w:t>
      </w:r>
      <w:r w:rsidR="00E94778" w:rsidRPr="00B359EB">
        <w:rPr>
          <w:rFonts w:ascii="Times New Roman" w:hAnsi="Times New Roman" w:cs="Times New Roman"/>
          <w:sz w:val="22"/>
          <w:szCs w:val="22"/>
          <w:lang w:val="es-ES"/>
        </w:rPr>
        <w:t xml:space="preserve">Delincuencia Organizada y solicitó orden de aprehensión por el delito de </w:t>
      </w:r>
      <w:r w:rsidR="00E46126" w:rsidRPr="00B359EB">
        <w:rPr>
          <w:rFonts w:ascii="Times New Roman" w:hAnsi="Times New Roman" w:cs="Times New Roman"/>
          <w:sz w:val="22"/>
          <w:szCs w:val="22"/>
          <w:lang w:val="es-ES"/>
        </w:rPr>
        <w:t>Secuestro</w:t>
      </w:r>
      <w:r w:rsidR="00B06834" w:rsidRPr="00B359EB">
        <w:rPr>
          <w:rFonts w:ascii="Times New Roman" w:eastAsia="Times New Roman" w:hAnsi="Times New Roman" w:cs="Times New Roman"/>
          <w:sz w:val="22"/>
          <w:szCs w:val="22"/>
          <w:lang w:val="es-ES" w:eastAsia="es-ES_tradnl"/>
        </w:rPr>
        <w:t>.</w:t>
      </w:r>
    </w:p>
    <w:p w14:paraId="313E3BCA" w14:textId="77777777" w:rsidR="00B8013C" w:rsidRPr="00B359EB" w:rsidRDefault="00B8013C" w:rsidP="00B8013C">
      <w:pPr>
        <w:jc w:val="both"/>
        <w:rPr>
          <w:rFonts w:ascii="Times New Roman" w:eastAsia="Times New Roman" w:hAnsi="Times New Roman" w:cs="Times New Roman"/>
          <w:sz w:val="22"/>
          <w:szCs w:val="22"/>
          <w:lang w:val="es-ES" w:eastAsia="es-ES_tradnl"/>
        </w:rPr>
      </w:pPr>
    </w:p>
    <w:p w14:paraId="3B888861" w14:textId="6D2759C0" w:rsidR="00B8013C" w:rsidRPr="00B359EB" w:rsidRDefault="00B06834" w:rsidP="00B8013C">
      <w:pPr>
        <w:jc w:val="both"/>
        <w:rPr>
          <w:rFonts w:ascii="Times New Roman" w:eastAsia="Times New Roman" w:hAnsi="Times New Roman" w:cs="Times New Roman"/>
          <w:sz w:val="22"/>
          <w:szCs w:val="22"/>
          <w:lang w:val="es-ES" w:eastAsia="es-ES_tradnl"/>
        </w:rPr>
      </w:pPr>
      <w:r w:rsidRPr="00B359EB">
        <w:rPr>
          <w:rFonts w:ascii="Times New Roman" w:eastAsia="Times New Roman" w:hAnsi="Times New Roman" w:cs="Times New Roman"/>
          <w:sz w:val="22"/>
          <w:szCs w:val="22"/>
          <w:lang w:val="es-ES" w:eastAsia="es-ES_tradnl"/>
        </w:rPr>
        <w:t xml:space="preserve">El </w:t>
      </w:r>
      <w:r w:rsidR="00B8013C" w:rsidRPr="00B359EB">
        <w:rPr>
          <w:rFonts w:ascii="Times New Roman" w:eastAsia="Times New Roman" w:hAnsi="Times New Roman" w:cs="Times New Roman"/>
          <w:sz w:val="22"/>
          <w:szCs w:val="22"/>
          <w:lang w:val="es-ES" w:eastAsia="es-ES_tradnl"/>
        </w:rPr>
        <w:t>22 de mayo 2013 fue trasladado</w:t>
      </w:r>
      <w:r w:rsidR="00DE2B51" w:rsidRPr="00B359EB">
        <w:rPr>
          <w:rFonts w:ascii="Times New Roman" w:eastAsia="Times New Roman" w:hAnsi="Times New Roman" w:cs="Times New Roman"/>
          <w:sz w:val="22"/>
          <w:szCs w:val="22"/>
          <w:lang w:val="es-ES" w:eastAsia="es-ES_tradnl"/>
        </w:rPr>
        <w:t xml:space="preserve">. </w:t>
      </w:r>
      <w:r w:rsidR="00B8013C" w:rsidRPr="00B359EB">
        <w:rPr>
          <w:rFonts w:ascii="Times New Roman" w:eastAsia="Times New Roman" w:hAnsi="Times New Roman" w:cs="Times New Roman"/>
          <w:sz w:val="22"/>
          <w:szCs w:val="22"/>
          <w:lang w:val="es-ES" w:eastAsia="es-ES_tradnl"/>
        </w:rPr>
        <w:t xml:space="preserve"> al</w:t>
      </w:r>
      <w:r w:rsidR="00E94778" w:rsidRPr="00B359EB">
        <w:rPr>
          <w:rFonts w:ascii="Times New Roman" w:eastAsia="Times New Roman" w:hAnsi="Times New Roman" w:cs="Times New Roman"/>
          <w:sz w:val="22"/>
          <w:szCs w:val="22"/>
          <w:lang w:val="es-ES" w:eastAsia="es-ES_tradnl"/>
        </w:rPr>
        <w:t xml:space="preserve"> penal de máxima seguridad, ubicado a más de 15 horas de su comunidad de origen, el</w:t>
      </w:r>
      <w:r w:rsidR="00B8013C" w:rsidRPr="00B359EB">
        <w:rPr>
          <w:rFonts w:ascii="Times New Roman" w:eastAsia="Times New Roman" w:hAnsi="Times New Roman" w:cs="Times New Roman"/>
          <w:sz w:val="22"/>
          <w:szCs w:val="22"/>
          <w:lang w:val="es-ES" w:eastAsia="es-ES_tradnl"/>
        </w:rPr>
        <w:t xml:space="preserve"> CEFERESO nº2 de “Puente Grande” Guadalajara, Jalisco donde permaneció hasta el 28 de diciembre 2018 cuando le fue dictada libertad absolutoria después de 5 años</w:t>
      </w:r>
      <w:r w:rsidR="00E46126" w:rsidRPr="00B359EB">
        <w:rPr>
          <w:rFonts w:ascii="Times New Roman" w:eastAsia="Times New Roman" w:hAnsi="Times New Roman" w:cs="Times New Roman"/>
          <w:sz w:val="22"/>
          <w:szCs w:val="22"/>
          <w:lang w:val="es-ES" w:eastAsia="es-ES_tradnl"/>
        </w:rPr>
        <w:t xml:space="preserve">, </w:t>
      </w:r>
      <w:r w:rsidR="00B8013C" w:rsidRPr="00B359EB">
        <w:rPr>
          <w:rFonts w:ascii="Times New Roman" w:eastAsia="Times New Roman" w:hAnsi="Times New Roman" w:cs="Times New Roman"/>
          <w:sz w:val="22"/>
          <w:szCs w:val="22"/>
          <w:lang w:val="es-ES" w:eastAsia="es-ES_tradnl"/>
        </w:rPr>
        <w:t xml:space="preserve">7 meses </w:t>
      </w:r>
      <w:r w:rsidR="00E46126" w:rsidRPr="00B359EB">
        <w:rPr>
          <w:rFonts w:ascii="Times New Roman" w:eastAsia="Times New Roman" w:hAnsi="Times New Roman" w:cs="Times New Roman"/>
          <w:sz w:val="22"/>
          <w:szCs w:val="22"/>
          <w:lang w:val="es-ES" w:eastAsia="es-ES_tradnl"/>
        </w:rPr>
        <w:t xml:space="preserve">y 10 días </w:t>
      </w:r>
      <w:r w:rsidR="00B8013C" w:rsidRPr="00B359EB">
        <w:rPr>
          <w:rFonts w:ascii="Times New Roman" w:eastAsia="Times New Roman" w:hAnsi="Times New Roman" w:cs="Times New Roman"/>
          <w:sz w:val="22"/>
          <w:szCs w:val="22"/>
          <w:lang w:val="es-ES" w:eastAsia="es-ES_tradnl"/>
        </w:rPr>
        <w:t xml:space="preserve">sin sentencia </w:t>
      </w:r>
    </w:p>
    <w:p w14:paraId="2A6F020A" w14:textId="7FADF9FE" w:rsidR="00E94778" w:rsidRPr="00B359EB" w:rsidRDefault="00E94778" w:rsidP="00E94778">
      <w:pPr>
        <w:jc w:val="both"/>
        <w:rPr>
          <w:rFonts w:ascii="Times New Roman" w:eastAsia="Times New Roman" w:hAnsi="Times New Roman" w:cs="Times New Roman"/>
          <w:sz w:val="22"/>
          <w:szCs w:val="22"/>
          <w:lang w:val="es-ES" w:eastAsia="es-ES_tradnl"/>
        </w:rPr>
      </w:pPr>
    </w:p>
    <w:p w14:paraId="199A8CA7" w14:textId="19C4AC8A" w:rsidR="00E94778" w:rsidRPr="00B359EB" w:rsidRDefault="00E94778" w:rsidP="00B8013C">
      <w:pPr>
        <w:jc w:val="both"/>
        <w:rPr>
          <w:rFonts w:ascii="Times New Roman" w:eastAsia="Times New Roman" w:hAnsi="Times New Roman" w:cs="Times New Roman"/>
          <w:b/>
          <w:bCs/>
          <w:sz w:val="22"/>
          <w:szCs w:val="22"/>
          <w:lang w:val="es-ES" w:eastAsia="es-ES_tradnl"/>
        </w:rPr>
      </w:pPr>
      <w:r w:rsidRPr="00B359EB">
        <w:rPr>
          <w:rFonts w:ascii="Times New Roman" w:eastAsia="Times New Roman" w:hAnsi="Times New Roman" w:cs="Times New Roman"/>
          <w:sz w:val="22"/>
          <w:szCs w:val="22"/>
          <w:lang w:val="es-ES" w:eastAsia="es-ES_tradnl"/>
        </w:rPr>
        <w:t xml:space="preserve">Es decir que permaneció en prisión preventiva durante todo el tiempo de su detención, ello </w:t>
      </w:r>
      <w:r w:rsidRPr="00B359EB">
        <w:rPr>
          <w:rFonts w:ascii="Times New Roman" w:eastAsia="Times New Roman" w:hAnsi="Times New Roman" w:cs="Times New Roman"/>
          <w:color w:val="000000"/>
          <w:sz w:val="22"/>
          <w:szCs w:val="22"/>
          <w:shd w:val="clear" w:color="auto" w:fill="FFFFFF"/>
          <w:lang w:val="es-ES" w:eastAsia="es-ES_tradnl"/>
        </w:rPr>
        <w:t xml:space="preserve">por </w:t>
      </w:r>
      <w:r w:rsidR="00DE2B51">
        <w:rPr>
          <w:rFonts w:ascii="Times New Roman" w:eastAsia="Times New Roman" w:hAnsi="Times New Roman" w:cs="Times New Roman"/>
          <w:color w:val="000000"/>
          <w:sz w:val="22"/>
          <w:szCs w:val="22"/>
          <w:shd w:val="clear" w:color="auto" w:fill="FFFFFF"/>
          <w:lang w:val="es-ES" w:eastAsia="es-ES_tradnl"/>
        </w:rPr>
        <w:t xml:space="preserve">ser acusado de </w:t>
      </w:r>
      <w:r w:rsidRPr="00B359EB">
        <w:rPr>
          <w:rFonts w:ascii="Times New Roman" w:eastAsia="Times New Roman" w:hAnsi="Times New Roman" w:cs="Times New Roman"/>
          <w:color w:val="000000"/>
          <w:sz w:val="22"/>
          <w:szCs w:val="22"/>
          <w:shd w:val="clear" w:color="auto" w:fill="FFFFFF"/>
          <w:lang w:val="es-ES" w:eastAsia="es-ES_tradnl"/>
        </w:rPr>
        <w:t>delitos graves</w:t>
      </w:r>
      <w:r w:rsidR="00DE2B51">
        <w:rPr>
          <w:rFonts w:ascii="Times New Roman" w:eastAsia="Times New Roman" w:hAnsi="Times New Roman" w:cs="Times New Roman"/>
          <w:color w:val="000000"/>
          <w:sz w:val="22"/>
          <w:szCs w:val="22"/>
          <w:shd w:val="clear" w:color="auto" w:fill="FFFFFF"/>
          <w:lang w:val="es-ES" w:eastAsia="es-ES_tradnl"/>
        </w:rPr>
        <w:t xml:space="preserve">. Así, en </w:t>
      </w:r>
      <w:r w:rsidRPr="00B359EB">
        <w:rPr>
          <w:rFonts w:ascii="Times New Roman" w:eastAsia="Times New Roman" w:hAnsi="Times New Roman" w:cs="Times New Roman"/>
          <w:color w:val="000000"/>
          <w:sz w:val="22"/>
          <w:szCs w:val="22"/>
          <w:shd w:val="clear" w:color="auto" w:fill="FFFFFF"/>
          <w:lang w:val="es-ES" w:eastAsia="es-ES_tradnl"/>
        </w:rPr>
        <w:t xml:space="preserve">base al artículo 167 del Código Nacional de </w:t>
      </w:r>
      <w:r w:rsidRPr="00B359EB">
        <w:rPr>
          <w:rFonts w:ascii="Times New Roman" w:eastAsia="Times New Roman" w:hAnsi="Times New Roman" w:cs="Times New Roman"/>
          <w:color w:val="000000"/>
          <w:sz w:val="22"/>
          <w:szCs w:val="22"/>
          <w:shd w:val="clear" w:color="auto" w:fill="FFFFFF"/>
          <w:lang w:val="es-ES" w:eastAsia="es-ES_tradnl"/>
        </w:rPr>
        <w:lastRenderedPageBreak/>
        <w:t xml:space="preserve">Procedimientos Penales (CNPP) el secuestro y la </w:t>
      </w:r>
      <w:r w:rsidR="00B359EB" w:rsidRPr="00B359EB">
        <w:rPr>
          <w:rFonts w:ascii="Times New Roman" w:eastAsia="Times New Roman" w:hAnsi="Times New Roman" w:cs="Times New Roman"/>
          <w:color w:val="000000"/>
          <w:sz w:val="22"/>
          <w:szCs w:val="22"/>
          <w:shd w:val="clear" w:color="auto" w:fill="FFFFFF"/>
          <w:lang w:val="es-ES" w:eastAsia="es-ES_tradnl"/>
        </w:rPr>
        <w:t>delincuencia</w:t>
      </w:r>
      <w:r w:rsidRPr="00B359EB">
        <w:rPr>
          <w:rFonts w:ascii="Times New Roman" w:eastAsia="Times New Roman" w:hAnsi="Times New Roman" w:cs="Times New Roman"/>
          <w:color w:val="000000"/>
          <w:sz w:val="22"/>
          <w:szCs w:val="22"/>
          <w:shd w:val="clear" w:color="auto" w:fill="FFFFFF"/>
          <w:lang w:val="es-ES" w:eastAsia="es-ES_tradnl"/>
        </w:rPr>
        <w:t xml:space="preserve"> </w:t>
      </w:r>
      <w:r w:rsidR="00B359EB" w:rsidRPr="00B359EB">
        <w:rPr>
          <w:rFonts w:ascii="Times New Roman" w:eastAsia="Times New Roman" w:hAnsi="Times New Roman" w:cs="Times New Roman"/>
          <w:color w:val="000000"/>
          <w:sz w:val="22"/>
          <w:szCs w:val="22"/>
          <w:shd w:val="clear" w:color="auto" w:fill="FFFFFF"/>
          <w:lang w:val="es-ES" w:eastAsia="es-ES_tradnl"/>
        </w:rPr>
        <w:t>organizada</w:t>
      </w:r>
      <w:r w:rsidRPr="00B359EB">
        <w:rPr>
          <w:rFonts w:ascii="Times New Roman" w:eastAsia="Times New Roman" w:hAnsi="Times New Roman" w:cs="Times New Roman"/>
          <w:color w:val="000000"/>
          <w:sz w:val="22"/>
          <w:szCs w:val="22"/>
          <w:shd w:val="clear" w:color="auto" w:fill="FFFFFF"/>
          <w:lang w:val="es-ES" w:eastAsia="es-ES_tradnl"/>
        </w:rPr>
        <w:t xml:space="preserve"> ameritan prisión preventiva.</w:t>
      </w:r>
    </w:p>
    <w:p w14:paraId="0ED45126" w14:textId="6E7648CD" w:rsidR="00E94778" w:rsidRPr="00B359EB" w:rsidRDefault="00E94778" w:rsidP="00A66DBA">
      <w:pPr>
        <w:pStyle w:val="NormalWeb"/>
        <w:numPr>
          <w:ilvl w:val="0"/>
          <w:numId w:val="21"/>
        </w:numPr>
        <w:jc w:val="both"/>
        <w:rPr>
          <w:b/>
          <w:bCs/>
          <w:sz w:val="22"/>
          <w:szCs w:val="22"/>
          <w:lang w:val="es-ES"/>
        </w:rPr>
      </w:pPr>
      <w:r w:rsidRPr="00B359EB">
        <w:rPr>
          <w:b/>
          <w:bCs/>
          <w:sz w:val="22"/>
          <w:szCs w:val="22"/>
          <w:lang w:val="es-ES"/>
        </w:rPr>
        <w:t>Falta de acceso a la justicia</w:t>
      </w:r>
      <w:r w:rsidR="00905132" w:rsidRPr="00B359EB">
        <w:rPr>
          <w:b/>
          <w:bCs/>
          <w:sz w:val="22"/>
          <w:szCs w:val="22"/>
          <w:lang w:val="es-ES"/>
        </w:rPr>
        <w:t xml:space="preserve"> y reparación integral del daño</w:t>
      </w:r>
    </w:p>
    <w:p w14:paraId="7FE4C7F7" w14:textId="2A359A38" w:rsidR="00B8013C" w:rsidRPr="00B359EB" w:rsidRDefault="00E94778" w:rsidP="00B8013C">
      <w:pPr>
        <w:pStyle w:val="NormalWeb"/>
        <w:jc w:val="both"/>
        <w:rPr>
          <w:sz w:val="22"/>
          <w:szCs w:val="22"/>
          <w:lang w:val="es-ES"/>
        </w:rPr>
      </w:pPr>
      <w:r w:rsidRPr="00B359EB">
        <w:rPr>
          <w:rFonts w:ascii="Times New Roman" w:hAnsi="Times New Roman"/>
          <w:sz w:val="22"/>
          <w:szCs w:val="22"/>
          <w:lang w:val="es-ES"/>
        </w:rPr>
        <w:t xml:space="preserve">A partir de su detención </w:t>
      </w:r>
      <w:r w:rsidR="00905132" w:rsidRPr="00B359EB">
        <w:rPr>
          <w:rFonts w:ascii="Times New Roman" w:hAnsi="Times New Roman"/>
          <w:sz w:val="22"/>
          <w:szCs w:val="22"/>
          <w:lang w:val="es-ES"/>
        </w:rPr>
        <w:t xml:space="preserve">arbitraria, </w:t>
      </w:r>
      <w:r w:rsidR="00DE2B51">
        <w:rPr>
          <w:rFonts w:ascii="Times New Roman" w:hAnsi="Times New Roman"/>
          <w:sz w:val="22"/>
          <w:szCs w:val="22"/>
          <w:lang w:val="es-ES"/>
        </w:rPr>
        <w:t>fue</w:t>
      </w:r>
      <w:r w:rsidRPr="00B359EB">
        <w:rPr>
          <w:rFonts w:ascii="Times New Roman" w:hAnsi="Times New Roman"/>
          <w:sz w:val="22"/>
          <w:szCs w:val="22"/>
          <w:lang w:val="es-ES"/>
        </w:rPr>
        <w:t xml:space="preserve"> víctima de</w:t>
      </w:r>
      <w:r w:rsidRPr="00B359EB">
        <w:rPr>
          <w:sz w:val="22"/>
          <w:szCs w:val="22"/>
          <w:lang w:val="es-ES"/>
        </w:rPr>
        <w:t xml:space="preserve"> tortura entre otras graves y repetidas violaciones a sus derechos</w:t>
      </w:r>
      <w:r w:rsidR="00DE2B51">
        <w:rPr>
          <w:sz w:val="22"/>
          <w:szCs w:val="22"/>
          <w:lang w:val="es-ES"/>
        </w:rPr>
        <w:t xml:space="preserve">. Todas ellas han sido denunciadas </w:t>
      </w:r>
      <w:r w:rsidRPr="00B359EB">
        <w:rPr>
          <w:sz w:val="22"/>
          <w:szCs w:val="22"/>
          <w:lang w:val="es-ES"/>
        </w:rPr>
        <w:t>ante todos los organismos correspondientes.</w:t>
      </w:r>
      <w:r w:rsidR="00905132" w:rsidRPr="00B359EB">
        <w:rPr>
          <w:sz w:val="22"/>
          <w:szCs w:val="22"/>
          <w:lang w:val="es-ES"/>
        </w:rPr>
        <w:t xml:space="preserve"> </w:t>
      </w:r>
      <w:r w:rsidR="00B8013C" w:rsidRPr="00B359EB">
        <w:rPr>
          <w:sz w:val="22"/>
          <w:szCs w:val="22"/>
          <w:lang w:val="es-ES"/>
        </w:rPr>
        <w:t xml:space="preserve">Además de contar con un </w:t>
      </w:r>
      <w:r w:rsidR="00B8013C" w:rsidRPr="00B359EB">
        <w:rPr>
          <w:rFonts w:ascii="TimesNewRomanPS" w:hAnsi="TimesNewRomanPS"/>
          <w:sz w:val="22"/>
          <w:szCs w:val="22"/>
          <w:lang w:val="es-ES"/>
        </w:rPr>
        <w:t xml:space="preserve">Dictamen independiente </w:t>
      </w:r>
      <w:proofErr w:type="spellStart"/>
      <w:r w:rsidR="00B8013C" w:rsidRPr="00B359EB">
        <w:rPr>
          <w:rFonts w:ascii="TimesNewRomanPS" w:hAnsi="TimesNewRomanPS"/>
          <w:sz w:val="22"/>
          <w:szCs w:val="22"/>
          <w:lang w:val="es-ES"/>
        </w:rPr>
        <w:t>médico-psicológico</w:t>
      </w:r>
      <w:proofErr w:type="spellEnd"/>
      <w:r w:rsidR="00B8013C" w:rsidRPr="00B359EB">
        <w:rPr>
          <w:rFonts w:ascii="TimesNewRomanPS" w:hAnsi="TimesNewRomanPS"/>
          <w:sz w:val="22"/>
          <w:szCs w:val="22"/>
          <w:lang w:val="es-ES"/>
        </w:rPr>
        <w:t xml:space="preserve"> basado en el Protocolo de Estambul; </w:t>
      </w:r>
      <w:r w:rsidR="00B8013C" w:rsidRPr="00B359EB">
        <w:rPr>
          <w:sz w:val="22"/>
          <w:szCs w:val="22"/>
          <w:lang w:val="es-ES"/>
        </w:rPr>
        <w:t>fueron interpuestos los recursos correspondientes a nivel interno para denunciar la tortura y otras graves violaciones</w:t>
      </w:r>
      <w:r w:rsidR="00DE2B51">
        <w:rPr>
          <w:sz w:val="22"/>
          <w:szCs w:val="22"/>
          <w:lang w:val="es-ES"/>
        </w:rPr>
        <w:t xml:space="preserve"> sufridas</w:t>
      </w:r>
      <w:r w:rsidR="00B8013C" w:rsidRPr="00B359EB">
        <w:rPr>
          <w:sz w:val="22"/>
          <w:szCs w:val="22"/>
          <w:lang w:val="es-ES"/>
        </w:rPr>
        <w:t xml:space="preserve"> sin que haya tenido avance alguno; de lo contrario se pretende decretar el no ejercicio</w:t>
      </w:r>
      <w:r w:rsidR="00DE2B51">
        <w:rPr>
          <w:sz w:val="22"/>
          <w:szCs w:val="22"/>
          <w:lang w:val="es-ES"/>
        </w:rPr>
        <w:t xml:space="preserve"> de la acción penal</w:t>
      </w:r>
      <w:r w:rsidR="00FB0F92">
        <w:rPr>
          <w:sz w:val="22"/>
          <w:szCs w:val="22"/>
          <w:lang w:val="es-ES"/>
        </w:rPr>
        <w:t xml:space="preserve"> en una de las dos averiguaciones</w:t>
      </w:r>
      <w:r w:rsidR="00B8013C" w:rsidRPr="00B359EB">
        <w:rPr>
          <w:sz w:val="22"/>
          <w:szCs w:val="22"/>
          <w:lang w:val="es-ES"/>
        </w:rPr>
        <w:t>.</w:t>
      </w:r>
    </w:p>
    <w:p w14:paraId="06D84545" w14:textId="77777777" w:rsidR="00B8013C" w:rsidRPr="00B359EB" w:rsidRDefault="00B8013C" w:rsidP="00B8013C">
      <w:pPr>
        <w:jc w:val="both"/>
        <w:rPr>
          <w:rFonts w:ascii="Times New Roman" w:hAnsi="Times New Roman" w:cs="Times New Roman"/>
          <w:i/>
          <w:iCs/>
          <w:sz w:val="22"/>
          <w:szCs w:val="22"/>
          <w:lang w:val="es-ES"/>
        </w:rPr>
      </w:pPr>
      <w:r w:rsidRPr="00B359EB">
        <w:rPr>
          <w:rFonts w:ascii="Times New Roman" w:hAnsi="Times New Roman" w:cs="Times New Roman"/>
          <w:i/>
          <w:iCs/>
          <w:sz w:val="22"/>
          <w:szCs w:val="22"/>
          <w:lang w:val="es-ES"/>
        </w:rPr>
        <w:t>Entre los principales recursos destacan:</w:t>
      </w:r>
    </w:p>
    <w:p w14:paraId="38185525" w14:textId="687924A3" w:rsidR="00012FFF" w:rsidRPr="00B359EB" w:rsidRDefault="00B8013C" w:rsidP="00012FFF">
      <w:pPr>
        <w:pStyle w:val="NormalWeb"/>
        <w:numPr>
          <w:ilvl w:val="0"/>
          <w:numId w:val="8"/>
        </w:numPr>
        <w:jc w:val="both"/>
        <w:rPr>
          <w:rFonts w:ascii="Times New Roman" w:hAnsi="Times New Roman"/>
          <w:sz w:val="22"/>
          <w:szCs w:val="22"/>
          <w:lang w:val="es-ES"/>
        </w:rPr>
      </w:pPr>
      <w:r w:rsidRPr="00B359EB">
        <w:rPr>
          <w:sz w:val="22"/>
          <w:szCs w:val="22"/>
          <w:lang w:val="es-ES"/>
        </w:rPr>
        <w:t xml:space="preserve">Denuncia por tortura radicada ante la </w:t>
      </w:r>
      <w:r w:rsidR="00B359EB" w:rsidRPr="00B359EB">
        <w:rPr>
          <w:sz w:val="22"/>
          <w:szCs w:val="22"/>
          <w:lang w:val="es-ES"/>
        </w:rPr>
        <w:t>Dirección</w:t>
      </w:r>
      <w:r w:rsidRPr="00B359EB">
        <w:rPr>
          <w:sz w:val="22"/>
          <w:szCs w:val="22"/>
          <w:lang w:val="es-ES"/>
        </w:rPr>
        <w:t xml:space="preserve"> General de Delitos Cometidos por Servidores </w:t>
      </w:r>
      <w:r w:rsidR="00B359EB" w:rsidRPr="00B359EB">
        <w:rPr>
          <w:sz w:val="22"/>
          <w:szCs w:val="22"/>
          <w:lang w:val="es-ES"/>
        </w:rPr>
        <w:t>Públicos</w:t>
      </w:r>
      <w:r w:rsidRPr="00B359EB">
        <w:rPr>
          <w:sz w:val="22"/>
          <w:szCs w:val="22"/>
          <w:lang w:val="es-ES"/>
        </w:rPr>
        <w:t xml:space="preserve"> de la P</w:t>
      </w:r>
      <w:r w:rsidR="00905132" w:rsidRPr="00B359EB">
        <w:rPr>
          <w:sz w:val="22"/>
          <w:szCs w:val="22"/>
          <w:lang w:val="es-ES"/>
        </w:rPr>
        <w:t>rocuraduría General de la República</w:t>
      </w:r>
      <w:r w:rsidRPr="00B359EB">
        <w:rPr>
          <w:sz w:val="22"/>
          <w:szCs w:val="22"/>
          <w:lang w:val="es-ES"/>
        </w:rPr>
        <w:t>, ahora F</w:t>
      </w:r>
      <w:r w:rsidR="00905132" w:rsidRPr="00B359EB">
        <w:rPr>
          <w:sz w:val="22"/>
          <w:szCs w:val="22"/>
          <w:lang w:val="es-ES"/>
        </w:rPr>
        <w:t>iscalía General de la República</w:t>
      </w:r>
      <w:r w:rsidRPr="00B359EB">
        <w:rPr>
          <w:sz w:val="22"/>
          <w:szCs w:val="22"/>
          <w:lang w:val="es-ES"/>
        </w:rPr>
        <w:t xml:space="preserve"> por tortura, </w:t>
      </w:r>
      <w:r w:rsidR="00B359EB" w:rsidRPr="00B359EB">
        <w:rPr>
          <w:rFonts w:ascii="Times New Roman" w:hAnsi="Times New Roman"/>
          <w:sz w:val="22"/>
          <w:szCs w:val="22"/>
          <w:lang w:val="es-ES"/>
        </w:rPr>
        <w:t>desaparición</w:t>
      </w:r>
      <w:r w:rsidRPr="00B359EB">
        <w:rPr>
          <w:rFonts w:ascii="Times New Roman" w:hAnsi="Times New Roman"/>
          <w:sz w:val="22"/>
          <w:szCs w:val="22"/>
          <w:lang w:val="es-ES"/>
        </w:rPr>
        <w:t xml:space="preserve"> forzada y abuso de autoridad </w:t>
      </w:r>
      <w:r w:rsidR="00012FFF" w:rsidRPr="00B359EB">
        <w:rPr>
          <w:rFonts w:ascii="Times New Roman" w:hAnsi="Times New Roman"/>
          <w:sz w:val="22"/>
          <w:szCs w:val="22"/>
          <w:lang w:val="es-ES"/>
        </w:rPr>
        <w:t>(</w:t>
      </w:r>
      <w:r w:rsidR="00012FFF" w:rsidRPr="00B359EB">
        <w:rPr>
          <w:rFonts w:cs="Arial"/>
          <w:color w:val="222222"/>
          <w:shd w:val="clear" w:color="auto" w:fill="FFFFFF"/>
          <w:lang w:val="es-ES"/>
        </w:rPr>
        <w:t>045/AP/DGDCSPI/2014</w:t>
      </w:r>
      <w:r w:rsidR="00012FFF" w:rsidRPr="00B359EB">
        <w:rPr>
          <w:rFonts w:cs="Arial"/>
          <w:color w:val="222222"/>
          <w:sz w:val="22"/>
          <w:szCs w:val="22"/>
          <w:shd w:val="clear" w:color="auto" w:fill="FFFFFF"/>
          <w:lang w:val="es-ES"/>
        </w:rPr>
        <w:t>)</w:t>
      </w:r>
      <w:r w:rsidR="00CB340B" w:rsidRPr="00B359EB">
        <w:rPr>
          <w:rFonts w:cs="Arial"/>
          <w:color w:val="222222"/>
          <w:sz w:val="22"/>
          <w:szCs w:val="22"/>
          <w:shd w:val="clear" w:color="auto" w:fill="FFFFFF"/>
          <w:lang w:val="es-ES"/>
        </w:rPr>
        <w:t>, desde enero de 2020 se pretende decretar el no ejercicio de la acción penal.</w:t>
      </w:r>
      <w:r w:rsidR="00CB340B" w:rsidRPr="00B359EB">
        <w:rPr>
          <w:rFonts w:cs="Arial"/>
          <w:color w:val="222222"/>
          <w:shd w:val="clear" w:color="auto" w:fill="FFFFFF"/>
          <w:lang w:val="es-ES"/>
        </w:rPr>
        <w:t xml:space="preserve"> </w:t>
      </w:r>
    </w:p>
    <w:p w14:paraId="61A156E4" w14:textId="4AD6BB29" w:rsidR="00012FFF" w:rsidRPr="00B359EB" w:rsidRDefault="00B8013C" w:rsidP="00012FFF">
      <w:pPr>
        <w:pStyle w:val="NormalWeb"/>
        <w:numPr>
          <w:ilvl w:val="0"/>
          <w:numId w:val="8"/>
        </w:numPr>
        <w:jc w:val="both"/>
        <w:rPr>
          <w:rFonts w:ascii="Times New Roman" w:hAnsi="Times New Roman"/>
          <w:sz w:val="22"/>
          <w:szCs w:val="22"/>
          <w:lang w:val="es-ES"/>
        </w:rPr>
      </w:pPr>
      <w:r w:rsidRPr="00B359EB">
        <w:rPr>
          <w:rFonts w:ascii="Times New Roman" w:eastAsia="Times New Roman" w:hAnsi="Times New Roman"/>
          <w:color w:val="222222"/>
          <w:sz w:val="22"/>
          <w:szCs w:val="22"/>
          <w:lang w:val="es-ES" w:eastAsia="es-ES_tradnl"/>
        </w:rPr>
        <w:t>Denuncia por tortura</w:t>
      </w:r>
      <w:r w:rsidRPr="00B359EB">
        <w:rPr>
          <w:rFonts w:ascii="Times New Roman" w:hAnsi="Times New Roman"/>
          <w:color w:val="222222"/>
          <w:sz w:val="22"/>
          <w:szCs w:val="22"/>
          <w:lang w:val="es-ES"/>
        </w:rPr>
        <w:t xml:space="preserve"> radicada ante</w:t>
      </w:r>
      <w:r w:rsidRPr="00B359EB">
        <w:rPr>
          <w:rFonts w:ascii="Times New Roman" w:eastAsia="Times New Roman" w:hAnsi="Times New Roman"/>
          <w:color w:val="222222"/>
          <w:sz w:val="22"/>
          <w:szCs w:val="22"/>
          <w:lang w:val="es-ES" w:eastAsia="es-ES_tradnl"/>
        </w:rPr>
        <w:t xml:space="preserve"> </w:t>
      </w:r>
      <w:r w:rsidR="00B359EB" w:rsidRPr="00B359EB">
        <w:rPr>
          <w:rFonts w:ascii="Times New Roman" w:hAnsi="Times New Roman"/>
          <w:sz w:val="22"/>
          <w:szCs w:val="22"/>
          <w:lang w:val="es-ES"/>
        </w:rPr>
        <w:t>Fiscalía</w:t>
      </w:r>
      <w:r w:rsidRPr="00B359EB">
        <w:rPr>
          <w:rFonts w:ascii="Times New Roman" w:hAnsi="Times New Roman"/>
          <w:sz w:val="22"/>
          <w:szCs w:val="22"/>
          <w:lang w:val="es-ES"/>
        </w:rPr>
        <w:t xml:space="preserve"> Especial en </w:t>
      </w:r>
      <w:r w:rsidR="00B359EB" w:rsidRPr="00B359EB">
        <w:rPr>
          <w:rFonts w:ascii="Times New Roman" w:hAnsi="Times New Roman"/>
          <w:sz w:val="22"/>
          <w:szCs w:val="22"/>
          <w:lang w:val="es-ES"/>
        </w:rPr>
        <w:t>Investigación</w:t>
      </w:r>
      <w:r w:rsidRPr="00B359EB">
        <w:rPr>
          <w:rFonts w:ascii="Times New Roman" w:hAnsi="Times New Roman"/>
          <w:sz w:val="22"/>
          <w:szCs w:val="22"/>
          <w:lang w:val="es-ES"/>
        </w:rPr>
        <w:t xml:space="preserve"> del Delito de Tortura </w:t>
      </w:r>
      <w:r w:rsidR="00905132" w:rsidRPr="00B359EB">
        <w:rPr>
          <w:rFonts w:ascii="Times New Roman" w:hAnsi="Times New Roman"/>
          <w:sz w:val="22"/>
          <w:szCs w:val="22"/>
          <w:lang w:val="es-ES"/>
        </w:rPr>
        <w:t xml:space="preserve">de la Procuraduría General de la República, ahora Fiscalía General de la República por tortura, </w:t>
      </w:r>
      <w:r w:rsidR="00B359EB" w:rsidRPr="00B359EB">
        <w:rPr>
          <w:rFonts w:ascii="Times New Roman" w:hAnsi="Times New Roman"/>
          <w:sz w:val="22"/>
          <w:szCs w:val="22"/>
          <w:lang w:val="es-ES"/>
        </w:rPr>
        <w:t>desaparición</w:t>
      </w:r>
      <w:r w:rsidR="00905132" w:rsidRPr="00B359EB">
        <w:rPr>
          <w:rFonts w:ascii="Times New Roman" w:hAnsi="Times New Roman"/>
          <w:sz w:val="22"/>
          <w:szCs w:val="22"/>
          <w:lang w:val="es-ES"/>
        </w:rPr>
        <w:t xml:space="preserve"> forzada y abuso de autoridad</w:t>
      </w:r>
      <w:r w:rsidR="00012FFF" w:rsidRPr="00B359EB">
        <w:rPr>
          <w:rFonts w:ascii="Times New Roman" w:hAnsi="Times New Roman"/>
          <w:sz w:val="22"/>
          <w:szCs w:val="22"/>
          <w:lang w:val="es-ES"/>
        </w:rPr>
        <w:t xml:space="preserve"> </w:t>
      </w:r>
      <w:r w:rsidR="00012FFF" w:rsidRPr="00B359EB">
        <w:rPr>
          <w:rFonts w:ascii="Times New Roman" w:hAnsi="Times New Roman"/>
          <w:lang w:val="es-ES"/>
        </w:rPr>
        <w:t>(</w:t>
      </w:r>
      <w:r w:rsidR="00012FFF" w:rsidRPr="00B359EB">
        <w:rPr>
          <w:rFonts w:ascii="TimesNewRomanPSMT" w:eastAsia="Times New Roman" w:hAnsi="TimesNewRomanPSMT"/>
          <w:lang w:val="es-ES" w:eastAsia="es-ES_tradnl"/>
        </w:rPr>
        <w:t>738/UEIDAPLE/DT/8/2014)</w:t>
      </w:r>
      <w:r w:rsidR="00CB340B" w:rsidRPr="00B359EB">
        <w:rPr>
          <w:rFonts w:ascii="TimesNewRomanPSMT" w:eastAsia="Times New Roman" w:hAnsi="TimesNewRomanPSMT"/>
          <w:lang w:val="es-ES" w:eastAsia="es-ES_tradnl"/>
        </w:rPr>
        <w:t xml:space="preserve">, </w:t>
      </w:r>
      <w:r w:rsidR="00CB340B" w:rsidRPr="00B359EB">
        <w:rPr>
          <w:rFonts w:ascii="TimesNewRomanPSMT" w:eastAsia="Times New Roman" w:hAnsi="TimesNewRomanPSMT"/>
          <w:sz w:val="22"/>
          <w:szCs w:val="22"/>
          <w:lang w:val="es-ES" w:eastAsia="es-ES_tradnl"/>
        </w:rPr>
        <w:t>permanece sin avances</w:t>
      </w:r>
      <w:r w:rsidR="00DE2B51">
        <w:rPr>
          <w:rFonts w:ascii="TimesNewRomanPSMT" w:eastAsia="Times New Roman" w:hAnsi="TimesNewRomanPSMT"/>
          <w:sz w:val="22"/>
          <w:szCs w:val="22"/>
          <w:lang w:val="es-ES" w:eastAsia="es-ES_tradnl"/>
        </w:rPr>
        <w:t>.</w:t>
      </w:r>
      <w:r w:rsidR="00CB340B" w:rsidRPr="00B359EB">
        <w:rPr>
          <w:rFonts w:ascii="TimesNewRomanPSMT" w:eastAsia="Times New Roman" w:hAnsi="TimesNewRomanPSMT"/>
          <w:lang w:val="es-ES" w:eastAsia="es-ES_tradnl"/>
        </w:rPr>
        <w:t xml:space="preserve"> </w:t>
      </w:r>
    </w:p>
    <w:p w14:paraId="6C26E7E4" w14:textId="5152524A" w:rsidR="00B8013C" w:rsidRPr="00B359EB" w:rsidRDefault="00B8013C" w:rsidP="00012FFF">
      <w:pPr>
        <w:pStyle w:val="NormalWeb"/>
        <w:numPr>
          <w:ilvl w:val="0"/>
          <w:numId w:val="8"/>
        </w:numPr>
        <w:jc w:val="both"/>
        <w:rPr>
          <w:rFonts w:ascii="Times New Roman" w:hAnsi="Times New Roman"/>
          <w:sz w:val="22"/>
          <w:szCs w:val="22"/>
          <w:lang w:val="es-ES"/>
        </w:rPr>
      </w:pPr>
      <w:r w:rsidRPr="00B359EB">
        <w:rPr>
          <w:rFonts w:ascii="TimesNewRomanPSMT" w:eastAsia="Times New Roman" w:hAnsi="TimesNewRomanPSMT"/>
          <w:sz w:val="22"/>
          <w:szCs w:val="22"/>
          <w:lang w:val="es-ES" w:eastAsia="es-ES_tradnl"/>
        </w:rPr>
        <w:t xml:space="preserve">Denuncia por allanamiento de domicilio </w:t>
      </w:r>
      <w:r w:rsidRPr="00B359EB">
        <w:rPr>
          <w:rFonts w:ascii="Times New Roman" w:eastAsia="Times New Roman" w:hAnsi="Times New Roman"/>
          <w:sz w:val="22"/>
          <w:szCs w:val="22"/>
          <w:lang w:val="es-ES" w:eastAsia="es-ES_tradnl"/>
        </w:rPr>
        <w:t xml:space="preserve">radicada en </w:t>
      </w:r>
      <w:r w:rsidR="00905132" w:rsidRPr="00B359EB">
        <w:rPr>
          <w:rFonts w:ascii="Times New Roman" w:hAnsi="Times New Roman"/>
          <w:sz w:val="22"/>
          <w:szCs w:val="22"/>
          <w:lang w:val="es-ES"/>
        </w:rPr>
        <w:t xml:space="preserve">la Procuraduría General de la República, ahora Fiscalía General de la República </w:t>
      </w:r>
      <w:r w:rsidR="00012FFF" w:rsidRPr="00B359EB">
        <w:rPr>
          <w:rFonts w:ascii="Times New Roman" w:hAnsi="Times New Roman"/>
          <w:lang w:val="es-ES"/>
        </w:rPr>
        <w:t>(</w:t>
      </w:r>
      <w:r w:rsidR="00012FFF" w:rsidRPr="00B359EB">
        <w:rPr>
          <w:rFonts w:ascii="TimesNewRomanPSMT" w:eastAsia="Times New Roman" w:hAnsi="TimesNewRomanPSMT"/>
          <w:lang w:val="es-ES" w:eastAsia="es-ES_tradnl"/>
        </w:rPr>
        <w:t>PGR/OAX/OAX/V/1946/B/2015/MESAI)</w:t>
      </w:r>
      <w:r w:rsidR="00012FFF" w:rsidRPr="00B359EB">
        <w:rPr>
          <w:rFonts w:ascii="TimesNewRomanPSMT" w:eastAsia="Times New Roman" w:hAnsi="TimesNewRomanPSMT"/>
          <w:sz w:val="22"/>
          <w:szCs w:val="22"/>
          <w:lang w:val="es-ES" w:eastAsia="es-ES_tradnl"/>
        </w:rPr>
        <w:t>, expediente que fue mandado a reserva sin notificar a la víctima</w:t>
      </w:r>
      <w:r w:rsidR="00CB340B" w:rsidRPr="00B359EB">
        <w:rPr>
          <w:rFonts w:ascii="TimesNewRomanPSMT" w:eastAsia="Times New Roman" w:hAnsi="TimesNewRomanPSMT"/>
          <w:sz w:val="22"/>
          <w:szCs w:val="22"/>
          <w:lang w:val="es-ES" w:eastAsia="es-ES_tradnl"/>
        </w:rPr>
        <w:t>.</w:t>
      </w:r>
    </w:p>
    <w:p w14:paraId="2B9B02A0" w14:textId="77777777" w:rsidR="00B8013C" w:rsidRPr="00B359EB" w:rsidRDefault="00B8013C" w:rsidP="00DE2B51">
      <w:pPr>
        <w:spacing w:before="100" w:beforeAutospacing="1" w:after="100" w:afterAutospacing="1"/>
        <w:jc w:val="both"/>
        <w:rPr>
          <w:rFonts w:ascii="Times New Roman" w:hAnsi="Times New Roman" w:cs="Times New Roman"/>
          <w:sz w:val="22"/>
          <w:szCs w:val="22"/>
          <w:lang w:val="es-ES"/>
        </w:rPr>
      </w:pPr>
      <w:r w:rsidRPr="00B359EB">
        <w:rPr>
          <w:rFonts w:ascii="Times New Roman" w:hAnsi="Times New Roman" w:cs="Times New Roman"/>
          <w:sz w:val="22"/>
          <w:szCs w:val="22"/>
          <w:lang w:val="es-ES"/>
        </w:rPr>
        <w:t xml:space="preserve">Las graves violaciones a sus derechos han sido reconocidas por organismos nacionales e internacionales, entre otras: </w:t>
      </w:r>
    </w:p>
    <w:p w14:paraId="74C08412" w14:textId="291D824A" w:rsidR="00B8013C" w:rsidRPr="00B359EB" w:rsidRDefault="00B8013C" w:rsidP="00B8013C">
      <w:pPr>
        <w:pStyle w:val="Prrafodelista"/>
        <w:numPr>
          <w:ilvl w:val="0"/>
          <w:numId w:val="9"/>
        </w:numPr>
        <w:jc w:val="both"/>
        <w:rPr>
          <w:rFonts w:ascii="Times New Roman" w:hAnsi="Times New Roman" w:cs="Times New Roman"/>
          <w:sz w:val="22"/>
          <w:szCs w:val="22"/>
          <w:lang w:val="es-ES"/>
        </w:rPr>
      </w:pPr>
      <w:r w:rsidRPr="00B359EB">
        <w:rPr>
          <w:rFonts w:ascii="Times New Roman" w:hAnsi="Times New Roman" w:cs="Times New Roman"/>
          <w:sz w:val="22"/>
          <w:szCs w:val="22"/>
          <w:lang w:val="es-ES"/>
        </w:rPr>
        <w:t>Recomendación 5/2018 de la Comisión Nacional de Derechos Humanos (CNDH)</w:t>
      </w:r>
      <w:r w:rsidRPr="00B359EB">
        <w:rPr>
          <w:rStyle w:val="Refdenotaalpie"/>
          <w:rFonts w:ascii="Times New Roman" w:hAnsi="Times New Roman" w:cs="Times New Roman"/>
          <w:sz w:val="22"/>
          <w:szCs w:val="22"/>
          <w:lang w:val="es-ES"/>
        </w:rPr>
        <w:footnoteReference w:id="3"/>
      </w:r>
    </w:p>
    <w:p w14:paraId="18979F7A" w14:textId="2CE92656" w:rsidR="00B8013C" w:rsidRPr="00B359EB" w:rsidRDefault="00B8013C" w:rsidP="00B8013C">
      <w:pPr>
        <w:pStyle w:val="Prrafodelista"/>
        <w:numPr>
          <w:ilvl w:val="0"/>
          <w:numId w:val="9"/>
        </w:numPr>
        <w:jc w:val="both"/>
        <w:rPr>
          <w:rFonts w:ascii="Times New Roman" w:hAnsi="Times New Roman" w:cs="Times New Roman"/>
          <w:sz w:val="22"/>
          <w:szCs w:val="22"/>
          <w:lang w:val="es-ES"/>
        </w:rPr>
      </w:pPr>
      <w:r w:rsidRPr="00B359EB">
        <w:rPr>
          <w:rFonts w:ascii="Times New Roman" w:hAnsi="Times New Roman" w:cs="Times New Roman"/>
          <w:sz w:val="22"/>
          <w:szCs w:val="22"/>
          <w:lang w:val="es-ES"/>
        </w:rPr>
        <w:t>Opinión 23/2014 del Grupo de Trabajo sobre Detención Arbitraria de la ONU</w:t>
      </w:r>
      <w:r w:rsidRPr="00B359EB">
        <w:rPr>
          <w:rStyle w:val="Refdenotaalpie"/>
          <w:rFonts w:ascii="Times New Roman" w:hAnsi="Times New Roman" w:cs="Times New Roman"/>
          <w:sz w:val="22"/>
          <w:szCs w:val="22"/>
          <w:lang w:val="es-ES"/>
        </w:rPr>
        <w:footnoteReference w:id="4"/>
      </w:r>
      <w:r w:rsidR="00012FFF" w:rsidRPr="00B359EB">
        <w:rPr>
          <w:rFonts w:ascii="Times New Roman" w:hAnsi="Times New Roman" w:cs="Times New Roman"/>
          <w:sz w:val="22"/>
          <w:szCs w:val="22"/>
          <w:lang w:val="es-ES"/>
        </w:rPr>
        <w:t xml:space="preserve">. En relación al Grupo de Trabajo cabe destacar que esta opinión fue la primera de un total de ocho emitidas entre 2014 y 2017 sobre casos de personas defensoras detenidas arbitrariamente en México, seis de ellas vertiendo sobre casos de personas defensoras de Oaxaca. </w:t>
      </w:r>
      <w:r w:rsidR="00012FFF" w:rsidRPr="00DE2B51">
        <w:rPr>
          <w:rFonts w:ascii="Times New Roman" w:hAnsi="Times New Roman" w:cs="Times New Roman"/>
          <w:b/>
          <w:bCs/>
          <w:sz w:val="22"/>
          <w:szCs w:val="22"/>
          <w:lang w:val="es-ES"/>
        </w:rPr>
        <w:t xml:space="preserve">El Grupo de Trabajo destacó la existencia de un patrón de detenciones arbitrarias contra personas defensoras en México (opinión 55/2015) y su particular preocupación por el patrón especifico en el estado de Oaxaca (opinión 24/2017). </w:t>
      </w:r>
    </w:p>
    <w:p w14:paraId="0BCDC565" w14:textId="78304DC5" w:rsidR="00B8013C" w:rsidRPr="00B359EB" w:rsidRDefault="00B8013C" w:rsidP="00B8013C">
      <w:pPr>
        <w:pStyle w:val="Prrafodelista"/>
        <w:numPr>
          <w:ilvl w:val="0"/>
          <w:numId w:val="9"/>
        </w:numPr>
        <w:jc w:val="both"/>
        <w:rPr>
          <w:rFonts w:ascii="Times New Roman" w:hAnsi="Times New Roman" w:cs="Times New Roman"/>
          <w:sz w:val="22"/>
          <w:szCs w:val="22"/>
          <w:lang w:val="es-ES"/>
        </w:rPr>
      </w:pPr>
      <w:r w:rsidRPr="00B359EB">
        <w:rPr>
          <w:rFonts w:ascii="Times New Roman" w:hAnsi="Times New Roman" w:cs="Times New Roman"/>
          <w:sz w:val="22"/>
          <w:szCs w:val="22"/>
          <w:lang w:val="es-ES"/>
        </w:rPr>
        <w:t>Acciones urgentes y comunicaciones de relatores especiales de la ONU ante el Consejo de Derechos Humanos sobre el caso</w:t>
      </w:r>
      <w:r w:rsidR="00CB340B" w:rsidRPr="00B359EB">
        <w:rPr>
          <w:rFonts w:ascii="Times New Roman" w:hAnsi="Times New Roman" w:cs="Times New Roman"/>
          <w:sz w:val="22"/>
          <w:szCs w:val="22"/>
          <w:lang w:val="es-ES"/>
        </w:rPr>
        <w:t>.</w:t>
      </w:r>
      <w:r w:rsidRPr="00B359EB">
        <w:rPr>
          <w:rStyle w:val="Refdenotaalpie"/>
          <w:rFonts w:ascii="Times New Roman" w:hAnsi="Times New Roman" w:cs="Times New Roman"/>
          <w:sz w:val="22"/>
          <w:szCs w:val="22"/>
          <w:lang w:val="es-ES"/>
        </w:rPr>
        <w:footnoteReference w:id="5"/>
      </w:r>
    </w:p>
    <w:p w14:paraId="0A6CE8C3" w14:textId="77777777" w:rsidR="00B8013C" w:rsidRPr="00B359EB" w:rsidRDefault="00B8013C" w:rsidP="00B8013C">
      <w:pPr>
        <w:pStyle w:val="Default"/>
        <w:jc w:val="both"/>
        <w:rPr>
          <w:color w:val="222222"/>
          <w:sz w:val="22"/>
          <w:szCs w:val="22"/>
          <w:shd w:val="clear" w:color="auto" w:fill="FFFFFF"/>
          <w:lang w:val="es-ES"/>
        </w:rPr>
      </w:pPr>
    </w:p>
    <w:p w14:paraId="31C63AF3" w14:textId="59F5139F" w:rsidR="00DE2B51" w:rsidRDefault="00DE2B51" w:rsidP="00DE2B51">
      <w:pPr>
        <w:pStyle w:val="Default"/>
        <w:jc w:val="both"/>
        <w:rPr>
          <w:color w:val="222222"/>
          <w:sz w:val="22"/>
          <w:szCs w:val="22"/>
          <w:shd w:val="clear" w:color="auto" w:fill="FFFFFF"/>
          <w:lang w:val="es-MX"/>
        </w:rPr>
      </w:pPr>
      <w:r>
        <w:rPr>
          <w:color w:val="222222"/>
          <w:sz w:val="22"/>
          <w:szCs w:val="22"/>
          <w:shd w:val="clear" w:color="auto" w:fill="FFFFFF"/>
          <w:lang w:val="es-MX"/>
        </w:rPr>
        <w:lastRenderedPageBreak/>
        <w:t xml:space="preserve">En febrero de 2020, el defensor </w:t>
      </w:r>
      <w:r w:rsidR="00FB0F92">
        <w:rPr>
          <w:color w:val="222222"/>
          <w:sz w:val="22"/>
          <w:szCs w:val="22"/>
          <w:shd w:val="clear" w:color="auto" w:fill="FFFFFF"/>
          <w:lang w:val="es-MX"/>
        </w:rPr>
        <w:t xml:space="preserve"> de derechos humanos Damián </w:t>
      </w:r>
      <w:r>
        <w:rPr>
          <w:color w:val="222222"/>
          <w:sz w:val="22"/>
          <w:szCs w:val="22"/>
          <w:shd w:val="clear" w:color="auto" w:fill="FFFFFF"/>
          <w:lang w:val="es-MX"/>
        </w:rPr>
        <w:t xml:space="preserve">Gallardo presentó también una solicitud de reparación integral del daño ante la Comisión Ejecutiva de Atención a Víctimas, organismo correspondiente </w:t>
      </w:r>
      <w:r w:rsidR="00FB0F92">
        <w:rPr>
          <w:color w:val="222222"/>
          <w:sz w:val="22"/>
          <w:szCs w:val="22"/>
          <w:shd w:val="clear" w:color="auto" w:fill="FFFFFF"/>
          <w:lang w:val="es-MX"/>
        </w:rPr>
        <w:t>para</w:t>
      </w:r>
      <w:r>
        <w:rPr>
          <w:color w:val="222222"/>
          <w:sz w:val="22"/>
          <w:szCs w:val="22"/>
          <w:shd w:val="clear" w:color="auto" w:fill="FFFFFF"/>
          <w:lang w:val="es-MX"/>
        </w:rPr>
        <w:t xml:space="preserve"> este trámite. Más de un año más tarde todavía no se cuenta con ningun tipo de avance al respecto.</w:t>
      </w:r>
    </w:p>
    <w:p w14:paraId="1CD03E37" w14:textId="77777777" w:rsidR="00DE2B51" w:rsidRDefault="00DE2B51" w:rsidP="00DE2B51">
      <w:pPr>
        <w:pStyle w:val="Default"/>
        <w:jc w:val="both"/>
        <w:rPr>
          <w:color w:val="222222"/>
          <w:sz w:val="22"/>
          <w:szCs w:val="22"/>
          <w:shd w:val="clear" w:color="auto" w:fill="FFFFFF"/>
          <w:lang w:val="es-MX"/>
        </w:rPr>
      </w:pPr>
    </w:p>
    <w:p w14:paraId="7BEF97D2" w14:textId="77777777" w:rsidR="00DE2B51" w:rsidRPr="00B8013C" w:rsidRDefault="00DE2B51" w:rsidP="00DE2B51">
      <w:pPr>
        <w:pStyle w:val="Default"/>
        <w:jc w:val="both"/>
        <w:rPr>
          <w:color w:val="222222"/>
          <w:sz w:val="22"/>
          <w:szCs w:val="22"/>
          <w:shd w:val="clear" w:color="auto" w:fill="FFFFFF"/>
          <w:lang w:val="es-MX"/>
        </w:rPr>
      </w:pPr>
      <w:r w:rsidRPr="00B8013C">
        <w:rPr>
          <w:color w:val="222222"/>
          <w:sz w:val="22"/>
          <w:szCs w:val="22"/>
          <w:shd w:val="clear" w:color="auto" w:fill="FFFFFF"/>
          <w:lang w:val="es-MX"/>
        </w:rPr>
        <w:t xml:space="preserve">Desde marzo </w:t>
      </w:r>
      <w:r>
        <w:rPr>
          <w:color w:val="222222"/>
          <w:sz w:val="22"/>
          <w:szCs w:val="22"/>
          <w:shd w:val="clear" w:color="auto" w:fill="FFFFFF"/>
          <w:lang w:val="es-MX"/>
        </w:rPr>
        <w:t xml:space="preserve">de </w:t>
      </w:r>
      <w:r w:rsidRPr="00B8013C">
        <w:rPr>
          <w:color w:val="222222"/>
          <w:sz w:val="22"/>
          <w:szCs w:val="22"/>
          <w:shd w:val="clear" w:color="auto" w:fill="FFFFFF"/>
          <w:lang w:val="es-MX"/>
        </w:rPr>
        <w:t>2020, el caso se encuentra también en estudio ante el Comité Contra la Tortura de la ONU.</w:t>
      </w:r>
    </w:p>
    <w:p w14:paraId="43F20700" w14:textId="77777777" w:rsidR="00E94778" w:rsidRPr="00DE2B51" w:rsidRDefault="00E94778" w:rsidP="00B8013C">
      <w:pPr>
        <w:pStyle w:val="Default"/>
        <w:jc w:val="both"/>
        <w:rPr>
          <w:color w:val="222222"/>
          <w:sz w:val="22"/>
          <w:szCs w:val="22"/>
          <w:shd w:val="clear" w:color="auto" w:fill="FFFFFF"/>
          <w:lang w:val="es-MX"/>
        </w:rPr>
      </w:pPr>
    </w:p>
    <w:p w14:paraId="2C8BF10A" w14:textId="7893A21D" w:rsidR="006B02EC" w:rsidRPr="00B359EB" w:rsidRDefault="00E94778" w:rsidP="00B8013C">
      <w:pPr>
        <w:pStyle w:val="Default"/>
        <w:jc w:val="both"/>
        <w:rPr>
          <w:color w:val="222222"/>
          <w:sz w:val="22"/>
          <w:szCs w:val="22"/>
          <w:shd w:val="clear" w:color="auto" w:fill="FFFFFF"/>
          <w:lang w:val="es-ES"/>
        </w:rPr>
      </w:pPr>
      <w:r w:rsidRPr="00B359EB">
        <w:rPr>
          <w:color w:val="222222"/>
          <w:sz w:val="22"/>
          <w:szCs w:val="22"/>
          <w:shd w:val="clear" w:color="auto" w:fill="FFFFFF"/>
          <w:lang w:val="es-ES"/>
        </w:rPr>
        <w:t xml:space="preserve">Hasta la fecha continúa su exigencia de justicia y sin </w:t>
      </w:r>
      <w:r w:rsidR="00B359EB" w:rsidRPr="00B359EB">
        <w:rPr>
          <w:color w:val="222222"/>
          <w:sz w:val="22"/>
          <w:szCs w:val="22"/>
          <w:shd w:val="clear" w:color="auto" w:fill="FFFFFF"/>
          <w:lang w:val="es-ES"/>
        </w:rPr>
        <w:t>ningún</w:t>
      </w:r>
      <w:r w:rsidRPr="00B359EB">
        <w:rPr>
          <w:color w:val="222222"/>
          <w:sz w:val="22"/>
          <w:szCs w:val="22"/>
          <w:shd w:val="clear" w:color="auto" w:fill="FFFFFF"/>
          <w:lang w:val="es-ES"/>
        </w:rPr>
        <w:t xml:space="preserve"> avance en este sentido. </w:t>
      </w:r>
      <w:r w:rsidR="00905132" w:rsidRPr="00B359EB">
        <w:rPr>
          <w:color w:val="222222"/>
          <w:sz w:val="22"/>
          <w:szCs w:val="22"/>
          <w:shd w:val="clear" w:color="auto" w:fill="FFFFFF"/>
          <w:lang w:val="es-ES"/>
        </w:rPr>
        <w:t xml:space="preserve">Este caso es </w:t>
      </w:r>
      <w:r w:rsidR="00B359EB" w:rsidRPr="00B359EB">
        <w:rPr>
          <w:color w:val="222222"/>
          <w:sz w:val="22"/>
          <w:szCs w:val="22"/>
          <w:shd w:val="clear" w:color="auto" w:fill="FFFFFF"/>
          <w:lang w:val="es-ES"/>
        </w:rPr>
        <w:t>emblemático</w:t>
      </w:r>
      <w:r w:rsidR="00905132" w:rsidRPr="00B359EB">
        <w:rPr>
          <w:color w:val="222222"/>
          <w:sz w:val="22"/>
          <w:szCs w:val="22"/>
          <w:shd w:val="clear" w:color="auto" w:fill="FFFFFF"/>
          <w:lang w:val="es-ES"/>
        </w:rPr>
        <w:t xml:space="preserve"> de</w:t>
      </w:r>
      <w:r w:rsidR="00CB340B" w:rsidRPr="00B359EB">
        <w:rPr>
          <w:color w:val="222222"/>
          <w:sz w:val="22"/>
          <w:szCs w:val="22"/>
          <w:shd w:val="clear" w:color="auto" w:fill="FFFFFF"/>
          <w:lang w:val="es-ES"/>
        </w:rPr>
        <w:t xml:space="preserve">l patrón de criminalización de la protesta social en </w:t>
      </w:r>
      <w:r w:rsidR="00DE2B51" w:rsidRPr="00B359EB">
        <w:rPr>
          <w:color w:val="222222"/>
          <w:sz w:val="22"/>
          <w:szCs w:val="22"/>
          <w:shd w:val="clear" w:color="auto" w:fill="FFFFFF"/>
          <w:lang w:val="es-ES"/>
        </w:rPr>
        <w:t>Oaxaca,</w:t>
      </w:r>
      <w:r w:rsidR="00CB340B" w:rsidRPr="00B359EB">
        <w:rPr>
          <w:color w:val="222222"/>
          <w:sz w:val="22"/>
          <w:szCs w:val="22"/>
          <w:shd w:val="clear" w:color="auto" w:fill="FFFFFF"/>
          <w:lang w:val="es-ES"/>
        </w:rPr>
        <w:t xml:space="preserve"> así como de</w:t>
      </w:r>
      <w:r w:rsidR="00905132" w:rsidRPr="00B359EB">
        <w:rPr>
          <w:color w:val="222222"/>
          <w:sz w:val="22"/>
          <w:szCs w:val="22"/>
          <w:shd w:val="clear" w:color="auto" w:fill="FFFFFF"/>
          <w:lang w:val="es-ES"/>
        </w:rPr>
        <w:t xml:space="preserve"> la impunidad y condiciones que permiten la reproducción de</w:t>
      </w:r>
      <w:r w:rsidR="00CB340B" w:rsidRPr="00B359EB">
        <w:rPr>
          <w:color w:val="222222"/>
          <w:sz w:val="22"/>
          <w:szCs w:val="22"/>
          <w:shd w:val="clear" w:color="auto" w:fill="FFFFFF"/>
          <w:lang w:val="es-ES"/>
        </w:rPr>
        <w:t xml:space="preserve"> este</w:t>
      </w:r>
      <w:r w:rsidR="00905132" w:rsidRPr="00B359EB">
        <w:rPr>
          <w:color w:val="222222"/>
          <w:sz w:val="22"/>
          <w:szCs w:val="22"/>
          <w:shd w:val="clear" w:color="auto" w:fill="FFFFFF"/>
          <w:lang w:val="es-ES"/>
        </w:rPr>
        <w:t xml:space="preserve"> patrón de criminalización y </w:t>
      </w:r>
      <w:r w:rsidR="00CB340B" w:rsidRPr="00B359EB">
        <w:rPr>
          <w:color w:val="222222"/>
          <w:sz w:val="22"/>
          <w:szCs w:val="22"/>
          <w:shd w:val="clear" w:color="auto" w:fill="FFFFFF"/>
          <w:lang w:val="es-ES"/>
        </w:rPr>
        <w:t xml:space="preserve">de </w:t>
      </w:r>
      <w:r w:rsidR="00905132" w:rsidRPr="00B359EB">
        <w:rPr>
          <w:color w:val="222222"/>
          <w:sz w:val="22"/>
          <w:szCs w:val="22"/>
          <w:shd w:val="clear" w:color="auto" w:fill="FFFFFF"/>
          <w:lang w:val="es-ES"/>
        </w:rPr>
        <w:t xml:space="preserve">detenciones arbitrarias en contra de personas defensoras en México. Si no se logra justicia en este caso, </w:t>
      </w:r>
      <w:r w:rsidR="00012FFF" w:rsidRPr="00B359EB">
        <w:rPr>
          <w:color w:val="222222"/>
          <w:sz w:val="22"/>
          <w:szCs w:val="22"/>
          <w:shd w:val="clear" w:color="auto" w:fill="FFFFFF"/>
          <w:lang w:val="es-ES"/>
        </w:rPr>
        <w:t xml:space="preserve">si las autoridades responsables no son detenidas y castigadas y si no se repara integralmente el daño, </w:t>
      </w:r>
      <w:r w:rsidR="00B359EB" w:rsidRPr="00B359EB">
        <w:rPr>
          <w:color w:val="222222"/>
          <w:sz w:val="22"/>
          <w:szCs w:val="22"/>
          <w:shd w:val="clear" w:color="auto" w:fill="FFFFFF"/>
          <w:lang w:val="es-ES"/>
        </w:rPr>
        <w:t>difícilmente</w:t>
      </w:r>
      <w:r w:rsidR="00905132" w:rsidRPr="00B359EB">
        <w:rPr>
          <w:color w:val="222222"/>
          <w:sz w:val="22"/>
          <w:szCs w:val="22"/>
          <w:shd w:val="clear" w:color="auto" w:fill="FFFFFF"/>
          <w:lang w:val="es-ES"/>
        </w:rPr>
        <w:t xml:space="preserve"> se podrá sentar precedente para </w:t>
      </w:r>
      <w:r w:rsidR="00012FFF" w:rsidRPr="00B359EB">
        <w:rPr>
          <w:color w:val="222222"/>
          <w:sz w:val="22"/>
          <w:szCs w:val="22"/>
          <w:shd w:val="clear" w:color="auto" w:fill="FFFFFF"/>
          <w:lang w:val="es-ES"/>
        </w:rPr>
        <w:t>que se empiece a transformar la realidad y se erradique el patrón de criminalización en Oaxaca y México.</w:t>
      </w:r>
    </w:p>
    <w:p w14:paraId="245E6166" w14:textId="6FFED52C" w:rsidR="006B02EC" w:rsidRDefault="006B02EC" w:rsidP="008456B2">
      <w:pPr>
        <w:pStyle w:val="Default"/>
        <w:jc w:val="both"/>
        <w:rPr>
          <w:color w:val="222222"/>
          <w:sz w:val="22"/>
          <w:szCs w:val="22"/>
          <w:shd w:val="clear" w:color="auto" w:fill="FFFFFF"/>
          <w:lang w:val="es-ES"/>
        </w:rPr>
      </w:pPr>
    </w:p>
    <w:p w14:paraId="1E44E782" w14:textId="77777777" w:rsidR="00B359EB" w:rsidRPr="00B359EB" w:rsidRDefault="00B359EB" w:rsidP="008456B2">
      <w:pPr>
        <w:pStyle w:val="Default"/>
        <w:jc w:val="both"/>
        <w:rPr>
          <w:color w:val="222222"/>
          <w:sz w:val="22"/>
          <w:szCs w:val="22"/>
          <w:shd w:val="clear" w:color="auto" w:fill="FFFFFF"/>
          <w:lang w:val="es-ES"/>
        </w:rPr>
      </w:pPr>
    </w:p>
    <w:p w14:paraId="5B91993C" w14:textId="1FDB7079" w:rsidR="00012FFF" w:rsidRPr="00B359EB" w:rsidRDefault="00012FFF" w:rsidP="00A66DBA">
      <w:pPr>
        <w:pStyle w:val="Default"/>
        <w:numPr>
          <w:ilvl w:val="0"/>
          <w:numId w:val="22"/>
        </w:numPr>
        <w:rPr>
          <w:b/>
          <w:bCs/>
          <w:color w:val="222222"/>
          <w:shd w:val="clear" w:color="auto" w:fill="FFFFFF"/>
          <w:lang w:val="es-ES"/>
        </w:rPr>
      </w:pPr>
      <w:r w:rsidRPr="00B359EB">
        <w:rPr>
          <w:b/>
          <w:bCs/>
          <w:color w:val="222222"/>
          <w:shd w:val="clear" w:color="auto" w:fill="FFFFFF"/>
          <w:lang w:val="es-ES"/>
        </w:rPr>
        <w:t>Acciones sugeridas</w:t>
      </w:r>
    </w:p>
    <w:p w14:paraId="780C2D74" w14:textId="0BD486A8" w:rsidR="008456B2" w:rsidRPr="00B359EB" w:rsidRDefault="008456B2" w:rsidP="008456B2">
      <w:pPr>
        <w:pStyle w:val="Default"/>
        <w:jc w:val="both"/>
        <w:rPr>
          <w:color w:val="222222"/>
          <w:sz w:val="22"/>
          <w:szCs w:val="22"/>
          <w:shd w:val="clear" w:color="auto" w:fill="FFFFFF"/>
          <w:lang w:val="es-ES"/>
        </w:rPr>
      </w:pPr>
    </w:p>
    <w:p w14:paraId="733E818B" w14:textId="71DCBD03" w:rsidR="00DC65DD" w:rsidRPr="00B359EB" w:rsidRDefault="00DC65DD" w:rsidP="00A66DBA">
      <w:pPr>
        <w:pStyle w:val="Default"/>
        <w:numPr>
          <w:ilvl w:val="0"/>
          <w:numId w:val="23"/>
        </w:numPr>
        <w:jc w:val="both"/>
        <w:rPr>
          <w:b/>
          <w:bCs/>
          <w:color w:val="222222"/>
          <w:sz w:val="22"/>
          <w:szCs w:val="22"/>
          <w:shd w:val="clear" w:color="auto" w:fill="FFFFFF"/>
          <w:lang w:val="es-ES"/>
        </w:rPr>
      </w:pPr>
      <w:r w:rsidRPr="00B359EB">
        <w:rPr>
          <w:b/>
          <w:bCs/>
          <w:color w:val="222222"/>
          <w:sz w:val="22"/>
          <w:szCs w:val="22"/>
          <w:shd w:val="clear" w:color="auto" w:fill="FFFFFF"/>
          <w:lang w:val="es-ES"/>
        </w:rPr>
        <w:t>Para evitar</w:t>
      </w:r>
      <w:r w:rsidR="00012FFF" w:rsidRPr="00B359EB">
        <w:rPr>
          <w:b/>
          <w:bCs/>
          <w:color w:val="222222"/>
          <w:sz w:val="22"/>
          <w:szCs w:val="22"/>
          <w:shd w:val="clear" w:color="auto" w:fill="FFFFFF"/>
          <w:lang w:val="es-ES"/>
        </w:rPr>
        <w:t xml:space="preserve"> detenciones arbitrarias prolongadas de personas defensoras</w:t>
      </w:r>
    </w:p>
    <w:p w14:paraId="5B2051BF" w14:textId="77777777" w:rsidR="005322EA" w:rsidRPr="00B359EB" w:rsidRDefault="005322EA" w:rsidP="00DE05DB">
      <w:pPr>
        <w:pStyle w:val="Default"/>
        <w:jc w:val="both"/>
        <w:rPr>
          <w:color w:val="222222"/>
          <w:sz w:val="22"/>
          <w:szCs w:val="22"/>
          <w:shd w:val="clear" w:color="auto" w:fill="FFFFFF"/>
          <w:lang w:val="es-ES"/>
        </w:rPr>
      </w:pPr>
    </w:p>
    <w:p w14:paraId="6F2A4867" w14:textId="28A02417" w:rsidR="00DE05DB" w:rsidRDefault="00BC2489" w:rsidP="00D02016">
      <w:pPr>
        <w:pStyle w:val="Default"/>
        <w:jc w:val="both"/>
        <w:rPr>
          <w:color w:val="222222"/>
          <w:sz w:val="22"/>
          <w:szCs w:val="22"/>
          <w:shd w:val="clear" w:color="auto" w:fill="FFFFFF"/>
          <w:lang w:val="es-ES"/>
        </w:rPr>
      </w:pPr>
      <w:r w:rsidRPr="00B359EB">
        <w:rPr>
          <w:color w:val="222222"/>
          <w:sz w:val="22"/>
          <w:szCs w:val="22"/>
          <w:shd w:val="clear" w:color="auto" w:fill="FFFFFF"/>
          <w:lang w:val="es-ES"/>
        </w:rPr>
        <w:t>L</w:t>
      </w:r>
      <w:r w:rsidR="005322EA" w:rsidRPr="00B359EB">
        <w:rPr>
          <w:color w:val="222222"/>
          <w:sz w:val="22"/>
          <w:szCs w:val="22"/>
          <w:shd w:val="clear" w:color="auto" w:fill="FFFFFF"/>
          <w:lang w:val="es-ES"/>
        </w:rPr>
        <w:t>a criminalización de la protesta social y detenciones arbitrarias de personas defensoras</w:t>
      </w:r>
      <w:r w:rsidRPr="00B359EB">
        <w:rPr>
          <w:color w:val="222222"/>
          <w:sz w:val="22"/>
          <w:szCs w:val="22"/>
          <w:shd w:val="clear" w:color="auto" w:fill="FFFFFF"/>
          <w:lang w:val="es-ES"/>
        </w:rPr>
        <w:t xml:space="preserve"> sigue</w:t>
      </w:r>
      <w:r w:rsidR="008C6129">
        <w:rPr>
          <w:color w:val="222222"/>
          <w:sz w:val="22"/>
          <w:szCs w:val="22"/>
          <w:shd w:val="clear" w:color="auto" w:fill="FFFFFF"/>
          <w:lang w:val="es-ES"/>
        </w:rPr>
        <w:t>n</w:t>
      </w:r>
      <w:r w:rsidRPr="00B359EB">
        <w:rPr>
          <w:color w:val="222222"/>
          <w:sz w:val="22"/>
          <w:szCs w:val="22"/>
          <w:shd w:val="clear" w:color="auto" w:fill="FFFFFF"/>
          <w:lang w:val="es-ES"/>
        </w:rPr>
        <w:t xml:space="preserve"> tendencias y patrones específicos en cada </w:t>
      </w:r>
      <w:r w:rsidR="009B5E73" w:rsidRPr="00B359EB">
        <w:rPr>
          <w:color w:val="222222"/>
          <w:sz w:val="22"/>
          <w:szCs w:val="22"/>
          <w:shd w:val="clear" w:color="auto" w:fill="FFFFFF"/>
          <w:lang w:val="es-ES"/>
        </w:rPr>
        <w:t xml:space="preserve">país y </w:t>
      </w:r>
      <w:r w:rsidRPr="00B359EB">
        <w:rPr>
          <w:color w:val="222222"/>
          <w:sz w:val="22"/>
          <w:szCs w:val="22"/>
          <w:shd w:val="clear" w:color="auto" w:fill="FFFFFF"/>
          <w:lang w:val="es-ES"/>
        </w:rPr>
        <w:t>contexto</w:t>
      </w:r>
      <w:r w:rsidR="005322EA" w:rsidRPr="00B359EB">
        <w:rPr>
          <w:color w:val="222222"/>
          <w:sz w:val="22"/>
          <w:szCs w:val="22"/>
          <w:shd w:val="clear" w:color="auto" w:fill="FFFFFF"/>
          <w:lang w:val="es-ES"/>
        </w:rPr>
        <w:t xml:space="preserve">; el tipo de delitos utilizados para criminalizar </w:t>
      </w:r>
      <w:r w:rsidRPr="00B359EB">
        <w:rPr>
          <w:color w:val="222222"/>
          <w:sz w:val="22"/>
          <w:szCs w:val="22"/>
          <w:shd w:val="clear" w:color="auto" w:fill="FFFFFF"/>
          <w:lang w:val="es-ES"/>
        </w:rPr>
        <w:t>suele en este sentido ser reiterado, incluso algunos códigos penales prevén algunos delitos específicos que son sistemáticamente utilizados para criminalizar la protesta social</w:t>
      </w:r>
      <w:r w:rsidR="00DE05DB" w:rsidRPr="00B359EB">
        <w:rPr>
          <w:color w:val="222222"/>
          <w:sz w:val="22"/>
          <w:szCs w:val="22"/>
          <w:shd w:val="clear" w:color="auto" w:fill="FFFFFF"/>
          <w:lang w:val="es-ES"/>
        </w:rPr>
        <w:t xml:space="preserve">, esta situación se ha visto todavía más agudizada en el contexto de la pandemia por COVID-19. </w:t>
      </w:r>
    </w:p>
    <w:p w14:paraId="0CF04410" w14:textId="77777777" w:rsidR="00DE2B51" w:rsidRPr="00B359EB" w:rsidRDefault="00DE2B51" w:rsidP="00D02016">
      <w:pPr>
        <w:pStyle w:val="Default"/>
        <w:jc w:val="both"/>
        <w:rPr>
          <w:color w:val="222222"/>
          <w:sz w:val="22"/>
          <w:szCs w:val="22"/>
          <w:shd w:val="clear" w:color="auto" w:fill="FFFFFF"/>
          <w:lang w:val="es-ES"/>
        </w:rPr>
      </w:pPr>
    </w:p>
    <w:p w14:paraId="47DD9226" w14:textId="111D612B" w:rsidR="00BC2489" w:rsidRPr="00B359EB" w:rsidRDefault="005322EA" w:rsidP="00D02016">
      <w:pPr>
        <w:pStyle w:val="Default"/>
        <w:jc w:val="both"/>
        <w:rPr>
          <w:color w:val="222222"/>
          <w:sz w:val="22"/>
          <w:szCs w:val="22"/>
          <w:shd w:val="clear" w:color="auto" w:fill="FFFFFF"/>
          <w:lang w:val="es-ES"/>
        </w:rPr>
      </w:pPr>
      <w:r w:rsidRPr="00B359EB">
        <w:rPr>
          <w:color w:val="222222"/>
          <w:sz w:val="22"/>
          <w:szCs w:val="22"/>
          <w:shd w:val="clear" w:color="auto" w:fill="FFFFFF"/>
          <w:lang w:val="es-ES"/>
        </w:rPr>
        <w:t>En el caso de México, e</w:t>
      </w:r>
      <w:r w:rsidR="009B5E73" w:rsidRPr="00B359EB">
        <w:rPr>
          <w:color w:val="222222"/>
          <w:sz w:val="22"/>
          <w:szCs w:val="22"/>
          <w:shd w:val="clear" w:color="auto" w:fill="FFFFFF"/>
          <w:lang w:val="es-ES"/>
        </w:rPr>
        <w:t>l</w:t>
      </w:r>
      <w:r w:rsidRPr="00B359EB">
        <w:rPr>
          <w:color w:val="222222"/>
          <w:sz w:val="22"/>
          <w:szCs w:val="22"/>
          <w:shd w:val="clear" w:color="auto" w:fill="FFFFFF"/>
          <w:lang w:val="es-ES"/>
        </w:rPr>
        <w:t xml:space="preserve"> patrón</w:t>
      </w:r>
      <w:r w:rsidR="00DE05DB" w:rsidRPr="00B359EB">
        <w:rPr>
          <w:color w:val="222222"/>
          <w:sz w:val="22"/>
          <w:szCs w:val="22"/>
          <w:shd w:val="clear" w:color="auto" w:fill="FFFFFF"/>
          <w:lang w:val="es-ES"/>
        </w:rPr>
        <w:t xml:space="preserve"> de criminalización</w:t>
      </w:r>
      <w:r w:rsidR="00DC65DD" w:rsidRPr="00B359EB">
        <w:rPr>
          <w:color w:val="222222"/>
          <w:sz w:val="22"/>
          <w:szCs w:val="22"/>
          <w:shd w:val="clear" w:color="auto" w:fill="FFFFFF"/>
          <w:lang w:val="es-ES"/>
        </w:rPr>
        <w:t xml:space="preserve"> </w:t>
      </w:r>
      <w:r w:rsidRPr="00B359EB">
        <w:rPr>
          <w:color w:val="222222"/>
          <w:sz w:val="22"/>
          <w:szCs w:val="22"/>
          <w:shd w:val="clear" w:color="auto" w:fill="FFFFFF"/>
          <w:lang w:val="es-ES"/>
        </w:rPr>
        <w:t xml:space="preserve">se ha ido transformando a lo largo de los años. Si bien históricamente, </w:t>
      </w:r>
      <w:r w:rsidR="009B5E73" w:rsidRPr="00B359EB">
        <w:rPr>
          <w:color w:val="222222"/>
          <w:sz w:val="22"/>
          <w:szCs w:val="22"/>
          <w:shd w:val="clear" w:color="auto" w:fill="FFFFFF"/>
          <w:lang w:val="es-ES"/>
        </w:rPr>
        <w:t>los</w:t>
      </w:r>
      <w:r w:rsidRPr="00B359EB">
        <w:rPr>
          <w:color w:val="222222"/>
          <w:sz w:val="22"/>
          <w:szCs w:val="22"/>
          <w:shd w:val="clear" w:color="auto" w:fill="FFFFFF"/>
          <w:lang w:val="es-ES"/>
        </w:rPr>
        <w:t xml:space="preserve"> delito</w:t>
      </w:r>
      <w:r w:rsidR="009B5E73" w:rsidRPr="00B359EB">
        <w:rPr>
          <w:color w:val="222222"/>
          <w:sz w:val="22"/>
          <w:szCs w:val="22"/>
          <w:shd w:val="clear" w:color="auto" w:fill="FFFFFF"/>
          <w:lang w:val="es-ES"/>
        </w:rPr>
        <w:t>s</w:t>
      </w:r>
      <w:r w:rsidRPr="00B359EB">
        <w:rPr>
          <w:color w:val="222222"/>
          <w:sz w:val="22"/>
          <w:szCs w:val="22"/>
          <w:shd w:val="clear" w:color="auto" w:fill="FFFFFF"/>
          <w:lang w:val="es-ES"/>
        </w:rPr>
        <w:t xml:space="preserve"> de</w:t>
      </w:r>
      <w:r w:rsidR="009B5E73" w:rsidRPr="00B359EB">
        <w:rPr>
          <w:color w:val="222222"/>
          <w:sz w:val="22"/>
          <w:szCs w:val="22"/>
          <w:shd w:val="clear" w:color="auto" w:fill="FFFFFF"/>
          <w:lang w:val="es-ES"/>
        </w:rPr>
        <w:t xml:space="preserve"> </w:t>
      </w:r>
      <w:r w:rsidRPr="00B359EB">
        <w:rPr>
          <w:color w:val="222222"/>
          <w:sz w:val="22"/>
          <w:szCs w:val="22"/>
          <w:shd w:val="clear" w:color="auto" w:fill="FFFFFF"/>
          <w:lang w:val="es-ES"/>
        </w:rPr>
        <w:t>l</w:t>
      </w:r>
      <w:r w:rsidR="009B5E73" w:rsidRPr="00B359EB">
        <w:rPr>
          <w:color w:val="222222"/>
          <w:sz w:val="22"/>
          <w:szCs w:val="22"/>
          <w:shd w:val="clear" w:color="auto" w:fill="FFFFFF"/>
          <w:lang w:val="es-ES"/>
        </w:rPr>
        <w:t>os</w:t>
      </w:r>
      <w:r w:rsidRPr="00B359EB">
        <w:rPr>
          <w:color w:val="222222"/>
          <w:sz w:val="22"/>
          <w:szCs w:val="22"/>
          <w:shd w:val="clear" w:color="auto" w:fill="FFFFFF"/>
          <w:lang w:val="es-ES"/>
        </w:rPr>
        <w:t xml:space="preserve"> que se acusaba a personas defensoras era</w:t>
      </w:r>
      <w:r w:rsidR="008C6129">
        <w:rPr>
          <w:color w:val="222222"/>
          <w:sz w:val="22"/>
          <w:szCs w:val="22"/>
          <w:shd w:val="clear" w:color="auto" w:fill="FFFFFF"/>
          <w:lang w:val="es-ES"/>
        </w:rPr>
        <w:t>n</w:t>
      </w:r>
      <w:r w:rsidRPr="00B359EB">
        <w:rPr>
          <w:color w:val="222222"/>
          <w:sz w:val="22"/>
          <w:szCs w:val="22"/>
          <w:shd w:val="clear" w:color="auto" w:fill="FFFFFF"/>
          <w:lang w:val="es-ES"/>
        </w:rPr>
        <w:t xml:space="preserve"> l</w:t>
      </w:r>
      <w:r w:rsidR="008C6129">
        <w:rPr>
          <w:color w:val="222222"/>
          <w:sz w:val="22"/>
          <w:szCs w:val="22"/>
          <w:shd w:val="clear" w:color="auto" w:fill="FFFFFF"/>
          <w:lang w:val="es-ES"/>
        </w:rPr>
        <w:t>os</w:t>
      </w:r>
      <w:r w:rsidRPr="00B359EB">
        <w:rPr>
          <w:color w:val="222222"/>
          <w:sz w:val="22"/>
          <w:szCs w:val="22"/>
          <w:shd w:val="clear" w:color="auto" w:fill="FFFFFF"/>
          <w:lang w:val="es-ES"/>
        </w:rPr>
        <w:t xml:space="preserve"> de terrorismo, sabotaje o conspiración; </w:t>
      </w:r>
      <w:r w:rsidR="00DC65DD" w:rsidRPr="00B359EB">
        <w:rPr>
          <w:color w:val="222222"/>
          <w:sz w:val="22"/>
          <w:szCs w:val="22"/>
          <w:shd w:val="clear" w:color="auto" w:fill="FFFFFF"/>
          <w:lang w:val="es-ES"/>
        </w:rPr>
        <w:t>a partir de 2012</w:t>
      </w:r>
      <w:r w:rsidRPr="00B359EB">
        <w:rPr>
          <w:color w:val="222222"/>
          <w:sz w:val="22"/>
          <w:szCs w:val="22"/>
          <w:shd w:val="clear" w:color="auto" w:fill="FFFFFF"/>
          <w:lang w:val="es-ES"/>
        </w:rPr>
        <w:t xml:space="preserve"> y del Gobierno de Enrique Peña Nieta; </w:t>
      </w:r>
      <w:r w:rsidRPr="00B359EB">
        <w:rPr>
          <w:rFonts w:eastAsia="Times New Roman"/>
          <w:sz w:val="22"/>
          <w:szCs w:val="22"/>
          <w:lang w:val="es-ES" w:eastAsia="es-ES_tradnl"/>
        </w:rPr>
        <w:t>el Estado</w:t>
      </w:r>
      <w:r w:rsidR="00540382" w:rsidRPr="00B359EB">
        <w:rPr>
          <w:rFonts w:eastAsia="Times New Roman"/>
          <w:sz w:val="22"/>
          <w:szCs w:val="22"/>
          <w:lang w:val="es-ES" w:eastAsia="es-ES_tradnl"/>
        </w:rPr>
        <w:t xml:space="preserve"> – </w:t>
      </w:r>
      <w:r w:rsidR="00540382" w:rsidRPr="00B359EB">
        <w:rPr>
          <w:rFonts w:eastAsia="Times New Roman"/>
          <w:i/>
          <w:iCs/>
          <w:sz w:val="22"/>
          <w:szCs w:val="22"/>
          <w:lang w:val="es-ES" w:eastAsia="es-ES_tradnl"/>
        </w:rPr>
        <w:t>tal y como lo ilustra el caso de Damián Gallardo</w:t>
      </w:r>
      <w:r w:rsidR="00540382" w:rsidRPr="00B359EB">
        <w:rPr>
          <w:rFonts w:eastAsia="Times New Roman"/>
          <w:sz w:val="22"/>
          <w:szCs w:val="22"/>
          <w:lang w:val="es-ES" w:eastAsia="es-ES_tradnl"/>
        </w:rPr>
        <w:t xml:space="preserve"> – </w:t>
      </w:r>
      <w:r w:rsidRPr="00B359EB">
        <w:rPr>
          <w:rFonts w:eastAsia="Times New Roman"/>
          <w:sz w:val="22"/>
          <w:szCs w:val="22"/>
          <w:lang w:val="es-ES" w:eastAsia="es-ES_tradnl"/>
        </w:rPr>
        <w:t>empezó a imputar a las personas defensoras delitos como secuestro, delincuencia organizada, daños, lavado de dinero,</w:t>
      </w:r>
      <w:r w:rsidR="004C5F31" w:rsidRPr="00B359EB">
        <w:rPr>
          <w:rFonts w:eastAsia="Times New Roman"/>
          <w:sz w:val="22"/>
          <w:szCs w:val="22"/>
          <w:lang w:val="es-ES" w:eastAsia="es-ES_tradnl"/>
        </w:rPr>
        <w:t xml:space="preserve"> resistencia de particulares,</w:t>
      </w:r>
      <w:r w:rsidR="00E801A8" w:rsidRPr="00B359EB">
        <w:rPr>
          <w:rFonts w:eastAsia="Times New Roman"/>
          <w:sz w:val="22"/>
          <w:szCs w:val="22"/>
          <w:lang w:val="es-ES" w:eastAsia="es-ES_tradnl"/>
        </w:rPr>
        <w:t xml:space="preserve"> </w:t>
      </w:r>
      <w:r w:rsidRPr="00B359EB">
        <w:rPr>
          <w:rFonts w:eastAsia="Times New Roman"/>
          <w:sz w:val="22"/>
          <w:szCs w:val="22"/>
          <w:lang w:val="es-ES" w:eastAsia="es-ES_tradnl"/>
        </w:rPr>
        <w:t>asociación delictuosa y portación de arma de fuego. Más recientemente,</w:t>
      </w:r>
      <w:r w:rsidR="00DE05DB" w:rsidRPr="00B359EB">
        <w:rPr>
          <w:rFonts w:eastAsia="Times New Roman"/>
          <w:sz w:val="22"/>
          <w:szCs w:val="22"/>
          <w:lang w:val="es-ES" w:eastAsia="es-ES_tradnl"/>
        </w:rPr>
        <w:t xml:space="preserve"> en particular en algun</w:t>
      </w:r>
      <w:r w:rsidR="00B359EB">
        <w:rPr>
          <w:rFonts w:eastAsia="Times New Roman"/>
          <w:sz w:val="22"/>
          <w:szCs w:val="22"/>
          <w:lang w:val="es-ES" w:eastAsia="es-ES_tradnl"/>
        </w:rPr>
        <w:t>a</w:t>
      </w:r>
      <w:r w:rsidR="00DE05DB" w:rsidRPr="00B359EB">
        <w:rPr>
          <w:rFonts w:eastAsia="Times New Roman"/>
          <w:sz w:val="22"/>
          <w:szCs w:val="22"/>
          <w:lang w:val="es-ES" w:eastAsia="es-ES_tradnl"/>
        </w:rPr>
        <w:t>s entidades federativas,</w:t>
      </w:r>
      <w:r w:rsidRPr="00B359EB">
        <w:rPr>
          <w:rFonts w:eastAsia="Times New Roman"/>
          <w:sz w:val="22"/>
          <w:szCs w:val="22"/>
          <w:lang w:val="es-ES" w:eastAsia="es-ES_tradnl"/>
        </w:rPr>
        <w:t xml:space="preserve"> </w:t>
      </w:r>
      <w:r w:rsidR="00DC65DD" w:rsidRPr="00B359EB">
        <w:rPr>
          <w:color w:val="222222"/>
          <w:sz w:val="22"/>
          <w:szCs w:val="22"/>
          <w:shd w:val="clear" w:color="auto" w:fill="FFFFFF"/>
          <w:lang w:val="es-ES"/>
        </w:rPr>
        <w:t>las detenciones arbitrarias han sido justificadas por delitos típicamente relacionados con la protesta social</w:t>
      </w:r>
      <w:r w:rsidR="00BC2489" w:rsidRPr="00B359EB">
        <w:rPr>
          <w:color w:val="222222"/>
          <w:sz w:val="22"/>
          <w:szCs w:val="22"/>
          <w:shd w:val="clear" w:color="auto" w:fill="FFFFFF"/>
          <w:lang w:val="es-ES"/>
        </w:rPr>
        <w:t xml:space="preserve"> como ataque a vías de comunicaciones (“bloqueo”)</w:t>
      </w:r>
      <w:r w:rsidR="00DE05DB" w:rsidRPr="00B359EB">
        <w:rPr>
          <w:color w:val="222222"/>
          <w:sz w:val="22"/>
          <w:szCs w:val="22"/>
          <w:shd w:val="clear" w:color="auto" w:fill="FFFFFF"/>
          <w:lang w:val="es-ES"/>
        </w:rPr>
        <w:t xml:space="preserve"> por ejemplo</w:t>
      </w:r>
      <w:r w:rsidR="00BC2489" w:rsidRPr="00B359EB">
        <w:rPr>
          <w:color w:val="222222"/>
          <w:sz w:val="22"/>
          <w:szCs w:val="22"/>
          <w:shd w:val="clear" w:color="auto" w:fill="FFFFFF"/>
          <w:lang w:val="es-ES"/>
        </w:rPr>
        <w:t>. Es fundamental c</w:t>
      </w:r>
      <w:r w:rsidRPr="00B359EB">
        <w:rPr>
          <w:color w:val="222222"/>
          <w:sz w:val="22"/>
          <w:szCs w:val="22"/>
          <w:shd w:val="clear" w:color="auto" w:fill="FFFFFF"/>
          <w:lang w:val="es-ES"/>
        </w:rPr>
        <w:t>onocer y reconocer estas tendencias</w:t>
      </w:r>
      <w:r w:rsidR="00BC2489" w:rsidRPr="00B359EB">
        <w:rPr>
          <w:color w:val="222222"/>
          <w:sz w:val="22"/>
          <w:szCs w:val="22"/>
          <w:shd w:val="clear" w:color="auto" w:fill="FFFFFF"/>
          <w:lang w:val="es-ES"/>
        </w:rPr>
        <w:t xml:space="preserve"> para poderlas combatir.</w:t>
      </w:r>
    </w:p>
    <w:p w14:paraId="015B8077" w14:textId="2E5C160B" w:rsidR="00140C12" w:rsidRPr="00B359EB" w:rsidRDefault="00140C12" w:rsidP="005322EA">
      <w:pPr>
        <w:pStyle w:val="Default"/>
        <w:ind w:left="720"/>
        <w:jc w:val="both"/>
        <w:rPr>
          <w:color w:val="222222"/>
          <w:sz w:val="22"/>
          <w:szCs w:val="22"/>
          <w:shd w:val="clear" w:color="auto" w:fill="FFFFFF"/>
          <w:lang w:val="es-ES"/>
        </w:rPr>
      </w:pPr>
    </w:p>
    <w:p w14:paraId="1DC68269" w14:textId="3C488AAF" w:rsidR="00140C12" w:rsidRPr="00B359EB" w:rsidRDefault="00140C12" w:rsidP="00D02016">
      <w:pPr>
        <w:pStyle w:val="Default"/>
        <w:jc w:val="both"/>
        <w:rPr>
          <w:color w:val="222222"/>
          <w:sz w:val="22"/>
          <w:szCs w:val="22"/>
          <w:shd w:val="clear" w:color="auto" w:fill="FFFFFF"/>
          <w:lang w:val="es-ES"/>
        </w:rPr>
      </w:pPr>
      <w:r w:rsidRPr="00B359EB">
        <w:rPr>
          <w:color w:val="222222"/>
          <w:sz w:val="22"/>
          <w:szCs w:val="22"/>
          <w:shd w:val="clear" w:color="auto" w:fill="FFFFFF"/>
          <w:lang w:val="es-ES"/>
        </w:rPr>
        <w:t xml:space="preserve">En México, también ha sido reconocido por el Grupo de Trabajo sobre Detenciones Arbitrarias de la ONU (GTDA), un patrón especifico de criminalización de la protesta social </w:t>
      </w:r>
      <w:r w:rsidR="008C6129">
        <w:rPr>
          <w:color w:val="222222"/>
          <w:sz w:val="22"/>
          <w:szCs w:val="22"/>
          <w:shd w:val="clear" w:color="auto" w:fill="FFFFFF"/>
          <w:lang w:val="es-ES"/>
        </w:rPr>
        <w:t xml:space="preserve">tal y como en los casos de Damián Gallardo Martínez (Opinión 23/2014) y Pablo López </w:t>
      </w:r>
      <w:proofErr w:type="spellStart"/>
      <w:r w:rsidR="008C6129">
        <w:rPr>
          <w:color w:val="222222"/>
          <w:sz w:val="22"/>
          <w:szCs w:val="22"/>
          <w:shd w:val="clear" w:color="auto" w:fill="FFFFFF"/>
          <w:lang w:val="es-ES"/>
        </w:rPr>
        <w:t>Alavez</w:t>
      </w:r>
      <w:proofErr w:type="spellEnd"/>
      <w:r w:rsidR="008C6129">
        <w:rPr>
          <w:color w:val="222222"/>
          <w:sz w:val="22"/>
          <w:szCs w:val="22"/>
          <w:shd w:val="clear" w:color="auto" w:fill="FFFFFF"/>
          <w:lang w:val="es-ES"/>
        </w:rPr>
        <w:t xml:space="preserve"> (Opinión 23/2017). Este patrón </w:t>
      </w:r>
      <w:r w:rsidRPr="00B359EB">
        <w:rPr>
          <w:color w:val="222222"/>
          <w:sz w:val="22"/>
          <w:szCs w:val="22"/>
          <w:shd w:val="clear" w:color="auto" w:fill="FFFFFF"/>
          <w:lang w:val="es-ES"/>
        </w:rPr>
        <w:t>redunda en detenciones arbitrarias de personas defensoras, en su mayoría indígenas y con uso de tortura (Opinión 55/2015)</w:t>
      </w:r>
      <w:r w:rsidR="008C6129">
        <w:rPr>
          <w:color w:val="222222"/>
          <w:sz w:val="22"/>
          <w:szCs w:val="22"/>
          <w:shd w:val="clear" w:color="auto" w:fill="FFFFFF"/>
          <w:lang w:val="es-ES"/>
        </w:rPr>
        <w:t>.</w:t>
      </w:r>
    </w:p>
    <w:p w14:paraId="241CEBE5" w14:textId="77777777" w:rsidR="00BC2489" w:rsidRPr="00B359EB" w:rsidRDefault="00BC2489" w:rsidP="005322EA">
      <w:pPr>
        <w:pStyle w:val="Default"/>
        <w:ind w:left="720"/>
        <w:jc w:val="both"/>
        <w:rPr>
          <w:color w:val="222222"/>
          <w:sz w:val="22"/>
          <w:szCs w:val="22"/>
          <w:shd w:val="clear" w:color="auto" w:fill="FFFFFF"/>
          <w:lang w:val="es-ES"/>
        </w:rPr>
      </w:pPr>
    </w:p>
    <w:p w14:paraId="5983AD53" w14:textId="6857B5D3" w:rsidR="00BC2489" w:rsidRPr="00B359EB" w:rsidRDefault="00BC2489" w:rsidP="00D02016">
      <w:pPr>
        <w:pStyle w:val="Default"/>
        <w:jc w:val="both"/>
        <w:rPr>
          <w:color w:val="222222"/>
          <w:sz w:val="22"/>
          <w:szCs w:val="22"/>
          <w:shd w:val="clear" w:color="auto" w:fill="FFFFFF"/>
          <w:lang w:val="es-ES"/>
        </w:rPr>
      </w:pPr>
      <w:r w:rsidRPr="00B359EB">
        <w:rPr>
          <w:color w:val="222222"/>
          <w:sz w:val="22"/>
          <w:szCs w:val="22"/>
          <w:shd w:val="clear" w:color="auto" w:fill="FFFFFF"/>
          <w:lang w:val="es-ES"/>
        </w:rPr>
        <w:t>De allí que recomendamos</w:t>
      </w:r>
      <w:r w:rsidR="00DE05DB" w:rsidRPr="00B359EB">
        <w:rPr>
          <w:color w:val="222222"/>
          <w:sz w:val="22"/>
          <w:szCs w:val="22"/>
          <w:shd w:val="clear" w:color="auto" w:fill="FFFFFF"/>
          <w:lang w:val="es-ES"/>
        </w:rPr>
        <w:t xml:space="preserve"> a la Relatora Especial</w:t>
      </w:r>
      <w:r w:rsidRPr="00B359EB">
        <w:rPr>
          <w:color w:val="222222"/>
          <w:sz w:val="22"/>
          <w:szCs w:val="22"/>
          <w:shd w:val="clear" w:color="auto" w:fill="FFFFFF"/>
          <w:lang w:val="es-ES"/>
        </w:rPr>
        <w:t xml:space="preserve">: </w:t>
      </w:r>
    </w:p>
    <w:p w14:paraId="5D28B013" w14:textId="4599F54C" w:rsidR="00BC2489" w:rsidRPr="00B359EB" w:rsidRDefault="00BC2489" w:rsidP="00BC2489">
      <w:pPr>
        <w:pStyle w:val="Default"/>
        <w:numPr>
          <w:ilvl w:val="0"/>
          <w:numId w:val="16"/>
        </w:numPr>
        <w:jc w:val="both"/>
        <w:rPr>
          <w:color w:val="222222"/>
          <w:sz w:val="22"/>
          <w:szCs w:val="22"/>
          <w:shd w:val="clear" w:color="auto" w:fill="FFFFFF"/>
          <w:lang w:val="es-ES"/>
        </w:rPr>
      </w:pPr>
      <w:r w:rsidRPr="00B359EB">
        <w:rPr>
          <w:color w:val="222222"/>
          <w:sz w:val="22"/>
          <w:szCs w:val="22"/>
          <w:shd w:val="clear" w:color="auto" w:fill="FFFFFF"/>
          <w:lang w:val="es-ES"/>
        </w:rPr>
        <w:t>Realizar consultas con la sociedad civil para conocer las formas y tipos de delitos utilizados para criminalizar la protesta social en diferentes contextos</w:t>
      </w:r>
      <w:r w:rsidR="00DE05DB" w:rsidRPr="00B359EB">
        <w:rPr>
          <w:color w:val="222222"/>
          <w:sz w:val="22"/>
          <w:szCs w:val="22"/>
          <w:shd w:val="clear" w:color="auto" w:fill="FFFFFF"/>
          <w:lang w:val="es-ES"/>
        </w:rPr>
        <w:t xml:space="preserve"> y su evolución.</w:t>
      </w:r>
    </w:p>
    <w:p w14:paraId="135990CC" w14:textId="47C0F35D" w:rsidR="00DE05DB" w:rsidRPr="00B359EB" w:rsidRDefault="004C5F31" w:rsidP="00BC2489">
      <w:pPr>
        <w:pStyle w:val="Default"/>
        <w:numPr>
          <w:ilvl w:val="0"/>
          <w:numId w:val="16"/>
        </w:numPr>
        <w:jc w:val="both"/>
        <w:rPr>
          <w:color w:val="222222"/>
          <w:sz w:val="22"/>
          <w:szCs w:val="22"/>
          <w:shd w:val="clear" w:color="auto" w:fill="FFFFFF"/>
          <w:lang w:val="es-ES"/>
        </w:rPr>
      </w:pPr>
      <w:r w:rsidRPr="00B359EB">
        <w:rPr>
          <w:color w:val="222222"/>
          <w:sz w:val="22"/>
          <w:szCs w:val="22"/>
          <w:shd w:val="clear" w:color="auto" w:fill="FFFFFF"/>
          <w:lang w:val="es-ES"/>
        </w:rPr>
        <w:t xml:space="preserve">Exhortar a los </w:t>
      </w:r>
      <w:r w:rsidR="00540382" w:rsidRPr="00B359EB">
        <w:rPr>
          <w:color w:val="222222"/>
          <w:sz w:val="22"/>
          <w:szCs w:val="22"/>
          <w:shd w:val="clear" w:color="auto" w:fill="FFFFFF"/>
          <w:lang w:val="es-ES"/>
        </w:rPr>
        <w:t>E</w:t>
      </w:r>
      <w:r w:rsidRPr="00B359EB">
        <w:rPr>
          <w:color w:val="222222"/>
          <w:sz w:val="22"/>
          <w:szCs w:val="22"/>
          <w:shd w:val="clear" w:color="auto" w:fill="FFFFFF"/>
          <w:lang w:val="es-ES"/>
        </w:rPr>
        <w:t>stados a</w:t>
      </w:r>
      <w:r w:rsidR="00E801A8" w:rsidRPr="00B359EB">
        <w:rPr>
          <w:color w:val="222222"/>
          <w:sz w:val="22"/>
          <w:szCs w:val="22"/>
          <w:shd w:val="clear" w:color="auto" w:fill="FFFFFF"/>
          <w:lang w:val="es-ES"/>
        </w:rPr>
        <w:t xml:space="preserve"> </w:t>
      </w:r>
      <w:r w:rsidRPr="00B359EB">
        <w:rPr>
          <w:color w:val="222222"/>
          <w:sz w:val="22"/>
          <w:szCs w:val="22"/>
          <w:shd w:val="clear" w:color="auto" w:fill="FFFFFF"/>
          <w:lang w:val="es-ES"/>
        </w:rPr>
        <w:t>l</w:t>
      </w:r>
      <w:r w:rsidR="00E801A8" w:rsidRPr="00B359EB">
        <w:rPr>
          <w:color w:val="222222"/>
          <w:sz w:val="22"/>
          <w:szCs w:val="22"/>
          <w:shd w:val="clear" w:color="auto" w:fill="FFFFFF"/>
          <w:lang w:val="es-ES"/>
        </w:rPr>
        <w:t>a</w:t>
      </w:r>
      <w:r w:rsidRPr="00B359EB">
        <w:rPr>
          <w:color w:val="222222"/>
          <w:sz w:val="22"/>
          <w:szCs w:val="22"/>
          <w:shd w:val="clear" w:color="auto" w:fill="FFFFFF"/>
          <w:lang w:val="es-ES"/>
        </w:rPr>
        <w:t xml:space="preserve"> revisión de los casos para agilizar la liberación de </w:t>
      </w:r>
      <w:r w:rsidR="00540382" w:rsidRPr="00B359EB">
        <w:rPr>
          <w:color w:val="222222"/>
          <w:sz w:val="22"/>
          <w:szCs w:val="22"/>
          <w:shd w:val="clear" w:color="auto" w:fill="FFFFFF"/>
          <w:lang w:val="es-ES"/>
        </w:rPr>
        <w:t>personas defensoras presas</w:t>
      </w:r>
      <w:r w:rsidRPr="00B359EB">
        <w:rPr>
          <w:color w:val="222222"/>
          <w:sz w:val="22"/>
          <w:szCs w:val="22"/>
          <w:shd w:val="clear" w:color="auto" w:fill="FFFFFF"/>
          <w:lang w:val="es-ES"/>
        </w:rPr>
        <w:t xml:space="preserve"> o sujet</w:t>
      </w:r>
      <w:r w:rsidR="00540382" w:rsidRPr="00B359EB">
        <w:rPr>
          <w:color w:val="222222"/>
          <w:sz w:val="22"/>
          <w:szCs w:val="22"/>
          <w:shd w:val="clear" w:color="auto" w:fill="FFFFFF"/>
          <w:lang w:val="es-ES"/>
        </w:rPr>
        <w:t>a</w:t>
      </w:r>
      <w:r w:rsidRPr="00B359EB">
        <w:rPr>
          <w:color w:val="222222"/>
          <w:sz w:val="22"/>
          <w:szCs w:val="22"/>
          <w:shd w:val="clear" w:color="auto" w:fill="FFFFFF"/>
          <w:lang w:val="es-ES"/>
        </w:rPr>
        <w:t xml:space="preserve">s a procesos judiciales. </w:t>
      </w:r>
    </w:p>
    <w:p w14:paraId="32DB1FF1" w14:textId="476ECA8B" w:rsidR="004C5F31" w:rsidRPr="00B359EB" w:rsidRDefault="004C5F31" w:rsidP="00BC2489">
      <w:pPr>
        <w:pStyle w:val="Default"/>
        <w:numPr>
          <w:ilvl w:val="0"/>
          <w:numId w:val="16"/>
        </w:numPr>
        <w:jc w:val="both"/>
        <w:rPr>
          <w:color w:val="222222"/>
          <w:sz w:val="22"/>
          <w:szCs w:val="22"/>
          <w:shd w:val="clear" w:color="auto" w:fill="FFFFFF"/>
          <w:lang w:val="es-ES"/>
        </w:rPr>
      </w:pPr>
      <w:r w:rsidRPr="00B359EB">
        <w:rPr>
          <w:color w:val="222222"/>
          <w:sz w:val="22"/>
          <w:szCs w:val="22"/>
          <w:shd w:val="clear" w:color="auto" w:fill="FFFFFF"/>
          <w:lang w:val="es-ES"/>
        </w:rPr>
        <w:t xml:space="preserve">Exhortar a los </w:t>
      </w:r>
      <w:r w:rsidR="00540382" w:rsidRPr="00B359EB">
        <w:rPr>
          <w:color w:val="222222"/>
          <w:sz w:val="22"/>
          <w:szCs w:val="22"/>
          <w:shd w:val="clear" w:color="auto" w:fill="FFFFFF"/>
          <w:lang w:val="es-ES"/>
        </w:rPr>
        <w:t>E</w:t>
      </w:r>
      <w:r w:rsidRPr="00B359EB">
        <w:rPr>
          <w:color w:val="222222"/>
          <w:sz w:val="22"/>
          <w:szCs w:val="22"/>
          <w:shd w:val="clear" w:color="auto" w:fill="FFFFFF"/>
          <w:lang w:val="es-ES"/>
        </w:rPr>
        <w:t xml:space="preserve">stados a la cancelación de </w:t>
      </w:r>
      <w:r w:rsidR="008C6129">
        <w:rPr>
          <w:color w:val="222222"/>
          <w:sz w:val="22"/>
          <w:szCs w:val="22"/>
          <w:shd w:val="clear" w:color="auto" w:fill="FFFFFF"/>
          <w:lang w:val="es-ES"/>
        </w:rPr>
        <w:t>ó</w:t>
      </w:r>
      <w:r w:rsidRPr="00B359EB">
        <w:rPr>
          <w:color w:val="222222"/>
          <w:sz w:val="22"/>
          <w:szCs w:val="22"/>
          <w:shd w:val="clear" w:color="auto" w:fill="FFFFFF"/>
          <w:lang w:val="es-ES"/>
        </w:rPr>
        <w:t xml:space="preserve">rdenes de aprehensión cuando tengan como objetivo inhibir o sancionar la labor de defensa de derechos humanos. </w:t>
      </w:r>
    </w:p>
    <w:p w14:paraId="3FB5D630" w14:textId="5E109534" w:rsidR="00DC65DD" w:rsidRPr="00B359EB" w:rsidRDefault="00DE05DB" w:rsidP="00BC2489">
      <w:pPr>
        <w:pStyle w:val="Default"/>
        <w:numPr>
          <w:ilvl w:val="0"/>
          <w:numId w:val="16"/>
        </w:numPr>
        <w:jc w:val="both"/>
        <w:rPr>
          <w:color w:val="222222"/>
          <w:sz w:val="22"/>
          <w:szCs w:val="22"/>
          <w:shd w:val="clear" w:color="auto" w:fill="FFFFFF"/>
          <w:lang w:val="es-ES"/>
        </w:rPr>
      </w:pPr>
      <w:r w:rsidRPr="00B359EB">
        <w:rPr>
          <w:color w:val="222222"/>
          <w:sz w:val="22"/>
          <w:szCs w:val="22"/>
          <w:shd w:val="clear" w:color="auto" w:fill="FFFFFF"/>
          <w:lang w:val="es-ES"/>
        </w:rPr>
        <w:t xml:space="preserve">Alertar a los Estados frente a la criminalización de la protesta como una de las mayores amenazas contra la integridad </w:t>
      </w:r>
      <w:r w:rsidR="004C5F31" w:rsidRPr="00B359EB">
        <w:rPr>
          <w:color w:val="222222"/>
          <w:sz w:val="22"/>
          <w:szCs w:val="22"/>
          <w:shd w:val="clear" w:color="auto" w:fill="FFFFFF"/>
          <w:lang w:val="es-ES"/>
        </w:rPr>
        <w:t xml:space="preserve">y la labor </w:t>
      </w:r>
      <w:r w:rsidRPr="00B359EB">
        <w:rPr>
          <w:color w:val="222222"/>
          <w:sz w:val="22"/>
          <w:szCs w:val="22"/>
          <w:shd w:val="clear" w:color="auto" w:fill="FFFFFF"/>
          <w:lang w:val="es-ES"/>
        </w:rPr>
        <w:t>de las personas defensoras e instarles a que reconozcan la labor de las personas defensoras.</w:t>
      </w:r>
    </w:p>
    <w:p w14:paraId="7C7F1056" w14:textId="02F300FD" w:rsidR="00140C12" w:rsidRPr="00B359EB" w:rsidRDefault="00140C12" w:rsidP="00BC2489">
      <w:pPr>
        <w:pStyle w:val="Default"/>
        <w:numPr>
          <w:ilvl w:val="0"/>
          <w:numId w:val="16"/>
        </w:numPr>
        <w:jc w:val="both"/>
        <w:rPr>
          <w:color w:val="222222"/>
          <w:sz w:val="22"/>
          <w:szCs w:val="22"/>
          <w:shd w:val="clear" w:color="auto" w:fill="FFFFFF"/>
          <w:lang w:val="es-ES"/>
        </w:rPr>
      </w:pPr>
      <w:r w:rsidRPr="00B359EB">
        <w:rPr>
          <w:color w:val="222222"/>
          <w:sz w:val="22"/>
          <w:szCs w:val="22"/>
          <w:shd w:val="clear" w:color="auto" w:fill="FFFFFF"/>
          <w:lang w:val="es-ES"/>
        </w:rPr>
        <w:lastRenderedPageBreak/>
        <w:t>Trabajar de forma coordinada con el GTDA para garantizar la implementación de las opiniones en casos de personas defensoras y desarrollar acciones comunes para garantizar la erradicación de patrones específicos de criminalización como en el caso de México.</w:t>
      </w:r>
    </w:p>
    <w:p w14:paraId="45BBABF8" w14:textId="00D5FB7F" w:rsidR="004C5F31" w:rsidRPr="00B359EB" w:rsidRDefault="004C5F31" w:rsidP="00BC2489">
      <w:pPr>
        <w:pStyle w:val="Default"/>
        <w:numPr>
          <w:ilvl w:val="0"/>
          <w:numId w:val="16"/>
        </w:numPr>
        <w:jc w:val="both"/>
        <w:rPr>
          <w:color w:val="222222"/>
          <w:sz w:val="22"/>
          <w:szCs w:val="22"/>
          <w:shd w:val="clear" w:color="auto" w:fill="FFFFFF"/>
          <w:lang w:val="es-ES"/>
        </w:rPr>
      </w:pPr>
      <w:r w:rsidRPr="00B359EB">
        <w:rPr>
          <w:color w:val="222222"/>
          <w:sz w:val="22"/>
          <w:szCs w:val="22"/>
          <w:shd w:val="clear" w:color="auto" w:fill="FFFFFF"/>
          <w:lang w:val="es-ES"/>
        </w:rPr>
        <w:t xml:space="preserve">Exhortar a los </w:t>
      </w:r>
      <w:r w:rsidR="00BC32CA" w:rsidRPr="00B359EB">
        <w:rPr>
          <w:color w:val="222222"/>
          <w:sz w:val="22"/>
          <w:szCs w:val="22"/>
          <w:shd w:val="clear" w:color="auto" w:fill="FFFFFF"/>
          <w:lang w:val="es-ES"/>
        </w:rPr>
        <w:t>E</w:t>
      </w:r>
      <w:r w:rsidRPr="00B359EB">
        <w:rPr>
          <w:color w:val="222222"/>
          <w:sz w:val="22"/>
          <w:szCs w:val="22"/>
          <w:shd w:val="clear" w:color="auto" w:fill="FFFFFF"/>
          <w:lang w:val="es-ES"/>
        </w:rPr>
        <w:t xml:space="preserve">stados a crear </w:t>
      </w:r>
      <w:r w:rsidR="00BC32CA" w:rsidRPr="00B359EB">
        <w:rPr>
          <w:color w:val="222222"/>
          <w:sz w:val="22"/>
          <w:szCs w:val="22"/>
          <w:shd w:val="clear" w:color="auto" w:fill="FFFFFF"/>
          <w:lang w:val="es-ES"/>
        </w:rPr>
        <w:t>un m</w:t>
      </w:r>
      <w:r w:rsidRPr="00B359EB">
        <w:rPr>
          <w:color w:val="222222"/>
          <w:sz w:val="22"/>
          <w:szCs w:val="22"/>
          <w:shd w:val="clear" w:color="auto" w:fill="FFFFFF"/>
          <w:lang w:val="es-ES"/>
        </w:rPr>
        <w:t xml:space="preserve">ecanismo de cumplimento a las diversas resoluciones emitidas por los órganos de </w:t>
      </w:r>
      <w:r w:rsidR="00BC32CA" w:rsidRPr="00B359EB">
        <w:rPr>
          <w:color w:val="222222"/>
          <w:sz w:val="22"/>
          <w:szCs w:val="22"/>
          <w:shd w:val="clear" w:color="auto" w:fill="FFFFFF"/>
          <w:lang w:val="es-ES"/>
        </w:rPr>
        <w:t>N</w:t>
      </w:r>
      <w:r w:rsidRPr="00B359EB">
        <w:rPr>
          <w:color w:val="222222"/>
          <w:sz w:val="22"/>
          <w:szCs w:val="22"/>
          <w:shd w:val="clear" w:color="auto" w:fill="FFFFFF"/>
          <w:lang w:val="es-ES"/>
        </w:rPr>
        <w:t xml:space="preserve">aciones </w:t>
      </w:r>
      <w:r w:rsidR="00BC32CA" w:rsidRPr="00B359EB">
        <w:rPr>
          <w:color w:val="222222"/>
          <w:sz w:val="22"/>
          <w:szCs w:val="22"/>
          <w:shd w:val="clear" w:color="auto" w:fill="FFFFFF"/>
          <w:lang w:val="es-ES"/>
        </w:rPr>
        <w:t>U</w:t>
      </w:r>
      <w:r w:rsidRPr="00B359EB">
        <w:rPr>
          <w:color w:val="222222"/>
          <w:sz w:val="22"/>
          <w:szCs w:val="22"/>
          <w:shd w:val="clear" w:color="auto" w:fill="FFFFFF"/>
          <w:lang w:val="es-ES"/>
        </w:rPr>
        <w:t>nidas.</w:t>
      </w:r>
    </w:p>
    <w:p w14:paraId="0C08E075" w14:textId="3E678157" w:rsidR="004C5F31" w:rsidRPr="00B359EB" w:rsidRDefault="004C5F31" w:rsidP="00BC2489">
      <w:pPr>
        <w:pStyle w:val="Default"/>
        <w:numPr>
          <w:ilvl w:val="0"/>
          <w:numId w:val="16"/>
        </w:numPr>
        <w:jc w:val="both"/>
        <w:rPr>
          <w:color w:val="222222"/>
          <w:sz w:val="22"/>
          <w:szCs w:val="22"/>
          <w:shd w:val="clear" w:color="auto" w:fill="FFFFFF"/>
          <w:lang w:val="es-ES"/>
        </w:rPr>
      </w:pPr>
      <w:r w:rsidRPr="00B359EB">
        <w:rPr>
          <w:color w:val="222222"/>
          <w:sz w:val="22"/>
          <w:szCs w:val="22"/>
          <w:shd w:val="clear" w:color="auto" w:fill="FFFFFF"/>
          <w:lang w:val="es-ES"/>
        </w:rPr>
        <w:t xml:space="preserve">Generar reuniones periódicas con los </w:t>
      </w:r>
      <w:r w:rsidR="00BC32CA" w:rsidRPr="00B359EB">
        <w:rPr>
          <w:color w:val="222222"/>
          <w:sz w:val="22"/>
          <w:szCs w:val="22"/>
          <w:shd w:val="clear" w:color="auto" w:fill="FFFFFF"/>
          <w:lang w:val="es-ES"/>
        </w:rPr>
        <w:t>G</w:t>
      </w:r>
      <w:r w:rsidRPr="00B359EB">
        <w:rPr>
          <w:color w:val="222222"/>
          <w:sz w:val="22"/>
          <w:szCs w:val="22"/>
          <w:shd w:val="clear" w:color="auto" w:fill="FFFFFF"/>
          <w:lang w:val="es-ES"/>
        </w:rPr>
        <w:t>obiernos para revisar el est</w:t>
      </w:r>
      <w:r w:rsidR="00BC32CA" w:rsidRPr="00B359EB">
        <w:rPr>
          <w:color w:val="222222"/>
          <w:sz w:val="22"/>
          <w:szCs w:val="22"/>
          <w:shd w:val="clear" w:color="auto" w:fill="FFFFFF"/>
          <w:lang w:val="es-ES"/>
        </w:rPr>
        <w:t>a</w:t>
      </w:r>
      <w:r w:rsidRPr="00B359EB">
        <w:rPr>
          <w:color w:val="222222"/>
          <w:sz w:val="22"/>
          <w:szCs w:val="22"/>
          <w:shd w:val="clear" w:color="auto" w:fill="FFFFFF"/>
          <w:lang w:val="es-ES"/>
        </w:rPr>
        <w:t>tus de las recomen</w:t>
      </w:r>
      <w:r w:rsidR="00BC32CA" w:rsidRPr="00B359EB">
        <w:rPr>
          <w:color w:val="222222"/>
          <w:sz w:val="22"/>
          <w:szCs w:val="22"/>
          <w:shd w:val="clear" w:color="auto" w:fill="FFFFFF"/>
          <w:lang w:val="es-ES"/>
        </w:rPr>
        <w:t>da</w:t>
      </w:r>
      <w:r w:rsidRPr="00B359EB">
        <w:rPr>
          <w:color w:val="222222"/>
          <w:sz w:val="22"/>
          <w:szCs w:val="22"/>
          <w:shd w:val="clear" w:color="auto" w:fill="FFFFFF"/>
          <w:lang w:val="es-ES"/>
        </w:rPr>
        <w:t xml:space="preserve">ciones y casos de interés de la </w:t>
      </w:r>
      <w:r w:rsidR="00BC32CA" w:rsidRPr="00B359EB">
        <w:rPr>
          <w:color w:val="222222"/>
          <w:sz w:val="22"/>
          <w:szCs w:val="22"/>
          <w:shd w:val="clear" w:color="auto" w:fill="FFFFFF"/>
          <w:lang w:val="es-ES"/>
        </w:rPr>
        <w:t>R</w:t>
      </w:r>
      <w:r w:rsidRPr="00B359EB">
        <w:rPr>
          <w:color w:val="222222"/>
          <w:sz w:val="22"/>
          <w:szCs w:val="22"/>
          <w:shd w:val="clear" w:color="auto" w:fill="FFFFFF"/>
          <w:lang w:val="es-ES"/>
        </w:rPr>
        <w:t>elator</w:t>
      </w:r>
      <w:r w:rsidR="00BC32CA" w:rsidRPr="00B359EB">
        <w:rPr>
          <w:color w:val="222222"/>
          <w:sz w:val="22"/>
          <w:szCs w:val="22"/>
          <w:shd w:val="clear" w:color="auto" w:fill="FFFFFF"/>
          <w:lang w:val="es-ES"/>
        </w:rPr>
        <w:t>í</w:t>
      </w:r>
      <w:r w:rsidRPr="00B359EB">
        <w:rPr>
          <w:color w:val="222222"/>
          <w:sz w:val="22"/>
          <w:szCs w:val="22"/>
          <w:shd w:val="clear" w:color="auto" w:fill="FFFFFF"/>
          <w:lang w:val="es-ES"/>
        </w:rPr>
        <w:t>a</w:t>
      </w:r>
      <w:r w:rsidR="00BC32CA" w:rsidRPr="00B359EB">
        <w:rPr>
          <w:color w:val="222222"/>
          <w:sz w:val="22"/>
          <w:szCs w:val="22"/>
          <w:shd w:val="clear" w:color="auto" w:fill="FFFFFF"/>
          <w:lang w:val="es-ES"/>
        </w:rPr>
        <w:t xml:space="preserve"> Especial.</w:t>
      </w:r>
    </w:p>
    <w:p w14:paraId="042F128C" w14:textId="343D361B" w:rsidR="00140C12" w:rsidRDefault="00140C12" w:rsidP="00BC2489">
      <w:pPr>
        <w:pStyle w:val="Default"/>
        <w:numPr>
          <w:ilvl w:val="0"/>
          <w:numId w:val="16"/>
        </w:numPr>
        <w:jc w:val="both"/>
        <w:rPr>
          <w:color w:val="222222"/>
          <w:sz w:val="22"/>
          <w:szCs w:val="22"/>
          <w:shd w:val="clear" w:color="auto" w:fill="FFFFFF"/>
          <w:lang w:val="es-ES"/>
        </w:rPr>
      </w:pPr>
      <w:r w:rsidRPr="00B359EB">
        <w:rPr>
          <w:color w:val="222222"/>
          <w:sz w:val="22"/>
          <w:szCs w:val="22"/>
          <w:shd w:val="clear" w:color="auto" w:fill="FFFFFF"/>
          <w:lang w:val="es-ES"/>
        </w:rPr>
        <w:t>Acompañar casos emblemáticos de personas defensoras que fueron detenidas arbitrariamente en su búsqueda de justicia y reparación integral del daño</w:t>
      </w:r>
      <w:r w:rsidR="009B5E73" w:rsidRPr="00B359EB">
        <w:rPr>
          <w:color w:val="222222"/>
          <w:sz w:val="22"/>
          <w:szCs w:val="22"/>
          <w:shd w:val="clear" w:color="auto" w:fill="FFFFFF"/>
          <w:lang w:val="es-ES"/>
        </w:rPr>
        <w:t>; como es el de Damián Gallardo Martínez.</w:t>
      </w:r>
    </w:p>
    <w:p w14:paraId="2B517749" w14:textId="24A267B2" w:rsidR="00E05FAC" w:rsidRPr="00B359EB" w:rsidRDefault="00E05FAC" w:rsidP="00BC2489">
      <w:pPr>
        <w:pStyle w:val="Default"/>
        <w:numPr>
          <w:ilvl w:val="0"/>
          <w:numId w:val="16"/>
        </w:numPr>
        <w:jc w:val="both"/>
        <w:rPr>
          <w:color w:val="222222"/>
          <w:sz w:val="22"/>
          <w:szCs w:val="22"/>
          <w:shd w:val="clear" w:color="auto" w:fill="FFFFFF"/>
          <w:lang w:val="es-ES"/>
        </w:rPr>
      </w:pPr>
      <w:r>
        <w:rPr>
          <w:color w:val="222222"/>
          <w:sz w:val="22"/>
          <w:szCs w:val="22"/>
          <w:shd w:val="clear" w:color="auto" w:fill="FFFFFF"/>
          <w:lang w:val="es-ES"/>
        </w:rPr>
        <w:t xml:space="preserve">Desarrollar y ampliar el contenido del derecho a defender derechos, y las obligaciones que tienen los Estados, entre ellas la de garantizar el ejercicio de su trabajo de defensa, evitando de manera efectiva toda forma de obstaculización del mismo. </w:t>
      </w:r>
    </w:p>
    <w:p w14:paraId="782C542C" w14:textId="57A61B23" w:rsidR="00DC65DD" w:rsidRPr="00B359EB" w:rsidRDefault="00DC65DD" w:rsidP="008456B2">
      <w:pPr>
        <w:pStyle w:val="Default"/>
        <w:jc w:val="both"/>
        <w:rPr>
          <w:color w:val="222222"/>
          <w:sz w:val="22"/>
          <w:szCs w:val="22"/>
          <w:shd w:val="clear" w:color="auto" w:fill="FFFFFF"/>
          <w:lang w:val="es-ES"/>
        </w:rPr>
      </w:pPr>
    </w:p>
    <w:p w14:paraId="1A6BF0FF" w14:textId="72D2E656" w:rsidR="00DC65DD" w:rsidRPr="00B359EB" w:rsidRDefault="00DC65DD" w:rsidP="00A66DBA">
      <w:pPr>
        <w:pStyle w:val="Default"/>
        <w:numPr>
          <w:ilvl w:val="0"/>
          <w:numId w:val="23"/>
        </w:numPr>
        <w:jc w:val="both"/>
        <w:rPr>
          <w:b/>
          <w:bCs/>
          <w:color w:val="222222"/>
          <w:sz w:val="22"/>
          <w:szCs w:val="22"/>
          <w:shd w:val="clear" w:color="auto" w:fill="FFFFFF"/>
          <w:lang w:val="es-ES"/>
        </w:rPr>
      </w:pPr>
      <w:r w:rsidRPr="00B359EB">
        <w:rPr>
          <w:b/>
          <w:bCs/>
          <w:color w:val="222222"/>
          <w:sz w:val="22"/>
          <w:szCs w:val="22"/>
          <w:shd w:val="clear" w:color="auto" w:fill="FFFFFF"/>
          <w:lang w:val="es-ES"/>
        </w:rPr>
        <w:t xml:space="preserve">Para </w:t>
      </w:r>
      <w:r w:rsidR="00140C12" w:rsidRPr="00B359EB">
        <w:rPr>
          <w:b/>
          <w:bCs/>
          <w:color w:val="222222"/>
          <w:sz w:val="22"/>
          <w:szCs w:val="22"/>
          <w:shd w:val="clear" w:color="auto" w:fill="FFFFFF"/>
          <w:lang w:val="es-ES"/>
        </w:rPr>
        <w:t>lograr la liberación de personas defensoras detenidas arbitrariamente bajo largas condenas</w:t>
      </w:r>
    </w:p>
    <w:p w14:paraId="6C5C750A" w14:textId="4FB3E58E" w:rsidR="00DC65DD" w:rsidRPr="00B359EB" w:rsidRDefault="00DC65DD" w:rsidP="008456B2">
      <w:pPr>
        <w:pStyle w:val="Default"/>
        <w:jc w:val="both"/>
        <w:rPr>
          <w:color w:val="222222"/>
          <w:sz w:val="22"/>
          <w:szCs w:val="22"/>
          <w:shd w:val="clear" w:color="auto" w:fill="FFFFFF"/>
          <w:lang w:val="es-ES"/>
        </w:rPr>
      </w:pPr>
    </w:p>
    <w:p w14:paraId="437A6B00" w14:textId="469B749D" w:rsidR="00140C12" w:rsidRPr="00E05FAC" w:rsidRDefault="00140C12" w:rsidP="008456B2">
      <w:pPr>
        <w:pStyle w:val="Default"/>
        <w:jc w:val="both"/>
        <w:rPr>
          <w:color w:val="222222"/>
          <w:sz w:val="22"/>
          <w:szCs w:val="22"/>
          <w:shd w:val="clear" w:color="auto" w:fill="FFFFFF"/>
          <w:lang w:val="es-ES"/>
        </w:rPr>
      </w:pPr>
      <w:r w:rsidRPr="00B359EB">
        <w:rPr>
          <w:color w:val="222222"/>
          <w:sz w:val="22"/>
          <w:szCs w:val="22"/>
          <w:shd w:val="clear" w:color="auto" w:fill="FFFFFF"/>
          <w:lang w:val="es-ES"/>
        </w:rPr>
        <w:t xml:space="preserve">Para </w:t>
      </w:r>
      <w:r w:rsidRPr="00E05FAC">
        <w:rPr>
          <w:color w:val="222222"/>
          <w:sz w:val="22"/>
          <w:szCs w:val="22"/>
          <w:shd w:val="clear" w:color="auto" w:fill="FFFFFF"/>
          <w:lang w:val="es-ES"/>
        </w:rPr>
        <w:t xml:space="preserve">lograr la liberación de personas defensoras privadas de la libertad recomendamos a la Relatora Especial: </w:t>
      </w:r>
    </w:p>
    <w:p w14:paraId="54D583F9" w14:textId="77777777" w:rsidR="00BC32CA" w:rsidRPr="00E05FAC" w:rsidRDefault="00BC32CA" w:rsidP="008456B2">
      <w:pPr>
        <w:pStyle w:val="Default"/>
        <w:jc w:val="both"/>
        <w:rPr>
          <w:color w:val="222222"/>
          <w:sz w:val="22"/>
          <w:szCs w:val="22"/>
          <w:shd w:val="clear" w:color="auto" w:fill="FFFFFF"/>
          <w:lang w:val="es-ES"/>
        </w:rPr>
      </w:pPr>
    </w:p>
    <w:p w14:paraId="3F73C961" w14:textId="77777777" w:rsidR="00BC32CA" w:rsidRPr="00E05FAC" w:rsidRDefault="00BC32CA" w:rsidP="00BC32CA">
      <w:pPr>
        <w:pStyle w:val="Default"/>
        <w:numPr>
          <w:ilvl w:val="0"/>
          <w:numId w:val="17"/>
        </w:numPr>
        <w:jc w:val="both"/>
        <w:rPr>
          <w:color w:val="222222"/>
          <w:sz w:val="22"/>
          <w:szCs w:val="22"/>
          <w:shd w:val="clear" w:color="auto" w:fill="FFFFFF"/>
          <w:lang w:val="es-ES"/>
        </w:rPr>
      </w:pPr>
      <w:r w:rsidRPr="00E05FAC">
        <w:rPr>
          <w:color w:val="222222"/>
          <w:sz w:val="22"/>
          <w:szCs w:val="22"/>
          <w:shd w:val="clear" w:color="auto" w:fill="FFFFFF"/>
          <w:lang w:val="es-ES"/>
        </w:rPr>
        <w:t xml:space="preserve">Impulsar misiones de visitas carcelarias a personas defensoras privadas de su libertad. </w:t>
      </w:r>
    </w:p>
    <w:p w14:paraId="5DDE6194" w14:textId="0791D126" w:rsidR="00140C12" w:rsidRPr="00E05FAC" w:rsidRDefault="00140C12" w:rsidP="00140C12">
      <w:pPr>
        <w:pStyle w:val="Default"/>
        <w:numPr>
          <w:ilvl w:val="0"/>
          <w:numId w:val="17"/>
        </w:numPr>
        <w:jc w:val="both"/>
        <w:rPr>
          <w:color w:val="222222"/>
          <w:sz w:val="22"/>
          <w:szCs w:val="22"/>
          <w:shd w:val="clear" w:color="auto" w:fill="FFFFFF"/>
          <w:lang w:val="es-ES"/>
        </w:rPr>
      </w:pPr>
      <w:r w:rsidRPr="00E05FAC">
        <w:rPr>
          <w:color w:val="222222"/>
          <w:sz w:val="22"/>
          <w:szCs w:val="22"/>
          <w:shd w:val="clear" w:color="auto" w:fill="FFFFFF"/>
          <w:lang w:val="es-ES"/>
        </w:rPr>
        <w:t>Realizar</w:t>
      </w:r>
      <w:r w:rsidR="00BC32CA" w:rsidRPr="00E05FAC">
        <w:rPr>
          <w:color w:val="222222"/>
          <w:sz w:val="22"/>
          <w:szCs w:val="22"/>
          <w:shd w:val="clear" w:color="auto" w:fill="FFFFFF"/>
          <w:lang w:val="es-ES"/>
        </w:rPr>
        <w:t xml:space="preserve"> </w:t>
      </w:r>
      <w:r w:rsidRPr="00E05FAC">
        <w:rPr>
          <w:color w:val="222222"/>
          <w:sz w:val="22"/>
          <w:szCs w:val="22"/>
          <w:shd w:val="clear" w:color="auto" w:fill="FFFFFF"/>
          <w:lang w:val="es-ES"/>
        </w:rPr>
        <w:t xml:space="preserve">observación judicial en momentos estratégicos de manera coordinada con otros </w:t>
      </w:r>
      <w:r w:rsidR="00BC32CA" w:rsidRPr="00E05FAC">
        <w:rPr>
          <w:color w:val="222222"/>
          <w:sz w:val="22"/>
          <w:szCs w:val="22"/>
          <w:shd w:val="clear" w:color="auto" w:fill="FFFFFF"/>
          <w:lang w:val="es-ES"/>
        </w:rPr>
        <w:t>P</w:t>
      </w:r>
      <w:r w:rsidRPr="00E05FAC">
        <w:rPr>
          <w:color w:val="222222"/>
          <w:sz w:val="22"/>
          <w:szCs w:val="22"/>
          <w:shd w:val="clear" w:color="auto" w:fill="FFFFFF"/>
          <w:lang w:val="es-ES"/>
        </w:rPr>
        <w:t xml:space="preserve">rocedimientos </w:t>
      </w:r>
      <w:r w:rsidR="00BC32CA" w:rsidRPr="00E05FAC">
        <w:rPr>
          <w:color w:val="222222"/>
          <w:sz w:val="22"/>
          <w:szCs w:val="22"/>
          <w:shd w:val="clear" w:color="auto" w:fill="FFFFFF"/>
          <w:lang w:val="es-ES"/>
        </w:rPr>
        <w:t>E</w:t>
      </w:r>
      <w:r w:rsidRPr="00E05FAC">
        <w:rPr>
          <w:color w:val="222222"/>
          <w:sz w:val="22"/>
          <w:szCs w:val="22"/>
          <w:shd w:val="clear" w:color="auto" w:fill="FFFFFF"/>
          <w:lang w:val="es-ES"/>
        </w:rPr>
        <w:t>speciales, con la Oficina de la OACNUDH en el país y con embajadas</w:t>
      </w:r>
      <w:r w:rsidR="00D02016" w:rsidRPr="00E05FAC">
        <w:rPr>
          <w:color w:val="222222"/>
          <w:sz w:val="22"/>
          <w:szCs w:val="22"/>
          <w:shd w:val="clear" w:color="auto" w:fill="FFFFFF"/>
          <w:lang w:val="es-ES"/>
        </w:rPr>
        <w:t>.</w:t>
      </w:r>
      <w:r w:rsidRPr="00E05FAC">
        <w:rPr>
          <w:color w:val="222222"/>
          <w:sz w:val="22"/>
          <w:szCs w:val="22"/>
          <w:shd w:val="clear" w:color="auto" w:fill="FFFFFF"/>
          <w:lang w:val="es-ES"/>
        </w:rPr>
        <w:t xml:space="preserve"> </w:t>
      </w:r>
    </w:p>
    <w:p w14:paraId="444D981F" w14:textId="0B97AE93" w:rsidR="00140C12" w:rsidRPr="00B359EB" w:rsidRDefault="00D02016" w:rsidP="009B5E73">
      <w:pPr>
        <w:pStyle w:val="Default"/>
        <w:numPr>
          <w:ilvl w:val="0"/>
          <w:numId w:val="17"/>
        </w:numPr>
        <w:jc w:val="both"/>
        <w:rPr>
          <w:color w:val="222222"/>
          <w:sz w:val="22"/>
          <w:szCs w:val="22"/>
          <w:shd w:val="clear" w:color="auto" w:fill="FFFFFF"/>
          <w:lang w:val="es-ES"/>
        </w:rPr>
      </w:pPr>
      <w:r w:rsidRPr="00E05FAC">
        <w:rPr>
          <w:color w:val="222222"/>
          <w:sz w:val="22"/>
          <w:szCs w:val="22"/>
          <w:shd w:val="clear" w:color="auto" w:fill="FFFFFF"/>
          <w:lang w:val="es-ES"/>
        </w:rPr>
        <w:t>Mandar</w:t>
      </w:r>
      <w:r w:rsidR="00140C12" w:rsidRPr="00E05FAC">
        <w:rPr>
          <w:color w:val="222222"/>
          <w:sz w:val="22"/>
          <w:szCs w:val="22"/>
          <w:shd w:val="clear" w:color="auto" w:fill="FFFFFF"/>
          <w:lang w:val="es-ES"/>
        </w:rPr>
        <w:t xml:space="preserve"> comunicaciones directas a los jueces de las causas y al Poder Judicial en momentos judiciales estratégicos (audiencia, presentación de pruebas etc.) </w:t>
      </w:r>
      <w:r w:rsidR="009B5E73" w:rsidRPr="00E05FAC">
        <w:rPr>
          <w:color w:val="222222"/>
          <w:sz w:val="22"/>
          <w:szCs w:val="22"/>
          <w:shd w:val="clear" w:color="auto" w:fill="FFFFFF"/>
          <w:lang w:val="es-ES"/>
        </w:rPr>
        <w:t xml:space="preserve">reconociendo el carácter de defensora de derechos humanos a la persona criminalizada y </w:t>
      </w:r>
      <w:r w:rsidR="00140C12" w:rsidRPr="00E05FAC">
        <w:rPr>
          <w:color w:val="222222"/>
          <w:sz w:val="22"/>
          <w:szCs w:val="22"/>
          <w:shd w:val="clear" w:color="auto" w:fill="FFFFFF"/>
          <w:lang w:val="es-ES"/>
        </w:rPr>
        <w:t xml:space="preserve">expresando preocupación por </w:t>
      </w:r>
      <w:r w:rsidRPr="00E05FAC">
        <w:rPr>
          <w:color w:val="222222"/>
          <w:sz w:val="22"/>
          <w:szCs w:val="22"/>
          <w:shd w:val="clear" w:color="auto" w:fill="FFFFFF"/>
          <w:lang w:val="es-ES"/>
        </w:rPr>
        <w:t>las violaciones denunciadas</w:t>
      </w:r>
      <w:r w:rsidRPr="00B359EB">
        <w:rPr>
          <w:color w:val="222222"/>
          <w:sz w:val="22"/>
          <w:szCs w:val="22"/>
          <w:shd w:val="clear" w:color="auto" w:fill="FFFFFF"/>
          <w:lang w:val="es-ES"/>
        </w:rPr>
        <w:t>.</w:t>
      </w:r>
      <w:r w:rsidR="00140C12" w:rsidRPr="00B359EB">
        <w:rPr>
          <w:color w:val="222222"/>
          <w:sz w:val="22"/>
          <w:szCs w:val="22"/>
          <w:shd w:val="clear" w:color="auto" w:fill="FFFFFF"/>
          <w:lang w:val="es-ES"/>
        </w:rPr>
        <w:t xml:space="preserve"> </w:t>
      </w:r>
    </w:p>
    <w:p w14:paraId="2C07E2C6" w14:textId="6971D0A6" w:rsidR="00D02016" w:rsidRPr="00B359EB" w:rsidRDefault="009B5E73" w:rsidP="00140C12">
      <w:pPr>
        <w:pStyle w:val="Default"/>
        <w:numPr>
          <w:ilvl w:val="0"/>
          <w:numId w:val="17"/>
        </w:numPr>
        <w:jc w:val="both"/>
        <w:rPr>
          <w:color w:val="222222"/>
          <w:sz w:val="22"/>
          <w:szCs w:val="22"/>
          <w:shd w:val="clear" w:color="auto" w:fill="FFFFFF"/>
          <w:lang w:val="es-ES"/>
        </w:rPr>
      </w:pPr>
      <w:r w:rsidRPr="00B359EB">
        <w:rPr>
          <w:color w:val="222222"/>
          <w:sz w:val="22"/>
          <w:szCs w:val="22"/>
          <w:shd w:val="clear" w:color="auto" w:fill="FFFFFF"/>
          <w:lang w:val="es-ES"/>
        </w:rPr>
        <w:t>M</w:t>
      </w:r>
      <w:r w:rsidR="00D02016" w:rsidRPr="00B359EB">
        <w:rPr>
          <w:color w:val="222222"/>
          <w:sz w:val="22"/>
          <w:szCs w:val="22"/>
          <w:shd w:val="clear" w:color="auto" w:fill="FFFFFF"/>
          <w:lang w:val="es-ES"/>
        </w:rPr>
        <w:t xml:space="preserve">andar comunicaciones a los Estados para que garanticen </w:t>
      </w:r>
      <w:r w:rsidRPr="00B359EB">
        <w:rPr>
          <w:color w:val="222222"/>
          <w:sz w:val="22"/>
          <w:szCs w:val="22"/>
          <w:shd w:val="clear" w:color="auto" w:fill="FFFFFF"/>
          <w:lang w:val="es-ES"/>
        </w:rPr>
        <w:t>la</w:t>
      </w:r>
      <w:r w:rsidR="00D02016" w:rsidRPr="00B359EB">
        <w:rPr>
          <w:color w:val="222222"/>
          <w:sz w:val="22"/>
          <w:szCs w:val="22"/>
          <w:shd w:val="clear" w:color="auto" w:fill="FFFFFF"/>
          <w:lang w:val="es-ES"/>
        </w:rPr>
        <w:t xml:space="preserve"> protección</w:t>
      </w:r>
      <w:r w:rsidR="004C5F31" w:rsidRPr="00B359EB">
        <w:rPr>
          <w:color w:val="222222"/>
          <w:sz w:val="22"/>
          <w:szCs w:val="22"/>
          <w:shd w:val="clear" w:color="auto" w:fill="FFFFFF"/>
          <w:lang w:val="es-ES"/>
        </w:rPr>
        <w:t xml:space="preserve">, salud y </w:t>
      </w:r>
      <w:r w:rsidR="00E801A8" w:rsidRPr="00B359EB">
        <w:rPr>
          <w:color w:val="222222"/>
          <w:sz w:val="22"/>
          <w:szCs w:val="22"/>
          <w:shd w:val="clear" w:color="auto" w:fill="FFFFFF"/>
          <w:lang w:val="es-ES"/>
        </w:rPr>
        <w:t>atención</w:t>
      </w:r>
      <w:r w:rsidR="004C5F31" w:rsidRPr="00B359EB">
        <w:rPr>
          <w:color w:val="222222"/>
          <w:sz w:val="22"/>
          <w:szCs w:val="22"/>
          <w:shd w:val="clear" w:color="auto" w:fill="FFFFFF"/>
          <w:lang w:val="es-ES"/>
        </w:rPr>
        <w:t xml:space="preserve"> psicosocial</w:t>
      </w:r>
      <w:r w:rsidRPr="00B359EB">
        <w:rPr>
          <w:color w:val="222222"/>
          <w:sz w:val="22"/>
          <w:szCs w:val="22"/>
          <w:shd w:val="clear" w:color="auto" w:fill="FFFFFF"/>
          <w:lang w:val="es-ES"/>
        </w:rPr>
        <w:t xml:space="preserve"> </w:t>
      </w:r>
      <w:r w:rsidR="008C6129">
        <w:rPr>
          <w:color w:val="222222"/>
          <w:sz w:val="22"/>
          <w:szCs w:val="22"/>
          <w:shd w:val="clear" w:color="auto" w:fill="FFFFFF"/>
          <w:lang w:val="es-ES"/>
        </w:rPr>
        <w:t>para</w:t>
      </w:r>
      <w:r w:rsidRPr="00B359EB">
        <w:rPr>
          <w:color w:val="222222"/>
          <w:sz w:val="22"/>
          <w:szCs w:val="22"/>
          <w:shd w:val="clear" w:color="auto" w:fill="FFFFFF"/>
          <w:lang w:val="es-ES"/>
        </w:rPr>
        <w:t xml:space="preserve"> personas defensoras privadas de libertad, y -</w:t>
      </w:r>
      <w:r w:rsidRPr="00B359EB">
        <w:rPr>
          <w:i/>
          <w:iCs/>
          <w:color w:val="222222"/>
          <w:sz w:val="22"/>
          <w:szCs w:val="22"/>
          <w:shd w:val="clear" w:color="auto" w:fill="FFFFFF"/>
          <w:lang w:val="es-ES"/>
        </w:rPr>
        <w:t>si existen-</w:t>
      </w:r>
      <w:r w:rsidRPr="00B359EB">
        <w:rPr>
          <w:color w:val="222222"/>
          <w:sz w:val="22"/>
          <w:szCs w:val="22"/>
          <w:shd w:val="clear" w:color="auto" w:fill="FFFFFF"/>
          <w:lang w:val="es-ES"/>
        </w:rPr>
        <w:t>, su</w:t>
      </w:r>
      <w:r w:rsidR="00D02016" w:rsidRPr="00B359EB">
        <w:rPr>
          <w:color w:val="222222"/>
          <w:sz w:val="22"/>
          <w:szCs w:val="22"/>
          <w:shd w:val="clear" w:color="auto" w:fill="FFFFFF"/>
          <w:lang w:val="es-ES"/>
        </w:rPr>
        <w:t xml:space="preserve"> incorporación a Mecanismos Oficiales de Protección</w:t>
      </w:r>
      <w:r w:rsidRPr="00B359EB">
        <w:rPr>
          <w:color w:val="222222"/>
          <w:sz w:val="22"/>
          <w:szCs w:val="22"/>
          <w:shd w:val="clear" w:color="auto" w:fill="FFFFFF"/>
          <w:lang w:val="es-ES"/>
        </w:rPr>
        <w:t xml:space="preserve"> debido al alto riesgo que enfrentan de sufrir tortura y represalias por continuar con su labor de defensa de derechos humanos en prisión.</w:t>
      </w:r>
    </w:p>
    <w:p w14:paraId="0CC474F7" w14:textId="2A988583" w:rsidR="000745B4" w:rsidRPr="00B359EB" w:rsidRDefault="00D02016" w:rsidP="008456B2">
      <w:pPr>
        <w:pStyle w:val="Default"/>
        <w:numPr>
          <w:ilvl w:val="0"/>
          <w:numId w:val="17"/>
        </w:numPr>
        <w:jc w:val="both"/>
        <w:rPr>
          <w:color w:val="222222"/>
          <w:sz w:val="22"/>
          <w:szCs w:val="22"/>
          <w:shd w:val="clear" w:color="auto" w:fill="FFFFFF"/>
          <w:lang w:val="es-ES"/>
        </w:rPr>
      </w:pPr>
      <w:r w:rsidRPr="00B359EB">
        <w:rPr>
          <w:color w:val="222222"/>
          <w:sz w:val="22"/>
          <w:szCs w:val="22"/>
          <w:shd w:val="clear" w:color="auto" w:fill="FFFFFF"/>
          <w:lang w:val="es-ES"/>
        </w:rPr>
        <w:t>Dar seguimiento continuo a casos emblemáticos</w:t>
      </w:r>
      <w:r w:rsidR="009B5E73" w:rsidRPr="00B359EB">
        <w:rPr>
          <w:color w:val="222222"/>
          <w:sz w:val="22"/>
          <w:szCs w:val="22"/>
          <w:shd w:val="clear" w:color="auto" w:fill="FFFFFF"/>
          <w:lang w:val="es-ES"/>
        </w:rPr>
        <w:t xml:space="preserve">, como por ejemplo el de Pablo López </w:t>
      </w:r>
      <w:proofErr w:type="spellStart"/>
      <w:r w:rsidR="009B5E73" w:rsidRPr="00B359EB">
        <w:rPr>
          <w:color w:val="222222"/>
          <w:sz w:val="22"/>
          <w:szCs w:val="22"/>
          <w:shd w:val="clear" w:color="auto" w:fill="FFFFFF"/>
          <w:lang w:val="es-ES"/>
        </w:rPr>
        <w:t>Alavez</w:t>
      </w:r>
      <w:proofErr w:type="spellEnd"/>
      <w:r w:rsidRPr="00B359EB">
        <w:rPr>
          <w:color w:val="222222"/>
          <w:sz w:val="22"/>
          <w:szCs w:val="22"/>
          <w:shd w:val="clear" w:color="auto" w:fill="FFFFFF"/>
          <w:lang w:val="es-ES"/>
        </w:rPr>
        <w:t>, a través de pronunciamientos públicos en fechas estratégicas como aniversarios de detenciones arbitrarias.</w:t>
      </w:r>
    </w:p>
    <w:p w14:paraId="3846AD2F" w14:textId="6A01669B" w:rsidR="004C5F31" w:rsidRPr="00B359EB" w:rsidRDefault="004C5F31" w:rsidP="008456B2">
      <w:pPr>
        <w:pStyle w:val="Default"/>
        <w:numPr>
          <w:ilvl w:val="0"/>
          <w:numId w:val="17"/>
        </w:numPr>
        <w:jc w:val="both"/>
        <w:rPr>
          <w:color w:val="222222"/>
          <w:sz w:val="22"/>
          <w:szCs w:val="22"/>
          <w:shd w:val="clear" w:color="auto" w:fill="FFFFFF"/>
          <w:lang w:val="es-ES"/>
        </w:rPr>
      </w:pPr>
      <w:r w:rsidRPr="00B359EB">
        <w:rPr>
          <w:color w:val="222222"/>
          <w:sz w:val="22"/>
          <w:szCs w:val="22"/>
          <w:shd w:val="clear" w:color="auto" w:fill="FFFFFF"/>
          <w:lang w:val="es-ES"/>
        </w:rPr>
        <w:t xml:space="preserve">Presentar </w:t>
      </w:r>
      <w:proofErr w:type="spellStart"/>
      <w:r w:rsidR="00BC32CA" w:rsidRPr="00B359EB">
        <w:rPr>
          <w:color w:val="222222"/>
          <w:sz w:val="22"/>
          <w:szCs w:val="22"/>
          <w:shd w:val="clear" w:color="auto" w:fill="FFFFFF"/>
          <w:lang w:val="es-ES"/>
        </w:rPr>
        <w:t>A</w:t>
      </w:r>
      <w:r w:rsidRPr="00B359EB">
        <w:rPr>
          <w:color w:val="222222"/>
          <w:sz w:val="22"/>
          <w:szCs w:val="22"/>
          <w:shd w:val="clear" w:color="auto" w:fill="FFFFFF"/>
          <w:lang w:val="es-ES"/>
        </w:rPr>
        <w:t>micus</w:t>
      </w:r>
      <w:proofErr w:type="spellEnd"/>
      <w:r w:rsidRPr="00B359EB">
        <w:rPr>
          <w:color w:val="222222"/>
          <w:sz w:val="22"/>
          <w:szCs w:val="22"/>
          <w:shd w:val="clear" w:color="auto" w:fill="FFFFFF"/>
          <w:lang w:val="es-ES"/>
        </w:rPr>
        <w:t xml:space="preserve"> </w:t>
      </w:r>
      <w:r w:rsidR="00BC32CA" w:rsidRPr="00B359EB">
        <w:rPr>
          <w:color w:val="222222"/>
          <w:sz w:val="22"/>
          <w:szCs w:val="22"/>
          <w:shd w:val="clear" w:color="auto" w:fill="FFFFFF"/>
          <w:lang w:val="es-ES"/>
        </w:rPr>
        <w:t>C</w:t>
      </w:r>
      <w:r w:rsidRPr="00B359EB">
        <w:rPr>
          <w:color w:val="222222"/>
          <w:sz w:val="22"/>
          <w:szCs w:val="22"/>
          <w:shd w:val="clear" w:color="auto" w:fill="FFFFFF"/>
          <w:lang w:val="es-ES"/>
        </w:rPr>
        <w:t xml:space="preserve">urie en los juicios que enfrentan personas defensoras. </w:t>
      </w:r>
    </w:p>
    <w:sectPr w:rsidR="004C5F31" w:rsidRPr="00B359EB" w:rsidSect="0069084A">
      <w:footerReference w:type="even" r:id="rId19"/>
      <w:footerReference w:type="default" r:id="rId2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4352D" w14:textId="77777777" w:rsidR="00517DEE" w:rsidRDefault="00517DEE" w:rsidP="006B6D2F">
      <w:r>
        <w:separator/>
      </w:r>
    </w:p>
  </w:endnote>
  <w:endnote w:type="continuationSeparator" w:id="0">
    <w:p w14:paraId="3BF33133" w14:textId="77777777" w:rsidR="00517DEE" w:rsidRDefault="00517DEE" w:rsidP="006B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D0B75" w14:textId="77777777" w:rsidR="00140C12" w:rsidRDefault="00140C12" w:rsidP="006B6D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CD8D3F" w14:textId="77777777" w:rsidR="00140C12" w:rsidRDefault="00140C12" w:rsidP="006B6D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D36D9" w14:textId="49054C64" w:rsidR="00140C12" w:rsidRDefault="00140C12" w:rsidP="006B6D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1B6D">
      <w:rPr>
        <w:rStyle w:val="Nmerodepgina"/>
        <w:noProof/>
      </w:rPr>
      <w:t>5</w:t>
    </w:r>
    <w:r>
      <w:rPr>
        <w:rStyle w:val="Nmerodepgina"/>
      </w:rPr>
      <w:fldChar w:fldCharType="end"/>
    </w:r>
  </w:p>
  <w:p w14:paraId="72BDC2E6" w14:textId="77777777" w:rsidR="00140C12" w:rsidRDefault="00140C12" w:rsidP="006B6D2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6B5D4" w14:textId="77777777" w:rsidR="00517DEE" w:rsidRDefault="00517DEE" w:rsidP="006B6D2F">
      <w:r>
        <w:separator/>
      </w:r>
    </w:p>
  </w:footnote>
  <w:footnote w:type="continuationSeparator" w:id="0">
    <w:p w14:paraId="3AE16DEB" w14:textId="77777777" w:rsidR="00517DEE" w:rsidRDefault="00517DEE" w:rsidP="006B6D2F">
      <w:r>
        <w:continuationSeparator/>
      </w:r>
    </w:p>
  </w:footnote>
  <w:footnote w:id="1">
    <w:p w14:paraId="48F4B8DE" w14:textId="60BFF8E4" w:rsidR="00140C12" w:rsidRPr="00E27698" w:rsidRDefault="00140C12" w:rsidP="00140C12">
      <w:pPr>
        <w:pStyle w:val="Textonotapie"/>
        <w:rPr>
          <w:rFonts w:cs="Times New Roman"/>
          <w:sz w:val="24"/>
        </w:rPr>
      </w:pPr>
      <w:r>
        <w:rPr>
          <w:rStyle w:val="Refdenotaalpie"/>
        </w:rPr>
        <w:footnoteRef/>
      </w:r>
      <w:r>
        <w:t xml:space="preserve"> </w:t>
      </w:r>
      <w:r>
        <w:rPr>
          <w:rStyle w:val="Refdenotaalpie"/>
        </w:rPr>
        <w:t>[1]</w:t>
      </w:r>
      <w:r>
        <w:t xml:space="preserve"> </w:t>
      </w:r>
      <w:r w:rsidRPr="007B2445">
        <w:rPr>
          <w:rFonts w:cs="Times New Roman"/>
          <w:color w:val="222222"/>
        </w:rPr>
        <w:t xml:space="preserve">See </w:t>
      </w:r>
      <w:hyperlink r:id="rId1" w:history="1">
        <w:r w:rsidRPr="00B357D6">
          <w:rPr>
            <w:rStyle w:val="Hipervnculo"/>
            <w:rFonts w:cs="Times New Roman"/>
            <w:color w:val="0070C0"/>
          </w:rPr>
          <w:t>A/HRC/RES 22/6</w:t>
        </w:r>
      </w:hyperlink>
      <w:r>
        <w:rPr>
          <w:rFonts w:cs="Times New Roman"/>
          <w:color w:val="222222"/>
        </w:rPr>
        <w:t xml:space="preserve"> (2013) and </w:t>
      </w:r>
      <w:hyperlink r:id="rId2" w:history="1">
        <w:r w:rsidRPr="00B357D6">
          <w:rPr>
            <w:rStyle w:val="Hipervnculo"/>
            <w:rFonts w:cs="Times New Roman"/>
            <w:color w:val="0070C0"/>
          </w:rPr>
          <w:t>A/RES/68/181</w:t>
        </w:r>
        <w:r w:rsidRPr="00703450">
          <w:rPr>
            <w:rStyle w:val="Hipervnculo"/>
            <w:rFonts w:cs="Times New Roman"/>
            <w:color w:val="auto"/>
          </w:rPr>
          <w:t>(2014</w:t>
        </w:r>
        <w:r w:rsidRPr="00B357D6">
          <w:rPr>
            <w:rStyle w:val="Hipervnculo"/>
            <w:rFonts w:cs="Times New Roman"/>
          </w:rPr>
          <w:t>)</w:t>
        </w:r>
      </w:hyperlink>
      <w:r>
        <w:rPr>
          <w:rFonts w:cs="Times New Roman"/>
          <w:color w:val="222222"/>
        </w:rPr>
        <w:t xml:space="preserve">. See also: </w:t>
      </w:r>
      <w:hyperlink r:id="rId3" w:history="1">
        <w:r w:rsidRPr="00703450">
          <w:rPr>
            <w:rStyle w:val="Hipervnculo"/>
            <w:rFonts w:cs="Times New Roman"/>
            <w:color w:val="0070C0"/>
          </w:rPr>
          <w:t>A/HRC/RES/25/18</w:t>
        </w:r>
        <w:r w:rsidRPr="00703450">
          <w:rPr>
            <w:rStyle w:val="Hipervnculo"/>
            <w:rFonts w:cs="Times New Roman"/>
            <w:color w:val="auto"/>
          </w:rPr>
          <w:t xml:space="preserve"> (2014)</w:t>
        </w:r>
        <w:r w:rsidRPr="00703450">
          <w:rPr>
            <w:rStyle w:val="Hipervnculo"/>
            <w:rFonts w:cs="Times New Roman"/>
            <w:color w:val="0070C0"/>
          </w:rPr>
          <w:t>,</w:t>
        </w:r>
      </w:hyperlink>
      <w:r w:rsidRPr="00703450">
        <w:rPr>
          <w:rFonts w:cs="Times New Roman"/>
          <w:color w:val="0070C0"/>
        </w:rPr>
        <w:t xml:space="preserve"> </w:t>
      </w:r>
      <w:hyperlink r:id="rId4" w:history="1">
        <w:r w:rsidRPr="00B357D6">
          <w:rPr>
            <w:rStyle w:val="Hipervnculo"/>
            <w:rFonts w:cs="Times New Roman"/>
            <w:color w:val="0070C0"/>
          </w:rPr>
          <w:t>A/HRC/RES/27/31</w:t>
        </w:r>
        <w:r w:rsidRPr="00703450">
          <w:rPr>
            <w:rStyle w:val="Hipervnculo"/>
            <w:rFonts w:cs="Times New Roman"/>
            <w:color w:val="auto"/>
          </w:rPr>
          <w:t xml:space="preserve"> (2014)</w:t>
        </w:r>
        <w:r w:rsidRPr="007B2445">
          <w:rPr>
            <w:rStyle w:val="Hipervnculo"/>
            <w:rFonts w:cs="Times New Roman"/>
          </w:rPr>
          <w:t>,</w:t>
        </w:r>
      </w:hyperlink>
      <w:r w:rsidRPr="007B2445">
        <w:rPr>
          <w:rFonts w:cs="Times New Roman"/>
        </w:rPr>
        <w:t xml:space="preserve"> </w:t>
      </w:r>
      <w:hyperlink r:id="rId5" w:history="1">
        <w:r w:rsidRPr="00B357D6">
          <w:rPr>
            <w:rStyle w:val="Hipervnculo"/>
            <w:rFonts w:cs="Times New Roman"/>
            <w:color w:val="0070C0"/>
          </w:rPr>
          <w:t>A/HRC/RES/32/31</w:t>
        </w:r>
      </w:hyperlink>
      <w:r>
        <w:rPr>
          <w:rFonts w:cs="Times New Roman"/>
        </w:rPr>
        <w:t xml:space="preserve"> (2016)</w:t>
      </w:r>
      <w:r w:rsidRPr="007B2445">
        <w:rPr>
          <w:rFonts w:cs="Times New Roman"/>
        </w:rPr>
        <w:t xml:space="preserve"> and </w:t>
      </w:r>
      <w:hyperlink r:id="rId6" w:history="1">
        <w:r w:rsidRPr="00B357D6">
          <w:rPr>
            <w:rStyle w:val="Hipervnculo"/>
            <w:rFonts w:cs="Times New Roman"/>
            <w:color w:val="0070C0"/>
          </w:rPr>
          <w:t>A/HRC/RES/34/5</w:t>
        </w:r>
        <w:r w:rsidRPr="00703450">
          <w:rPr>
            <w:rStyle w:val="Hipervnculo"/>
            <w:rFonts w:cs="Times New Roman"/>
            <w:color w:val="auto"/>
          </w:rPr>
          <w:t xml:space="preserve"> (2017)</w:t>
        </w:r>
        <w:r w:rsidRPr="00DE1447">
          <w:rPr>
            <w:rStyle w:val="Hipervnculo"/>
            <w:rFonts w:cs="Times New Roman"/>
            <w:sz w:val="24"/>
          </w:rPr>
          <w:t xml:space="preserve"> </w:t>
        </w:r>
      </w:hyperlink>
      <w:r w:rsidRPr="007B2445">
        <w:rPr>
          <w:rFonts w:cs="Times New Roman"/>
          <w:sz w:val="24"/>
        </w:rPr>
        <w:t xml:space="preserve"> </w:t>
      </w:r>
    </w:p>
  </w:footnote>
  <w:footnote w:id="2">
    <w:p w14:paraId="71308A29" w14:textId="3D8FE561" w:rsidR="00FB0F92" w:rsidRPr="00FB0F92" w:rsidRDefault="00FB0F92">
      <w:pPr>
        <w:pStyle w:val="Textonotapie"/>
        <w:rPr>
          <w:lang w:val="es-MX"/>
        </w:rPr>
      </w:pPr>
      <w:r>
        <w:rPr>
          <w:rStyle w:val="Refdenotaalpie"/>
        </w:rPr>
        <w:footnoteRef/>
      </w:r>
      <w:r w:rsidRPr="00FB0F92">
        <w:rPr>
          <w:lang w:val="es-MX"/>
        </w:rPr>
        <w:t xml:space="preserve"> </w:t>
      </w:r>
      <w:r w:rsidRPr="00FB0F92">
        <w:rPr>
          <w:lang w:val="es-MX"/>
        </w:rPr>
        <w:t>Naciones Unidas, Grupo de Trabajo sobre Detención Arbitraria, Opinión 23/201</w:t>
      </w:r>
      <w:r w:rsidRPr="00FB0F92">
        <w:rPr>
          <w:lang w:val="es-MX"/>
        </w:rPr>
        <w:t>7</w:t>
      </w:r>
      <w:r w:rsidRPr="00FB0F92">
        <w:rPr>
          <w:lang w:val="es-MX"/>
        </w:rPr>
        <w:t xml:space="preserve">, Disponible para la consulta en: </w:t>
      </w:r>
      <w:hyperlink r:id="rId7" w:history="1">
        <w:r w:rsidRPr="00FB0F92">
          <w:rPr>
            <w:rStyle w:val="Hipervnculo"/>
            <w:lang w:val="es-MX"/>
          </w:rPr>
          <w:t>https://www.ohchr.org/Documents/Issues/Detention/Opinions/Session78/A_HRC_WGAD_2017_23.pdf</w:t>
        </w:r>
      </w:hyperlink>
      <w:r w:rsidRPr="00FB0F92">
        <w:rPr>
          <w:lang w:val="es-MX"/>
        </w:rPr>
        <w:t xml:space="preserve"> </w:t>
      </w:r>
    </w:p>
  </w:footnote>
  <w:footnote w:id="3">
    <w:p w14:paraId="3EA45D6D" w14:textId="77777777" w:rsidR="00140C12" w:rsidRPr="00B8013C" w:rsidRDefault="00140C12" w:rsidP="00B8013C">
      <w:pPr>
        <w:rPr>
          <w:rFonts w:ascii="Times New Roman" w:hAnsi="Times New Roman" w:cs="Times New Roman"/>
          <w:sz w:val="16"/>
          <w:szCs w:val="16"/>
          <w:lang w:val="es-MX"/>
        </w:rPr>
      </w:pPr>
      <w:r w:rsidRPr="00FE2534">
        <w:rPr>
          <w:rStyle w:val="Refdenotaalpie"/>
          <w:rFonts w:ascii="Times New Roman" w:hAnsi="Times New Roman" w:cs="Times New Roman"/>
          <w:sz w:val="16"/>
          <w:szCs w:val="16"/>
        </w:rPr>
        <w:footnoteRef/>
      </w:r>
      <w:r w:rsidRPr="00B8013C">
        <w:rPr>
          <w:rFonts w:ascii="Times New Roman" w:hAnsi="Times New Roman" w:cs="Times New Roman"/>
          <w:sz w:val="16"/>
          <w:szCs w:val="16"/>
          <w:lang w:val="es-MX"/>
        </w:rPr>
        <w:t xml:space="preserve"> </w:t>
      </w:r>
      <w:r w:rsidRPr="00B8013C">
        <w:rPr>
          <w:rFonts w:ascii="Times New Roman" w:hAnsi="Times New Roman" w:cs="Times New Roman"/>
          <w:sz w:val="16"/>
          <w:szCs w:val="16"/>
          <w:lang w:val="es-MX"/>
        </w:rPr>
        <w:t xml:space="preserve">Comisión Nacional de Derechos Humanos. Recomendación 5/2018. Disponible para la consulta en: </w:t>
      </w:r>
      <w:hyperlink r:id="rId8" w:history="1">
        <w:r w:rsidRPr="00B8013C">
          <w:rPr>
            <w:rStyle w:val="Hipervnculo"/>
            <w:rFonts w:ascii="Times New Roman" w:hAnsi="Times New Roman" w:cs="Times New Roman"/>
            <w:sz w:val="16"/>
            <w:szCs w:val="16"/>
            <w:lang w:val="es-MX"/>
          </w:rPr>
          <w:t>http://informe.cndh.org.mx/uploads/menu/40088/Rec_2018_005.pdf</w:t>
        </w:r>
      </w:hyperlink>
    </w:p>
  </w:footnote>
  <w:footnote w:id="4">
    <w:p w14:paraId="42A0E781" w14:textId="0A2E12FE" w:rsidR="00140C12" w:rsidRPr="00B8013C" w:rsidRDefault="00140C12" w:rsidP="00B8013C">
      <w:pPr>
        <w:pStyle w:val="NormalWeb"/>
        <w:spacing w:before="0" w:beforeAutospacing="0" w:after="0" w:afterAutospacing="0"/>
        <w:rPr>
          <w:sz w:val="16"/>
          <w:szCs w:val="16"/>
          <w:lang w:val="es-MX"/>
        </w:rPr>
      </w:pPr>
      <w:r w:rsidRPr="00FE2534">
        <w:rPr>
          <w:rStyle w:val="Refdenotaalpie"/>
          <w:sz w:val="16"/>
          <w:szCs w:val="16"/>
        </w:rPr>
        <w:footnoteRef/>
      </w:r>
      <w:r w:rsidRPr="00B8013C">
        <w:rPr>
          <w:sz w:val="16"/>
          <w:szCs w:val="16"/>
          <w:lang w:val="es-MX"/>
        </w:rPr>
        <w:t xml:space="preserve"> </w:t>
      </w:r>
      <w:r w:rsidRPr="00B8013C">
        <w:rPr>
          <w:sz w:val="16"/>
          <w:szCs w:val="16"/>
          <w:lang w:val="es-MX"/>
        </w:rPr>
        <w:t xml:space="preserve">Naciones Unidas, Grupo de Trabajo sobre Detención Arbitraria, Opinión 23/2014, Disponible para la consulta en: </w:t>
      </w:r>
      <w:hyperlink r:id="rId9" w:history="1">
        <w:r w:rsidRPr="00CA5580">
          <w:rPr>
            <w:rStyle w:val="Hipervnculo"/>
            <w:sz w:val="16"/>
            <w:szCs w:val="16"/>
            <w:lang w:val="es-MX"/>
          </w:rPr>
          <w:t>http://ap.ohchr.org/documents/dpage_e.aspx?si=A/HRC/WGAD/2014/23</w:t>
        </w:r>
      </w:hyperlink>
      <w:r>
        <w:rPr>
          <w:color w:val="0260BF"/>
          <w:sz w:val="16"/>
          <w:szCs w:val="16"/>
          <w:lang w:val="es-MX"/>
        </w:rPr>
        <w:t xml:space="preserve"> </w:t>
      </w:r>
      <w:r w:rsidRPr="00B8013C">
        <w:rPr>
          <w:color w:val="0260BF"/>
          <w:sz w:val="16"/>
          <w:szCs w:val="16"/>
          <w:lang w:val="es-MX"/>
        </w:rPr>
        <w:t xml:space="preserve"> </w:t>
      </w:r>
    </w:p>
  </w:footnote>
  <w:footnote w:id="5">
    <w:p w14:paraId="005AC7F7" w14:textId="05E5D858" w:rsidR="00140C12" w:rsidRPr="00140C12" w:rsidRDefault="00140C12" w:rsidP="00140C12">
      <w:pPr>
        <w:pStyle w:val="NormalWeb"/>
        <w:spacing w:before="0" w:beforeAutospacing="0" w:after="0" w:afterAutospacing="0"/>
        <w:rPr>
          <w:color w:val="0260BF"/>
          <w:sz w:val="16"/>
          <w:szCs w:val="16"/>
          <w:lang w:val="es-MX"/>
        </w:rPr>
      </w:pPr>
      <w:r w:rsidRPr="00FE2534">
        <w:rPr>
          <w:rStyle w:val="Refdenotaalpie"/>
          <w:sz w:val="16"/>
          <w:szCs w:val="16"/>
        </w:rPr>
        <w:footnoteRef/>
      </w:r>
      <w:r w:rsidRPr="00B8013C">
        <w:rPr>
          <w:sz w:val="16"/>
          <w:szCs w:val="16"/>
          <w:lang w:val="es-MX"/>
        </w:rPr>
        <w:t xml:space="preserve"> </w:t>
      </w:r>
      <w:r w:rsidRPr="00B8013C">
        <w:rPr>
          <w:sz w:val="16"/>
          <w:szCs w:val="16"/>
          <w:lang w:val="es-MX"/>
        </w:rPr>
        <w:t xml:space="preserve">Naciones Unidas, Informe de las Comunicaciones de los Procedimientos Especiales, 27 Sesión del Consejo de Derechos Humanos, Septiembre 2014. </w:t>
      </w:r>
      <w:r w:rsidRPr="00B8013C">
        <w:rPr>
          <w:sz w:val="16"/>
          <w:szCs w:val="16"/>
          <w:lang w:val="es-MX"/>
        </w:rPr>
        <w:t xml:space="preserve">(p.46), Disponible para la consulta en :, </w:t>
      </w:r>
      <w:hyperlink r:id="rId10" w:history="1">
        <w:r w:rsidRPr="00B8013C">
          <w:rPr>
            <w:rStyle w:val="Hipervnculo"/>
            <w:sz w:val="16"/>
            <w:szCs w:val="16"/>
            <w:lang w:val="es-MX"/>
          </w:rPr>
          <w:t>http://www.ohchr.org/EN/HRBodies/SP/Pages/CommunicationsreportsSP.aspx</w:t>
        </w:r>
      </w:hyperlink>
      <w:r w:rsidRPr="00B8013C">
        <w:rPr>
          <w:color w:val="0260BF"/>
          <w:sz w:val="16"/>
          <w:szCs w:val="16"/>
          <w:lang w:val="es-MX"/>
        </w:rPr>
        <w:t xml:space="preserve"> </w:t>
      </w:r>
      <w:r w:rsidRPr="00B8013C">
        <w:rPr>
          <w:sz w:val="16"/>
          <w:szCs w:val="16"/>
          <w:lang w:val="es-MX"/>
        </w:rPr>
        <w:t xml:space="preserve">Naciones Unidas, Informe de Cierre de Misión a México Michel Forst, Enero 2017, Disponible para su consulta en: </w:t>
      </w:r>
      <w:hyperlink r:id="rId11" w:history="1">
        <w:r w:rsidRPr="00CA5580">
          <w:rPr>
            <w:rStyle w:val="Hipervnculo"/>
            <w:sz w:val="16"/>
            <w:szCs w:val="16"/>
            <w:lang w:val="es-MX"/>
          </w:rPr>
          <w:t>https://www.hchr.org.mx/images/doc_pub/SRHRD-END-OF-MISSION-STATEMENT-FINAL_ESP.pdf</w:t>
        </w:r>
      </w:hyperlink>
      <w:r>
        <w:rPr>
          <w:color w:val="0260BF"/>
          <w:sz w:val="16"/>
          <w:szCs w:val="16"/>
          <w:lang w:val="es-MX"/>
        </w:rPr>
        <w:t xml:space="preserve"> </w:t>
      </w:r>
      <w:r w:rsidRPr="00B8013C">
        <w:rPr>
          <w:color w:val="0260BF"/>
          <w:sz w:val="16"/>
          <w:szCs w:val="16"/>
          <w:lang w:val="es-MX"/>
        </w:rPr>
        <w:t xml:space="preserve"> </w:t>
      </w:r>
      <w:r w:rsidRPr="00B8013C">
        <w:rPr>
          <w:color w:val="0260BF"/>
          <w:sz w:val="16"/>
          <w:szCs w:val="16"/>
          <w:lang w:val="es-MX"/>
        </w:rPr>
        <w:br/>
      </w:r>
      <w:r w:rsidRPr="00B8013C">
        <w:rPr>
          <w:sz w:val="16"/>
          <w:szCs w:val="16"/>
          <w:lang w:val="es-MX"/>
        </w:rPr>
        <w:t xml:space="preserve">Naciones Unidas, 37 Sesión Consejo Derechos Humanos, Informe de Casos del relator Michel Forst, Marzo 2018, Disponible para su consulta en: </w:t>
      </w:r>
      <w:hyperlink r:id="rId12" w:history="1">
        <w:r w:rsidRPr="00CA5580">
          <w:rPr>
            <w:rStyle w:val="Hipervnculo"/>
            <w:sz w:val="16"/>
            <w:szCs w:val="16"/>
            <w:lang w:val="es-MX"/>
          </w:rPr>
          <w:t>https://documents-dds-ny.un.org/doc/UNDOC/GEN/G18/043/30/PDF/G1804330.pdf?OpenElement</w:t>
        </w:r>
      </w:hyperlink>
      <w:r>
        <w:rPr>
          <w:color w:val="0260BF"/>
          <w:sz w:val="16"/>
          <w:szCs w:val="16"/>
          <w:lang w:val="es-MX"/>
        </w:rPr>
        <w:t xml:space="preserve"> </w:t>
      </w:r>
      <w:r w:rsidRPr="00B8013C">
        <w:rPr>
          <w:color w:val="0260BF"/>
          <w:sz w:val="16"/>
          <w:szCs w:val="16"/>
          <w:lang w:val="es-MX"/>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F6C"/>
    <w:multiLevelType w:val="hybridMultilevel"/>
    <w:tmpl w:val="62F23FAA"/>
    <w:lvl w:ilvl="0" w:tplc="F1C48024">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97A2C40"/>
    <w:multiLevelType w:val="hybridMultilevel"/>
    <w:tmpl w:val="93FCA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51572"/>
    <w:multiLevelType w:val="hybridMultilevel"/>
    <w:tmpl w:val="B28EA666"/>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3" w15:restartNumberingAfterBreak="0">
    <w:nsid w:val="12A57C1A"/>
    <w:multiLevelType w:val="hybridMultilevel"/>
    <w:tmpl w:val="36AE43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0F3DB2"/>
    <w:multiLevelType w:val="hybridMultilevel"/>
    <w:tmpl w:val="2E5CF62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5" w15:restartNumberingAfterBreak="0">
    <w:nsid w:val="1BF53494"/>
    <w:multiLevelType w:val="hybridMultilevel"/>
    <w:tmpl w:val="2E12F4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E2F2550"/>
    <w:multiLevelType w:val="hybridMultilevel"/>
    <w:tmpl w:val="C172AB52"/>
    <w:lvl w:ilvl="0" w:tplc="6B5650CA">
      <w:start w:val="4"/>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7" w15:restartNumberingAfterBreak="0">
    <w:nsid w:val="32CC0A90"/>
    <w:multiLevelType w:val="hybridMultilevel"/>
    <w:tmpl w:val="ECE80A1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371E3A18"/>
    <w:multiLevelType w:val="hybridMultilevel"/>
    <w:tmpl w:val="004A93B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7516D14"/>
    <w:multiLevelType w:val="hybridMultilevel"/>
    <w:tmpl w:val="7E1430E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10" w15:restartNumberingAfterBreak="0">
    <w:nsid w:val="407F17C9"/>
    <w:multiLevelType w:val="hybridMultilevel"/>
    <w:tmpl w:val="41E65F16"/>
    <w:styleLink w:val="ImportedStyle3"/>
    <w:lvl w:ilvl="0" w:tplc="40AA067E">
      <w:start w:val="1"/>
      <w:numFmt w:val="bullet"/>
      <w:lvlText w:val="-"/>
      <w:lvlJc w:val="left"/>
      <w:pPr>
        <w:ind w:left="107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1" w:tplc="6D56ED28">
      <w:start w:val="1"/>
      <w:numFmt w:val="bullet"/>
      <w:lvlText w:val="o"/>
      <w:lvlJc w:val="left"/>
      <w:pPr>
        <w:ind w:left="179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2" w:tplc="A6CECEA4">
      <w:start w:val="1"/>
      <w:numFmt w:val="bullet"/>
      <w:lvlText w:val="▪"/>
      <w:lvlJc w:val="left"/>
      <w:pPr>
        <w:ind w:left="251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3" w:tplc="E7007C28">
      <w:start w:val="1"/>
      <w:numFmt w:val="bullet"/>
      <w:lvlText w:val="•"/>
      <w:lvlJc w:val="left"/>
      <w:pPr>
        <w:ind w:left="323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4" w:tplc="A6860002">
      <w:start w:val="1"/>
      <w:numFmt w:val="bullet"/>
      <w:lvlText w:val="o"/>
      <w:lvlJc w:val="left"/>
      <w:pPr>
        <w:ind w:left="395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5" w:tplc="C4C8BD20">
      <w:start w:val="1"/>
      <w:numFmt w:val="bullet"/>
      <w:lvlText w:val="▪"/>
      <w:lvlJc w:val="left"/>
      <w:pPr>
        <w:ind w:left="467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6" w:tplc="1C125A06">
      <w:start w:val="1"/>
      <w:numFmt w:val="bullet"/>
      <w:lvlText w:val="•"/>
      <w:lvlJc w:val="left"/>
      <w:pPr>
        <w:ind w:left="539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7" w:tplc="02FCCF7A">
      <w:start w:val="1"/>
      <w:numFmt w:val="bullet"/>
      <w:lvlText w:val="o"/>
      <w:lvlJc w:val="left"/>
      <w:pPr>
        <w:ind w:left="611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8" w:tplc="2822E590">
      <w:start w:val="1"/>
      <w:numFmt w:val="bullet"/>
      <w:lvlText w:val="▪"/>
      <w:lvlJc w:val="left"/>
      <w:pPr>
        <w:ind w:left="6834" w:hanging="36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40AE1538"/>
    <w:multiLevelType w:val="hybridMultilevel"/>
    <w:tmpl w:val="76BC74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25B645A"/>
    <w:multiLevelType w:val="multilevel"/>
    <w:tmpl w:val="566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FA2A91"/>
    <w:multiLevelType w:val="hybridMultilevel"/>
    <w:tmpl w:val="2672433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46175CA"/>
    <w:multiLevelType w:val="hybridMultilevel"/>
    <w:tmpl w:val="1A9EA5D6"/>
    <w:lvl w:ilvl="0" w:tplc="6CBE2762">
      <w:start w:val="1"/>
      <w:numFmt w:val="decimal"/>
      <w:lvlText w:val="%1)"/>
      <w:lvlJc w:val="left"/>
      <w:pPr>
        <w:ind w:left="720" w:hanging="360"/>
      </w:pPr>
      <w:rPr>
        <w:rFonts w:hint="default"/>
        <w:lang w:val="es-MX"/>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81215E6"/>
    <w:multiLevelType w:val="hybridMultilevel"/>
    <w:tmpl w:val="681A2B50"/>
    <w:lvl w:ilvl="0" w:tplc="CC046E0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6" w15:restartNumberingAfterBreak="0">
    <w:nsid w:val="4CED72AD"/>
    <w:multiLevelType w:val="hybridMultilevel"/>
    <w:tmpl w:val="92122FFC"/>
    <w:lvl w:ilvl="0" w:tplc="040A0001">
      <w:start w:val="1"/>
      <w:numFmt w:val="bullet"/>
      <w:lvlText w:val=""/>
      <w:lvlJc w:val="left"/>
      <w:pPr>
        <w:ind w:left="501" w:hanging="360"/>
      </w:pPr>
      <w:rPr>
        <w:rFonts w:ascii="Symbol" w:hAnsi="Symbol" w:hint="default"/>
      </w:rPr>
    </w:lvl>
    <w:lvl w:ilvl="1" w:tplc="040A0003">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17" w15:restartNumberingAfterBreak="0">
    <w:nsid w:val="50D261D0"/>
    <w:multiLevelType w:val="hybridMultilevel"/>
    <w:tmpl w:val="20D00C48"/>
    <w:lvl w:ilvl="0" w:tplc="A860E5DA">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16966B5"/>
    <w:multiLevelType w:val="hybridMultilevel"/>
    <w:tmpl w:val="EA00BAF4"/>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19" w15:restartNumberingAfterBreak="0">
    <w:nsid w:val="69B16FEB"/>
    <w:multiLevelType w:val="hybridMultilevel"/>
    <w:tmpl w:val="5B3ED9A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B1E34FA"/>
    <w:multiLevelType w:val="hybridMultilevel"/>
    <w:tmpl w:val="6366BCDC"/>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E47632B"/>
    <w:multiLevelType w:val="hybridMultilevel"/>
    <w:tmpl w:val="93AC9536"/>
    <w:lvl w:ilvl="0" w:tplc="30769A1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15:restartNumberingAfterBreak="0">
    <w:nsid w:val="6F096EBE"/>
    <w:multiLevelType w:val="multilevel"/>
    <w:tmpl w:val="86BC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7411D5"/>
    <w:multiLevelType w:val="hybridMultilevel"/>
    <w:tmpl w:val="41E65F16"/>
    <w:numStyleLink w:val="ImportedStyle3"/>
  </w:abstractNum>
  <w:abstractNum w:abstractNumId="24" w15:restartNumberingAfterBreak="0">
    <w:nsid w:val="75E77BF9"/>
    <w:multiLevelType w:val="hybridMultilevel"/>
    <w:tmpl w:val="A1B8B01A"/>
    <w:lvl w:ilvl="0" w:tplc="716E0B84">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799A5543"/>
    <w:multiLevelType w:val="hybridMultilevel"/>
    <w:tmpl w:val="0F7C71A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2"/>
  </w:num>
  <w:num w:numId="2">
    <w:abstractNumId w:val="7"/>
  </w:num>
  <w:num w:numId="3">
    <w:abstractNumId w:val="23"/>
  </w:num>
  <w:num w:numId="4">
    <w:abstractNumId w:val="10"/>
  </w:num>
  <w:num w:numId="5">
    <w:abstractNumId w:val="1"/>
  </w:num>
  <w:num w:numId="6">
    <w:abstractNumId w:val="13"/>
  </w:num>
  <w:num w:numId="7">
    <w:abstractNumId w:val="22"/>
  </w:num>
  <w:num w:numId="8">
    <w:abstractNumId w:val="3"/>
  </w:num>
  <w:num w:numId="9">
    <w:abstractNumId w:val="19"/>
  </w:num>
  <w:num w:numId="10">
    <w:abstractNumId w:val="8"/>
  </w:num>
  <w:num w:numId="11">
    <w:abstractNumId w:val="20"/>
  </w:num>
  <w:num w:numId="12">
    <w:abstractNumId w:val="17"/>
  </w:num>
  <w:num w:numId="13">
    <w:abstractNumId w:val="25"/>
  </w:num>
  <w:num w:numId="14">
    <w:abstractNumId w:val="14"/>
  </w:num>
  <w:num w:numId="15">
    <w:abstractNumId w:val="5"/>
  </w:num>
  <w:num w:numId="16">
    <w:abstractNumId w:val="4"/>
  </w:num>
  <w:num w:numId="17">
    <w:abstractNumId w:val="9"/>
  </w:num>
  <w:num w:numId="18">
    <w:abstractNumId w:val="16"/>
  </w:num>
  <w:num w:numId="19">
    <w:abstractNumId w:val="18"/>
  </w:num>
  <w:num w:numId="20">
    <w:abstractNumId w:val="24"/>
  </w:num>
  <w:num w:numId="21">
    <w:abstractNumId w:val="0"/>
  </w:num>
  <w:num w:numId="22">
    <w:abstractNumId w:val="6"/>
  </w:num>
  <w:num w:numId="23">
    <w:abstractNumId w:val="15"/>
  </w:num>
  <w:num w:numId="24">
    <w:abstractNumId w:val="21"/>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2F"/>
    <w:rsid w:val="00001E22"/>
    <w:rsid w:val="00003B80"/>
    <w:rsid w:val="00007185"/>
    <w:rsid w:val="00012FFF"/>
    <w:rsid w:val="00014B47"/>
    <w:rsid w:val="000260FE"/>
    <w:rsid w:val="0003147E"/>
    <w:rsid w:val="00032808"/>
    <w:rsid w:val="00036FD8"/>
    <w:rsid w:val="0005237A"/>
    <w:rsid w:val="0005708E"/>
    <w:rsid w:val="00065350"/>
    <w:rsid w:val="000745B4"/>
    <w:rsid w:val="000A6309"/>
    <w:rsid w:val="000C7C61"/>
    <w:rsid w:val="000C7E8A"/>
    <w:rsid w:val="000D490A"/>
    <w:rsid w:val="000E76FE"/>
    <w:rsid w:val="000F0020"/>
    <w:rsid w:val="000F0BD9"/>
    <w:rsid w:val="000F3EDA"/>
    <w:rsid w:val="0011587C"/>
    <w:rsid w:val="00140C12"/>
    <w:rsid w:val="00142954"/>
    <w:rsid w:val="00160441"/>
    <w:rsid w:val="0016053E"/>
    <w:rsid w:val="00161F0C"/>
    <w:rsid w:val="001670F6"/>
    <w:rsid w:val="00181253"/>
    <w:rsid w:val="00181276"/>
    <w:rsid w:val="0018547F"/>
    <w:rsid w:val="00192240"/>
    <w:rsid w:val="001A4D02"/>
    <w:rsid w:val="001A6D54"/>
    <w:rsid w:val="001E5E13"/>
    <w:rsid w:val="00203EBA"/>
    <w:rsid w:val="002152DF"/>
    <w:rsid w:val="00222093"/>
    <w:rsid w:val="00231270"/>
    <w:rsid w:val="00236373"/>
    <w:rsid w:val="002540B0"/>
    <w:rsid w:val="0025780A"/>
    <w:rsid w:val="00260615"/>
    <w:rsid w:val="00265A45"/>
    <w:rsid w:val="0026778C"/>
    <w:rsid w:val="00281092"/>
    <w:rsid w:val="00296978"/>
    <w:rsid w:val="00296A88"/>
    <w:rsid w:val="002A284C"/>
    <w:rsid w:val="002C1CA8"/>
    <w:rsid w:val="002C4EA2"/>
    <w:rsid w:val="002E0BA4"/>
    <w:rsid w:val="002F3839"/>
    <w:rsid w:val="003036AD"/>
    <w:rsid w:val="00305191"/>
    <w:rsid w:val="0031077F"/>
    <w:rsid w:val="00315540"/>
    <w:rsid w:val="00332A96"/>
    <w:rsid w:val="00336D05"/>
    <w:rsid w:val="003408C4"/>
    <w:rsid w:val="00352E25"/>
    <w:rsid w:val="003634CF"/>
    <w:rsid w:val="00380D03"/>
    <w:rsid w:val="00395C46"/>
    <w:rsid w:val="003B5C8A"/>
    <w:rsid w:val="003B75BC"/>
    <w:rsid w:val="003C59D4"/>
    <w:rsid w:val="003C6451"/>
    <w:rsid w:val="003C791D"/>
    <w:rsid w:val="003E2F00"/>
    <w:rsid w:val="003F3EEA"/>
    <w:rsid w:val="003F7D22"/>
    <w:rsid w:val="0040251E"/>
    <w:rsid w:val="004064F7"/>
    <w:rsid w:val="004101E1"/>
    <w:rsid w:val="00414AD1"/>
    <w:rsid w:val="00414CB5"/>
    <w:rsid w:val="00417E8C"/>
    <w:rsid w:val="00420F0C"/>
    <w:rsid w:val="00450F48"/>
    <w:rsid w:val="004549B2"/>
    <w:rsid w:val="00455715"/>
    <w:rsid w:val="00474571"/>
    <w:rsid w:val="00480289"/>
    <w:rsid w:val="0049284D"/>
    <w:rsid w:val="004A74A5"/>
    <w:rsid w:val="004A7B2A"/>
    <w:rsid w:val="004B4C91"/>
    <w:rsid w:val="004B63C8"/>
    <w:rsid w:val="004C5F31"/>
    <w:rsid w:val="004F0EA5"/>
    <w:rsid w:val="004F39B6"/>
    <w:rsid w:val="004F52FB"/>
    <w:rsid w:val="004F6BCB"/>
    <w:rsid w:val="005171FD"/>
    <w:rsid w:val="00517DEE"/>
    <w:rsid w:val="005322EA"/>
    <w:rsid w:val="00532DEE"/>
    <w:rsid w:val="005372E0"/>
    <w:rsid w:val="00540382"/>
    <w:rsid w:val="00546F53"/>
    <w:rsid w:val="00576FBA"/>
    <w:rsid w:val="00580E04"/>
    <w:rsid w:val="0058148D"/>
    <w:rsid w:val="005A5180"/>
    <w:rsid w:val="005B1371"/>
    <w:rsid w:val="005B54D8"/>
    <w:rsid w:val="005C1C2B"/>
    <w:rsid w:val="005D5B11"/>
    <w:rsid w:val="005E12DC"/>
    <w:rsid w:val="005E4CE8"/>
    <w:rsid w:val="005F0C3A"/>
    <w:rsid w:val="005F2D66"/>
    <w:rsid w:val="006066DC"/>
    <w:rsid w:val="00612DCA"/>
    <w:rsid w:val="00650B26"/>
    <w:rsid w:val="0068481E"/>
    <w:rsid w:val="0068505B"/>
    <w:rsid w:val="00687F5C"/>
    <w:rsid w:val="0069084A"/>
    <w:rsid w:val="00693EFA"/>
    <w:rsid w:val="006968D6"/>
    <w:rsid w:val="00696B3E"/>
    <w:rsid w:val="006B02EC"/>
    <w:rsid w:val="006B6D2F"/>
    <w:rsid w:val="006C2EDB"/>
    <w:rsid w:val="006D24BA"/>
    <w:rsid w:val="006E2294"/>
    <w:rsid w:val="006E4CD9"/>
    <w:rsid w:val="006E674E"/>
    <w:rsid w:val="006F0602"/>
    <w:rsid w:val="00703450"/>
    <w:rsid w:val="00714C3B"/>
    <w:rsid w:val="0072248D"/>
    <w:rsid w:val="00724849"/>
    <w:rsid w:val="00724E87"/>
    <w:rsid w:val="00731157"/>
    <w:rsid w:val="007610E9"/>
    <w:rsid w:val="00791A35"/>
    <w:rsid w:val="00795104"/>
    <w:rsid w:val="0079543D"/>
    <w:rsid w:val="007B6C89"/>
    <w:rsid w:val="007C01C1"/>
    <w:rsid w:val="007C576D"/>
    <w:rsid w:val="007F40C6"/>
    <w:rsid w:val="00810E96"/>
    <w:rsid w:val="00820522"/>
    <w:rsid w:val="008456B2"/>
    <w:rsid w:val="00853B7D"/>
    <w:rsid w:val="00863A12"/>
    <w:rsid w:val="00867E36"/>
    <w:rsid w:val="00871151"/>
    <w:rsid w:val="00882844"/>
    <w:rsid w:val="00883229"/>
    <w:rsid w:val="008B6DC2"/>
    <w:rsid w:val="008C5657"/>
    <w:rsid w:val="008C6129"/>
    <w:rsid w:val="008F30F8"/>
    <w:rsid w:val="00904A01"/>
    <w:rsid w:val="00905132"/>
    <w:rsid w:val="00917903"/>
    <w:rsid w:val="00921666"/>
    <w:rsid w:val="009306CB"/>
    <w:rsid w:val="0094294D"/>
    <w:rsid w:val="009529A9"/>
    <w:rsid w:val="009549B3"/>
    <w:rsid w:val="009630ED"/>
    <w:rsid w:val="00971B6D"/>
    <w:rsid w:val="00972F9A"/>
    <w:rsid w:val="0097362B"/>
    <w:rsid w:val="009760C8"/>
    <w:rsid w:val="00984D23"/>
    <w:rsid w:val="00985712"/>
    <w:rsid w:val="009B5E73"/>
    <w:rsid w:val="009C7AD9"/>
    <w:rsid w:val="009E198D"/>
    <w:rsid w:val="009E41F3"/>
    <w:rsid w:val="00A32ABB"/>
    <w:rsid w:val="00A45BCE"/>
    <w:rsid w:val="00A57529"/>
    <w:rsid w:val="00A66DBA"/>
    <w:rsid w:val="00A67BFB"/>
    <w:rsid w:val="00A761CE"/>
    <w:rsid w:val="00A9167F"/>
    <w:rsid w:val="00A93B44"/>
    <w:rsid w:val="00AB7EC6"/>
    <w:rsid w:val="00AC2F74"/>
    <w:rsid w:val="00AC6FAE"/>
    <w:rsid w:val="00AE005C"/>
    <w:rsid w:val="00AF6BE5"/>
    <w:rsid w:val="00AF6D59"/>
    <w:rsid w:val="00AF7A9F"/>
    <w:rsid w:val="00B06834"/>
    <w:rsid w:val="00B15041"/>
    <w:rsid w:val="00B17897"/>
    <w:rsid w:val="00B231FD"/>
    <w:rsid w:val="00B359EB"/>
    <w:rsid w:val="00B8013C"/>
    <w:rsid w:val="00B810A5"/>
    <w:rsid w:val="00B95240"/>
    <w:rsid w:val="00BB23BF"/>
    <w:rsid w:val="00BB2A31"/>
    <w:rsid w:val="00BC2489"/>
    <w:rsid w:val="00BC32CA"/>
    <w:rsid w:val="00BC3D91"/>
    <w:rsid w:val="00BC703E"/>
    <w:rsid w:val="00BC7BE7"/>
    <w:rsid w:val="00BD15FD"/>
    <w:rsid w:val="00BD2E5D"/>
    <w:rsid w:val="00BE4572"/>
    <w:rsid w:val="00BE7B54"/>
    <w:rsid w:val="00C04637"/>
    <w:rsid w:val="00C25EC1"/>
    <w:rsid w:val="00C3329A"/>
    <w:rsid w:val="00C36596"/>
    <w:rsid w:val="00C44573"/>
    <w:rsid w:val="00C445BA"/>
    <w:rsid w:val="00C572C3"/>
    <w:rsid w:val="00C623C9"/>
    <w:rsid w:val="00C81356"/>
    <w:rsid w:val="00CA7577"/>
    <w:rsid w:val="00CA7DF1"/>
    <w:rsid w:val="00CB340B"/>
    <w:rsid w:val="00CB4F6C"/>
    <w:rsid w:val="00CC52AD"/>
    <w:rsid w:val="00CC7FB2"/>
    <w:rsid w:val="00CD0203"/>
    <w:rsid w:val="00CD11EB"/>
    <w:rsid w:val="00CD703F"/>
    <w:rsid w:val="00CE37ED"/>
    <w:rsid w:val="00D02016"/>
    <w:rsid w:val="00D051B3"/>
    <w:rsid w:val="00D07457"/>
    <w:rsid w:val="00D643D0"/>
    <w:rsid w:val="00D96224"/>
    <w:rsid w:val="00DA221E"/>
    <w:rsid w:val="00DA3408"/>
    <w:rsid w:val="00DA41F1"/>
    <w:rsid w:val="00DA7BA9"/>
    <w:rsid w:val="00DB59EC"/>
    <w:rsid w:val="00DC6166"/>
    <w:rsid w:val="00DC65DD"/>
    <w:rsid w:val="00DD3D6A"/>
    <w:rsid w:val="00DD3E44"/>
    <w:rsid w:val="00DE05DB"/>
    <w:rsid w:val="00DE2B51"/>
    <w:rsid w:val="00DE7075"/>
    <w:rsid w:val="00DF50B1"/>
    <w:rsid w:val="00DF55AD"/>
    <w:rsid w:val="00E026F6"/>
    <w:rsid w:val="00E05FAC"/>
    <w:rsid w:val="00E13D75"/>
    <w:rsid w:val="00E23AF1"/>
    <w:rsid w:val="00E27698"/>
    <w:rsid w:val="00E347E9"/>
    <w:rsid w:val="00E46126"/>
    <w:rsid w:val="00E60CA1"/>
    <w:rsid w:val="00E801A8"/>
    <w:rsid w:val="00E83D62"/>
    <w:rsid w:val="00E8762A"/>
    <w:rsid w:val="00E91911"/>
    <w:rsid w:val="00E94778"/>
    <w:rsid w:val="00E94A9F"/>
    <w:rsid w:val="00EA0DDF"/>
    <w:rsid w:val="00EA2C54"/>
    <w:rsid w:val="00EB4908"/>
    <w:rsid w:val="00EB7A49"/>
    <w:rsid w:val="00EC5074"/>
    <w:rsid w:val="00EC58E7"/>
    <w:rsid w:val="00EC76EE"/>
    <w:rsid w:val="00ED2F4D"/>
    <w:rsid w:val="00EF27FC"/>
    <w:rsid w:val="00F15CD8"/>
    <w:rsid w:val="00F2124E"/>
    <w:rsid w:val="00F240B1"/>
    <w:rsid w:val="00F31A78"/>
    <w:rsid w:val="00F326BE"/>
    <w:rsid w:val="00F41422"/>
    <w:rsid w:val="00F46A11"/>
    <w:rsid w:val="00F51618"/>
    <w:rsid w:val="00F87EBC"/>
    <w:rsid w:val="00F904B3"/>
    <w:rsid w:val="00FA1642"/>
    <w:rsid w:val="00FA3A26"/>
    <w:rsid w:val="00FA3D29"/>
    <w:rsid w:val="00FB0F92"/>
    <w:rsid w:val="00FE678F"/>
    <w:rsid w:val="00FF0402"/>
    <w:rsid w:val="00FF5905"/>
    <w:rsid w:val="00FF7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79737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Ttulo1">
    <w:name w:val="heading 1"/>
    <w:basedOn w:val="Normal"/>
    <w:next w:val="Normal"/>
    <w:link w:val="Ttulo1Car"/>
    <w:autoRedefine/>
    <w:qFormat/>
    <w:rsid w:val="000E76FE"/>
    <w:pPr>
      <w:keepNext/>
      <w:spacing w:before="240" w:after="60"/>
      <w:outlineLvl w:val="0"/>
    </w:pPr>
    <w:rPr>
      <w:rFonts w:asciiTheme="majorHAnsi" w:eastAsia="Times New Roman" w:hAnsiTheme="majorHAnsi" w:cs="Arial"/>
      <w:b/>
      <w:bCs/>
      <w:kern w:val="32"/>
      <w:szCs w:val="32"/>
    </w:rPr>
  </w:style>
  <w:style w:type="paragraph" w:styleId="Ttulo2">
    <w:name w:val="heading 2"/>
    <w:basedOn w:val="Normal"/>
    <w:next w:val="Normal"/>
    <w:link w:val="Ttulo2Car"/>
    <w:autoRedefine/>
    <w:uiPriority w:val="9"/>
    <w:unhideWhenUsed/>
    <w:qFormat/>
    <w:rsid w:val="000A6309"/>
    <w:pPr>
      <w:keepNext/>
      <w:keepLines/>
      <w:spacing w:before="200"/>
      <w:outlineLvl w:val="1"/>
    </w:pPr>
    <w:rPr>
      <w:rFonts w:ascii="Times New Roman" w:eastAsiaTheme="majorEastAsia" w:hAnsi="Times New Roman" w:cstheme="majorBidi"/>
      <w:b/>
      <w:bCs/>
      <w:color w:val="000000" w:themeColor="text1"/>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76FE"/>
    <w:rPr>
      <w:rFonts w:asciiTheme="majorHAnsi" w:eastAsia="Times New Roman" w:hAnsiTheme="majorHAnsi" w:cs="Arial"/>
      <w:b/>
      <w:bCs/>
      <w:kern w:val="32"/>
      <w:szCs w:val="32"/>
    </w:rPr>
  </w:style>
  <w:style w:type="character" w:customStyle="1" w:styleId="Ttulo2Car">
    <w:name w:val="Título 2 Car"/>
    <w:basedOn w:val="Fuentedeprrafopredeter"/>
    <w:link w:val="Ttulo2"/>
    <w:uiPriority w:val="9"/>
    <w:rsid w:val="000A6309"/>
    <w:rPr>
      <w:rFonts w:ascii="Times New Roman" w:eastAsiaTheme="majorEastAsia" w:hAnsi="Times New Roman" w:cstheme="majorBidi"/>
      <w:b/>
      <w:bCs/>
      <w:color w:val="000000" w:themeColor="text1"/>
      <w:szCs w:val="26"/>
    </w:rPr>
  </w:style>
  <w:style w:type="paragraph" w:styleId="Textonotapie">
    <w:name w:val="footnote text"/>
    <w:basedOn w:val="Normal"/>
    <w:link w:val="TextonotapieCar"/>
    <w:autoRedefine/>
    <w:uiPriority w:val="99"/>
    <w:unhideWhenUsed/>
    <w:qFormat/>
    <w:rsid w:val="00140C12"/>
    <w:rPr>
      <w:rFonts w:ascii="Times New Roman" w:hAnsi="Times New Roman"/>
      <w:sz w:val="16"/>
      <w:szCs w:val="16"/>
      <w:lang w:val="en-US"/>
    </w:rPr>
  </w:style>
  <w:style w:type="character" w:customStyle="1" w:styleId="TextonotapieCar">
    <w:name w:val="Texto nota pie Car"/>
    <w:basedOn w:val="Fuentedeprrafopredeter"/>
    <w:link w:val="Textonotapie"/>
    <w:uiPriority w:val="99"/>
    <w:rsid w:val="00140C12"/>
    <w:rPr>
      <w:rFonts w:ascii="Times New Roman" w:hAnsi="Times New Roman"/>
      <w:sz w:val="16"/>
      <w:szCs w:val="16"/>
    </w:rPr>
  </w:style>
  <w:style w:type="character" w:styleId="Textoennegrita">
    <w:name w:val="Strong"/>
    <w:basedOn w:val="Fuentedeprrafopredeter"/>
    <w:uiPriority w:val="22"/>
    <w:qFormat/>
    <w:rsid w:val="006B6D2F"/>
    <w:rPr>
      <w:b/>
      <w:bCs/>
    </w:rPr>
  </w:style>
  <w:style w:type="paragraph" w:styleId="NormalWeb">
    <w:name w:val="Normal (Web)"/>
    <w:basedOn w:val="Normal"/>
    <w:uiPriority w:val="99"/>
    <w:unhideWhenUsed/>
    <w:rsid w:val="006B6D2F"/>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unhideWhenUsed/>
    <w:rsid w:val="006B6D2F"/>
    <w:rPr>
      <w:color w:val="0000FF"/>
      <w:u w:val="single"/>
    </w:rPr>
  </w:style>
  <w:style w:type="character" w:customStyle="1" w:styleId="apple-converted-space">
    <w:name w:val="apple-converted-space"/>
    <w:basedOn w:val="Fuentedeprrafopredeter"/>
    <w:rsid w:val="006B6D2F"/>
  </w:style>
  <w:style w:type="table" w:styleId="Tablaconcuadrcula">
    <w:name w:val="Table Grid"/>
    <w:basedOn w:val="Tablanormal"/>
    <w:uiPriority w:val="59"/>
    <w:rsid w:val="006B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6D2F"/>
    <w:pPr>
      <w:ind w:left="720"/>
      <w:contextualSpacing/>
    </w:pPr>
  </w:style>
  <w:style w:type="paragraph" w:styleId="Piedepgina">
    <w:name w:val="footer"/>
    <w:basedOn w:val="Normal"/>
    <w:link w:val="PiedepginaCar"/>
    <w:uiPriority w:val="99"/>
    <w:unhideWhenUsed/>
    <w:rsid w:val="006B6D2F"/>
    <w:pPr>
      <w:tabs>
        <w:tab w:val="center" w:pos="4320"/>
        <w:tab w:val="right" w:pos="8640"/>
      </w:tabs>
    </w:pPr>
  </w:style>
  <w:style w:type="character" w:customStyle="1" w:styleId="PiedepginaCar">
    <w:name w:val="Pie de página Car"/>
    <w:basedOn w:val="Fuentedeprrafopredeter"/>
    <w:link w:val="Piedepgina"/>
    <w:uiPriority w:val="99"/>
    <w:rsid w:val="006B6D2F"/>
    <w:rPr>
      <w:lang w:val="en-GB"/>
    </w:rPr>
  </w:style>
  <w:style w:type="character" w:styleId="Nmerodepgina">
    <w:name w:val="page number"/>
    <w:basedOn w:val="Fuentedeprrafopredeter"/>
    <w:uiPriority w:val="99"/>
    <w:semiHidden/>
    <w:unhideWhenUsed/>
    <w:rsid w:val="006B6D2F"/>
  </w:style>
  <w:style w:type="character" w:styleId="Refdecomentario">
    <w:name w:val="annotation reference"/>
    <w:basedOn w:val="Fuentedeprrafopredeter"/>
    <w:uiPriority w:val="99"/>
    <w:semiHidden/>
    <w:unhideWhenUsed/>
    <w:rsid w:val="0072248D"/>
    <w:rPr>
      <w:sz w:val="18"/>
      <w:szCs w:val="18"/>
    </w:rPr>
  </w:style>
  <w:style w:type="paragraph" w:styleId="Textocomentario">
    <w:name w:val="annotation text"/>
    <w:basedOn w:val="Normal"/>
    <w:link w:val="TextocomentarioCar"/>
    <w:uiPriority w:val="99"/>
    <w:semiHidden/>
    <w:unhideWhenUsed/>
    <w:rsid w:val="0072248D"/>
  </w:style>
  <w:style w:type="character" w:customStyle="1" w:styleId="TextocomentarioCar">
    <w:name w:val="Texto comentario Car"/>
    <w:basedOn w:val="Fuentedeprrafopredeter"/>
    <w:link w:val="Textocomentario"/>
    <w:uiPriority w:val="99"/>
    <w:semiHidden/>
    <w:rsid w:val="0072248D"/>
    <w:rPr>
      <w:lang w:val="en-GB"/>
    </w:rPr>
  </w:style>
  <w:style w:type="paragraph" w:styleId="Asuntodelcomentario">
    <w:name w:val="annotation subject"/>
    <w:basedOn w:val="Textocomentario"/>
    <w:next w:val="Textocomentario"/>
    <w:link w:val="AsuntodelcomentarioCar"/>
    <w:uiPriority w:val="99"/>
    <w:semiHidden/>
    <w:unhideWhenUsed/>
    <w:rsid w:val="0072248D"/>
    <w:rPr>
      <w:b/>
      <w:bCs/>
      <w:sz w:val="20"/>
      <w:szCs w:val="20"/>
    </w:rPr>
  </w:style>
  <w:style w:type="character" w:customStyle="1" w:styleId="AsuntodelcomentarioCar">
    <w:name w:val="Asunto del comentario Car"/>
    <w:basedOn w:val="TextocomentarioCar"/>
    <w:link w:val="Asuntodelcomentario"/>
    <w:uiPriority w:val="99"/>
    <w:semiHidden/>
    <w:rsid w:val="0072248D"/>
    <w:rPr>
      <w:b/>
      <w:bCs/>
      <w:sz w:val="20"/>
      <w:szCs w:val="20"/>
      <w:lang w:val="en-GB"/>
    </w:rPr>
  </w:style>
  <w:style w:type="paragraph" w:styleId="Textodeglobo">
    <w:name w:val="Balloon Text"/>
    <w:basedOn w:val="Normal"/>
    <w:link w:val="TextodegloboCar"/>
    <w:uiPriority w:val="99"/>
    <w:semiHidden/>
    <w:unhideWhenUsed/>
    <w:rsid w:val="0072248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2248D"/>
    <w:rPr>
      <w:rFonts w:ascii="Lucida Grande" w:hAnsi="Lucida Grande" w:cs="Lucida Grande"/>
      <w:sz w:val="18"/>
      <w:szCs w:val="18"/>
      <w:lang w:val="en-GB"/>
    </w:rPr>
  </w:style>
  <w:style w:type="paragraph" w:styleId="Encabezado">
    <w:name w:val="header"/>
    <w:basedOn w:val="Normal"/>
    <w:link w:val="EncabezadoCar"/>
    <w:uiPriority w:val="99"/>
    <w:unhideWhenUsed/>
    <w:rsid w:val="00C623C9"/>
    <w:pPr>
      <w:tabs>
        <w:tab w:val="center" w:pos="4513"/>
        <w:tab w:val="right" w:pos="9026"/>
      </w:tabs>
    </w:pPr>
  </w:style>
  <w:style w:type="character" w:customStyle="1" w:styleId="EncabezadoCar">
    <w:name w:val="Encabezado Car"/>
    <w:basedOn w:val="Fuentedeprrafopredeter"/>
    <w:link w:val="Encabezado"/>
    <w:uiPriority w:val="99"/>
    <w:rsid w:val="00C623C9"/>
    <w:rPr>
      <w:lang w:val="en-GB"/>
    </w:rPr>
  </w:style>
  <w:style w:type="paragraph" w:styleId="Mapadeldocumento">
    <w:name w:val="Document Map"/>
    <w:basedOn w:val="Normal"/>
    <w:link w:val="MapadeldocumentoCar"/>
    <w:uiPriority w:val="99"/>
    <w:semiHidden/>
    <w:unhideWhenUsed/>
    <w:rsid w:val="00236373"/>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236373"/>
    <w:rPr>
      <w:rFonts w:ascii="Times New Roman" w:hAnsi="Times New Roman" w:cs="Times New Roman"/>
      <w:lang w:val="en-GB"/>
    </w:rPr>
  </w:style>
  <w:style w:type="paragraph" w:styleId="Revisin">
    <w:name w:val="Revision"/>
    <w:hidden/>
    <w:uiPriority w:val="99"/>
    <w:semiHidden/>
    <w:rsid w:val="00236373"/>
    <w:rPr>
      <w:lang w:val="en-GB"/>
    </w:rPr>
  </w:style>
  <w:style w:type="character" w:customStyle="1" w:styleId="m-160513196658137848msohyperlink">
    <w:name w:val="m_-160513196658137848msohyperlink"/>
    <w:basedOn w:val="Fuentedeprrafopredeter"/>
    <w:rsid w:val="00F326BE"/>
  </w:style>
  <w:style w:type="paragraph" w:customStyle="1" w:styleId="Default">
    <w:name w:val="Default"/>
    <w:rsid w:val="00455715"/>
    <w:pPr>
      <w:autoSpaceDE w:val="0"/>
      <w:autoSpaceDN w:val="0"/>
      <w:adjustRightInd w:val="0"/>
    </w:pPr>
    <w:rPr>
      <w:rFonts w:ascii="Times New Roman" w:hAnsi="Times New Roman" w:cs="Times New Roman"/>
      <w:color w:val="000000"/>
      <w:lang w:val="en-GB"/>
    </w:rPr>
  </w:style>
  <w:style w:type="numbering" w:customStyle="1" w:styleId="ImportedStyle3">
    <w:name w:val="Imported Style 3"/>
    <w:rsid w:val="00DA41F1"/>
    <w:pPr>
      <w:numPr>
        <w:numId w:val="4"/>
      </w:numPr>
    </w:pPr>
  </w:style>
  <w:style w:type="character" w:styleId="Refdenotaalpie">
    <w:name w:val="footnote reference"/>
    <w:basedOn w:val="Fuentedeprrafopredeter"/>
    <w:uiPriority w:val="99"/>
    <w:unhideWhenUsed/>
    <w:rsid w:val="00BE7B54"/>
    <w:rPr>
      <w:vertAlign w:val="superscript"/>
    </w:rPr>
  </w:style>
  <w:style w:type="character" w:customStyle="1" w:styleId="Mencinsinresolver1">
    <w:name w:val="Mención sin resolver1"/>
    <w:basedOn w:val="Fuentedeprrafopredeter"/>
    <w:uiPriority w:val="99"/>
    <w:rsid w:val="00395C46"/>
    <w:rPr>
      <w:color w:val="605E5C"/>
      <w:shd w:val="clear" w:color="auto" w:fill="E1DFDD"/>
    </w:rPr>
  </w:style>
  <w:style w:type="character" w:styleId="Mencinsinresolver">
    <w:name w:val="Unresolved Mention"/>
    <w:basedOn w:val="Fuentedeprrafopredeter"/>
    <w:uiPriority w:val="99"/>
    <w:rsid w:val="00FB0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07364">
      <w:bodyDiv w:val="1"/>
      <w:marLeft w:val="0"/>
      <w:marRight w:val="0"/>
      <w:marTop w:val="0"/>
      <w:marBottom w:val="0"/>
      <w:divBdr>
        <w:top w:val="none" w:sz="0" w:space="0" w:color="auto"/>
        <w:left w:val="none" w:sz="0" w:space="0" w:color="auto"/>
        <w:bottom w:val="none" w:sz="0" w:space="0" w:color="auto"/>
        <w:right w:val="none" w:sz="0" w:space="0" w:color="auto"/>
      </w:divBdr>
    </w:div>
    <w:div w:id="427434018">
      <w:bodyDiv w:val="1"/>
      <w:marLeft w:val="0"/>
      <w:marRight w:val="0"/>
      <w:marTop w:val="0"/>
      <w:marBottom w:val="0"/>
      <w:divBdr>
        <w:top w:val="none" w:sz="0" w:space="0" w:color="auto"/>
        <w:left w:val="none" w:sz="0" w:space="0" w:color="auto"/>
        <w:bottom w:val="none" w:sz="0" w:space="0" w:color="auto"/>
        <w:right w:val="none" w:sz="0" w:space="0" w:color="auto"/>
      </w:divBdr>
    </w:div>
    <w:div w:id="468744503">
      <w:bodyDiv w:val="1"/>
      <w:marLeft w:val="0"/>
      <w:marRight w:val="0"/>
      <w:marTop w:val="0"/>
      <w:marBottom w:val="0"/>
      <w:divBdr>
        <w:top w:val="none" w:sz="0" w:space="0" w:color="auto"/>
        <w:left w:val="none" w:sz="0" w:space="0" w:color="auto"/>
        <w:bottom w:val="none" w:sz="0" w:space="0" w:color="auto"/>
        <w:right w:val="none" w:sz="0" w:space="0" w:color="auto"/>
      </w:divBdr>
      <w:divsChild>
        <w:div w:id="1114325177">
          <w:marLeft w:val="0"/>
          <w:marRight w:val="0"/>
          <w:marTop w:val="0"/>
          <w:marBottom w:val="0"/>
          <w:divBdr>
            <w:top w:val="none" w:sz="0" w:space="0" w:color="auto"/>
            <w:left w:val="none" w:sz="0" w:space="0" w:color="auto"/>
            <w:bottom w:val="none" w:sz="0" w:space="0" w:color="auto"/>
            <w:right w:val="none" w:sz="0" w:space="0" w:color="auto"/>
          </w:divBdr>
          <w:divsChild>
            <w:div w:id="1222669769">
              <w:marLeft w:val="0"/>
              <w:marRight w:val="0"/>
              <w:marTop w:val="0"/>
              <w:marBottom w:val="0"/>
              <w:divBdr>
                <w:top w:val="none" w:sz="0" w:space="0" w:color="auto"/>
                <w:left w:val="none" w:sz="0" w:space="0" w:color="auto"/>
                <w:bottom w:val="none" w:sz="0" w:space="0" w:color="auto"/>
                <w:right w:val="none" w:sz="0" w:space="0" w:color="auto"/>
              </w:divBdr>
              <w:divsChild>
                <w:div w:id="15364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287">
      <w:bodyDiv w:val="1"/>
      <w:marLeft w:val="0"/>
      <w:marRight w:val="0"/>
      <w:marTop w:val="0"/>
      <w:marBottom w:val="0"/>
      <w:divBdr>
        <w:top w:val="none" w:sz="0" w:space="0" w:color="auto"/>
        <w:left w:val="none" w:sz="0" w:space="0" w:color="auto"/>
        <w:bottom w:val="none" w:sz="0" w:space="0" w:color="auto"/>
        <w:right w:val="none" w:sz="0" w:space="0" w:color="auto"/>
      </w:divBdr>
      <w:divsChild>
        <w:div w:id="671680830">
          <w:marLeft w:val="0"/>
          <w:marRight w:val="0"/>
          <w:marTop w:val="0"/>
          <w:marBottom w:val="0"/>
          <w:divBdr>
            <w:top w:val="none" w:sz="0" w:space="0" w:color="auto"/>
            <w:left w:val="none" w:sz="0" w:space="0" w:color="auto"/>
            <w:bottom w:val="none" w:sz="0" w:space="0" w:color="auto"/>
            <w:right w:val="none" w:sz="0" w:space="0" w:color="auto"/>
          </w:divBdr>
          <w:divsChild>
            <w:div w:id="1896550479">
              <w:marLeft w:val="0"/>
              <w:marRight w:val="0"/>
              <w:marTop w:val="0"/>
              <w:marBottom w:val="0"/>
              <w:divBdr>
                <w:top w:val="none" w:sz="0" w:space="0" w:color="auto"/>
                <w:left w:val="none" w:sz="0" w:space="0" w:color="auto"/>
                <w:bottom w:val="none" w:sz="0" w:space="0" w:color="auto"/>
                <w:right w:val="none" w:sz="0" w:space="0" w:color="auto"/>
              </w:divBdr>
              <w:divsChild>
                <w:div w:id="18752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2965">
      <w:bodyDiv w:val="1"/>
      <w:marLeft w:val="0"/>
      <w:marRight w:val="0"/>
      <w:marTop w:val="0"/>
      <w:marBottom w:val="0"/>
      <w:divBdr>
        <w:top w:val="none" w:sz="0" w:space="0" w:color="auto"/>
        <w:left w:val="none" w:sz="0" w:space="0" w:color="auto"/>
        <w:bottom w:val="none" w:sz="0" w:space="0" w:color="auto"/>
        <w:right w:val="none" w:sz="0" w:space="0" w:color="auto"/>
      </w:divBdr>
    </w:div>
    <w:div w:id="594291055">
      <w:bodyDiv w:val="1"/>
      <w:marLeft w:val="0"/>
      <w:marRight w:val="0"/>
      <w:marTop w:val="0"/>
      <w:marBottom w:val="0"/>
      <w:divBdr>
        <w:top w:val="none" w:sz="0" w:space="0" w:color="auto"/>
        <w:left w:val="none" w:sz="0" w:space="0" w:color="auto"/>
        <w:bottom w:val="none" w:sz="0" w:space="0" w:color="auto"/>
        <w:right w:val="none" w:sz="0" w:space="0" w:color="auto"/>
      </w:divBdr>
    </w:div>
    <w:div w:id="745808573">
      <w:bodyDiv w:val="1"/>
      <w:marLeft w:val="0"/>
      <w:marRight w:val="0"/>
      <w:marTop w:val="0"/>
      <w:marBottom w:val="0"/>
      <w:divBdr>
        <w:top w:val="none" w:sz="0" w:space="0" w:color="auto"/>
        <w:left w:val="none" w:sz="0" w:space="0" w:color="auto"/>
        <w:bottom w:val="none" w:sz="0" w:space="0" w:color="auto"/>
        <w:right w:val="none" w:sz="0" w:space="0" w:color="auto"/>
      </w:divBdr>
    </w:div>
    <w:div w:id="814954135">
      <w:bodyDiv w:val="1"/>
      <w:marLeft w:val="0"/>
      <w:marRight w:val="0"/>
      <w:marTop w:val="0"/>
      <w:marBottom w:val="0"/>
      <w:divBdr>
        <w:top w:val="none" w:sz="0" w:space="0" w:color="auto"/>
        <w:left w:val="none" w:sz="0" w:space="0" w:color="auto"/>
        <w:bottom w:val="none" w:sz="0" w:space="0" w:color="auto"/>
        <w:right w:val="none" w:sz="0" w:space="0" w:color="auto"/>
      </w:divBdr>
    </w:div>
    <w:div w:id="1026565137">
      <w:bodyDiv w:val="1"/>
      <w:marLeft w:val="0"/>
      <w:marRight w:val="0"/>
      <w:marTop w:val="0"/>
      <w:marBottom w:val="0"/>
      <w:divBdr>
        <w:top w:val="none" w:sz="0" w:space="0" w:color="auto"/>
        <w:left w:val="none" w:sz="0" w:space="0" w:color="auto"/>
        <w:bottom w:val="none" w:sz="0" w:space="0" w:color="auto"/>
        <w:right w:val="none" w:sz="0" w:space="0" w:color="auto"/>
      </w:divBdr>
    </w:div>
    <w:div w:id="1151409980">
      <w:bodyDiv w:val="1"/>
      <w:marLeft w:val="0"/>
      <w:marRight w:val="0"/>
      <w:marTop w:val="0"/>
      <w:marBottom w:val="0"/>
      <w:divBdr>
        <w:top w:val="none" w:sz="0" w:space="0" w:color="auto"/>
        <w:left w:val="none" w:sz="0" w:space="0" w:color="auto"/>
        <w:bottom w:val="none" w:sz="0" w:space="0" w:color="auto"/>
        <w:right w:val="none" w:sz="0" w:space="0" w:color="auto"/>
      </w:divBdr>
    </w:div>
    <w:div w:id="1168862584">
      <w:bodyDiv w:val="1"/>
      <w:marLeft w:val="0"/>
      <w:marRight w:val="0"/>
      <w:marTop w:val="0"/>
      <w:marBottom w:val="0"/>
      <w:divBdr>
        <w:top w:val="none" w:sz="0" w:space="0" w:color="auto"/>
        <w:left w:val="none" w:sz="0" w:space="0" w:color="auto"/>
        <w:bottom w:val="none" w:sz="0" w:space="0" w:color="auto"/>
        <w:right w:val="none" w:sz="0" w:space="0" w:color="auto"/>
      </w:divBdr>
    </w:div>
    <w:div w:id="1186948061">
      <w:bodyDiv w:val="1"/>
      <w:marLeft w:val="0"/>
      <w:marRight w:val="0"/>
      <w:marTop w:val="0"/>
      <w:marBottom w:val="0"/>
      <w:divBdr>
        <w:top w:val="none" w:sz="0" w:space="0" w:color="auto"/>
        <w:left w:val="none" w:sz="0" w:space="0" w:color="auto"/>
        <w:bottom w:val="none" w:sz="0" w:space="0" w:color="auto"/>
        <w:right w:val="none" w:sz="0" w:space="0" w:color="auto"/>
      </w:divBdr>
    </w:div>
    <w:div w:id="1215699765">
      <w:bodyDiv w:val="1"/>
      <w:marLeft w:val="0"/>
      <w:marRight w:val="0"/>
      <w:marTop w:val="0"/>
      <w:marBottom w:val="0"/>
      <w:divBdr>
        <w:top w:val="none" w:sz="0" w:space="0" w:color="auto"/>
        <w:left w:val="none" w:sz="0" w:space="0" w:color="auto"/>
        <w:bottom w:val="none" w:sz="0" w:space="0" w:color="auto"/>
        <w:right w:val="none" w:sz="0" w:space="0" w:color="auto"/>
      </w:divBdr>
    </w:div>
    <w:div w:id="1409577839">
      <w:bodyDiv w:val="1"/>
      <w:marLeft w:val="0"/>
      <w:marRight w:val="0"/>
      <w:marTop w:val="0"/>
      <w:marBottom w:val="0"/>
      <w:divBdr>
        <w:top w:val="none" w:sz="0" w:space="0" w:color="auto"/>
        <w:left w:val="none" w:sz="0" w:space="0" w:color="auto"/>
        <w:bottom w:val="none" w:sz="0" w:space="0" w:color="auto"/>
        <w:right w:val="none" w:sz="0" w:space="0" w:color="auto"/>
      </w:divBdr>
      <w:divsChild>
        <w:div w:id="1395350223">
          <w:marLeft w:val="0"/>
          <w:marRight w:val="0"/>
          <w:marTop w:val="0"/>
          <w:marBottom w:val="0"/>
          <w:divBdr>
            <w:top w:val="none" w:sz="0" w:space="0" w:color="auto"/>
            <w:left w:val="none" w:sz="0" w:space="0" w:color="auto"/>
            <w:bottom w:val="none" w:sz="0" w:space="0" w:color="auto"/>
            <w:right w:val="none" w:sz="0" w:space="0" w:color="auto"/>
          </w:divBdr>
          <w:divsChild>
            <w:div w:id="63728012">
              <w:marLeft w:val="0"/>
              <w:marRight w:val="0"/>
              <w:marTop w:val="0"/>
              <w:marBottom w:val="0"/>
              <w:divBdr>
                <w:top w:val="none" w:sz="0" w:space="0" w:color="auto"/>
                <w:left w:val="none" w:sz="0" w:space="0" w:color="auto"/>
                <w:bottom w:val="none" w:sz="0" w:space="0" w:color="auto"/>
                <w:right w:val="none" w:sz="0" w:space="0" w:color="auto"/>
              </w:divBdr>
              <w:divsChild>
                <w:div w:id="17591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3839">
      <w:bodyDiv w:val="1"/>
      <w:marLeft w:val="0"/>
      <w:marRight w:val="0"/>
      <w:marTop w:val="0"/>
      <w:marBottom w:val="0"/>
      <w:divBdr>
        <w:top w:val="none" w:sz="0" w:space="0" w:color="auto"/>
        <w:left w:val="none" w:sz="0" w:space="0" w:color="auto"/>
        <w:bottom w:val="none" w:sz="0" w:space="0" w:color="auto"/>
        <w:right w:val="none" w:sz="0" w:space="0" w:color="auto"/>
      </w:divBdr>
    </w:div>
    <w:div w:id="1581940579">
      <w:bodyDiv w:val="1"/>
      <w:marLeft w:val="0"/>
      <w:marRight w:val="0"/>
      <w:marTop w:val="0"/>
      <w:marBottom w:val="0"/>
      <w:divBdr>
        <w:top w:val="none" w:sz="0" w:space="0" w:color="auto"/>
        <w:left w:val="none" w:sz="0" w:space="0" w:color="auto"/>
        <w:bottom w:val="none" w:sz="0" w:space="0" w:color="auto"/>
        <w:right w:val="none" w:sz="0" w:space="0" w:color="auto"/>
      </w:divBdr>
    </w:div>
    <w:div w:id="1662276228">
      <w:bodyDiv w:val="1"/>
      <w:marLeft w:val="0"/>
      <w:marRight w:val="0"/>
      <w:marTop w:val="0"/>
      <w:marBottom w:val="0"/>
      <w:divBdr>
        <w:top w:val="none" w:sz="0" w:space="0" w:color="auto"/>
        <w:left w:val="none" w:sz="0" w:space="0" w:color="auto"/>
        <w:bottom w:val="none" w:sz="0" w:space="0" w:color="auto"/>
        <w:right w:val="none" w:sz="0" w:space="0" w:color="auto"/>
      </w:divBdr>
    </w:div>
    <w:div w:id="1743332513">
      <w:bodyDiv w:val="1"/>
      <w:marLeft w:val="0"/>
      <w:marRight w:val="0"/>
      <w:marTop w:val="0"/>
      <w:marBottom w:val="0"/>
      <w:divBdr>
        <w:top w:val="none" w:sz="0" w:space="0" w:color="auto"/>
        <w:left w:val="none" w:sz="0" w:space="0" w:color="auto"/>
        <w:bottom w:val="none" w:sz="0" w:space="0" w:color="auto"/>
        <w:right w:val="none" w:sz="0" w:space="0" w:color="auto"/>
      </w:divBdr>
    </w:div>
    <w:div w:id="1960335244">
      <w:bodyDiv w:val="1"/>
      <w:marLeft w:val="0"/>
      <w:marRight w:val="0"/>
      <w:marTop w:val="0"/>
      <w:marBottom w:val="0"/>
      <w:divBdr>
        <w:top w:val="none" w:sz="0" w:space="0" w:color="auto"/>
        <w:left w:val="none" w:sz="0" w:space="0" w:color="auto"/>
        <w:bottom w:val="none" w:sz="0" w:space="0" w:color="auto"/>
        <w:right w:val="none" w:sz="0" w:space="0" w:color="auto"/>
      </w:divBdr>
      <w:divsChild>
        <w:div w:id="261648331">
          <w:marLeft w:val="0"/>
          <w:marRight w:val="0"/>
          <w:marTop w:val="0"/>
          <w:marBottom w:val="0"/>
          <w:divBdr>
            <w:top w:val="none" w:sz="0" w:space="0" w:color="auto"/>
            <w:left w:val="none" w:sz="0" w:space="0" w:color="auto"/>
            <w:bottom w:val="none" w:sz="0" w:space="0" w:color="auto"/>
            <w:right w:val="none" w:sz="0" w:space="0" w:color="auto"/>
          </w:divBdr>
          <w:divsChild>
            <w:div w:id="1924948038">
              <w:marLeft w:val="0"/>
              <w:marRight w:val="0"/>
              <w:marTop w:val="0"/>
              <w:marBottom w:val="0"/>
              <w:divBdr>
                <w:top w:val="none" w:sz="0" w:space="0" w:color="auto"/>
                <w:left w:val="none" w:sz="0" w:space="0" w:color="auto"/>
                <w:bottom w:val="none" w:sz="0" w:space="0" w:color="auto"/>
                <w:right w:val="none" w:sz="0" w:space="0" w:color="auto"/>
              </w:divBdr>
              <w:divsChild>
                <w:div w:id="11956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idencia.consorciooaxaca@gmail.com" TargetMode="External"/><Relationship Id="rId18" Type="http://schemas.openxmlformats.org/officeDocument/2006/relationships/image" Target="media/image3.tif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fenders@ohchr.org" TargetMode="External"/><Relationship Id="rId17" Type="http://schemas.openxmlformats.org/officeDocument/2006/relationships/image" Target="media/image2.tiff"/><Relationship Id="rId2" Type="http://schemas.openxmlformats.org/officeDocument/2006/relationships/customXml" Target="../customXml/item2.xml"/><Relationship Id="rId16" Type="http://schemas.openxmlformats.org/officeDocument/2006/relationships/image" Target="media/image1.tif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5" Type="http://schemas.openxmlformats.org/officeDocument/2006/relationships/hyperlink" Target="mailto:sandra@frontlinedefenders.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fp@omct.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informe.cndh.org.mx/uploads/menu/40088/Rec_2018_005.pdf" TargetMode="External"/><Relationship Id="rId3" Type="http://schemas.openxmlformats.org/officeDocument/2006/relationships/hyperlink" Target="https://undocs.org/A/HRC/RES/25/18" TargetMode="External"/><Relationship Id="rId7" Type="http://schemas.openxmlformats.org/officeDocument/2006/relationships/hyperlink" Target="https://www.ohchr.org/Documents/Issues/Detention/Opinions/Session78/A_HRC_WGAD_2017_23.pdf" TargetMode="External"/><Relationship Id="rId12" Type="http://schemas.openxmlformats.org/officeDocument/2006/relationships/hyperlink" Target="https://documents-dds-ny.un.org/doc/UNDOC/GEN/G18/043/30/PDF/G1804330.pdf?OpenElement"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11" Type="http://schemas.openxmlformats.org/officeDocument/2006/relationships/hyperlink" Target="https://www.hchr.org.mx/images/doc_pub/SRHRD-END-OF-MISSION-STATEMENT-FINAL_ESP.pdf" TargetMode="External"/><Relationship Id="rId5" Type="http://schemas.openxmlformats.org/officeDocument/2006/relationships/hyperlink" Target="https://undocs.org/en/A/HRC/RES/32/31" TargetMode="External"/><Relationship Id="rId10" Type="http://schemas.openxmlformats.org/officeDocument/2006/relationships/hyperlink" Target="http://www.ohchr.org/EN/HRBodies/SP/Pages/CommunicationsreportsSP.aspx" TargetMode="External"/><Relationship Id="rId4" Type="http://schemas.openxmlformats.org/officeDocument/2006/relationships/hyperlink" Target="https://undocs.org/A/HRC/RES/27/31" TargetMode="External"/><Relationship Id="rId9" Type="http://schemas.openxmlformats.org/officeDocument/2006/relationships/hyperlink" Target="http://ap.ohchr.org/documents/dpage_e.aspx?si=A/HRC/WGAD/201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43829A-6756-470D-982F-D4ACB86F0773}">
  <ds:schemaRefs>
    <ds:schemaRef ds:uri="http://schemas.microsoft.com/sharepoint/v3/contenttype/forms"/>
  </ds:schemaRefs>
</ds:datastoreItem>
</file>

<file path=customXml/itemProps2.xml><?xml version="1.0" encoding="utf-8"?>
<ds:datastoreItem xmlns:ds="http://schemas.openxmlformats.org/officeDocument/2006/customXml" ds:itemID="{D395B526-7F7C-4983-8C64-71130F17D1A5}"/>
</file>

<file path=customXml/itemProps3.xml><?xml version="1.0" encoding="utf-8"?>
<ds:datastoreItem xmlns:ds="http://schemas.openxmlformats.org/officeDocument/2006/customXml" ds:itemID="{58C70F8D-121F-EE4B-A275-D6E5F1EA734B}">
  <ds:schemaRefs>
    <ds:schemaRef ds:uri="http://schemas.openxmlformats.org/officeDocument/2006/bibliography"/>
  </ds:schemaRefs>
</ds:datastoreItem>
</file>

<file path=customXml/itemProps4.xml><?xml version="1.0" encoding="utf-8"?>
<ds:datastoreItem xmlns:ds="http://schemas.openxmlformats.org/officeDocument/2006/customXml" ds:itemID="{EDD427DD-7CC6-440D-9DDD-3F332F8D2B8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4299</Words>
  <Characters>23649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Questionnaire_EN</vt:lpstr>
    </vt:vector>
  </TitlesOfParts>
  <Company>Centre for Applied Human Rights, University of York</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Questionnaire_EN</dc:title>
  <dc:subject/>
  <dc:creator>Alice Nah</dc:creator>
  <cp:keywords/>
  <dc:description/>
  <cp:lastModifiedBy>Emilie De Wolf</cp:lastModifiedBy>
  <cp:revision>7</cp:revision>
  <cp:lastPrinted>2020-09-01T15:39:00Z</cp:lastPrinted>
  <dcterms:created xsi:type="dcterms:W3CDTF">2021-03-19T19:16:00Z</dcterms:created>
  <dcterms:modified xsi:type="dcterms:W3CDTF">2021-03-19T21:15:00Z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