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9C066" w14:textId="2A6CDA06" w:rsidR="00143EFE" w:rsidRPr="00EB77C8" w:rsidRDefault="00EB77C8" w:rsidP="00C734E1">
      <w:pPr>
        <w:pStyle w:val="Heading1"/>
        <w:spacing w:after="0" w:line="240" w:lineRule="auto"/>
        <w:jc w:val="center"/>
        <w:rPr>
          <w:rFonts w:asciiTheme="majorHAnsi" w:hAnsiTheme="majorHAnsi" w:cstheme="majorBidi"/>
          <w:b/>
          <w:color w:val="auto"/>
          <w:sz w:val="36"/>
          <w:szCs w:val="36"/>
        </w:rPr>
      </w:pPr>
      <w:bookmarkStart w:id="0" w:name="_GoBack"/>
      <w:bookmarkEnd w:id="0"/>
      <w:r>
        <w:rPr>
          <w:rFonts w:asciiTheme="majorHAnsi" w:hAnsiTheme="majorHAnsi"/>
          <w:b/>
          <w:color w:val="auto"/>
          <w:sz w:val="36"/>
          <w:szCs w:val="36"/>
        </w:rPr>
        <w:t xml:space="preserve">Status of </w:t>
      </w:r>
      <w:r w:rsidR="00B52156">
        <w:rPr>
          <w:rFonts w:asciiTheme="majorHAnsi" w:hAnsiTheme="majorHAnsi"/>
          <w:b/>
          <w:color w:val="auto"/>
          <w:sz w:val="36"/>
          <w:szCs w:val="36"/>
        </w:rPr>
        <w:t xml:space="preserve">implementation of </w:t>
      </w:r>
      <w:r>
        <w:rPr>
          <w:rFonts w:asciiTheme="majorHAnsi" w:hAnsiTheme="majorHAnsi"/>
          <w:b/>
          <w:color w:val="auto"/>
          <w:sz w:val="36"/>
          <w:szCs w:val="36"/>
        </w:rPr>
        <w:t>recommendations</w:t>
      </w:r>
      <w:r w:rsidR="00B52156">
        <w:rPr>
          <w:rFonts w:asciiTheme="majorHAnsi" w:hAnsiTheme="majorHAnsi"/>
          <w:b/>
          <w:color w:val="auto"/>
          <w:sz w:val="36"/>
          <w:szCs w:val="36"/>
        </w:rPr>
        <w:t xml:space="preserve"> to Iceland in the second UPR cycle (2016)</w:t>
      </w:r>
    </w:p>
    <w:p w14:paraId="17608E5E" w14:textId="77777777" w:rsidR="00C734E1" w:rsidRPr="00EB77C8" w:rsidRDefault="00C734E1" w:rsidP="00C734E1">
      <w:pPr>
        <w:spacing w:before="240" w:line="240" w:lineRule="auto"/>
      </w:pPr>
    </w:p>
    <w:tbl>
      <w:tblPr>
        <w:tblW w:w="0" w:type="auto"/>
        <w:shd w:val="clear" w:color="auto" w:fill="FFFFFF"/>
        <w:tblCellMar>
          <w:top w:w="60" w:type="dxa"/>
          <w:left w:w="60" w:type="dxa"/>
          <w:bottom w:w="60" w:type="dxa"/>
          <w:right w:w="60" w:type="dxa"/>
        </w:tblCellMar>
        <w:tblLook w:val="04A0" w:firstRow="1" w:lastRow="0" w:firstColumn="1" w:lastColumn="0" w:noHBand="0" w:noVBand="1"/>
        <w:tblDescription w:val="Þessi tafla veitir sjónrænt yfirlit yfir merkingu lita í töflunni að neðan. Í þeirri töflu er merking lita skilgreind sérstaklega fyrir skjálesara."/>
      </w:tblPr>
      <w:tblGrid>
        <w:gridCol w:w="566"/>
        <w:gridCol w:w="1777"/>
        <w:gridCol w:w="566"/>
        <w:gridCol w:w="1713"/>
        <w:gridCol w:w="566"/>
        <w:gridCol w:w="1613"/>
        <w:gridCol w:w="566"/>
        <w:gridCol w:w="1659"/>
      </w:tblGrid>
      <w:tr w:rsidR="00143EFE" w:rsidRPr="00C734E1" w14:paraId="325D7D8F" w14:textId="77777777" w:rsidTr="00143EFE">
        <w:tc>
          <w:tcPr>
            <w:tcW w:w="566" w:type="dxa"/>
            <w:shd w:val="clear" w:color="auto" w:fill="92D050"/>
            <w:tcMar>
              <w:top w:w="0" w:type="dxa"/>
              <w:left w:w="30" w:type="dxa"/>
              <w:bottom w:w="0" w:type="dxa"/>
              <w:right w:w="30" w:type="dxa"/>
            </w:tcMar>
            <w:vAlign w:val="center"/>
            <w:hideMark/>
          </w:tcPr>
          <w:p w14:paraId="7E2FAEB9" w14:textId="77777777" w:rsidR="00320635" w:rsidRPr="00C734E1" w:rsidRDefault="00320635" w:rsidP="00C734E1">
            <w:pPr>
              <w:spacing w:after="0" w:line="240" w:lineRule="auto"/>
              <w:rPr>
                <w:rFonts w:asciiTheme="majorHAnsi" w:eastAsia="Times New Roman" w:hAnsiTheme="majorHAnsi" w:cstheme="majorHAnsi"/>
                <w:color w:val="000000"/>
                <w:sz w:val="24"/>
                <w:szCs w:val="24"/>
              </w:rPr>
            </w:pPr>
            <w:r w:rsidRPr="00C734E1">
              <w:rPr>
                <w:rFonts w:asciiTheme="majorHAnsi" w:hAnsiTheme="majorHAnsi"/>
                <w:color w:val="000000"/>
                <w:sz w:val="24"/>
                <w:szCs w:val="24"/>
              </w:rPr>
              <w:t> </w:t>
            </w:r>
          </w:p>
        </w:tc>
        <w:tc>
          <w:tcPr>
            <w:tcW w:w="1777" w:type="dxa"/>
            <w:shd w:val="clear" w:color="auto" w:fill="FFFFFF"/>
            <w:tcMar>
              <w:top w:w="0" w:type="dxa"/>
              <w:left w:w="30" w:type="dxa"/>
              <w:bottom w:w="0" w:type="dxa"/>
              <w:right w:w="30" w:type="dxa"/>
            </w:tcMar>
            <w:vAlign w:val="center"/>
            <w:hideMark/>
          </w:tcPr>
          <w:p w14:paraId="064EEEE4" w14:textId="77777777" w:rsidR="00320635" w:rsidRPr="00C734E1" w:rsidRDefault="00EB77C8" w:rsidP="00C734E1">
            <w:pPr>
              <w:spacing w:after="0" w:line="240" w:lineRule="auto"/>
              <w:rPr>
                <w:rFonts w:eastAsia="Times New Roman" w:cstheme="minorHAnsi"/>
                <w:sz w:val="24"/>
                <w:szCs w:val="24"/>
              </w:rPr>
            </w:pPr>
            <w:r w:rsidRPr="00C734E1">
              <w:rPr>
                <w:sz w:val="24"/>
                <w:szCs w:val="24"/>
              </w:rPr>
              <w:t>Implemented </w:t>
            </w:r>
          </w:p>
        </w:tc>
        <w:tc>
          <w:tcPr>
            <w:tcW w:w="566" w:type="dxa"/>
            <w:shd w:val="clear" w:color="auto" w:fill="7FFFD4"/>
            <w:tcMar>
              <w:top w:w="0" w:type="dxa"/>
              <w:left w:w="30" w:type="dxa"/>
              <w:bottom w:w="0" w:type="dxa"/>
              <w:right w:w="30" w:type="dxa"/>
            </w:tcMar>
            <w:vAlign w:val="center"/>
            <w:hideMark/>
          </w:tcPr>
          <w:p w14:paraId="1D2F41B9" w14:textId="77777777" w:rsidR="00320635" w:rsidRPr="00C734E1" w:rsidRDefault="00320635" w:rsidP="00C734E1">
            <w:pPr>
              <w:spacing w:after="0" w:line="240" w:lineRule="auto"/>
              <w:rPr>
                <w:rFonts w:eastAsia="Times New Roman" w:cstheme="minorHAnsi"/>
                <w:sz w:val="24"/>
                <w:szCs w:val="24"/>
              </w:rPr>
            </w:pPr>
            <w:r w:rsidRPr="00C734E1">
              <w:rPr>
                <w:sz w:val="24"/>
                <w:szCs w:val="24"/>
              </w:rPr>
              <w:t> </w:t>
            </w:r>
          </w:p>
        </w:tc>
        <w:tc>
          <w:tcPr>
            <w:tcW w:w="1713" w:type="dxa"/>
            <w:shd w:val="clear" w:color="auto" w:fill="FFFFFF"/>
            <w:tcMar>
              <w:top w:w="0" w:type="dxa"/>
              <w:left w:w="30" w:type="dxa"/>
              <w:bottom w:w="0" w:type="dxa"/>
              <w:right w:w="30" w:type="dxa"/>
            </w:tcMar>
            <w:vAlign w:val="center"/>
            <w:hideMark/>
          </w:tcPr>
          <w:p w14:paraId="38F92615" w14:textId="77777777" w:rsidR="00320635" w:rsidRPr="00C734E1" w:rsidRDefault="00EB77C8" w:rsidP="00C734E1">
            <w:pPr>
              <w:spacing w:after="0" w:line="240" w:lineRule="auto"/>
              <w:rPr>
                <w:rFonts w:eastAsia="Times New Roman" w:cstheme="minorHAnsi"/>
                <w:sz w:val="24"/>
                <w:szCs w:val="24"/>
              </w:rPr>
            </w:pPr>
            <w:r w:rsidRPr="00C734E1">
              <w:rPr>
                <w:sz w:val="24"/>
                <w:szCs w:val="24"/>
              </w:rPr>
              <w:t>Ongoing</w:t>
            </w:r>
          </w:p>
        </w:tc>
        <w:tc>
          <w:tcPr>
            <w:tcW w:w="566" w:type="dxa"/>
            <w:shd w:val="clear" w:color="auto" w:fill="FFFF00"/>
            <w:tcMar>
              <w:top w:w="0" w:type="dxa"/>
              <w:left w:w="30" w:type="dxa"/>
              <w:bottom w:w="0" w:type="dxa"/>
              <w:right w:w="30" w:type="dxa"/>
            </w:tcMar>
            <w:vAlign w:val="center"/>
            <w:hideMark/>
          </w:tcPr>
          <w:p w14:paraId="4936BF3B" w14:textId="77777777" w:rsidR="00320635" w:rsidRPr="00C734E1" w:rsidRDefault="00320635" w:rsidP="00C734E1">
            <w:pPr>
              <w:spacing w:after="0" w:line="240" w:lineRule="auto"/>
              <w:rPr>
                <w:rFonts w:eastAsia="Times New Roman" w:cstheme="minorHAnsi"/>
                <w:sz w:val="24"/>
                <w:szCs w:val="24"/>
              </w:rPr>
            </w:pPr>
            <w:r w:rsidRPr="00C734E1">
              <w:rPr>
                <w:sz w:val="24"/>
                <w:szCs w:val="24"/>
              </w:rPr>
              <w:t> </w:t>
            </w:r>
          </w:p>
        </w:tc>
        <w:tc>
          <w:tcPr>
            <w:tcW w:w="1613" w:type="dxa"/>
            <w:shd w:val="clear" w:color="auto" w:fill="FFFFFF"/>
            <w:tcMar>
              <w:top w:w="0" w:type="dxa"/>
              <w:left w:w="30" w:type="dxa"/>
              <w:bottom w:w="0" w:type="dxa"/>
              <w:right w:w="75" w:type="dxa"/>
            </w:tcMar>
            <w:vAlign w:val="center"/>
            <w:hideMark/>
          </w:tcPr>
          <w:p w14:paraId="54531ED6" w14:textId="77777777" w:rsidR="00320635" w:rsidRPr="00C734E1" w:rsidRDefault="00EB77C8" w:rsidP="00C734E1">
            <w:pPr>
              <w:spacing w:after="0" w:line="240" w:lineRule="auto"/>
              <w:rPr>
                <w:rFonts w:eastAsia="Times New Roman" w:cstheme="minorHAnsi"/>
                <w:sz w:val="24"/>
                <w:szCs w:val="24"/>
              </w:rPr>
            </w:pPr>
            <w:r w:rsidRPr="00C734E1">
              <w:rPr>
                <w:sz w:val="24"/>
                <w:szCs w:val="24"/>
              </w:rPr>
              <w:t xml:space="preserve"> In progress</w:t>
            </w:r>
          </w:p>
        </w:tc>
        <w:tc>
          <w:tcPr>
            <w:tcW w:w="566" w:type="dxa"/>
            <w:shd w:val="clear" w:color="auto" w:fill="FF0000"/>
            <w:tcMar>
              <w:top w:w="0" w:type="dxa"/>
              <w:left w:w="30" w:type="dxa"/>
              <w:bottom w:w="0" w:type="dxa"/>
              <w:right w:w="30" w:type="dxa"/>
            </w:tcMar>
            <w:vAlign w:val="center"/>
            <w:hideMark/>
          </w:tcPr>
          <w:p w14:paraId="13D2E0DF" w14:textId="77777777" w:rsidR="00320635" w:rsidRPr="00C734E1" w:rsidRDefault="00320635" w:rsidP="00C734E1">
            <w:pPr>
              <w:spacing w:after="0" w:line="240" w:lineRule="auto"/>
              <w:rPr>
                <w:rFonts w:eastAsia="Times New Roman" w:cstheme="minorHAnsi"/>
                <w:sz w:val="24"/>
                <w:szCs w:val="24"/>
              </w:rPr>
            </w:pPr>
            <w:r w:rsidRPr="00C734E1">
              <w:rPr>
                <w:sz w:val="24"/>
                <w:szCs w:val="24"/>
              </w:rPr>
              <w:t> </w:t>
            </w:r>
          </w:p>
        </w:tc>
        <w:tc>
          <w:tcPr>
            <w:tcW w:w="1659" w:type="dxa"/>
            <w:shd w:val="clear" w:color="auto" w:fill="FFFFFF"/>
            <w:tcMar>
              <w:top w:w="0" w:type="dxa"/>
              <w:left w:w="30" w:type="dxa"/>
              <w:bottom w:w="0" w:type="dxa"/>
              <w:right w:w="30" w:type="dxa"/>
            </w:tcMar>
            <w:vAlign w:val="center"/>
            <w:hideMark/>
          </w:tcPr>
          <w:p w14:paraId="1C09786C" w14:textId="77777777" w:rsidR="00320635" w:rsidRPr="00C734E1" w:rsidRDefault="00EB77C8" w:rsidP="00C734E1">
            <w:pPr>
              <w:spacing w:after="0" w:line="240" w:lineRule="auto"/>
              <w:rPr>
                <w:rFonts w:eastAsia="Times New Roman" w:cstheme="minorHAnsi"/>
                <w:sz w:val="24"/>
                <w:szCs w:val="24"/>
              </w:rPr>
            </w:pPr>
            <w:r w:rsidRPr="00C734E1">
              <w:rPr>
                <w:sz w:val="24"/>
                <w:szCs w:val="24"/>
              </w:rPr>
              <w:t>Under consideration</w:t>
            </w:r>
          </w:p>
        </w:tc>
      </w:tr>
    </w:tbl>
    <w:p w14:paraId="47A6A4E0" w14:textId="77777777" w:rsidR="00320635" w:rsidRPr="00EB77C8" w:rsidRDefault="00320635" w:rsidP="00C734E1">
      <w:pPr>
        <w:spacing w:before="240" w:line="240" w:lineRule="auto"/>
        <w:rPr>
          <w:rFonts w:asciiTheme="majorHAnsi" w:hAnsiTheme="majorHAnsi" w:cstheme="majorHAnsi"/>
        </w:rPr>
      </w:pPr>
    </w:p>
    <w:tbl>
      <w:tblPr>
        <w:tblW w:w="9072" w:type="dxa"/>
        <w:tblCellMar>
          <w:top w:w="120" w:type="dxa"/>
          <w:left w:w="120" w:type="dxa"/>
          <w:bottom w:w="120" w:type="dxa"/>
          <w:right w:w="120" w:type="dxa"/>
        </w:tblCellMar>
        <w:tblLook w:val="04A0" w:firstRow="1" w:lastRow="0" w:firstColumn="1" w:lastColumn="0" w:noHBand="0" w:noVBand="1"/>
        <w:tblDescription w:val="Þessi tafla veitir sjónrænt yfirlit yfir merkingu lita í töflunni að neðan. Í þeirri töflu er merking lita skilgreind sérstaklega fyrir skjálesara."/>
      </w:tblPr>
      <w:tblGrid>
        <w:gridCol w:w="4738"/>
        <w:gridCol w:w="1100"/>
        <w:gridCol w:w="3234"/>
      </w:tblGrid>
      <w:tr w:rsidR="00EB77C8" w:rsidRPr="00EB77C8" w14:paraId="00E625F3" w14:textId="77777777" w:rsidTr="0034204D">
        <w:trPr>
          <w:trHeight w:val="228"/>
        </w:trPr>
        <w:tc>
          <w:tcPr>
            <w:tcW w:w="0" w:type="auto"/>
            <w:shd w:val="clear" w:color="auto" w:fill="auto"/>
            <w:vAlign w:val="center"/>
            <w:hideMark/>
          </w:tcPr>
          <w:p w14:paraId="5F0FFB9E" w14:textId="77777777" w:rsidR="00740063" w:rsidRPr="00EB77C8" w:rsidRDefault="00EB77C8" w:rsidP="00C734E1">
            <w:pPr>
              <w:spacing w:after="0" w:line="240" w:lineRule="auto"/>
              <w:jc w:val="center"/>
              <w:outlineLvl w:val="2"/>
              <w:rPr>
                <w:rFonts w:asciiTheme="majorHAnsi" w:eastAsia="Times New Roman" w:hAnsiTheme="majorHAnsi" w:cstheme="majorHAnsi"/>
                <w:b/>
                <w:bCs/>
              </w:rPr>
            </w:pPr>
            <w:r>
              <w:rPr>
                <w:rFonts w:asciiTheme="majorHAnsi" w:hAnsiTheme="majorHAnsi"/>
                <w:b/>
                <w:bCs/>
              </w:rPr>
              <w:t>Recommendation</w:t>
            </w:r>
          </w:p>
        </w:tc>
        <w:tc>
          <w:tcPr>
            <w:tcW w:w="1100" w:type="dxa"/>
            <w:shd w:val="clear" w:color="auto" w:fill="auto"/>
            <w:tcMar>
              <w:top w:w="0" w:type="dxa"/>
              <w:left w:w="0" w:type="dxa"/>
              <w:bottom w:w="0" w:type="dxa"/>
              <w:right w:w="0" w:type="dxa"/>
            </w:tcMar>
            <w:vAlign w:val="center"/>
            <w:hideMark/>
          </w:tcPr>
          <w:p w14:paraId="0334B8DD" w14:textId="77777777" w:rsidR="00740063" w:rsidRPr="00EB77C8" w:rsidRDefault="00740063" w:rsidP="00C734E1">
            <w:pPr>
              <w:spacing w:after="0" w:line="240" w:lineRule="auto"/>
              <w:jc w:val="center"/>
              <w:outlineLvl w:val="2"/>
              <w:rPr>
                <w:rFonts w:asciiTheme="majorHAnsi" w:eastAsia="Times New Roman" w:hAnsiTheme="majorHAnsi" w:cstheme="majorHAnsi"/>
                <w:b/>
                <w:bCs/>
              </w:rPr>
            </w:pPr>
            <w:r>
              <w:rPr>
                <w:rFonts w:asciiTheme="majorHAnsi" w:hAnsiTheme="majorHAnsi"/>
                <w:b/>
                <w:bCs/>
              </w:rPr>
              <w:t>Status</w:t>
            </w:r>
          </w:p>
        </w:tc>
        <w:tc>
          <w:tcPr>
            <w:tcW w:w="3234" w:type="dxa"/>
            <w:shd w:val="clear" w:color="auto" w:fill="auto"/>
            <w:vAlign w:val="center"/>
            <w:hideMark/>
          </w:tcPr>
          <w:p w14:paraId="18A4AF4F" w14:textId="77777777" w:rsidR="00740063" w:rsidRPr="00EB77C8" w:rsidRDefault="00EB77C8" w:rsidP="00C734E1">
            <w:pPr>
              <w:spacing w:after="0" w:line="240" w:lineRule="auto"/>
              <w:jc w:val="center"/>
              <w:outlineLvl w:val="2"/>
              <w:rPr>
                <w:rFonts w:asciiTheme="majorHAnsi" w:eastAsia="Times New Roman" w:hAnsiTheme="majorHAnsi" w:cstheme="majorHAnsi"/>
                <w:b/>
                <w:bCs/>
              </w:rPr>
            </w:pPr>
            <w:r>
              <w:rPr>
                <w:rFonts w:asciiTheme="majorHAnsi" w:hAnsiTheme="majorHAnsi"/>
                <w:b/>
                <w:bCs/>
              </w:rPr>
              <w:t>Responsibility</w:t>
            </w:r>
          </w:p>
        </w:tc>
      </w:tr>
      <w:tr w:rsidR="00320635" w:rsidRPr="00EB77C8" w14:paraId="7D3F8BB5" w14:textId="77777777" w:rsidTr="0034204D">
        <w:trPr>
          <w:trHeight w:val="228"/>
        </w:trPr>
        <w:tc>
          <w:tcPr>
            <w:tcW w:w="9072" w:type="dxa"/>
            <w:gridSpan w:val="3"/>
            <w:shd w:val="clear" w:color="auto" w:fill="C6D9F0"/>
            <w:vAlign w:val="center"/>
            <w:hideMark/>
          </w:tcPr>
          <w:p w14:paraId="184A80E5" w14:textId="77777777" w:rsidR="00320635" w:rsidRPr="00EB77C8" w:rsidRDefault="00320635" w:rsidP="00C734E1">
            <w:pPr>
              <w:pStyle w:val="Heading3"/>
              <w:spacing w:line="240" w:lineRule="auto"/>
              <w:jc w:val="left"/>
            </w:pPr>
            <w:r>
              <w:t>Acceptance of international norms</w:t>
            </w:r>
          </w:p>
        </w:tc>
      </w:tr>
      <w:tr w:rsidR="00EB77C8" w:rsidRPr="00EB77C8" w14:paraId="42E4CC0F" w14:textId="77777777" w:rsidTr="0034204D">
        <w:trPr>
          <w:trHeight w:val="444"/>
        </w:trPr>
        <w:tc>
          <w:tcPr>
            <w:tcW w:w="0" w:type="auto"/>
            <w:shd w:val="clear" w:color="auto" w:fill="auto"/>
            <w:hideMark/>
          </w:tcPr>
          <w:p w14:paraId="09DFA524" w14:textId="77777777" w:rsidR="00740063" w:rsidRPr="00EB77C8" w:rsidRDefault="00740063" w:rsidP="00C734E1">
            <w:pPr>
              <w:spacing w:after="0" w:line="240" w:lineRule="auto"/>
              <w:rPr>
                <w:rFonts w:eastAsia="Times New Roman" w:cstheme="minorHAnsi"/>
                <w:sz w:val="24"/>
                <w:szCs w:val="24"/>
              </w:rPr>
            </w:pPr>
            <w:r>
              <w:rPr>
                <w:sz w:val="24"/>
                <w:szCs w:val="24"/>
              </w:rPr>
              <w:t>Ratify and implement the Convention on the Rights of Persons with Disabilities (Recommendation No 115.25)</w:t>
            </w:r>
          </w:p>
        </w:tc>
        <w:tc>
          <w:tcPr>
            <w:tcW w:w="1100" w:type="dxa"/>
            <w:shd w:val="clear" w:color="auto" w:fill="92D050"/>
            <w:tcMar>
              <w:top w:w="0" w:type="dxa"/>
              <w:left w:w="0" w:type="dxa"/>
              <w:bottom w:w="0" w:type="dxa"/>
              <w:right w:w="0" w:type="dxa"/>
            </w:tcMar>
          </w:tcPr>
          <w:p w14:paraId="63CF140B"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1A40CC28" w14:textId="77777777" w:rsidR="00740063" w:rsidRPr="00EB77C8" w:rsidRDefault="00EB77C8" w:rsidP="00C734E1">
            <w:pPr>
              <w:spacing w:after="0" w:line="240" w:lineRule="auto"/>
              <w:rPr>
                <w:rFonts w:eastAsia="Times New Roman" w:cstheme="minorHAnsi"/>
                <w:sz w:val="24"/>
                <w:szCs w:val="24"/>
              </w:rPr>
            </w:pPr>
            <w:r>
              <w:rPr>
                <w:sz w:val="24"/>
                <w:szCs w:val="24"/>
              </w:rPr>
              <w:t>Ministry of Justice and Ministry of Social Affairs</w:t>
            </w:r>
          </w:p>
        </w:tc>
      </w:tr>
      <w:tr w:rsidR="00EB77C8" w:rsidRPr="00EB77C8" w14:paraId="10ED6CBD" w14:textId="77777777" w:rsidTr="0034204D">
        <w:trPr>
          <w:trHeight w:val="444"/>
        </w:trPr>
        <w:tc>
          <w:tcPr>
            <w:tcW w:w="0" w:type="auto"/>
            <w:shd w:val="clear" w:color="auto" w:fill="auto"/>
            <w:hideMark/>
          </w:tcPr>
          <w:p w14:paraId="5E7537C2" w14:textId="77777777" w:rsidR="00740063" w:rsidRPr="00EB77C8" w:rsidRDefault="00740063" w:rsidP="00C734E1">
            <w:pPr>
              <w:spacing w:after="0" w:line="240" w:lineRule="auto"/>
              <w:rPr>
                <w:rFonts w:eastAsia="Times New Roman" w:cstheme="minorHAnsi"/>
                <w:sz w:val="24"/>
                <w:szCs w:val="24"/>
              </w:rPr>
            </w:pPr>
            <w:r>
              <w:rPr>
                <w:sz w:val="24"/>
                <w:szCs w:val="24"/>
              </w:rPr>
              <w:t>Ratify the Optional Protocol to the Convention against Torture. (Recommendations No 115.1 – 115.13 and 115.19)</w:t>
            </w:r>
          </w:p>
        </w:tc>
        <w:tc>
          <w:tcPr>
            <w:tcW w:w="1100" w:type="dxa"/>
            <w:shd w:val="clear" w:color="auto" w:fill="92D050"/>
            <w:tcMar>
              <w:top w:w="0" w:type="dxa"/>
              <w:left w:w="0" w:type="dxa"/>
              <w:bottom w:w="0" w:type="dxa"/>
              <w:right w:w="0" w:type="dxa"/>
            </w:tcMar>
          </w:tcPr>
          <w:p w14:paraId="51E90549"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737CAC5D" w14:textId="77777777" w:rsidR="00740063" w:rsidRPr="00EB77C8" w:rsidRDefault="00EB77C8" w:rsidP="00C734E1">
            <w:pPr>
              <w:spacing w:after="0" w:line="240" w:lineRule="auto"/>
              <w:rPr>
                <w:rFonts w:eastAsia="Times New Roman" w:cstheme="minorHAnsi"/>
                <w:sz w:val="24"/>
                <w:szCs w:val="24"/>
              </w:rPr>
            </w:pPr>
            <w:r>
              <w:rPr>
                <w:sz w:val="24"/>
                <w:szCs w:val="24"/>
              </w:rPr>
              <w:t>Ministry of Justice</w:t>
            </w:r>
          </w:p>
        </w:tc>
      </w:tr>
      <w:tr w:rsidR="00EB77C8" w:rsidRPr="00EB77C8" w14:paraId="7450FD23" w14:textId="77777777" w:rsidTr="0034204D">
        <w:tc>
          <w:tcPr>
            <w:tcW w:w="0" w:type="auto"/>
            <w:shd w:val="clear" w:color="auto" w:fill="auto"/>
            <w:hideMark/>
          </w:tcPr>
          <w:p w14:paraId="7F71595C" w14:textId="77777777" w:rsidR="00740063" w:rsidRPr="00EB77C8" w:rsidRDefault="00740063" w:rsidP="00C734E1">
            <w:pPr>
              <w:spacing w:after="0" w:line="240" w:lineRule="auto"/>
              <w:rPr>
                <w:rFonts w:eastAsia="Times New Roman" w:cstheme="minorHAnsi"/>
                <w:sz w:val="24"/>
                <w:szCs w:val="24"/>
              </w:rPr>
            </w:pPr>
            <w:r>
              <w:rPr>
                <w:sz w:val="24"/>
                <w:szCs w:val="24"/>
              </w:rPr>
              <w:t>Ratify the International Convention for the Protection of All Persons from Enforced Disappearance. (Recommendations No 115.10 – 115.19)</w:t>
            </w:r>
          </w:p>
        </w:tc>
        <w:tc>
          <w:tcPr>
            <w:tcW w:w="1100" w:type="dxa"/>
            <w:shd w:val="clear" w:color="auto" w:fill="FFFF00"/>
            <w:tcMar>
              <w:top w:w="0" w:type="dxa"/>
              <w:left w:w="0" w:type="dxa"/>
              <w:bottom w:w="0" w:type="dxa"/>
              <w:right w:w="0" w:type="dxa"/>
            </w:tcMar>
          </w:tcPr>
          <w:p w14:paraId="3A7E224C" w14:textId="77777777" w:rsidR="00740063" w:rsidRPr="00EB77C8" w:rsidRDefault="00740063" w:rsidP="00C734E1">
            <w:pPr>
              <w:spacing w:after="0" w:line="240" w:lineRule="auto"/>
              <w:rPr>
                <w:rFonts w:asciiTheme="majorHAnsi" w:eastAsia="Times New Roman" w:hAnsiTheme="majorHAnsi" w:cstheme="majorHAnsi"/>
                <w:sz w:val="24"/>
                <w:szCs w:val="24"/>
                <w:highlight w:val="yellow"/>
              </w:rPr>
            </w:pPr>
          </w:p>
        </w:tc>
        <w:tc>
          <w:tcPr>
            <w:tcW w:w="3234" w:type="dxa"/>
            <w:shd w:val="clear" w:color="auto" w:fill="auto"/>
            <w:hideMark/>
          </w:tcPr>
          <w:p w14:paraId="13F68B76" w14:textId="77777777" w:rsidR="00740063" w:rsidRPr="00EB77C8" w:rsidRDefault="00EB77C8" w:rsidP="00C734E1">
            <w:pPr>
              <w:spacing w:after="0" w:line="240" w:lineRule="auto"/>
              <w:rPr>
                <w:rFonts w:eastAsia="Times New Roman" w:cstheme="minorHAnsi"/>
                <w:sz w:val="24"/>
                <w:szCs w:val="24"/>
              </w:rPr>
            </w:pPr>
            <w:r>
              <w:rPr>
                <w:sz w:val="24"/>
                <w:szCs w:val="24"/>
              </w:rPr>
              <w:t>Ministry of Justice</w:t>
            </w:r>
          </w:p>
        </w:tc>
      </w:tr>
      <w:tr w:rsidR="00EB77C8" w:rsidRPr="00EB77C8" w14:paraId="41653754" w14:textId="77777777" w:rsidTr="0034204D">
        <w:trPr>
          <w:trHeight w:val="444"/>
        </w:trPr>
        <w:tc>
          <w:tcPr>
            <w:tcW w:w="0" w:type="auto"/>
            <w:shd w:val="clear" w:color="auto" w:fill="auto"/>
            <w:hideMark/>
          </w:tcPr>
          <w:p w14:paraId="620C2EA9" w14:textId="77777777" w:rsidR="00740063" w:rsidRPr="00EB77C8" w:rsidRDefault="00740063" w:rsidP="00C734E1">
            <w:pPr>
              <w:spacing w:after="0" w:line="240" w:lineRule="auto"/>
              <w:rPr>
                <w:rFonts w:eastAsia="Times New Roman" w:cstheme="minorHAnsi"/>
                <w:sz w:val="24"/>
                <w:szCs w:val="24"/>
              </w:rPr>
            </w:pPr>
            <w:r>
              <w:rPr>
                <w:sz w:val="24"/>
                <w:szCs w:val="24"/>
              </w:rPr>
              <w:t>Ratify the Convention relating to the Status of Stateless Persons and the Convention on the Reduction of Statelessness. (Recommendation No 115.19)</w:t>
            </w:r>
          </w:p>
        </w:tc>
        <w:tc>
          <w:tcPr>
            <w:tcW w:w="1100" w:type="dxa"/>
            <w:shd w:val="clear" w:color="auto" w:fill="92D050"/>
            <w:tcMar>
              <w:top w:w="0" w:type="dxa"/>
              <w:left w:w="0" w:type="dxa"/>
              <w:bottom w:w="0" w:type="dxa"/>
              <w:right w:w="0" w:type="dxa"/>
            </w:tcMar>
          </w:tcPr>
          <w:p w14:paraId="0866E87B"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6EF17D6A" w14:textId="77777777" w:rsidR="00740063" w:rsidRPr="00EB77C8" w:rsidRDefault="00EB77C8" w:rsidP="00C734E1">
            <w:pPr>
              <w:spacing w:after="0" w:line="240" w:lineRule="auto"/>
              <w:rPr>
                <w:rFonts w:eastAsia="Times New Roman" w:cstheme="minorHAnsi"/>
                <w:sz w:val="24"/>
                <w:szCs w:val="24"/>
              </w:rPr>
            </w:pPr>
            <w:r>
              <w:rPr>
                <w:sz w:val="24"/>
                <w:szCs w:val="24"/>
              </w:rPr>
              <w:t>Ministry of Justice</w:t>
            </w:r>
          </w:p>
        </w:tc>
      </w:tr>
      <w:tr w:rsidR="00EB77C8" w:rsidRPr="00EB77C8" w14:paraId="1FA4D41F" w14:textId="77777777" w:rsidTr="0034204D">
        <w:trPr>
          <w:trHeight w:val="444"/>
        </w:trPr>
        <w:tc>
          <w:tcPr>
            <w:tcW w:w="0" w:type="auto"/>
            <w:shd w:val="clear" w:color="auto" w:fill="auto"/>
            <w:hideMark/>
          </w:tcPr>
          <w:p w14:paraId="63087A0A" w14:textId="77777777" w:rsidR="00740063" w:rsidRPr="00EB77C8" w:rsidRDefault="00740063" w:rsidP="00C734E1">
            <w:pPr>
              <w:spacing w:after="0" w:line="240" w:lineRule="auto"/>
              <w:rPr>
                <w:rFonts w:eastAsia="Times New Roman" w:cstheme="minorHAnsi"/>
                <w:sz w:val="24"/>
                <w:szCs w:val="24"/>
              </w:rPr>
            </w:pPr>
            <w:r>
              <w:rPr>
                <w:sz w:val="24"/>
                <w:szCs w:val="24"/>
              </w:rPr>
              <w:lastRenderedPageBreak/>
              <w:t>Ratify the Council of Europe Convention on Preventing and Combating Violence against Women and Domestic Violence (The Istanbul Convention). (Recommendation No 115.20)</w:t>
            </w:r>
          </w:p>
        </w:tc>
        <w:tc>
          <w:tcPr>
            <w:tcW w:w="1100" w:type="dxa"/>
            <w:shd w:val="clear" w:color="auto" w:fill="92D050"/>
            <w:tcMar>
              <w:top w:w="0" w:type="dxa"/>
              <w:left w:w="0" w:type="dxa"/>
              <w:bottom w:w="0" w:type="dxa"/>
              <w:right w:w="0" w:type="dxa"/>
            </w:tcMar>
          </w:tcPr>
          <w:p w14:paraId="573EBA62"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1C8118E5" w14:textId="77777777" w:rsidR="00740063" w:rsidRPr="00EB77C8" w:rsidRDefault="00EB77C8" w:rsidP="00C734E1">
            <w:pPr>
              <w:spacing w:after="0" w:line="240" w:lineRule="auto"/>
              <w:rPr>
                <w:rFonts w:eastAsia="Times New Roman" w:cstheme="minorHAnsi"/>
                <w:sz w:val="24"/>
                <w:szCs w:val="24"/>
              </w:rPr>
            </w:pPr>
            <w:r>
              <w:rPr>
                <w:sz w:val="24"/>
                <w:szCs w:val="24"/>
              </w:rPr>
              <w:t>Ministry of Justice</w:t>
            </w:r>
          </w:p>
        </w:tc>
      </w:tr>
      <w:tr w:rsidR="00EB77C8" w:rsidRPr="00EB77C8" w14:paraId="4B4275CC" w14:textId="77777777" w:rsidTr="002A3B39">
        <w:trPr>
          <w:trHeight w:val="444"/>
        </w:trPr>
        <w:tc>
          <w:tcPr>
            <w:tcW w:w="0" w:type="auto"/>
            <w:shd w:val="clear" w:color="auto" w:fill="auto"/>
            <w:hideMark/>
          </w:tcPr>
          <w:p w14:paraId="116A7551" w14:textId="77777777" w:rsidR="00740063" w:rsidRPr="00EB77C8" w:rsidRDefault="00740063" w:rsidP="00C734E1">
            <w:pPr>
              <w:spacing w:after="0" w:line="240" w:lineRule="auto"/>
              <w:rPr>
                <w:rFonts w:eastAsia="Times New Roman" w:cstheme="minorHAnsi"/>
                <w:sz w:val="24"/>
                <w:szCs w:val="24"/>
              </w:rPr>
            </w:pPr>
            <w:r>
              <w:rPr>
                <w:sz w:val="24"/>
                <w:szCs w:val="24"/>
              </w:rPr>
              <w:t>Ratify the Convention against Discrimination in Education. (Recommendation No 117.10)</w:t>
            </w:r>
          </w:p>
        </w:tc>
        <w:tc>
          <w:tcPr>
            <w:tcW w:w="1100" w:type="dxa"/>
            <w:shd w:val="clear" w:color="auto" w:fill="92D050"/>
            <w:tcMar>
              <w:top w:w="0" w:type="dxa"/>
              <w:left w:w="0" w:type="dxa"/>
              <w:bottom w:w="0" w:type="dxa"/>
              <w:right w:w="0" w:type="dxa"/>
            </w:tcMar>
          </w:tcPr>
          <w:p w14:paraId="3C2365EA"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35099268" w14:textId="77777777" w:rsidR="00740063" w:rsidRPr="00EB77C8" w:rsidRDefault="00EB77C8" w:rsidP="00C734E1">
            <w:pPr>
              <w:spacing w:after="0" w:line="240" w:lineRule="auto"/>
              <w:rPr>
                <w:rFonts w:eastAsia="Times New Roman" w:cstheme="minorHAnsi"/>
                <w:sz w:val="24"/>
                <w:szCs w:val="24"/>
              </w:rPr>
            </w:pPr>
            <w:r>
              <w:rPr>
                <w:sz w:val="24"/>
                <w:szCs w:val="24"/>
              </w:rPr>
              <w:t>Ministry of Education, Science and Culture</w:t>
            </w:r>
          </w:p>
        </w:tc>
      </w:tr>
      <w:tr w:rsidR="00320635" w:rsidRPr="00EB77C8" w14:paraId="616A554A" w14:textId="77777777" w:rsidTr="0034204D">
        <w:trPr>
          <w:trHeight w:val="228"/>
        </w:trPr>
        <w:tc>
          <w:tcPr>
            <w:tcW w:w="9072" w:type="dxa"/>
            <w:gridSpan w:val="3"/>
            <w:shd w:val="clear" w:color="auto" w:fill="C6D9F0"/>
            <w:hideMark/>
          </w:tcPr>
          <w:p w14:paraId="4FAE0107" w14:textId="77777777" w:rsidR="00320635" w:rsidRPr="00EB77C8" w:rsidRDefault="00320635" w:rsidP="00C734E1">
            <w:pPr>
              <w:pStyle w:val="Heading3"/>
              <w:spacing w:line="240" w:lineRule="auto"/>
              <w:jc w:val="left"/>
              <w:rPr>
                <w:sz w:val="24"/>
                <w:szCs w:val="24"/>
              </w:rPr>
            </w:pPr>
            <w:r>
              <w:t>Reservations</w:t>
            </w:r>
          </w:p>
        </w:tc>
      </w:tr>
      <w:tr w:rsidR="00EB77C8" w:rsidRPr="00EB77C8" w14:paraId="669AD0E5" w14:textId="77777777" w:rsidTr="0073045F">
        <w:trPr>
          <w:trHeight w:val="444"/>
        </w:trPr>
        <w:tc>
          <w:tcPr>
            <w:tcW w:w="0" w:type="auto"/>
            <w:shd w:val="clear" w:color="auto" w:fill="auto"/>
            <w:hideMark/>
          </w:tcPr>
          <w:p w14:paraId="4756D95D" w14:textId="5D086594" w:rsidR="00740063" w:rsidRPr="00EB77C8" w:rsidRDefault="00740063" w:rsidP="00C734E1">
            <w:pPr>
              <w:pStyle w:val="NoSpacing"/>
              <w:jc w:val="left"/>
              <w:rPr>
                <w:sz w:val="24"/>
                <w:szCs w:val="24"/>
              </w:rPr>
            </w:pPr>
            <w:r>
              <w:rPr>
                <w:sz w:val="24"/>
                <w:szCs w:val="24"/>
              </w:rPr>
              <w:t>Reassess the reasons behind the reservations made to the International Covenant on Civil and Political Rights. (Recommendation No 117.12)</w:t>
            </w:r>
          </w:p>
        </w:tc>
        <w:tc>
          <w:tcPr>
            <w:tcW w:w="1100" w:type="dxa"/>
            <w:shd w:val="clear" w:color="auto" w:fill="92D050"/>
            <w:tcMar>
              <w:top w:w="0" w:type="dxa"/>
              <w:left w:w="0" w:type="dxa"/>
              <w:bottom w:w="0" w:type="dxa"/>
              <w:right w:w="0" w:type="dxa"/>
            </w:tcMar>
          </w:tcPr>
          <w:p w14:paraId="69DDAAAF" w14:textId="77777777" w:rsidR="00740063" w:rsidRPr="00EB77C8" w:rsidRDefault="00740063" w:rsidP="00C734E1">
            <w:pPr>
              <w:pStyle w:val="NoSpacing"/>
              <w:jc w:val="left"/>
              <w:rPr>
                <w:sz w:val="24"/>
                <w:szCs w:val="24"/>
              </w:rPr>
            </w:pPr>
          </w:p>
        </w:tc>
        <w:tc>
          <w:tcPr>
            <w:tcW w:w="3234" w:type="dxa"/>
            <w:shd w:val="clear" w:color="auto" w:fill="auto"/>
            <w:hideMark/>
          </w:tcPr>
          <w:p w14:paraId="77E9FCF9" w14:textId="77777777" w:rsidR="00740063" w:rsidRPr="00EB77C8" w:rsidRDefault="00EB77C8" w:rsidP="00C734E1">
            <w:pPr>
              <w:pStyle w:val="NoSpacing"/>
              <w:jc w:val="left"/>
              <w:rPr>
                <w:sz w:val="24"/>
                <w:szCs w:val="24"/>
              </w:rPr>
            </w:pPr>
            <w:r>
              <w:rPr>
                <w:sz w:val="24"/>
                <w:szCs w:val="24"/>
              </w:rPr>
              <w:t>Ministry of Justice</w:t>
            </w:r>
          </w:p>
        </w:tc>
      </w:tr>
      <w:tr w:rsidR="000B7877" w:rsidRPr="00EB77C8" w14:paraId="0842617A" w14:textId="77777777" w:rsidTr="0034204D">
        <w:trPr>
          <w:trHeight w:val="228"/>
        </w:trPr>
        <w:tc>
          <w:tcPr>
            <w:tcW w:w="9072" w:type="dxa"/>
            <w:gridSpan w:val="3"/>
            <w:shd w:val="clear" w:color="auto" w:fill="C6D9F0"/>
            <w:hideMark/>
          </w:tcPr>
          <w:p w14:paraId="5C4CC585" w14:textId="77777777" w:rsidR="000B7877" w:rsidRPr="00EB77C8" w:rsidRDefault="000B7877" w:rsidP="00C734E1">
            <w:pPr>
              <w:pStyle w:val="Heading3"/>
              <w:spacing w:line="240" w:lineRule="auto"/>
              <w:jc w:val="left"/>
              <w:rPr>
                <w:sz w:val="24"/>
                <w:szCs w:val="24"/>
              </w:rPr>
            </w:pPr>
            <w:r>
              <w:t>Cooperation with treaty bodies</w:t>
            </w:r>
          </w:p>
        </w:tc>
      </w:tr>
      <w:tr w:rsidR="00EB77C8" w:rsidRPr="00EB77C8" w14:paraId="691B9263" w14:textId="77777777" w:rsidTr="0034204D">
        <w:trPr>
          <w:trHeight w:val="444"/>
        </w:trPr>
        <w:tc>
          <w:tcPr>
            <w:tcW w:w="0" w:type="auto"/>
            <w:shd w:val="clear" w:color="auto" w:fill="auto"/>
            <w:hideMark/>
          </w:tcPr>
          <w:p w14:paraId="75A236D8" w14:textId="77777777" w:rsidR="00740063" w:rsidRPr="00EB77C8" w:rsidRDefault="00740063" w:rsidP="00C734E1">
            <w:pPr>
              <w:spacing w:after="0" w:line="240" w:lineRule="auto"/>
              <w:rPr>
                <w:rFonts w:eastAsia="Times New Roman" w:cstheme="minorHAnsi"/>
                <w:sz w:val="24"/>
                <w:szCs w:val="24"/>
              </w:rPr>
            </w:pPr>
            <w:r>
              <w:rPr>
                <w:sz w:val="24"/>
                <w:szCs w:val="24"/>
              </w:rPr>
              <w:t>Submit the overdue reports to the relevant treaty body mechanisms. (Recommendation No 115.21)</w:t>
            </w:r>
          </w:p>
        </w:tc>
        <w:tc>
          <w:tcPr>
            <w:tcW w:w="1100" w:type="dxa"/>
            <w:shd w:val="clear" w:color="auto" w:fill="92D050"/>
            <w:tcMar>
              <w:top w:w="0" w:type="dxa"/>
              <w:left w:w="0" w:type="dxa"/>
              <w:bottom w:w="0" w:type="dxa"/>
              <w:right w:w="0" w:type="dxa"/>
            </w:tcMar>
          </w:tcPr>
          <w:p w14:paraId="6B1EFF24" w14:textId="77777777" w:rsidR="00740063" w:rsidRPr="00EB77C8" w:rsidRDefault="00740063" w:rsidP="00C734E1">
            <w:pPr>
              <w:spacing w:after="0" w:line="240" w:lineRule="auto"/>
              <w:rPr>
                <w:rFonts w:eastAsia="Times New Roman" w:cstheme="minorHAnsi"/>
                <w:sz w:val="24"/>
                <w:szCs w:val="24"/>
              </w:rPr>
            </w:pPr>
          </w:p>
        </w:tc>
        <w:tc>
          <w:tcPr>
            <w:tcW w:w="3234" w:type="dxa"/>
            <w:shd w:val="clear" w:color="auto" w:fill="auto"/>
            <w:hideMark/>
          </w:tcPr>
          <w:p w14:paraId="1F2EFFE4" w14:textId="77777777" w:rsidR="00740063" w:rsidRPr="00EB77C8" w:rsidRDefault="00EB77C8" w:rsidP="00C734E1">
            <w:pPr>
              <w:spacing w:after="0" w:line="240" w:lineRule="auto"/>
              <w:rPr>
                <w:rFonts w:eastAsia="Times New Roman" w:cstheme="minorHAnsi"/>
                <w:sz w:val="24"/>
                <w:szCs w:val="24"/>
              </w:rPr>
            </w:pPr>
            <w:r>
              <w:rPr>
                <w:sz w:val="24"/>
                <w:szCs w:val="24"/>
              </w:rPr>
              <w:t>Ministry of Justice</w:t>
            </w:r>
          </w:p>
        </w:tc>
      </w:tr>
      <w:tr w:rsidR="00320635" w:rsidRPr="00EB77C8" w14:paraId="60CBF82F" w14:textId="77777777" w:rsidTr="0034204D">
        <w:trPr>
          <w:trHeight w:val="228"/>
        </w:trPr>
        <w:tc>
          <w:tcPr>
            <w:tcW w:w="9072" w:type="dxa"/>
            <w:gridSpan w:val="3"/>
            <w:shd w:val="clear" w:color="auto" w:fill="C6D9F0"/>
            <w:hideMark/>
          </w:tcPr>
          <w:p w14:paraId="61CBC185" w14:textId="77777777" w:rsidR="00320635" w:rsidRPr="00EB77C8" w:rsidRDefault="00320635" w:rsidP="00C734E1">
            <w:pPr>
              <w:pStyle w:val="Heading3"/>
              <w:spacing w:line="240" w:lineRule="auto"/>
              <w:jc w:val="left"/>
              <w:rPr>
                <w:sz w:val="24"/>
                <w:szCs w:val="24"/>
              </w:rPr>
            </w:pPr>
            <w:r>
              <w:t>Inter-State cooperation &amp; development assistance</w:t>
            </w:r>
          </w:p>
        </w:tc>
      </w:tr>
      <w:tr w:rsidR="00EB77C8" w:rsidRPr="00EB77C8" w14:paraId="3C932C14" w14:textId="77777777" w:rsidTr="0034204D">
        <w:trPr>
          <w:trHeight w:val="444"/>
        </w:trPr>
        <w:tc>
          <w:tcPr>
            <w:tcW w:w="0" w:type="auto"/>
            <w:shd w:val="clear" w:color="auto" w:fill="auto"/>
            <w:hideMark/>
          </w:tcPr>
          <w:p w14:paraId="0BFD205C" w14:textId="77777777" w:rsidR="00740063" w:rsidRPr="00EB77C8" w:rsidRDefault="00740063" w:rsidP="00C734E1">
            <w:pPr>
              <w:spacing w:after="0" w:line="240" w:lineRule="auto"/>
              <w:rPr>
                <w:rFonts w:eastAsia="Times New Roman" w:cstheme="minorHAnsi"/>
                <w:sz w:val="24"/>
                <w:szCs w:val="24"/>
              </w:rPr>
            </w:pPr>
            <w:r>
              <w:rPr>
                <w:sz w:val="24"/>
                <w:szCs w:val="24"/>
              </w:rPr>
              <w:t>Meet the official development assistance target of 0.7 per cent of its gross national product. (Recommendation No 117.20)</w:t>
            </w:r>
          </w:p>
        </w:tc>
        <w:tc>
          <w:tcPr>
            <w:tcW w:w="1100" w:type="dxa"/>
            <w:shd w:val="clear" w:color="auto" w:fill="FFFF00"/>
            <w:tcMar>
              <w:top w:w="0" w:type="dxa"/>
              <w:left w:w="0" w:type="dxa"/>
              <w:bottom w:w="0" w:type="dxa"/>
              <w:right w:w="0" w:type="dxa"/>
            </w:tcMar>
          </w:tcPr>
          <w:p w14:paraId="08CF1183" w14:textId="77777777" w:rsidR="00740063" w:rsidRPr="00EB77C8" w:rsidRDefault="00740063" w:rsidP="00C734E1">
            <w:pPr>
              <w:spacing w:after="0" w:line="240" w:lineRule="auto"/>
              <w:rPr>
                <w:rFonts w:eastAsia="Times New Roman" w:cstheme="minorHAnsi"/>
                <w:sz w:val="24"/>
                <w:szCs w:val="24"/>
              </w:rPr>
            </w:pPr>
          </w:p>
        </w:tc>
        <w:tc>
          <w:tcPr>
            <w:tcW w:w="3234" w:type="dxa"/>
            <w:shd w:val="clear" w:color="auto" w:fill="auto"/>
            <w:hideMark/>
          </w:tcPr>
          <w:p w14:paraId="0ADF88E3" w14:textId="77777777" w:rsidR="00740063" w:rsidRPr="00EB77C8" w:rsidRDefault="00EB77C8" w:rsidP="00C734E1">
            <w:pPr>
              <w:spacing w:after="0" w:line="240" w:lineRule="auto"/>
              <w:rPr>
                <w:rFonts w:eastAsia="Times New Roman" w:cstheme="minorHAnsi"/>
                <w:sz w:val="24"/>
                <w:szCs w:val="24"/>
              </w:rPr>
            </w:pPr>
            <w:r>
              <w:rPr>
                <w:sz w:val="24"/>
                <w:szCs w:val="24"/>
              </w:rPr>
              <w:t>Ministry for Foreign Affairs</w:t>
            </w:r>
          </w:p>
        </w:tc>
      </w:tr>
      <w:tr w:rsidR="00320635" w:rsidRPr="00EB77C8" w14:paraId="564B9062" w14:textId="77777777" w:rsidTr="0034204D">
        <w:trPr>
          <w:trHeight w:val="228"/>
        </w:trPr>
        <w:tc>
          <w:tcPr>
            <w:tcW w:w="9072" w:type="dxa"/>
            <w:gridSpan w:val="3"/>
            <w:shd w:val="clear" w:color="auto" w:fill="C6D9F0"/>
            <w:hideMark/>
          </w:tcPr>
          <w:p w14:paraId="750EDD45" w14:textId="77777777" w:rsidR="000B7877" w:rsidRPr="00EB77C8" w:rsidRDefault="00320635" w:rsidP="00C734E1">
            <w:pPr>
              <w:pStyle w:val="Heading3"/>
              <w:spacing w:line="240" w:lineRule="auto"/>
              <w:jc w:val="left"/>
            </w:pPr>
            <w:r>
              <w:lastRenderedPageBreak/>
              <w:t>Constitutional and legislative framework</w:t>
            </w:r>
          </w:p>
        </w:tc>
      </w:tr>
      <w:tr w:rsidR="00EB77C8" w:rsidRPr="00EB77C8" w14:paraId="2AC7E002" w14:textId="77777777" w:rsidTr="0034204D">
        <w:trPr>
          <w:trHeight w:val="444"/>
        </w:trPr>
        <w:tc>
          <w:tcPr>
            <w:tcW w:w="0" w:type="auto"/>
            <w:shd w:val="clear" w:color="auto" w:fill="auto"/>
            <w:hideMark/>
          </w:tcPr>
          <w:p w14:paraId="2BEEE43B" w14:textId="77777777" w:rsidR="00740063" w:rsidRPr="00EB77C8" w:rsidRDefault="00740063" w:rsidP="00C734E1">
            <w:pPr>
              <w:spacing w:after="0" w:line="240" w:lineRule="auto"/>
              <w:rPr>
                <w:rFonts w:eastAsia="Times New Roman" w:cstheme="minorHAnsi"/>
                <w:sz w:val="24"/>
                <w:szCs w:val="24"/>
              </w:rPr>
            </w:pPr>
            <w:r>
              <w:rPr>
                <w:sz w:val="24"/>
                <w:szCs w:val="24"/>
              </w:rPr>
              <w:t>Continue to amend the national legislation in line with the international human rights instruments. (Recommendation No 115.23)</w:t>
            </w:r>
          </w:p>
        </w:tc>
        <w:tc>
          <w:tcPr>
            <w:tcW w:w="1100" w:type="dxa"/>
            <w:shd w:val="clear" w:color="auto" w:fill="7FFFD4"/>
            <w:tcMar>
              <w:top w:w="0" w:type="dxa"/>
              <w:left w:w="0" w:type="dxa"/>
              <w:bottom w:w="0" w:type="dxa"/>
              <w:right w:w="0" w:type="dxa"/>
            </w:tcMar>
          </w:tcPr>
          <w:p w14:paraId="06B6831B" w14:textId="77777777" w:rsidR="00740063" w:rsidRPr="00EB77C8" w:rsidRDefault="00740063" w:rsidP="00C734E1">
            <w:pPr>
              <w:spacing w:after="0" w:line="240" w:lineRule="auto"/>
              <w:rPr>
                <w:rFonts w:eastAsia="Times New Roman" w:cstheme="minorHAnsi"/>
                <w:sz w:val="24"/>
                <w:szCs w:val="24"/>
              </w:rPr>
            </w:pPr>
          </w:p>
        </w:tc>
        <w:tc>
          <w:tcPr>
            <w:tcW w:w="3234" w:type="dxa"/>
            <w:shd w:val="clear" w:color="auto" w:fill="auto"/>
            <w:hideMark/>
          </w:tcPr>
          <w:p w14:paraId="22D043DB" w14:textId="77777777" w:rsidR="00740063" w:rsidRPr="00EB77C8" w:rsidRDefault="00EB77C8" w:rsidP="00C734E1">
            <w:pPr>
              <w:spacing w:after="0" w:line="240" w:lineRule="auto"/>
              <w:rPr>
                <w:rFonts w:eastAsia="Times New Roman" w:cstheme="minorHAnsi"/>
                <w:sz w:val="24"/>
                <w:szCs w:val="24"/>
              </w:rPr>
            </w:pPr>
            <w:r>
              <w:rPr>
                <w:sz w:val="24"/>
                <w:szCs w:val="24"/>
              </w:rPr>
              <w:t>Ministry of Justice</w:t>
            </w:r>
          </w:p>
        </w:tc>
      </w:tr>
      <w:tr w:rsidR="00EB77C8" w:rsidRPr="00EB77C8" w14:paraId="33F3279A" w14:textId="77777777" w:rsidTr="0034204D">
        <w:trPr>
          <w:trHeight w:val="444"/>
        </w:trPr>
        <w:tc>
          <w:tcPr>
            <w:tcW w:w="0" w:type="auto"/>
            <w:shd w:val="clear" w:color="auto" w:fill="auto"/>
            <w:hideMark/>
          </w:tcPr>
          <w:p w14:paraId="50E97016" w14:textId="77777777" w:rsidR="00740063" w:rsidRPr="00EB77C8" w:rsidRDefault="00740063" w:rsidP="00C734E1">
            <w:pPr>
              <w:spacing w:after="0" w:line="240" w:lineRule="auto"/>
              <w:rPr>
                <w:rFonts w:eastAsia="Times New Roman" w:cstheme="minorHAnsi"/>
                <w:sz w:val="24"/>
                <w:szCs w:val="24"/>
              </w:rPr>
            </w:pPr>
            <w:r>
              <w:rPr>
                <w:sz w:val="24"/>
                <w:szCs w:val="24"/>
              </w:rPr>
              <w:t>Implement into national law the Convention on the Rights of Persons with Disabilities. (Recommendation No 115.24)</w:t>
            </w:r>
          </w:p>
        </w:tc>
        <w:tc>
          <w:tcPr>
            <w:tcW w:w="1100" w:type="dxa"/>
            <w:shd w:val="clear" w:color="auto" w:fill="7FFFD4"/>
            <w:tcMar>
              <w:top w:w="0" w:type="dxa"/>
              <w:left w:w="0" w:type="dxa"/>
              <w:bottom w:w="0" w:type="dxa"/>
              <w:right w:w="0" w:type="dxa"/>
            </w:tcMar>
          </w:tcPr>
          <w:p w14:paraId="267DE126" w14:textId="77777777" w:rsidR="00740063" w:rsidRPr="00EB77C8" w:rsidRDefault="00740063" w:rsidP="00C734E1">
            <w:pPr>
              <w:spacing w:after="0" w:line="240" w:lineRule="auto"/>
              <w:rPr>
                <w:rFonts w:eastAsia="Times New Roman" w:cstheme="minorHAnsi"/>
                <w:sz w:val="24"/>
                <w:szCs w:val="24"/>
              </w:rPr>
            </w:pPr>
          </w:p>
        </w:tc>
        <w:tc>
          <w:tcPr>
            <w:tcW w:w="3234" w:type="dxa"/>
            <w:shd w:val="clear" w:color="auto" w:fill="auto"/>
            <w:hideMark/>
          </w:tcPr>
          <w:p w14:paraId="46332A86" w14:textId="77777777" w:rsidR="00740063" w:rsidRPr="00EB77C8" w:rsidRDefault="00EB77C8" w:rsidP="00C734E1">
            <w:pPr>
              <w:spacing w:after="0" w:line="240" w:lineRule="auto"/>
              <w:rPr>
                <w:rFonts w:eastAsia="Times New Roman" w:cstheme="minorHAnsi"/>
                <w:sz w:val="24"/>
                <w:szCs w:val="24"/>
              </w:rPr>
            </w:pPr>
            <w:r>
              <w:rPr>
                <w:sz w:val="24"/>
                <w:szCs w:val="24"/>
              </w:rPr>
              <w:t>Ministry of Social Affairs and Ministry of Justice</w:t>
            </w:r>
          </w:p>
        </w:tc>
      </w:tr>
      <w:tr w:rsidR="000B7877" w:rsidRPr="00EB77C8" w14:paraId="08FACE13" w14:textId="77777777" w:rsidTr="0034204D">
        <w:trPr>
          <w:trHeight w:val="228"/>
        </w:trPr>
        <w:tc>
          <w:tcPr>
            <w:tcW w:w="9072" w:type="dxa"/>
            <w:gridSpan w:val="3"/>
            <w:shd w:val="clear" w:color="auto" w:fill="C6D9F0"/>
            <w:hideMark/>
          </w:tcPr>
          <w:p w14:paraId="34179D50" w14:textId="5B4215AF" w:rsidR="000B7877" w:rsidRPr="00C734E1" w:rsidRDefault="000B7877" w:rsidP="00C734E1">
            <w:pPr>
              <w:pStyle w:val="Heading3"/>
              <w:spacing w:line="240" w:lineRule="auto"/>
              <w:jc w:val="left"/>
            </w:pPr>
            <w:r>
              <w:t>National Human Rights Institution</w:t>
            </w:r>
          </w:p>
        </w:tc>
      </w:tr>
      <w:tr w:rsidR="00EB77C8" w:rsidRPr="00EB77C8" w14:paraId="5412D177" w14:textId="77777777" w:rsidTr="0034204D">
        <w:trPr>
          <w:trHeight w:val="444"/>
        </w:trPr>
        <w:tc>
          <w:tcPr>
            <w:tcW w:w="0" w:type="auto"/>
            <w:shd w:val="clear" w:color="auto" w:fill="auto"/>
            <w:hideMark/>
          </w:tcPr>
          <w:p w14:paraId="18C0515F" w14:textId="1E8FF8D2" w:rsidR="00C734E1" w:rsidRPr="00C734E1" w:rsidRDefault="00740063" w:rsidP="00C734E1">
            <w:pPr>
              <w:spacing w:after="0" w:line="240" w:lineRule="auto"/>
              <w:rPr>
                <w:sz w:val="24"/>
                <w:szCs w:val="24"/>
              </w:rPr>
            </w:pPr>
            <w:r>
              <w:rPr>
                <w:sz w:val="24"/>
                <w:szCs w:val="24"/>
              </w:rPr>
              <w:t>Take measures aimed at establishing a national human rights institution in compliance with the Paris Principles. (Recommendations No 115.26 – 115.41)</w:t>
            </w:r>
          </w:p>
        </w:tc>
        <w:tc>
          <w:tcPr>
            <w:tcW w:w="1100" w:type="dxa"/>
            <w:shd w:val="clear" w:color="auto" w:fill="FFFF00"/>
            <w:tcMar>
              <w:top w:w="0" w:type="dxa"/>
              <w:left w:w="0" w:type="dxa"/>
              <w:bottom w:w="0" w:type="dxa"/>
              <w:right w:w="0" w:type="dxa"/>
            </w:tcMar>
          </w:tcPr>
          <w:p w14:paraId="24FE7245" w14:textId="77777777" w:rsidR="00740063" w:rsidRPr="00EB77C8" w:rsidRDefault="00740063" w:rsidP="00C734E1">
            <w:pPr>
              <w:spacing w:after="0" w:line="240" w:lineRule="auto"/>
              <w:rPr>
                <w:rFonts w:eastAsia="Times New Roman" w:cstheme="minorHAnsi"/>
                <w:sz w:val="24"/>
                <w:szCs w:val="24"/>
              </w:rPr>
            </w:pPr>
          </w:p>
        </w:tc>
        <w:tc>
          <w:tcPr>
            <w:tcW w:w="3234" w:type="dxa"/>
            <w:shd w:val="clear" w:color="auto" w:fill="auto"/>
            <w:hideMark/>
          </w:tcPr>
          <w:p w14:paraId="507282DA" w14:textId="77777777" w:rsidR="00740063" w:rsidRPr="00EB77C8" w:rsidRDefault="00EB77C8" w:rsidP="00C734E1">
            <w:pPr>
              <w:spacing w:after="0" w:line="240" w:lineRule="auto"/>
              <w:rPr>
                <w:rFonts w:eastAsia="Times New Roman" w:cstheme="minorHAnsi"/>
                <w:sz w:val="24"/>
                <w:szCs w:val="24"/>
              </w:rPr>
            </w:pPr>
            <w:r>
              <w:rPr>
                <w:sz w:val="24"/>
                <w:szCs w:val="24"/>
              </w:rPr>
              <w:t>Ministry of Justice</w:t>
            </w:r>
          </w:p>
        </w:tc>
      </w:tr>
      <w:tr w:rsidR="000B7877" w:rsidRPr="00EB77C8" w14:paraId="5BF6F10B" w14:textId="77777777" w:rsidTr="0034204D">
        <w:trPr>
          <w:trHeight w:val="228"/>
        </w:trPr>
        <w:tc>
          <w:tcPr>
            <w:tcW w:w="9072" w:type="dxa"/>
            <w:gridSpan w:val="3"/>
            <w:shd w:val="clear" w:color="auto" w:fill="C6D9F0"/>
            <w:hideMark/>
          </w:tcPr>
          <w:p w14:paraId="70FAAE20" w14:textId="77777777" w:rsidR="000B7877" w:rsidRPr="00EB77C8" w:rsidRDefault="000B7877" w:rsidP="00C734E1">
            <w:pPr>
              <w:pStyle w:val="Heading3"/>
              <w:spacing w:line="240" w:lineRule="auto"/>
              <w:jc w:val="left"/>
              <w:rPr>
                <w:sz w:val="24"/>
                <w:szCs w:val="24"/>
              </w:rPr>
            </w:pPr>
            <w:r>
              <w:t>National Plan of Action on Human Rights</w:t>
            </w:r>
          </w:p>
        </w:tc>
      </w:tr>
      <w:tr w:rsidR="00EB77C8" w:rsidRPr="00EB77C8" w14:paraId="51C8F653" w14:textId="77777777" w:rsidTr="0034204D">
        <w:trPr>
          <w:trHeight w:val="228"/>
        </w:trPr>
        <w:tc>
          <w:tcPr>
            <w:tcW w:w="0" w:type="auto"/>
            <w:shd w:val="clear" w:color="auto" w:fill="auto"/>
            <w:hideMark/>
          </w:tcPr>
          <w:p w14:paraId="2B8A10BC" w14:textId="77777777" w:rsidR="00740063" w:rsidRPr="00EB77C8" w:rsidRDefault="00740063" w:rsidP="00C734E1">
            <w:pPr>
              <w:spacing w:after="0" w:line="240" w:lineRule="auto"/>
              <w:rPr>
                <w:rFonts w:eastAsia="Times New Roman" w:cstheme="minorHAnsi"/>
                <w:sz w:val="24"/>
                <w:szCs w:val="24"/>
              </w:rPr>
            </w:pPr>
            <w:r>
              <w:rPr>
                <w:sz w:val="24"/>
                <w:szCs w:val="24"/>
              </w:rPr>
              <w:t>Develop a comprehensive national human rights action plan. (Recommendations No 115.39 – 115.42)</w:t>
            </w:r>
          </w:p>
        </w:tc>
        <w:tc>
          <w:tcPr>
            <w:tcW w:w="1100" w:type="dxa"/>
            <w:shd w:val="clear" w:color="auto" w:fill="FF0000"/>
            <w:tcMar>
              <w:top w:w="0" w:type="dxa"/>
              <w:left w:w="0" w:type="dxa"/>
              <w:bottom w:w="0" w:type="dxa"/>
              <w:right w:w="0" w:type="dxa"/>
            </w:tcMar>
          </w:tcPr>
          <w:p w14:paraId="6AB0B8B0" w14:textId="77777777" w:rsidR="00740063" w:rsidRPr="00EB77C8" w:rsidRDefault="00740063" w:rsidP="00C734E1">
            <w:pPr>
              <w:spacing w:after="0" w:line="240" w:lineRule="auto"/>
              <w:rPr>
                <w:rFonts w:eastAsia="Times New Roman" w:cstheme="minorHAnsi"/>
                <w:sz w:val="24"/>
                <w:szCs w:val="24"/>
              </w:rPr>
            </w:pPr>
          </w:p>
        </w:tc>
        <w:tc>
          <w:tcPr>
            <w:tcW w:w="3234" w:type="dxa"/>
            <w:shd w:val="clear" w:color="auto" w:fill="auto"/>
            <w:hideMark/>
          </w:tcPr>
          <w:p w14:paraId="18AA2137" w14:textId="77777777" w:rsidR="00740063" w:rsidRPr="00EB77C8" w:rsidRDefault="00EB77C8" w:rsidP="00C734E1">
            <w:pPr>
              <w:spacing w:after="0" w:line="240" w:lineRule="auto"/>
              <w:rPr>
                <w:rFonts w:eastAsia="Times New Roman" w:cstheme="minorHAnsi"/>
                <w:sz w:val="24"/>
                <w:szCs w:val="24"/>
              </w:rPr>
            </w:pPr>
            <w:r>
              <w:rPr>
                <w:sz w:val="24"/>
                <w:szCs w:val="24"/>
              </w:rPr>
              <w:t>Ministry of Justice</w:t>
            </w:r>
          </w:p>
        </w:tc>
      </w:tr>
      <w:tr w:rsidR="00EB77C8" w:rsidRPr="00EB77C8" w14:paraId="766864F5" w14:textId="77777777" w:rsidTr="0034204D">
        <w:trPr>
          <w:trHeight w:val="444"/>
        </w:trPr>
        <w:tc>
          <w:tcPr>
            <w:tcW w:w="0" w:type="auto"/>
            <w:shd w:val="clear" w:color="auto" w:fill="auto"/>
            <w:hideMark/>
          </w:tcPr>
          <w:p w14:paraId="259EA299" w14:textId="77777777" w:rsidR="00740063" w:rsidRPr="00EB77C8" w:rsidRDefault="00740063" w:rsidP="00C734E1">
            <w:pPr>
              <w:spacing w:after="0" w:line="240" w:lineRule="auto"/>
              <w:rPr>
                <w:rFonts w:eastAsia="Times New Roman" w:cstheme="minorHAnsi"/>
                <w:sz w:val="24"/>
                <w:szCs w:val="24"/>
              </w:rPr>
            </w:pPr>
            <w:r>
              <w:rPr>
                <w:sz w:val="24"/>
                <w:szCs w:val="24"/>
              </w:rPr>
              <w:t>Ensure that the new national plan of action is equipped with an evaluation mechanism. (Recommendations No 115.93, 117.18 and 117.19)</w:t>
            </w:r>
          </w:p>
        </w:tc>
        <w:tc>
          <w:tcPr>
            <w:tcW w:w="1100" w:type="dxa"/>
            <w:shd w:val="clear" w:color="auto" w:fill="FF0000"/>
            <w:tcMar>
              <w:top w:w="0" w:type="dxa"/>
              <w:left w:w="0" w:type="dxa"/>
              <w:bottom w:w="0" w:type="dxa"/>
              <w:right w:w="0" w:type="dxa"/>
            </w:tcMar>
          </w:tcPr>
          <w:p w14:paraId="51D09642" w14:textId="77777777" w:rsidR="00740063" w:rsidRPr="00EB77C8" w:rsidRDefault="00740063" w:rsidP="00C734E1">
            <w:pPr>
              <w:spacing w:after="0" w:line="240" w:lineRule="auto"/>
              <w:rPr>
                <w:rFonts w:eastAsia="Times New Roman" w:cstheme="minorHAnsi"/>
                <w:sz w:val="24"/>
                <w:szCs w:val="24"/>
              </w:rPr>
            </w:pPr>
          </w:p>
        </w:tc>
        <w:tc>
          <w:tcPr>
            <w:tcW w:w="3234" w:type="dxa"/>
            <w:shd w:val="clear" w:color="auto" w:fill="auto"/>
            <w:hideMark/>
          </w:tcPr>
          <w:p w14:paraId="4A21312D" w14:textId="77777777" w:rsidR="00740063" w:rsidRPr="00EB77C8" w:rsidRDefault="00EB77C8" w:rsidP="00C734E1">
            <w:pPr>
              <w:spacing w:after="0" w:line="240" w:lineRule="auto"/>
              <w:rPr>
                <w:rFonts w:eastAsia="Times New Roman" w:cstheme="minorHAnsi"/>
                <w:sz w:val="24"/>
                <w:szCs w:val="24"/>
              </w:rPr>
            </w:pPr>
            <w:r>
              <w:rPr>
                <w:sz w:val="24"/>
                <w:szCs w:val="24"/>
              </w:rPr>
              <w:t>Ministry of Justice</w:t>
            </w:r>
          </w:p>
        </w:tc>
      </w:tr>
      <w:tr w:rsidR="000B7877" w:rsidRPr="00EB77C8" w14:paraId="047D31F8" w14:textId="77777777" w:rsidTr="0034204D">
        <w:trPr>
          <w:trHeight w:val="228"/>
        </w:trPr>
        <w:tc>
          <w:tcPr>
            <w:tcW w:w="9072" w:type="dxa"/>
            <w:gridSpan w:val="3"/>
            <w:shd w:val="clear" w:color="auto" w:fill="C6D9F0"/>
            <w:hideMark/>
          </w:tcPr>
          <w:p w14:paraId="1DF61480" w14:textId="77777777" w:rsidR="000B7877" w:rsidRPr="00EB77C8" w:rsidRDefault="000B7877" w:rsidP="00C734E1">
            <w:pPr>
              <w:pStyle w:val="Heading3"/>
              <w:spacing w:line="240" w:lineRule="auto"/>
              <w:jc w:val="left"/>
              <w:rPr>
                <w:sz w:val="24"/>
                <w:szCs w:val="24"/>
              </w:rPr>
            </w:pPr>
            <w:r>
              <w:t>Good governance</w:t>
            </w:r>
          </w:p>
        </w:tc>
      </w:tr>
      <w:tr w:rsidR="00EB77C8" w:rsidRPr="00EB77C8" w14:paraId="758E80D6" w14:textId="77777777" w:rsidTr="00F5021F">
        <w:trPr>
          <w:trHeight w:val="888"/>
        </w:trPr>
        <w:tc>
          <w:tcPr>
            <w:tcW w:w="0" w:type="auto"/>
            <w:shd w:val="clear" w:color="auto" w:fill="auto"/>
            <w:hideMark/>
          </w:tcPr>
          <w:p w14:paraId="51F2A4CD" w14:textId="77777777" w:rsidR="00740063" w:rsidRPr="00EB77C8" w:rsidRDefault="00740063" w:rsidP="00C734E1">
            <w:pPr>
              <w:spacing w:after="0" w:line="240" w:lineRule="auto"/>
              <w:rPr>
                <w:rFonts w:asciiTheme="majorHAnsi" w:eastAsia="Times New Roman" w:hAnsiTheme="majorHAnsi" w:cstheme="majorBidi"/>
                <w:sz w:val="24"/>
                <w:szCs w:val="24"/>
              </w:rPr>
            </w:pPr>
            <w:r>
              <w:rPr>
                <w:rFonts w:asciiTheme="majorHAnsi" w:hAnsiTheme="majorHAnsi"/>
                <w:sz w:val="24"/>
                <w:szCs w:val="24"/>
              </w:rPr>
              <w:t>Improve financial supervisory mechanisms to ensure better control and transparency in order to combat corruption and tax evasion. (Recommendation No 117.23)</w:t>
            </w:r>
          </w:p>
        </w:tc>
        <w:tc>
          <w:tcPr>
            <w:tcW w:w="1100" w:type="dxa"/>
            <w:shd w:val="clear" w:color="auto" w:fill="7FFFD4"/>
            <w:tcMar>
              <w:top w:w="0" w:type="dxa"/>
              <w:left w:w="0" w:type="dxa"/>
              <w:bottom w:w="0" w:type="dxa"/>
              <w:right w:w="0" w:type="dxa"/>
            </w:tcMar>
          </w:tcPr>
          <w:p w14:paraId="64A91EAB"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470A69ED" w14:textId="6619AF71" w:rsidR="00740063" w:rsidRPr="00A606BD" w:rsidRDefault="00EB77C8" w:rsidP="00C734E1">
            <w:pPr>
              <w:spacing w:after="0" w:line="240" w:lineRule="auto"/>
              <w:rPr>
                <w:rFonts w:asciiTheme="majorHAnsi" w:eastAsia="Times New Roman" w:hAnsiTheme="majorHAnsi" w:cstheme="majorHAnsi"/>
                <w:sz w:val="24"/>
                <w:szCs w:val="24"/>
              </w:rPr>
            </w:pPr>
            <w:r w:rsidRPr="00A606BD">
              <w:rPr>
                <w:rFonts w:asciiTheme="majorHAnsi" w:hAnsiTheme="majorHAnsi"/>
                <w:sz w:val="24"/>
                <w:szCs w:val="24"/>
              </w:rPr>
              <w:t>Ministry of Finance and Economic Affairs, Prime Minister’s Office</w:t>
            </w:r>
            <w:r w:rsidR="004B7CD9">
              <w:rPr>
                <w:rFonts w:asciiTheme="majorHAnsi" w:hAnsiTheme="majorHAnsi"/>
                <w:sz w:val="24"/>
                <w:szCs w:val="24"/>
              </w:rPr>
              <w:t xml:space="preserve"> and </w:t>
            </w:r>
            <w:r w:rsidRPr="00A606BD">
              <w:rPr>
                <w:rFonts w:asciiTheme="majorHAnsi" w:hAnsiTheme="majorHAnsi"/>
                <w:sz w:val="24"/>
                <w:szCs w:val="24"/>
              </w:rPr>
              <w:t>Ministry of Justice</w:t>
            </w:r>
          </w:p>
        </w:tc>
      </w:tr>
      <w:tr w:rsidR="000B7877" w:rsidRPr="00EB77C8" w14:paraId="2AC0F686" w14:textId="77777777" w:rsidTr="0034204D">
        <w:trPr>
          <w:trHeight w:val="228"/>
        </w:trPr>
        <w:tc>
          <w:tcPr>
            <w:tcW w:w="9072" w:type="dxa"/>
            <w:gridSpan w:val="3"/>
            <w:shd w:val="clear" w:color="auto" w:fill="C6D9F0"/>
            <w:hideMark/>
          </w:tcPr>
          <w:p w14:paraId="76F1867A" w14:textId="77777777" w:rsidR="000B7877" w:rsidRPr="00EB77C8" w:rsidRDefault="000B7877" w:rsidP="00C734E1">
            <w:pPr>
              <w:pStyle w:val="Heading3"/>
              <w:spacing w:line="240" w:lineRule="auto"/>
              <w:jc w:val="left"/>
              <w:rPr>
                <w:sz w:val="24"/>
                <w:szCs w:val="24"/>
              </w:rPr>
            </w:pPr>
            <w:r>
              <w:t>Equality and non-discrimination</w:t>
            </w:r>
          </w:p>
        </w:tc>
      </w:tr>
      <w:tr w:rsidR="00EB77C8" w:rsidRPr="00EB77C8" w14:paraId="5219CC4C" w14:textId="77777777" w:rsidTr="0034204D">
        <w:trPr>
          <w:trHeight w:val="228"/>
        </w:trPr>
        <w:tc>
          <w:tcPr>
            <w:tcW w:w="0" w:type="auto"/>
            <w:shd w:val="clear" w:color="auto" w:fill="auto"/>
            <w:hideMark/>
          </w:tcPr>
          <w:p w14:paraId="47BE446D"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Enact legislation that includes protection from discrimination on the basis of intersex status. (Recommendation No 115.44)</w:t>
            </w:r>
          </w:p>
        </w:tc>
        <w:tc>
          <w:tcPr>
            <w:tcW w:w="1100" w:type="dxa"/>
            <w:shd w:val="clear" w:color="auto" w:fill="FFFF00"/>
            <w:tcMar>
              <w:top w:w="0" w:type="dxa"/>
              <w:left w:w="0" w:type="dxa"/>
              <w:bottom w:w="0" w:type="dxa"/>
              <w:right w:w="0" w:type="dxa"/>
            </w:tcMar>
          </w:tcPr>
          <w:p w14:paraId="6953E9F4"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5343261B"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Prime Minister’s Office</w:t>
            </w:r>
          </w:p>
        </w:tc>
      </w:tr>
      <w:tr w:rsidR="00EB77C8" w:rsidRPr="00EB77C8" w14:paraId="5B0C8B9F" w14:textId="77777777" w:rsidTr="0034204D">
        <w:trPr>
          <w:trHeight w:val="444"/>
        </w:trPr>
        <w:tc>
          <w:tcPr>
            <w:tcW w:w="0" w:type="auto"/>
            <w:shd w:val="clear" w:color="auto" w:fill="auto"/>
            <w:hideMark/>
          </w:tcPr>
          <w:p w14:paraId="42BF6E6E"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Adopt comprehensive anti-discrimination legislation. (Recommendations No 115.45 – 115.47 and 115.49 – 115.50)</w:t>
            </w:r>
          </w:p>
        </w:tc>
        <w:tc>
          <w:tcPr>
            <w:tcW w:w="1100" w:type="dxa"/>
            <w:shd w:val="clear" w:color="auto" w:fill="FFFF00"/>
            <w:tcMar>
              <w:top w:w="0" w:type="dxa"/>
              <w:left w:w="0" w:type="dxa"/>
              <w:bottom w:w="0" w:type="dxa"/>
              <w:right w:w="0" w:type="dxa"/>
            </w:tcMar>
          </w:tcPr>
          <w:p w14:paraId="44FC3E3D"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1BEC808E"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Prime Minister’s Office</w:t>
            </w:r>
          </w:p>
        </w:tc>
      </w:tr>
      <w:tr w:rsidR="00EB77C8" w:rsidRPr="00EB77C8" w14:paraId="1DE22350" w14:textId="77777777" w:rsidTr="0034204D">
        <w:trPr>
          <w:trHeight w:val="660"/>
        </w:trPr>
        <w:tc>
          <w:tcPr>
            <w:tcW w:w="0" w:type="auto"/>
            <w:shd w:val="clear" w:color="auto" w:fill="auto"/>
            <w:hideMark/>
          </w:tcPr>
          <w:p w14:paraId="0B5529E8"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Consider introducing anti-discriminatory legislation and establish a specialized body to combat racism and discrimination which could form part of a body with wider objectives in the field of human rights generally. (Recommendation No 117.24)</w:t>
            </w:r>
          </w:p>
        </w:tc>
        <w:tc>
          <w:tcPr>
            <w:tcW w:w="1100" w:type="dxa"/>
            <w:shd w:val="clear" w:color="auto" w:fill="FFFF00"/>
            <w:tcMar>
              <w:top w:w="0" w:type="dxa"/>
              <w:left w:w="0" w:type="dxa"/>
              <w:bottom w:w="0" w:type="dxa"/>
              <w:right w:w="0" w:type="dxa"/>
            </w:tcMar>
          </w:tcPr>
          <w:p w14:paraId="5D356645"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14DE1192" w14:textId="77777777" w:rsidR="00740063" w:rsidRDefault="00EB77C8" w:rsidP="00C734E1">
            <w:pPr>
              <w:spacing w:after="0" w:line="240" w:lineRule="auto"/>
              <w:rPr>
                <w:rFonts w:asciiTheme="majorHAnsi" w:hAnsiTheme="majorHAnsi"/>
                <w:sz w:val="24"/>
                <w:szCs w:val="24"/>
              </w:rPr>
            </w:pPr>
            <w:r>
              <w:rPr>
                <w:rFonts w:asciiTheme="majorHAnsi" w:hAnsiTheme="majorHAnsi"/>
                <w:sz w:val="24"/>
                <w:szCs w:val="24"/>
              </w:rPr>
              <w:t>Prime Minister’s Office and Ministry of Justice</w:t>
            </w:r>
          </w:p>
          <w:p w14:paraId="1D4E6E18" w14:textId="77777777" w:rsidR="00C734E1" w:rsidRDefault="00C734E1" w:rsidP="00C734E1">
            <w:pPr>
              <w:spacing w:after="0" w:line="240" w:lineRule="auto"/>
              <w:rPr>
                <w:rFonts w:asciiTheme="majorHAnsi" w:eastAsia="Times New Roman" w:hAnsiTheme="majorHAnsi" w:cstheme="majorHAnsi"/>
                <w:sz w:val="24"/>
                <w:szCs w:val="24"/>
              </w:rPr>
            </w:pPr>
          </w:p>
          <w:p w14:paraId="3D9A7A8D" w14:textId="77777777" w:rsidR="00C734E1" w:rsidRDefault="00C734E1" w:rsidP="00C734E1">
            <w:pPr>
              <w:spacing w:after="0" w:line="240" w:lineRule="auto"/>
              <w:rPr>
                <w:rFonts w:asciiTheme="majorHAnsi" w:eastAsia="Times New Roman" w:hAnsiTheme="majorHAnsi" w:cstheme="majorHAnsi"/>
                <w:sz w:val="24"/>
                <w:szCs w:val="24"/>
              </w:rPr>
            </w:pPr>
          </w:p>
          <w:p w14:paraId="70788254" w14:textId="77777777" w:rsidR="00C734E1" w:rsidRDefault="00C734E1" w:rsidP="00C734E1">
            <w:pPr>
              <w:spacing w:after="0" w:line="240" w:lineRule="auto"/>
              <w:rPr>
                <w:rFonts w:asciiTheme="majorHAnsi" w:eastAsia="Times New Roman" w:hAnsiTheme="majorHAnsi" w:cstheme="majorHAnsi"/>
                <w:sz w:val="24"/>
                <w:szCs w:val="24"/>
              </w:rPr>
            </w:pPr>
          </w:p>
          <w:p w14:paraId="033C0103" w14:textId="77777777" w:rsidR="00C734E1" w:rsidRDefault="00C734E1" w:rsidP="00C734E1">
            <w:pPr>
              <w:spacing w:after="0" w:line="240" w:lineRule="auto"/>
              <w:rPr>
                <w:rFonts w:asciiTheme="majorHAnsi" w:eastAsia="Times New Roman" w:hAnsiTheme="majorHAnsi" w:cstheme="majorHAnsi"/>
                <w:sz w:val="24"/>
                <w:szCs w:val="24"/>
              </w:rPr>
            </w:pPr>
          </w:p>
          <w:p w14:paraId="756D659E" w14:textId="77777777" w:rsidR="00C734E1" w:rsidRDefault="00C734E1" w:rsidP="00C734E1">
            <w:pPr>
              <w:spacing w:after="0" w:line="240" w:lineRule="auto"/>
              <w:rPr>
                <w:rFonts w:asciiTheme="majorHAnsi" w:eastAsia="Times New Roman" w:hAnsiTheme="majorHAnsi" w:cstheme="majorHAnsi"/>
                <w:sz w:val="24"/>
                <w:szCs w:val="24"/>
              </w:rPr>
            </w:pPr>
          </w:p>
          <w:p w14:paraId="64A15FB9" w14:textId="2FFF6FB6" w:rsidR="00C734E1" w:rsidRPr="00EB77C8" w:rsidRDefault="00C734E1" w:rsidP="00C734E1">
            <w:pPr>
              <w:spacing w:after="0" w:line="240" w:lineRule="auto"/>
              <w:rPr>
                <w:rFonts w:asciiTheme="majorHAnsi" w:eastAsia="Times New Roman" w:hAnsiTheme="majorHAnsi" w:cstheme="majorHAnsi"/>
                <w:sz w:val="24"/>
                <w:szCs w:val="24"/>
              </w:rPr>
            </w:pPr>
          </w:p>
        </w:tc>
      </w:tr>
      <w:tr w:rsidR="000B7877" w:rsidRPr="00EB77C8" w14:paraId="2441EEF2" w14:textId="77777777" w:rsidTr="0034204D">
        <w:trPr>
          <w:trHeight w:val="228"/>
        </w:trPr>
        <w:tc>
          <w:tcPr>
            <w:tcW w:w="9072" w:type="dxa"/>
            <w:gridSpan w:val="3"/>
            <w:shd w:val="clear" w:color="auto" w:fill="C6D9F0"/>
            <w:hideMark/>
          </w:tcPr>
          <w:p w14:paraId="07716525" w14:textId="3628C5E1" w:rsidR="000B7877" w:rsidRPr="00EB77C8" w:rsidRDefault="000B7877" w:rsidP="00C734E1">
            <w:pPr>
              <w:pStyle w:val="Heading3"/>
              <w:spacing w:line="240" w:lineRule="auto"/>
              <w:jc w:val="left"/>
              <w:rPr>
                <w:sz w:val="24"/>
                <w:szCs w:val="24"/>
              </w:rPr>
            </w:pPr>
            <w:r>
              <w:t>Racial discrimination</w:t>
            </w:r>
          </w:p>
        </w:tc>
      </w:tr>
      <w:tr w:rsidR="00EB77C8" w:rsidRPr="00EB77C8" w14:paraId="6665CAD4" w14:textId="77777777" w:rsidTr="0034204D">
        <w:trPr>
          <w:trHeight w:val="888"/>
        </w:trPr>
        <w:tc>
          <w:tcPr>
            <w:tcW w:w="0" w:type="auto"/>
            <w:shd w:val="clear" w:color="auto" w:fill="auto"/>
            <w:hideMark/>
          </w:tcPr>
          <w:p w14:paraId="10787DBA"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Combat effectively racial discrimination and hate speech and hate crimes, discrimination on the basis of ethnic origin and religion, racial prejudice and xenophobia, and strike down on hate crimes through legislation, law enforcement and administrative measures (Recommendations No 115.51 – 115.55, 115.57 and 117.27 – 117.28)</w:t>
            </w:r>
          </w:p>
        </w:tc>
        <w:tc>
          <w:tcPr>
            <w:tcW w:w="1100" w:type="dxa"/>
            <w:shd w:val="clear" w:color="auto" w:fill="7FFFD4"/>
            <w:tcMar>
              <w:top w:w="0" w:type="dxa"/>
              <w:left w:w="0" w:type="dxa"/>
              <w:bottom w:w="0" w:type="dxa"/>
              <w:right w:w="0" w:type="dxa"/>
            </w:tcMar>
          </w:tcPr>
          <w:p w14:paraId="797C0ACE"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26B7708E"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 and Prime Minister’s Office</w:t>
            </w:r>
          </w:p>
        </w:tc>
      </w:tr>
      <w:tr w:rsidR="00EB77C8" w:rsidRPr="00EB77C8" w14:paraId="058D1B38" w14:textId="77777777" w:rsidTr="0034204D">
        <w:trPr>
          <w:trHeight w:val="444"/>
        </w:trPr>
        <w:tc>
          <w:tcPr>
            <w:tcW w:w="0" w:type="auto"/>
            <w:shd w:val="clear" w:color="auto" w:fill="auto"/>
            <w:hideMark/>
          </w:tcPr>
          <w:p w14:paraId="6A231FA6"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Consider introducing a criminal law provision that expressly considers the racist motivation of an offence as a specific aggravating circumstance. (Recommendation No 115.56)</w:t>
            </w:r>
          </w:p>
        </w:tc>
        <w:tc>
          <w:tcPr>
            <w:tcW w:w="1100" w:type="dxa"/>
            <w:shd w:val="clear" w:color="auto" w:fill="FFFF00"/>
            <w:tcMar>
              <w:top w:w="0" w:type="dxa"/>
              <w:left w:w="0" w:type="dxa"/>
              <w:bottom w:w="0" w:type="dxa"/>
              <w:right w:w="0" w:type="dxa"/>
            </w:tcMar>
          </w:tcPr>
          <w:p w14:paraId="60820E13"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7862E8E2"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w:t>
            </w:r>
          </w:p>
        </w:tc>
      </w:tr>
      <w:tr w:rsidR="000B7877" w:rsidRPr="00EB77C8" w14:paraId="406EDE2B" w14:textId="77777777" w:rsidTr="0034204D">
        <w:trPr>
          <w:trHeight w:val="228"/>
        </w:trPr>
        <w:tc>
          <w:tcPr>
            <w:tcW w:w="9072" w:type="dxa"/>
            <w:gridSpan w:val="3"/>
            <w:shd w:val="clear" w:color="auto" w:fill="C6D9F0"/>
            <w:hideMark/>
          </w:tcPr>
          <w:p w14:paraId="1159E33A" w14:textId="77777777" w:rsidR="000B7877" w:rsidRPr="00EB77C8" w:rsidRDefault="000B7877" w:rsidP="00C734E1">
            <w:pPr>
              <w:pStyle w:val="Heading3"/>
              <w:spacing w:line="240" w:lineRule="auto"/>
              <w:jc w:val="left"/>
              <w:rPr>
                <w:sz w:val="24"/>
                <w:szCs w:val="24"/>
              </w:rPr>
            </w:pPr>
            <w:r>
              <w:t>Business &amp; Human Rights</w:t>
            </w:r>
          </w:p>
        </w:tc>
      </w:tr>
      <w:tr w:rsidR="00EB77C8" w:rsidRPr="00EB77C8" w14:paraId="14A851EA" w14:textId="77777777" w:rsidTr="0034204D">
        <w:trPr>
          <w:trHeight w:val="660"/>
        </w:trPr>
        <w:tc>
          <w:tcPr>
            <w:tcW w:w="0" w:type="auto"/>
            <w:shd w:val="clear" w:color="auto" w:fill="auto"/>
            <w:hideMark/>
          </w:tcPr>
          <w:p w14:paraId="784DF700"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Ensure that policies, legislation, regulations and enforcement measures effectively serve to prevent the heightened risk of business involvement in abuses in conflict situations, which includes situations of foreign occupation. (Recommendation No 117.22)</w:t>
            </w:r>
          </w:p>
        </w:tc>
        <w:tc>
          <w:tcPr>
            <w:tcW w:w="1100" w:type="dxa"/>
            <w:shd w:val="clear" w:color="auto" w:fill="FF0000"/>
            <w:tcMar>
              <w:top w:w="0" w:type="dxa"/>
              <w:left w:w="0" w:type="dxa"/>
              <w:bottom w:w="0" w:type="dxa"/>
              <w:right w:w="0" w:type="dxa"/>
            </w:tcMar>
          </w:tcPr>
          <w:p w14:paraId="6209C3F8"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2BAFDC6F"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Industry and Innovation and Ministry for Foreign Affairs</w:t>
            </w:r>
          </w:p>
        </w:tc>
      </w:tr>
      <w:tr w:rsidR="00EB77C8" w:rsidRPr="00EB77C8" w14:paraId="19606279" w14:textId="77777777" w:rsidTr="00D0051D">
        <w:trPr>
          <w:trHeight w:val="660"/>
        </w:trPr>
        <w:tc>
          <w:tcPr>
            <w:tcW w:w="0" w:type="auto"/>
            <w:shd w:val="clear" w:color="auto" w:fill="auto"/>
            <w:hideMark/>
          </w:tcPr>
          <w:p w14:paraId="185B2B58"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Launch the process to design and implement the national action plan on business and human rights in accordance with the United Nations Guiding Principles on Business and Human Rights. (Recommendation No 117.21)</w:t>
            </w:r>
          </w:p>
        </w:tc>
        <w:tc>
          <w:tcPr>
            <w:tcW w:w="1100" w:type="dxa"/>
            <w:shd w:val="clear" w:color="auto" w:fill="FFFF00"/>
            <w:tcMar>
              <w:top w:w="0" w:type="dxa"/>
              <w:left w:w="0" w:type="dxa"/>
              <w:bottom w:w="0" w:type="dxa"/>
              <w:right w:w="0" w:type="dxa"/>
            </w:tcMar>
          </w:tcPr>
          <w:p w14:paraId="7C9A7E52"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4DED0833" w14:textId="77777777" w:rsidR="00740063" w:rsidRPr="00EB77C8" w:rsidRDefault="00EB77C8" w:rsidP="00C734E1">
            <w:pPr>
              <w:spacing w:after="0" w:line="240" w:lineRule="auto"/>
              <w:rPr>
                <w:rFonts w:asciiTheme="majorHAnsi" w:eastAsia="Times New Roman" w:hAnsiTheme="majorHAnsi" w:cstheme="majorBidi"/>
                <w:sz w:val="24"/>
                <w:szCs w:val="24"/>
              </w:rPr>
            </w:pPr>
            <w:r>
              <w:rPr>
                <w:rFonts w:asciiTheme="majorHAnsi" w:hAnsiTheme="majorHAnsi"/>
                <w:sz w:val="24"/>
                <w:szCs w:val="24"/>
              </w:rPr>
              <w:t>Ministry of Industry and Innovation and Ministry for Foreign Affairs</w:t>
            </w:r>
          </w:p>
        </w:tc>
      </w:tr>
      <w:tr w:rsidR="000B7877" w:rsidRPr="00EB77C8" w14:paraId="3DECD05D" w14:textId="77777777" w:rsidTr="0034204D">
        <w:trPr>
          <w:trHeight w:val="228"/>
        </w:trPr>
        <w:tc>
          <w:tcPr>
            <w:tcW w:w="9072" w:type="dxa"/>
            <w:gridSpan w:val="3"/>
            <w:shd w:val="clear" w:color="auto" w:fill="C6D9F0"/>
            <w:hideMark/>
          </w:tcPr>
          <w:p w14:paraId="21AE7C8C" w14:textId="77777777" w:rsidR="000B7877" w:rsidRPr="00EB77C8" w:rsidRDefault="000B7877" w:rsidP="00C734E1">
            <w:pPr>
              <w:pStyle w:val="Heading3"/>
              <w:spacing w:line="240" w:lineRule="auto"/>
              <w:jc w:val="left"/>
              <w:rPr>
                <w:sz w:val="24"/>
                <w:szCs w:val="24"/>
              </w:rPr>
            </w:pPr>
            <w:r>
              <w:t>Right to life</w:t>
            </w:r>
          </w:p>
        </w:tc>
      </w:tr>
      <w:tr w:rsidR="00EB77C8" w:rsidRPr="00EB77C8" w14:paraId="10085F66" w14:textId="77777777" w:rsidTr="0034204D">
        <w:trPr>
          <w:trHeight w:val="660"/>
        </w:trPr>
        <w:tc>
          <w:tcPr>
            <w:tcW w:w="0" w:type="auto"/>
            <w:shd w:val="clear" w:color="auto" w:fill="auto"/>
            <w:hideMark/>
          </w:tcPr>
          <w:p w14:paraId="410260E4"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Carry out the adoption of the action plan for the prevention of all forms of violence with a view to strengthening the framework for the protection of all victims, in particular those belonging to vulnerable groups. (Recommendation No 115.62)</w:t>
            </w:r>
          </w:p>
        </w:tc>
        <w:tc>
          <w:tcPr>
            <w:tcW w:w="1100" w:type="dxa"/>
            <w:shd w:val="clear" w:color="auto" w:fill="92D050"/>
            <w:tcMar>
              <w:top w:w="0" w:type="dxa"/>
              <w:left w:w="0" w:type="dxa"/>
              <w:bottom w:w="0" w:type="dxa"/>
              <w:right w:w="0" w:type="dxa"/>
            </w:tcMar>
          </w:tcPr>
          <w:p w14:paraId="134BF441"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6603B813" w14:textId="6ADBA6FB" w:rsidR="00C734E1" w:rsidRPr="00C734E1" w:rsidRDefault="00EB77C8" w:rsidP="00C734E1">
            <w:pPr>
              <w:spacing w:after="0" w:line="240" w:lineRule="auto"/>
              <w:rPr>
                <w:rFonts w:asciiTheme="majorHAnsi" w:hAnsiTheme="majorHAnsi"/>
                <w:sz w:val="24"/>
                <w:szCs w:val="24"/>
              </w:rPr>
            </w:pPr>
            <w:r>
              <w:rPr>
                <w:rFonts w:asciiTheme="majorHAnsi" w:hAnsiTheme="majorHAnsi"/>
                <w:sz w:val="24"/>
                <w:szCs w:val="24"/>
              </w:rPr>
              <w:t>Ministry of Justice</w:t>
            </w:r>
          </w:p>
          <w:p w14:paraId="63E62AE4" w14:textId="3E61B54B" w:rsidR="00C734E1" w:rsidRPr="00EB77C8" w:rsidRDefault="00C734E1" w:rsidP="00C734E1">
            <w:pPr>
              <w:spacing w:after="0" w:line="240" w:lineRule="auto"/>
              <w:rPr>
                <w:rFonts w:asciiTheme="majorHAnsi" w:eastAsia="Times New Roman" w:hAnsiTheme="majorHAnsi" w:cstheme="majorHAnsi"/>
                <w:sz w:val="24"/>
                <w:szCs w:val="24"/>
              </w:rPr>
            </w:pPr>
          </w:p>
        </w:tc>
      </w:tr>
      <w:tr w:rsidR="000B7877" w:rsidRPr="00EB77C8" w14:paraId="20DC97DB" w14:textId="77777777" w:rsidTr="0034204D">
        <w:trPr>
          <w:trHeight w:val="228"/>
        </w:trPr>
        <w:tc>
          <w:tcPr>
            <w:tcW w:w="9072" w:type="dxa"/>
            <w:gridSpan w:val="3"/>
            <w:shd w:val="clear" w:color="auto" w:fill="C6D9F0"/>
            <w:hideMark/>
          </w:tcPr>
          <w:p w14:paraId="3FD9C80E" w14:textId="208BB72E" w:rsidR="000B7877" w:rsidRPr="00C734E1" w:rsidRDefault="000B7877" w:rsidP="00C734E1">
            <w:pPr>
              <w:pStyle w:val="Heading3"/>
              <w:spacing w:line="240" w:lineRule="auto"/>
              <w:jc w:val="left"/>
            </w:pPr>
            <w:r>
              <w:t>Prohibition of torture and cruel, inhuman or degrading treatment</w:t>
            </w:r>
          </w:p>
        </w:tc>
      </w:tr>
      <w:tr w:rsidR="00EB77C8" w:rsidRPr="00EB77C8" w14:paraId="3321A70F" w14:textId="77777777" w:rsidTr="0034204D">
        <w:trPr>
          <w:trHeight w:val="444"/>
        </w:trPr>
        <w:tc>
          <w:tcPr>
            <w:tcW w:w="0" w:type="auto"/>
            <w:shd w:val="clear" w:color="auto" w:fill="auto"/>
            <w:hideMark/>
          </w:tcPr>
          <w:p w14:paraId="49BA6D12"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Establish without delay an effective, well-resourced and staffed national preventive mechanism according to the Optional Protocol to the Convention against Torture. (Recommendation No 115.8)</w:t>
            </w:r>
          </w:p>
        </w:tc>
        <w:tc>
          <w:tcPr>
            <w:tcW w:w="1100" w:type="dxa"/>
            <w:shd w:val="clear" w:color="auto" w:fill="92D050"/>
            <w:tcMar>
              <w:top w:w="0" w:type="dxa"/>
              <w:left w:w="0" w:type="dxa"/>
              <w:bottom w:w="0" w:type="dxa"/>
              <w:right w:w="0" w:type="dxa"/>
            </w:tcMar>
          </w:tcPr>
          <w:p w14:paraId="0FF73471"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19A391EB"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w:t>
            </w:r>
          </w:p>
        </w:tc>
      </w:tr>
      <w:tr w:rsidR="000B7877" w:rsidRPr="00EB77C8" w14:paraId="05D55401" w14:textId="77777777" w:rsidTr="0034204D">
        <w:trPr>
          <w:trHeight w:val="228"/>
        </w:trPr>
        <w:tc>
          <w:tcPr>
            <w:tcW w:w="9072" w:type="dxa"/>
            <w:gridSpan w:val="3"/>
            <w:shd w:val="clear" w:color="auto" w:fill="C6D9F0"/>
            <w:hideMark/>
          </w:tcPr>
          <w:p w14:paraId="420CF30F" w14:textId="008FDDD6" w:rsidR="000B7877" w:rsidRPr="00C734E1" w:rsidRDefault="000B7877" w:rsidP="00C734E1">
            <w:pPr>
              <w:pStyle w:val="Heading3"/>
              <w:spacing w:line="240" w:lineRule="auto"/>
              <w:jc w:val="left"/>
            </w:pPr>
            <w:r>
              <w:t>Prohibition of slavery, trafficking</w:t>
            </w:r>
          </w:p>
        </w:tc>
      </w:tr>
      <w:tr w:rsidR="00EB77C8" w:rsidRPr="00EB77C8" w14:paraId="1C7BB899" w14:textId="77777777" w:rsidTr="0034204D">
        <w:trPr>
          <w:trHeight w:val="444"/>
        </w:trPr>
        <w:tc>
          <w:tcPr>
            <w:tcW w:w="0" w:type="auto"/>
            <w:shd w:val="clear" w:color="auto" w:fill="auto"/>
            <w:hideMark/>
          </w:tcPr>
          <w:p w14:paraId="64045DC3"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Exert further efforts to implement the national plan to combat human trafficking. (Recommendation No 115.60)</w:t>
            </w:r>
          </w:p>
        </w:tc>
        <w:tc>
          <w:tcPr>
            <w:tcW w:w="1100" w:type="dxa"/>
            <w:shd w:val="clear" w:color="auto" w:fill="7FFFD4"/>
            <w:tcMar>
              <w:top w:w="0" w:type="dxa"/>
              <w:left w:w="0" w:type="dxa"/>
              <w:bottom w:w="0" w:type="dxa"/>
              <w:right w:w="0" w:type="dxa"/>
            </w:tcMar>
          </w:tcPr>
          <w:p w14:paraId="168DF2E9"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5EAC8BCA"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w:t>
            </w:r>
          </w:p>
        </w:tc>
      </w:tr>
      <w:tr w:rsidR="00EB77C8" w:rsidRPr="00EB77C8" w14:paraId="76B18C1E" w14:textId="77777777" w:rsidTr="0034204D">
        <w:trPr>
          <w:trHeight w:val="444"/>
        </w:trPr>
        <w:tc>
          <w:tcPr>
            <w:tcW w:w="0" w:type="auto"/>
            <w:shd w:val="clear" w:color="auto" w:fill="auto"/>
            <w:hideMark/>
          </w:tcPr>
          <w:p w14:paraId="516594DB"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Increase efforts to prosecute and convict human traffickers through the training of investigators, prosecutors and judges on detecting and prosecuting such crimes. (Recommendation No 115.59)</w:t>
            </w:r>
          </w:p>
        </w:tc>
        <w:tc>
          <w:tcPr>
            <w:tcW w:w="1100" w:type="dxa"/>
            <w:shd w:val="clear" w:color="auto" w:fill="7FFFD4"/>
            <w:tcMar>
              <w:top w:w="0" w:type="dxa"/>
              <w:left w:w="0" w:type="dxa"/>
              <w:bottom w:w="0" w:type="dxa"/>
              <w:right w:w="0" w:type="dxa"/>
            </w:tcMar>
          </w:tcPr>
          <w:p w14:paraId="410C7624"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161D2217"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w:t>
            </w:r>
          </w:p>
        </w:tc>
      </w:tr>
      <w:tr w:rsidR="00EB77C8" w:rsidRPr="00EB77C8" w14:paraId="6A632AE3" w14:textId="77777777" w:rsidTr="0034204D">
        <w:trPr>
          <w:trHeight w:val="660"/>
        </w:trPr>
        <w:tc>
          <w:tcPr>
            <w:tcW w:w="0" w:type="auto"/>
            <w:shd w:val="clear" w:color="auto" w:fill="auto"/>
            <w:hideMark/>
          </w:tcPr>
          <w:p w14:paraId="14594AD8"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Increase focus on supervisory and control mechanisms in the labour market. Develop a wider scope of protection against discrimination and more tools to address the rights of persons who are subject to human trafficking. (Recommendation No 115.61)</w:t>
            </w:r>
          </w:p>
        </w:tc>
        <w:tc>
          <w:tcPr>
            <w:tcW w:w="1100" w:type="dxa"/>
            <w:shd w:val="clear" w:color="auto" w:fill="7FFFD4"/>
            <w:tcMar>
              <w:top w:w="0" w:type="dxa"/>
              <w:left w:w="0" w:type="dxa"/>
              <w:bottom w:w="0" w:type="dxa"/>
              <w:right w:w="0" w:type="dxa"/>
            </w:tcMar>
          </w:tcPr>
          <w:p w14:paraId="40990255"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48FB43C1"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 and Ministry of Social Affairs</w:t>
            </w:r>
          </w:p>
        </w:tc>
      </w:tr>
      <w:tr w:rsidR="00EB77C8" w:rsidRPr="00EB77C8" w14:paraId="25447868" w14:textId="77777777" w:rsidTr="0034204D">
        <w:trPr>
          <w:trHeight w:val="228"/>
        </w:trPr>
        <w:tc>
          <w:tcPr>
            <w:tcW w:w="0" w:type="auto"/>
            <w:shd w:val="clear" w:color="auto" w:fill="auto"/>
            <w:hideMark/>
          </w:tcPr>
          <w:p w14:paraId="79713641"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Eradicate the crimes of sexual abuse and trafficking in children. (Recommendation No 117.37)</w:t>
            </w:r>
          </w:p>
        </w:tc>
        <w:tc>
          <w:tcPr>
            <w:tcW w:w="1100" w:type="dxa"/>
            <w:shd w:val="clear" w:color="auto" w:fill="7FFFD4"/>
            <w:tcMar>
              <w:top w:w="0" w:type="dxa"/>
              <w:left w:w="0" w:type="dxa"/>
              <w:bottom w:w="0" w:type="dxa"/>
              <w:right w:w="0" w:type="dxa"/>
            </w:tcMar>
          </w:tcPr>
          <w:p w14:paraId="073B5C1E"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0B49B229"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w:t>
            </w:r>
          </w:p>
        </w:tc>
      </w:tr>
      <w:tr w:rsidR="000B7877" w:rsidRPr="00EB77C8" w14:paraId="022B0902" w14:textId="77777777" w:rsidTr="0034204D">
        <w:trPr>
          <w:trHeight w:val="228"/>
        </w:trPr>
        <w:tc>
          <w:tcPr>
            <w:tcW w:w="9072" w:type="dxa"/>
            <w:gridSpan w:val="3"/>
            <w:shd w:val="clear" w:color="auto" w:fill="C6D9F0"/>
            <w:hideMark/>
          </w:tcPr>
          <w:p w14:paraId="4ECBF962" w14:textId="77777777" w:rsidR="000B7877" w:rsidRPr="00EB77C8" w:rsidRDefault="000B7877" w:rsidP="00C734E1">
            <w:pPr>
              <w:pStyle w:val="Heading3"/>
              <w:spacing w:line="240" w:lineRule="auto"/>
              <w:jc w:val="left"/>
            </w:pPr>
            <w:r>
              <w:t>Gender-based violence and domestic violence</w:t>
            </w:r>
          </w:p>
        </w:tc>
      </w:tr>
      <w:tr w:rsidR="00EB77C8" w:rsidRPr="00EB77C8" w14:paraId="7A769746" w14:textId="77777777" w:rsidTr="0034204D">
        <w:trPr>
          <w:trHeight w:val="444"/>
        </w:trPr>
        <w:tc>
          <w:tcPr>
            <w:tcW w:w="0" w:type="auto"/>
            <w:shd w:val="clear" w:color="auto" w:fill="auto"/>
            <w:hideMark/>
          </w:tcPr>
          <w:p w14:paraId="4805547D"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Guarantee adequate legal protection and rehabilitation of victims of sexual violence. (Recommendation No 117.36)</w:t>
            </w:r>
          </w:p>
        </w:tc>
        <w:tc>
          <w:tcPr>
            <w:tcW w:w="1100" w:type="dxa"/>
            <w:shd w:val="clear" w:color="auto" w:fill="7FFFD4"/>
            <w:tcMar>
              <w:top w:w="0" w:type="dxa"/>
              <w:left w:w="0" w:type="dxa"/>
              <w:bottom w:w="0" w:type="dxa"/>
              <w:right w:w="0" w:type="dxa"/>
            </w:tcMar>
          </w:tcPr>
          <w:p w14:paraId="0F871330"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4BF7BF66"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 and Ministry of Social Affairs</w:t>
            </w:r>
          </w:p>
        </w:tc>
      </w:tr>
      <w:tr w:rsidR="00EB77C8" w:rsidRPr="00EB77C8" w14:paraId="5066C30B" w14:textId="77777777" w:rsidTr="0034204D">
        <w:trPr>
          <w:trHeight w:val="888"/>
        </w:trPr>
        <w:tc>
          <w:tcPr>
            <w:tcW w:w="0" w:type="auto"/>
            <w:shd w:val="clear" w:color="auto" w:fill="auto"/>
            <w:hideMark/>
          </w:tcPr>
          <w:p w14:paraId="329655DC"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Conduct follow-up activities related to the implementation of national legislation and awareness campaigns aimed at reducing the number of cases of domestic violence. Ensure that sentencing laws are appropriate and adequate to address domestic and sexual violence. (Recommendations No 115.84 and 115.88)</w:t>
            </w:r>
          </w:p>
        </w:tc>
        <w:tc>
          <w:tcPr>
            <w:tcW w:w="1100" w:type="dxa"/>
            <w:shd w:val="clear" w:color="auto" w:fill="7FFFD4"/>
            <w:tcMar>
              <w:top w:w="0" w:type="dxa"/>
              <w:left w:w="0" w:type="dxa"/>
              <w:bottom w:w="0" w:type="dxa"/>
              <w:right w:w="0" w:type="dxa"/>
            </w:tcMar>
          </w:tcPr>
          <w:p w14:paraId="4C68B575"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68062FDB"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 and Ministry of Social Affairs</w:t>
            </w:r>
          </w:p>
        </w:tc>
      </w:tr>
      <w:tr w:rsidR="00EB77C8" w:rsidRPr="00EB77C8" w14:paraId="4584F2D9" w14:textId="77777777" w:rsidTr="0034204D">
        <w:trPr>
          <w:trHeight w:val="888"/>
        </w:trPr>
        <w:tc>
          <w:tcPr>
            <w:tcW w:w="0" w:type="auto"/>
            <w:shd w:val="clear" w:color="auto" w:fill="auto"/>
            <w:hideMark/>
          </w:tcPr>
          <w:p w14:paraId="115558B6" w14:textId="63C5469D" w:rsidR="00740063" w:rsidRPr="00EB77C8" w:rsidRDefault="00C734E1" w:rsidP="00C734E1">
            <w:pPr>
              <w:spacing w:after="0" w:line="240" w:lineRule="auto"/>
              <w:rPr>
                <w:rFonts w:asciiTheme="majorHAnsi" w:eastAsia="Times New Roman" w:hAnsiTheme="majorHAnsi" w:cstheme="majorHAnsi"/>
                <w:sz w:val="24"/>
                <w:szCs w:val="24"/>
              </w:rPr>
            </w:pPr>
            <w:r>
              <w:br w:type="page"/>
            </w:r>
            <w:r w:rsidR="00740063">
              <w:rPr>
                <w:rFonts w:asciiTheme="majorHAnsi" w:hAnsiTheme="majorHAnsi"/>
                <w:sz w:val="24"/>
                <w:szCs w:val="24"/>
              </w:rPr>
              <w:t>Intensify measures to raise awareness of domestic violence. Promote understanding of domestic violence among judges, prosecutors, police and the health officers concerned. Conduct follow-up activities related to the implementation of national legislation and awareness campaigns aimed at reducing the number of cases of domestic violence. (Recommendations No 115.86, 115.78 and 115.84)</w:t>
            </w:r>
          </w:p>
        </w:tc>
        <w:tc>
          <w:tcPr>
            <w:tcW w:w="1100" w:type="dxa"/>
            <w:shd w:val="clear" w:color="auto" w:fill="7FFFD4"/>
            <w:tcMar>
              <w:top w:w="0" w:type="dxa"/>
              <w:left w:w="0" w:type="dxa"/>
              <w:bottom w:w="0" w:type="dxa"/>
              <w:right w:w="0" w:type="dxa"/>
            </w:tcMar>
          </w:tcPr>
          <w:p w14:paraId="1238FE2F"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2F7C102A"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w:t>
            </w:r>
          </w:p>
        </w:tc>
      </w:tr>
      <w:tr w:rsidR="00EB77C8" w:rsidRPr="00EB77C8" w14:paraId="21443A0B" w14:textId="77777777" w:rsidTr="0059674A">
        <w:trPr>
          <w:trHeight w:val="589"/>
        </w:trPr>
        <w:tc>
          <w:tcPr>
            <w:tcW w:w="0" w:type="auto"/>
            <w:shd w:val="clear" w:color="auto" w:fill="auto"/>
            <w:hideMark/>
          </w:tcPr>
          <w:p w14:paraId="186555A3"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Update the Plan against Domestic and Sexual Violence. Pay special attention to combating domestic and sexual violence by implementing a new national action plan and ensure that it reinforces the provision of services to victims of sexual violence, both for women and girls and for immigrants and minority groups. (Recommendations No 115.82, 115.83 and 115.22)</w:t>
            </w:r>
          </w:p>
        </w:tc>
        <w:tc>
          <w:tcPr>
            <w:tcW w:w="1100" w:type="dxa"/>
            <w:shd w:val="clear" w:color="auto" w:fill="92D050"/>
            <w:tcMar>
              <w:top w:w="0" w:type="dxa"/>
              <w:left w:w="0" w:type="dxa"/>
              <w:bottom w:w="0" w:type="dxa"/>
              <w:right w:w="0" w:type="dxa"/>
            </w:tcMar>
          </w:tcPr>
          <w:p w14:paraId="029309C9"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5DEB2701"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 and Ministry of Social Affairs</w:t>
            </w:r>
          </w:p>
        </w:tc>
      </w:tr>
      <w:tr w:rsidR="00EB77C8" w:rsidRPr="00EB77C8" w14:paraId="2BC84177" w14:textId="77777777" w:rsidTr="0034204D">
        <w:trPr>
          <w:trHeight w:val="589"/>
        </w:trPr>
        <w:tc>
          <w:tcPr>
            <w:tcW w:w="0" w:type="auto"/>
            <w:shd w:val="clear" w:color="auto" w:fill="auto"/>
            <w:hideMark/>
          </w:tcPr>
          <w:p w14:paraId="517378F5"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Improve access to justice for women that are victims of domestic violence and gender-based violence. Closely monitor the investigation and prosecution of cases of domestic and sexual violence and their effectiveness and improve access to justice for victims of such violence. Promote understanding of this kind of violence among judges, police, prosecutors and other relevant professionals. Ensure that victims of domestic, gender-based and sexual violence are able to report incidents and press charges without fear of adverse consequences in case of losing in court. (Recommendations No 115.87, 115.89 and 117.34)</w:t>
            </w:r>
          </w:p>
        </w:tc>
        <w:tc>
          <w:tcPr>
            <w:tcW w:w="1100" w:type="dxa"/>
            <w:shd w:val="clear" w:color="auto" w:fill="7FFFD4"/>
            <w:tcMar>
              <w:top w:w="0" w:type="dxa"/>
              <w:left w:w="0" w:type="dxa"/>
              <w:bottom w:w="0" w:type="dxa"/>
              <w:right w:w="0" w:type="dxa"/>
            </w:tcMar>
          </w:tcPr>
          <w:p w14:paraId="55F43B59"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1595B833"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w:t>
            </w:r>
          </w:p>
        </w:tc>
      </w:tr>
      <w:tr w:rsidR="00EB77C8" w:rsidRPr="00EB77C8" w14:paraId="0B17EB7E" w14:textId="77777777" w:rsidTr="0034204D">
        <w:trPr>
          <w:trHeight w:val="660"/>
        </w:trPr>
        <w:tc>
          <w:tcPr>
            <w:tcW w:w="0" w:type="auto"/>
            <w:shd w:val="clear" w:color="auto" w:fill="auto"/>
            <w:hideMark/>
          </w:tcPr>
          <w:p w14:paraId="3C8429E7"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Deepen the measures taken to combat gender-based violence, sexual abuses and violations suffered by women with a special focus on migrant women and women with disabilities. (Recommendations No 115.75 – 115.76)</w:t>
            </w:r>
          </w:p>
        </w:tc>
        <w:tc>
          <w:tcPr>
            <w:tcW w:w="1100" w:type="dxa"/>
            <w:shd w:val="clear" w:color="auto" w:fill="7FFFD4"/>
            <w:tcMar>
              <w:top w:w="0" w:type="dxa"/>
              <w:left w:w="0" w:type="dxa"/>
              <w:bottom w:w="0" w:type="dxa"/>
              <w:right w:w="0" w:type="dxa"/>
            </w:tcMar>
          </w:tcPr>
          <w:p w14:paraId="35485B2F"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33DEF2DE" w14:textId="349F52C6" w:rsidR="00740063" w:rsidRPr="00EB77C8" w:rsidRDefault="00EB77C8" w:rsidP="00C734E1">
            <w:pPr>
              <w:spacing w:after="0" w:line="240" w:lineRule="auto"/>
              <w:rPr>
                <w:rFonts w:asciiTheme="majorHAnsi" w:eastAsia="Times New Roman" w:hAnsiTheme="majorHAnsi" w:cstheme="majorBidi"/>
                <w:sz w:val="24"/>
                <w:szCs w:val="24"/>
              </w:rPr>
            </w:pPr>
            <w:r>
              <w:rPr>
                <w:rFonts w:asciiTheme="majorHAnsi" w:hAnsiTheme="majorHAnsi"/>
                <w:sz w:val="24"/>
                <w:szCs w:val="24"/>
              </w:rPr>
              <w:t>Ministry of Justice</w:t>
            </w:r>
            <w:r w:rsidR="00BC6588">
              <w:rPr>
                <w:rFonts w:asciiTheme="majorHAnsi" w:hAnsiTheme="majorHAnsi"/>
                <w:sz w:val="24"/>
                <w:szCs w:val="24"/>
              </w:rPr>
              <w:t xml:space="preserve">, Prime </w:t>
            </w:r>
            <w:r w:rsidR="00BC6588" w:rsidRPr="00A606BD">
              <w:rPr>
                <w:rFonts w:asciiTheme="majorHAnsi" w:hAnsiTheme="majorHAnsi"/>
                <w:sz w:val="24"/>
                <w:szCs w:val="24"/>
              </w:rPr>
              <w:t>Minister’s Office and Ministry of Social Affairs</w:t>
            </w:r>
          </w:p>
        </w:tc>
      </w:tr>
      <w:tr w:rsidR="00EB77C8" w:rsidRPr="00EB77C8" w14:paraId="5B57F3F2" w14:textId="77777777" w:rsidTr="0034204D">
        <w:trPr>
          <w:trHeight w:val="888"/>
        </w:trPr>
        <w:tc>
          <w:tcPr>
            <w:tcW w:w="0" w:type="auto"/>
            <w:shd w:val="clear" w:color="auto" w:fill="auto"/>
            <w:hideMark/>
          </w:tcPr>
          <w:p w14:paraId="2FB20722" w14:textId="1AAB3BFB" w:rsidR="00C734E1" w:rsidRPr="00C734E1" w:rsidRDefault="00740063" w:rsidP="00C734E1">
            <w:pPr>
              <w:spacing w:after="0" w:line="240" w:lineRule="auto"/>
              <w:rPr>
                <w:rFonts w:asciiTheme="majorHAnsi" w:hAnsiTheme="majorHAnsi"/>
                <w:sz w:val="24"/>
                <w:szCs w:val="24"/>
              </w:rPr>
            </w:pPr>
            <w:r>
              <w:rPr>
                <w:rFonts w:asciiTheme="majorHAnsi" w:hAnsiTheme="majorHAnsi"/>
                <w:sz w:val="24"/>
                <w:szCs w:val="24"/>
              </w:rPr>
              <w:t>Put into practice a new action plan to combat sexual violence. Adopt a national plan against sexual and domestic violence that takes into account the specific needs and vulnerabilities of migrant women and women with disabilities. (Recommendations No 115.79 – 115.81)</w:t>
            </w:r>
          </w:p>
        </w:tc>
        <w:tc>
          <w:tcPr>
            <w:tcW w:w="1100" w:type="dxa"/>
            <w:shd w:val="clear" w:color="auto" w:fill="92D050"/>
            <w:tcMar>
              <w:top w:w="0" w:type="dxa"/>
              <w:left w:w="0" w:type="dxa"/>
              <w:bottom w:w="0" w:type="dxa"/>
              <w:right w:w="0" w:type="dxa"/>
            </w:tcMar>
          </w:tcPr>
          <w:p w14:paraId="5BC86C55"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32F0CF92"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Prime Minister’s Office, Ministry of Justice and Ministry of Social Affairs</w:t>
            </w:r>
          </w:p>
        </w:tc>
      </w:tr>
      <w:tr w:rsidR="00EB77C8" w:rsidRPr="00EB77C8" w14:paraId="71572F46" w14:textId="77777777" w:rsidTr="0034204D">
        <w:trPr>
          <w:trHeight w:val="660"/>
        </w:trPr>
        <w:tc>
          <w:tcPr>
            <w:tcW w:w="0" w:type="auto"/>
            <w:shd w:val="clear" w:color="auto" w:fill="auto"/>
            <w:hideMark/>
          </w:tcPr>
          <w:p w14:paraId="583677EF"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Strengthen awareness-raising plans and programmes on violence against women, including training programmes aimed at increasing sensitivity towards victims and their vulnerabilities. (Recommendation No 115.77)</w:t>
            </w:r>
          </w:p>
        </w:tc>
        <w:tc>
          <w:tcPr>
            <w:tcW w:w="1100" w:type="dxa"/>
            <w:shd w:val="clear" w:color="auto" w:fill="7FFFD4"/>
            <w:tcMar>
              <w:top w:w="0" w:type="dxa"/>
              <w:left w:w="0" w:type="dxa"/>
              <w:bottom w:w="0" w:type="dxa"/>
              <w:right w:w="0" w:type="dxa"/>
            </w:tcMar>
          </w:tcPr>
          <w:p w14:paraId="3CA3F0AE"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7855096A"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 Ministry of Social Affairs and Prime Minister’s Office</w:t>
            </w:r>
          </w:p>
        </w:tc>
      </w:tr>
      <w:tr w:rsidR="00EB77C8" w:rsidRPr="00EB77C8" w14:paraId="26F15672" w14:textId="77777777" w:rsidTr="0034204D">
        <w:trPr>
          <w:trHeight w:val="444"/>
        </w:trPr>
        <w:tc>
          <w:tcPr>
            <w:tcW w:w="0" w:type="auto"/>
            <w:shd w:val="clear" w:color="auto" w:fill="auto"/>
            <w:hideMark/>
          </w:tcPr>
          <w:p w14:paraId="38BD95BA"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Address the causes of the high number of acquittals in sexual violence cases against women. (Recommendation No 115.85)</w:t>
            </w:r>
          </w:p>
        </w:tc>
        <w:tc>
          <w:tcPr>
            <w:tcW w:w="1100" w:type="dxa"/>
            <w:shd w:val="clear" w:color="auto" w:fill="7FFFD4"/>
            <w:tcMar>
              <w:top w:w="0" w:type="dxa"/>
              <w:left w:w="0" w:type="dxa"/>
              <w:bottom w:w="0" w:type="dxa"/>
              <w:right w:w="0" w:type="dxa"/>
            </w:tcMar>
          </w:tcPr>
          <w:p w14:paraId="5C25DFCE"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3407B682"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 and Prime Minister’s Office</w:t>
            </w:r>
          </w:p>
        </w:tc>
      </w:tr>
      <w:tr w:rsidR="00C21740" w:rsidRPr="00EB77C8" w14:paraId="4CF86FFD" w14:textId="77777777" w:rsidTr="0034204D">
        <w:trPr>
          <w:trHeight w:val="228"/>
        </w:trPr>
        <w:tc>
          <w:tcPr>
            <w:tcW w:w="9072" w:type="dxa"/>
            <w:gridSpan w:val="3"/>
            <w:shd w:val="clear" w:color="auto" w:fill="C6D9F0"/>
            <w:hideMark/>
          </w:tcPr>
          <w:p w14:paraId="138E1641" w14:textId="77777777" w:rsidR="00C21740" w:rsidRPr="00EB77C8" w:rsidRDefault="00C21740" w:rsidP="00C734E1">
            <w:pPr>
              <w:pStyle w:val="Heading3"/>
              <w:spacing w:line="240" w:lineRule="auto"/>
              <w:jc w:val="left"/>
              <w:rPr>
                <w:sz w:val="24"/>
                <w:szCs w:val="24"/>
              </w:rPr>
            </w:pPr>
            <w:r>
              <w:t>Freedom of opinion and expression</w:t>
            </w:r>
          </w:p>
        </w:tc>
      </w:tr>
      <w:tr w:rsidR="00EB77C8" w:rsidRPr="00EB77C8" w14:paraId="51C639C6" w14:textId="77777777" w:rsidTr="0034204D">
        <w:trPr>
          <w:trHeight w:val="660"/>
        </w:trPr>
        <w:tc>
          <w:tcPr>
            <w:tcW w:w="0" w:type="auto"/>
            <w:shd w:val="clear" w:color="auto" w:fill="auto"/>
            <w:hideMark/>
          </w:tcPr>
          <w:p w14:paraId="71ED1579"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While continuing to protect freedom of opinion and expression consistent with article 73 of the Constitution, maintain article 233 (a) of the General Penal Code and article 27 of the Media Act, which explicitly prohibit hate speech and direct incitement to hatred. (Recommendation No 115.58)</w:t>
            </w:r>
          </w:p>
        </w:tc>
        <w:tc>
          <w:tcPr>
            <w:tcW w:w="1100" w:type="dxa"/>
            <w:shd w:val="clear" w:color="auto" w:fill="92D050"/>
            <w:tcMar>
              <w:top w:w="0" w:type="dxa"/>
              <w:left w:w="0" w:type="dxa"/>
              <w:bottom w:w="0" w:type="dxa"/>
              <w:right w:w="0" w:type="dxa"/>
            </w:tcMar>
          </w:tcPr>
          <w:p w14:paraId="2F5DB79F"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3AEA8812" w14:textId="77777777" w:rsidR="00740063" w:rsidRDefault="00EB77C8" w:rsidP="00C734E1">
            <w:pPr>
              <w:spacing w:after="0" w:line="240" w:lineRule="auto"/>
              <w:rPr>
                <w:rFonts w:asciiTheme="majorHAnsi" w:hAnsiTheme="majorHAnsi"/>
                <w:sz w:val="24"/>
                <w:szCs w:val="24"/>
              </w:rPr>
            </w:pPr>
            <w:r>
              <w:rPr>
                <w:rFonts w:asciiTheme="majorHAnsi" w:hAnsiTheme="majorHAnsi"/>
                <w:sz w:val="24"/>
                <w:szCs w:val="24"/>
              </w:rPr>
              <w:t>Ministry of Justice</w:t>
            </w:r>
          </w:p>
          <w:p w14:paraId="395A218F" w14:textId="2945CDE7" w:rsidR="00C734E1" w:rsidRPr="00EB77C8" w:rsidRDefault="00C734E1" w:rsidP="00C734E1">
            <w:pPr>
              <w:spacing w:after="0" w:line="240" w:lineRule="auto"/>
              <w:rPr>
                <w:rFonts w:asciiTheme="majorHAnsi" w:eastAsia="Times New Roman" w:hAnsiTheme="majorHAnsi" w:cstheme="majorHAnsi"/>
                <w:sz w:val="24"/>
                <w:szCs w:val="24"/>
              </w:rPr>
            </w:pPr>
          </w:p>
        </w:tc>
      </w:tr>
      <w:tr w:rsidR="00C21740" w:rsidRPr="00EB77C8" w14:paraId="5D90E38C" w14:textId="77777777" w:rsidTr="0034204D">
        <w:trPr>
          <w:trHeight w:val="228"/>
        </w:trPr>
        <w:tc>
          <w:tcPr>
            <w:tcW w:w="9072" w:type="dxa"/>
            <w:gridSpan w:val="3"/>
            <w:shd w:val="clear" w:color="auto" w:fill="C6D9F0"/>
            <w:hideMark/>
          </w:tcPr>
          <w:p w14:paraId="3CA33E11" w14:textId="77777777" w:rsidR="00C21740" w:rsidRPr="00EB77C8" w:rsidRDefault="00C21740" w:rsidP="00C734E1">
            <w:pPr>
              <w:pStyle w:val="Heading3"/>
              <w:spacing w:line="240" w:lineRule="auto"/>
              <w:jc w:val="left"/>
              <w:rPr>
                <w:sz w:val="24"/>
                <w:szCs w:val="24"/>
              </w:rPr>
            </w:pPr>
            <w:r>
              <w:t>Administration of justice &amp; fair trial</w:t>
            </w:r>
          </w:p>
        </w:tc>
      </w:tr>
      <w:tr w:rsidR="00EB77C8" w:rsidRPr="00EB77C8" w14:paraId="481B8944" w14:textId="77777777" w:rsidTr="0034204D">
        <w:trPr>
          <w:trHeight w:val="444"/>
        </w:trPr>
        <w:tc>
          <w:tcPr>
            <w:tcW w:w="0" w:type="auto"/>
            <w:shd w:val="clear" w:color="auto" w:fill="auto"/>
            <w:hideMark/>
          </w:tcPr>
          <w:p w14:paraId="1A7655BE"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Undertake measures to ensure that domestic courts are put in a position to apply the principles stemming from the European Convention on Human Rights. (Recommendation No 117.15)</w:t>
            </w:r>
          </w:p>
        </w:tc>
        <w:tc>
          <w:tcPr>
            <w:tcW w:w="1100" w:type="dxa"/>
            <w:shd w:val="clear" w:color="auto" w:fill="7FFFD4"/>
            <w:tcMar>
              <w:top w:w="0" w:type="dxa"/>
              <w:left w:w="0" w:type="dxa"/>
              <w:bottom w:w="0" w:type="dxa"/>
              <w:right w:w="0" w:type="dxa"/>
            </w:tcMar>
          </w:tcPr>
          <w:p w14:paraId="48C4125F"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250190C5"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w:t>
            </w:r>
          </w:p>
        </w:tc>
      </w:tr>
      <w:tr w:rsidR="000B7877" w:rsidRPr="00EB77C8" w14:paraId="08A88330" w14:textId="77777777" w:rsidTr="0034204D">
        <w:trPr>
          <w:trHeight w:val="228"/>
        </w:trPr>
        <w:tc>
          <w:tcPr>
            <w:tcW w:w="9072" w:type="dxa"/>
            <w:gridSpan w:val="3"/>
            <w:shd w:val="clear" w:color="auto" w:fill="C6D9F0"/>
            <w:hideMark/>
          </w:tcPr>
          <w:p w14:paraId="636DDC47" w14:textId="77777777" w:rsidR="000B7877" w:rsidRPr="00EB77C8" w:rsidRDefault="000B7877" w:rsidP="00C734E1">
            <w:pPr>
              <w:pStyle w:val="Heading3"/>
              <w:spacing w:line="240" w:lineRule="auto"/>
              <w:jc w:val="left"/>
              <w:rPr>
                <w:sz w:val="24"/>
                <w:szCs w:val="24"/>
              </w:rPr>
            </w:pPr>
            <w:r>
              <w:t>Rights related to marriage &amp; family</w:t>
            </w:r>
          </w:p>
        </w:tc>
      </w:tr>
      <w:tr w:rsidR="00EB77C8" w:rsidRPr="00EB77C8" w14:paraId="7DD19AC8" w14:textId="77777777" w:rsidTr="0034204D">
        <w:trPr>
          <w:trHeight w:val="444"/>
        </w:trPr>
        <w:tc>
          <w:tcPr>
            <w:tcW w:w="0" w:type="auto"/>
            <w:shd w:val="clear" w:color="auto" w:fill="auto"/>
            <w:hideMark/>
          </w:tcPr>
          <w:p w14:paraId="43BD716C"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Provide protection for the family as the natural and fundamental unit of society. (Recommendation No 117.32)</w:t>
            </w:r>
          </w:p>
        </w:tc>
        <w:tc>
          <w:tcPr>
            <w:tcW w:w="1100" w:type="dxa"/>
            <w:shd w:val="clear" w:color="auto" w:fill="92D050"/>
            <w:tcMar>
              <w:top w:w="0" w:type="dxa"/>
              <w:left w:w="0" w:type="dxa"/>
              <w:bottom w:w="0" w:type="dxa"/>
              <w:right w:w="0" w:type="dxa"/>
            </w:tcMar>
          </w:tcPr>
          <w:p w14:paraId="55B523C9"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212AB0E9"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 and Ministry of Social Affairs</w:t>
            </w:r>
          </w:p>
        </w:tc>
      </w:tr>
      <w:tr w:rsidR="00C21740" w:rsidRPr="00EB77C8" w14:paraId="45E6EDD0" w14:textId="77777777" w:rsidTr="0034204D">
        <w:trPr>
          <w:trHeight w:val="228"/>
        </w:trPr>
        <w:tc>
          <w:tcPr>
            <w:tcW w:w="9072" w:type="dxa"/>
            <w:gridSpan w:val="3"/>
            <w:shd w:val="clear" w:color="auto" w:fill="C6D9F0"/>
            <w:hideMark/>
          </w:tcPr>
          <w:p w14:paraId="6D2BD713" w14:textId="77777777" w:rsidR="00C21740" w:rsidRPr="00EB77C8" w:rsidRDefault="00C21740" w:rsidP="00C734E1">
            <w:pPr>
              <w:pStyle w:val="Heading3"/>
              <w:spacing w:line="240" w:lineRule="auto"/>
              <w:jc w:val="left"/>
              <w:rPr>
                <w:sz w:val="24"/>
                <w:szCs w:val="24"/>
              </w:rPr>
            </w:pPr>
            <w:r>
              <w:t>Right to social security</w:t>
            </w:r>
          </w:p>
        </w:tc>
      </w:tr>
      <w:tr w:rsidR="00EB77C8" w:rsidRPr="00EB77C8" w14:paraId="0D7E1AF4" w14:textId="77777777" w:rsidTr="0034204D">
        <w:trPr>
          <w:trHeight w:val="444"/>
        </w:trPr>
        <w:tc>
          <w:tcPr>
            <w:tcW w:w="0" w:type="auto"/>
            <w:shd w:val="clear" w:color="auto" w:fill="auto"/>
            <w:hideMark/>
          </w:tcPr>
          <w:p w14:paraId="473E0C6B"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Revise social benefit programmes for assisting vulnerable families. (Recommendation No 117.30)</w:t>
            </w:r>
          </w:p>
        </w:tc>
        <w:tc>
          <w:tcPr>
            <w:tcW w:w="1100" w:type="dxa"/>
            <w:shd w:val="clear" w:color="auto" w:fill="7FFFD4"/>
            <w:tcMar>
              <w:top w:w="0" w:type="dxa"/>
              <w:left w:w="0" w:type="dxa"/>
              <w:bottom w:w="0" w:type="dxa"/>
              <w:right w:w="0" w:type="dxa"/>
            </w:tcMar>
          </w:tcPr>
          <w:p w14:paraId="326F4621"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71E230FC"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Social Affairs and other ministries</w:t>
            </w:r>
          </w:p>
        </w:tc>
      </w:tr>
      <w:tr w:rsidR="00C21740" w:rsidRPr="00EB77C8" w14:paraId="615504D0" w14:textId="77777777" w:rsidTr="0034204D">
        <w:trPr>
          <w:trHeight w:val="228"/>
        </w:trPr>
        <w:tc>
          <w:tcPr>
            <w:tcW w:w="9072" w:type="dxa"/>
            <w:gridSpan w:val="3"/>
            <w:shd w:val="clear" w:color="auto" w:fill="C6D9F0"/>
            <w:hideMark/>
          </w:tcPr>
          <w:p w14:paraId="39DCA93B" w14:textId="77777777" w:rsidR="00C21740" w:rsidRPr="00EB77C8" w:rsidRDefault="00C21740" w:rsidP="00C734E1">
            <w:pPr>
              <w:pStyle w:val="Heading3"/>
              <w:spacing w:line="240" w:lineRule="auto"/>
              <w:jc w:val="left"/>
            </w:pPr>
            <w:r>
              <w:t>Right to education</w:t>
            </w:r>
          </w:p>
        </w:tc>
      </w:tr>
      <w:tr w:rsidR="00EB77C8" w:rsidRPr="00EB77C8" w14:paraId="461DA2DF" w14:textId="77777777" w:rsidTr="0034204D">
        <w:trPr>
          <w:trHeight w:val="660"/>
        </w:trPr>
        <w:tc>
          <w:tcPr>
            <w:tcW w:w="0" w:type="auto"/>
            <w:shd w:val="clear" w:color="auto" w:fill="auto"/>
            <w:hideMark/>
          </w:tcPr>
          <w:p w14:paraId="15A68B3D"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Continue the efforts in combating and preventing discrimination, especially against persons with disabilities, particularly with respect to the rights to education and social assistance. (Recommendation No 115.97)</w:t>
            </w:r>
          </w:p>
        </w:tc>
        <w:tc>
          <w:tcPr>
            <w:tcW w:w="1100" w:type="dxa"/>
            <w:shd w:val="clear" w:color="auto" w:fill="7FFFD4"/>
            <w:tcMar>
              <w:top w:w="0" w:type="dxa"/>
              <w:left w:w="0" w:type="dxa"/>
              <w:bottom w:w="0" w:type="dxa"/>
              <w:right w:w="0" w:type="dxa"/>
            </w:tcMar>
          </w:tcPr>
          <w:p w14:paraId="31385750"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597A5BB9" w14:textId="77777777" w:rsidR="00740063" w:rsidRPr="00EB77C8" w:rsidRDefault="00EB77C8" w:rsidP="00C734E1">
            <w:pPr>
              <w:spacing w:after="0" w:line="240" w:lineRule="auto"/>
              <w:rPr>
                <w:rFonts w:asciiTheme="majorHAnsi" w:eastAsia="Times New Roman" w:hAnsiTheme="majorHAnsi" w:cstheme="majorHAnsi"/>
                <w:sz w:val="24"/>
                <w:szCs w:val="24"/>
                <w:highlight w:val="yellow"/>
              </w:rPr>
            </w:pPr>
            <w:r>
              <w:rPr>
                <w:rFonts w:asciiTheme="majorHAnsi" w:hAnsiTheme="majorHAnsi"/>
                <w:sz w:val="24"/>
                <w:szCs w:val="24"/>
              </w:rPr>
              <w:t>Ministry of Social Affairs and Ministry of Education, Science and Culture</w:t>
            </w:r>
          </w:p>
        </w:tc>
      </w:tr>
      <w:tr w:rsidR="00EB77C8" w:rsidRPr="00EB77C8" w14:paraId="7B21AF8D" w14:textId="77777777" w:rsidTr="0034204D">
        <w:trPr>
          <w:trHeight w:val="444"/>
        </w:trPr>
        <w:tc>
          <w:tcPr>
            <w:tcW w:w="0" w:type="auto"/>
            <w:shd w:val="clear" w:color="auto" w:fill="auto"/>
            <w:hideMark/>
          </w:tcPr>
          <w:p w14:paraId="79FE169B"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Take further steps to increase the budget for public education and continue to improve school facilities for children. (Recommendation No 117.31)</w:t>
            </w:r>
          </w:p>
        </w:tc>
        <w:tc>
          <w:tcPr>
            <w:tcW w:w="1100" w:type="dxa"/>
            <w:shd w:val="clear" w:color="auto" w:fill="7FFFD4"/>
            <w:tcMar>
              <w:top w:w="0" w:type="dxa"/>
              <w:left w:w="0" w:type="dxa"/>
              <w:bottom w:w="0" w:type="dxa"/>
              <w:right w:w="0" w:type="dxa"/>
            </w:tcMar>
          </w:tcPr>
          <w:p w14:paraId="23B63118"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1F863811"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Education, Science and Culture</w:t>
            </w:r>
          </w:p>
        </w:tc>
      </w:tr>
      <w:tr w:rsidR="00C21740" w:rsidRPr="00EB77C8" w14:paraId="2281DD32" w14:textId="77777777" w:rsidTr="0034204D">
        <w:trPr>
          <w:trHeight w:val="228"/>
        </w:trPr>
        <w:tc>
          <w:tcPr>
            <w:tcW w:w="9072" w:type="dxa"/>
            <w:gridSpan w:val="3"/>
            <w:shd w:val="clear" w:color="auto" w:fill="C6D9F0"/>
            <w:hideMark/>
          </w:tcPr>
          <w:p w14:paraId="5658AA15" w14:textId="77777777" w:rsidR="00C21740" w:rsidRPr="00EB77C8" w:rsidRDefault="00C21740" w:rsidP="00C734E1">
            <w:pPr>
              <w:pStyle w:val="Heading3"/>
              <w:spacing w:line="240" w:lineRule="auto"/>
              <w:jc w:val="left"/>
              <w:rPr>
                <w:sz w:val="24"/>
                <w:szCs w:val="24"/>
              </w:rPr>
            </w:pPr>
            <w:r>
              <w:t>Participation of women in political and public life</w:t>
            </w:r>
          </w:p>
        </w:tc>
      </w:tr>
      <w:tr w:rsidR="00EB77C8" w:rsidRPr="00EB77C8" w14:paraId="4094B011" w14:textId="77777777" w:rsidTr="0034204D">
        <w:trPr>
          <w:trHeight w:val="888"/>
        </w:trPr>
        <w:tc>
          <w:tcPr>
            <w:tcW w:w="0" w:type="auto"/>
            <w:shd w:val="clear" w:color="auto" w:fill="auto"/>
            <w:hideMark/>
          </w:tcPr>
          <w:p w14:paraId="6B0F7A6A"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Promote the political participation of women in public positions of power (Recommendation No 115.63)</w:t>
            </w:r>
          </w:p>
        </w:tc>
        <w:tc>
          <w:tcPr>
            <w:tcW w:w="1100" w:type="dxa"/>
            <w:shd w:val="clear" w:color="auto" w:fill="7FFFD4"/>
            <w:tcMar>
              <w:top w:w="0" w:type="dxa"/>
              <w:left w:w="0" w:type="dxa"/>
              <w:bottom w:w="0" w:type="dxa"/>
              <w:right w:w="0" w:type="dxa"/>
            </w:tcMar>
          </w:tcPr>
          <w:p w14:paraId="4BD817A3"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3C0FAE0B"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Prime Minister’s Office and Ministry of Transport and Local Government and other ministries</w:t>
            </w:r>
          </w:p>
        </w:tc>
      </w:tr>
      <w:tr w:rsidR="00C21740" w:rsidRPr="00EB77C8" w14:paraId="02527652" w14:textId="77777777" w:rsidTr="0034204D">
        <w:trPr>
          <w:trHeight w:val="228"/>
        </w:trPr>
        <w:tc>
          <w:tcPr>
            <w:tcW w:w="9072" w:type="dxa"/>
            <w:gridSpan w:val="3"/>
            <w:shd w:val="clear" w:color="auto" w:fill="C6D9F0"/>
            <w:hideMark/>
          </w:tcPr>
          <w:p w14:paraId="23334E60" w14:textId="77777777" w:rsidR="00C21740" w:rsidRPr="00EB77C8" w:rsidRDefault="00C21740" w:rsidP="00C734E1">
            <w:pPr>
              <w:pStyle w:val="Heading3"/>
              <w:spacing w:line="240" w:lineRule="auto"/>
              <w:jc w:val="left"/>
              <w:rPr>
                <w:sz w:val="24"/>
                <w:szCs w:val="24"/>
              </w:rPr>
            </w:pPr>
            <w:r>
              <w:t>Discrimination against women &amp; status of women</w:t>
            </w:r>
          </w:p>
        </w:tc>
      </w:tr>
      <w:tr w:rsidR="00EB77C8" w:rsidRPr="00EB77C8" w14:paraId="4C79568C" w14:textId="77777777" w:rsidTr="0034204D">
        <w:trPr>
          <w:trHeight w:val="444"/>
        </w:trPr>
        <w:tc>
          <w:tcPr>
            <w:tcW w:w="0" w:type="auto"/>
            <w:shd w:val="clear" w:color="auto" w:fill="auto"/>
            <w:hideMark/>
          </w:tcPr>
          <w:p w14:paraId="3091D92B"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Continue proactive efforts in order to ensure full gender equality in education and the labour market. (Recommendations No 115.70 and 115.73)</w:t>
            </w:r>
          </w:p>
        </w:tc>
        <w:tc>
          <w:tcPr>
            <w:tcW w:w="1100" w:type="dxa"/>
            <w:shd w:val="clear" w:color="auto" w:fill="7FFFD4"/>
            <w:tcMar>
              <w:top w:w="0" w:type="dxa"/>
              <w:left w:w="0" w:type="dxa"/>
              <w:bottom w:w="0" w:type="dxa"/>
              <w:right w:w="0" w:type="dxa"/>
            </w:tcMar>
          </w:tcPr>
          <w:p w14:paraId="664514FF"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03436B55" w14:textId="64935B08" w:rsidR="00740063" w:rsidRPr="00EB77C8" w:rsidRDefault="00EB77C8" w:rsidP="00C734E1">
            <w:pPr>
              <w:spacing w:after="0" w:line="240" w:lineRule="auto"/>
              <w:rPr>
                <w:rFonts w:asciiTheme="majorHAnsi" w:eastAsia="Times New Roman" w:hAnsiTheme="majorHAnsi" w:cstheme="majorBidi"/>
                <w:sz w:val="24"/>
                <w:szCs w:val="24"/>
              </w:rPr>
            </w:pPr>
            <w:r w:rsidRPr="005C1BA1">
              <w:rPr>
                <w:rFonts w:asciiTheme="majorHAnsi" w:hAnsiTheme="majorHAnsi"/>
                <w:sz w:val="24"/>
                <w:szCs w:val="24"/>
              </w:rPr>
              <w:t>Prime Minister’s Office</w:t>
            </w:r>
            <w:r w:rsidR="0073045F" w:rsidRPr="005C1BA1">
              <w:rPr>
                <w:rFonts w:asciiTheme="majorHAnsi" w:hAnsiTheme="majorHAnsi"/>
                <w:sz w:val="24"/>
                <w:szCs w:val="24"/>
              </w:rPr>
              <w:t xml:space="preserve"> and Ministry of Education, Science and Culture</w:t>
            </w:r>
          </w:p>
        </w:tc>
      </w:tr>
      <w:tr w:rsidR="00EB77C8" w:rsidRPr="00EB77C8" w14:paraId="39ED74D9" w14:textId="77777777" w:rsidTr="0034204D">
        <w:trPr>
          <w:trHeight w:val="660"/>
        </w:trPr>
        <w:tc>
          <w:tcPr>
            <w:tcW w:w="0" w:type="auto"/>
            <w:shd w:val="clear" w:color="auto" w:fill="auto"/>
            <w:hideMark/>
          </w:tcPr>
          <w:p w14:paraId="65FA1B51"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Intensify the efforts to raise awareness among women and girls about their rights under the Convention on the Elimination of All Forms of Discrimination against Women and on the individual communication procedures contemplated in its Optional Protocol. (Recommendation No 115.65)</w:t>
            </w:r>
          </w:p>
        </w:tc>
        <w:tc>
          <w:tcPr>
            <w:tcW w:w="1100" w:type="dxa"/>
            <w:shd w:val="clear" w:color="auto" w:fill="7FFFD4"/>
            <w:tcMar>
              <w:top w:w="0" w:type="dxa"/>
              <w:left w:w="0" w:type="dxa"/>
              <w:bottom w:w="0" w:type="dxa"/>
              <w:right w:w="0" w:type="dxa"/>
            </w:tcMar>
          </w:tcPr>
          <w:p w14:paraId="46F6D6D4"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069C6C25"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Prime Minister’s Office</w:t>
            </w:r>
          </w:p>
        </w:tc>
      </w:tr>
      <w:tr w:rsidR="00EB77C8" w:rsidRPr="00EB77C8" w14:paraId="39A610AA" w14:textId="77777777" w:rsidTr="0034204D">
        <w:trPr>
          <w:trHeight w:val="444"/>
        </w:trPr>
        <w:tc>
          <w:tcPr>
            <w:tcW w:w="0" w:type="auto"/>
            <w:shd w:val="clear" w:color="auto" w:fill="auto"/>
            <w:hideMark/>
          </w:tcPr>
          <w:p w14:paraId="65A88584"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Take general measures to eliminate gender stereotypes on the role and obligations of women and men, in particular through awareness-raising campaigns and education. (Recommendation No 115.66)</w:t>
            </w:r>
          </w:p>
        </w:tc>
        <w:tc>
          <w:tcPr>
            <w:tcW w:w="1100" w:type="dxa"/>
            <w:shd w:val="clear" w:color="auto" w:fill="7FFFD4"/>
            <w:tcMar>
              <w:top w:w="0" w:type="dxa"/>
              <w:left w:w="0" w:type="dxa"/>
              <w:bottom w:w="0" w:type="dxa"/>
              <w:right w:w="0" w:type="dxa"/>
            </w:tcMar>
          </w:tcPr>
          <w:p w14:paraId="0D170D3F"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4863D9C4" w14:textId="1BC24DAD"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Prime Minister’s Office</w:t>
            </w:r>
            <w:r w:rsidR="00200907">
              <w:rPr>
                <w:rFonts w:asciiTheme="majorHAnsi" w:hAnsiTheme="majorHAnsi"/>
                <w:sz w:val="24"/>
                <w:szCs w:val="24"/>
              </w:rPr>
              <w:t xml:space="preserve"> and Ministry of Education, Science and Culture</w:t>
            </w:r>
          </w:p>
        </w:tc>
      </w:tr>
      <w:tr w:rsidR="00EB77C8" w:rsidRPr="00EB77C8" w14:paraId="3769A4AB" w14:textId="77777777" w:rsidTr="0034204D">
        <w:trPr>
          <w:trHeight w:val="444"/>
        </w:trPr>
        <w:tc>
          <w:tcPr>
            <w:tcW w:w="0" w:type="auto"/>
            <w:shd w:val="clear" w:color="auto" w:fill="auto"/>
            <w:hideMark/>
          </w:tcPr>
          <w:p w14:paraId="32DA2925"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Eradicate discriminatory practices in the labour market that detrimentally affect women. (Recommendation No 117.33)</w:t>
            </w:r>
          </w:p>
        </w:tc>
        <w:tc>
          <w:tcPr>
            <w:tcW w:w="1100" w:type="dxa"/>
            <w:shd w:val="clear" w:color="auto" w:fill="7FFFD4"/>
            <w:tcMar>
              <w:top w:w="0" w:type="dxa"/>
              <w:left w:w="0" w:type="dxa"/>
              <w:bottom w:w="0" w:type="dxa"/>
              <w:right w:w="0" w:type="dxa"/>
            </w:tcMar>
          </w:tcPr>
          <w:p w14:paraId="76692CAE"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3BE410EA"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Prime Minister’s Office</w:t>
            </w:r>
          </w:p>
        </w:tc>
      </w:tr>
      <w:tr w:rsidR="00EB77C8" w:rsidRPr="00EB77C8" w14:paraId="5D7D0381" w14:textId="77777777" w:rsidTr="0034204D">
        <w:trPr>
          <w:trHeight w:val="660"/>
        </w:trPr>
        <w:tc>
          <w:tcPr>
            <w:tcW w:w="0" w:type="auto"/>
            <w:shd w:val="clear" w:color="auto" w:fill="auto"/>
            <w:hideMark/>
          </w:tcPr>
          <w:p w14:paraId="6ADF0EC8"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Adopt a new action plan to fully implement the equal pay standard in an effort towards fulfilling the Government’s commitment to eliminate the gender pay gap before 2022. (Recommendations No 115.71, 115.72 and 115.74)</w:t>
            </w:r>
          </w:p>
        </w:tc>
        <w:tc>
          <w:tcPr>
            <w:tcW w:w="1100" w:type="dxa"/>
            <w:shd w:val="clear" w:color="auto" w:fill="7FFFD4"/>
            <w:tcMar>
              <w:top w:w="0" w:type="dxa"/>
              <w:left w:w="0" w:type="dxa"/>
              <w:bottom w:w="0" w:type="dxa"/>
              <w:right w:w="0" w:type="dxa"/>
            </w:tcMar>
          </w:tcPr>
          <w:p w14:paraId="0A47069F"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61D5ADE5"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Prime Minister’s Office</w:t>
            </w:r>
          </w:p>
        </w:tc>
      </w:tr>
      <w:tr w:rsidR="00EB77C8" w:rsidRPr="00EB77C8" w14:paraId="569DEDA5" w14:textId="77777777" w:rsidTr="0034204D">
        <w:trPr>
          <w:trHeight w:val="444"/>
        </w:trPr>
        <w:tc>
          <w:tcPr>
            <w:tcW w:w="0" w:type="auto"/>
            <w:shd w:val="clear" w:color="auto" w:fill="auto"/>
            <w:hideMark/>
          </w:tcPr>
          <w:p w14:paraId="1FFC597C"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Accelerate tackling gender inequality, effectively protect women’s rights and strike down at violence against women. (Recommendation No 115.67)</w:t>
            </w:r>
          </w:p>
        </w:tc>
        <w:tc>
          <w:tcPr>
            <w:tcW w:w="1100" w:type="dxa"/>
            <w:shd w:val="clear" w:color="auto" w:fill="7FFFD4"/>
            <w:tcMar>
              <w:top w:w="0" w:type="dxa"/>
              <w:left w:w="0" w:type="dxa"/>
              <w:bottom w:w="0" w:type="dxa"/>
              <w:right w:w="0" w:type="dxa"/>
            </w:tcMar>
          </w:tcPr>
          <w:p w14:paraId="2F01B9EC"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70465E56"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Prime Minister’s Office</w:t>
            </w:r>
          </w:p>
        </w:tc>
      </w:tr>
      <w:tr w:rsidR="00EB77C8" w:rsidRPr="00EB77C8" w14:paraId="694EC4F2" w14:textId="77777777" w:rsidTr="0034204D">
        <w:trPr>
          <w:trHeight w:val="444"/>
        </w:trPr>
        <w:tc>
          <w:tcPr>
            <w:tcW w:w="0" w:type="auto"/>
            <w:shd w:val="clear" w:color="auto" w:fill="auto"/>
            <w:hideMark/>
          </w:tcPr>
          <w:p w14:paraId="03B2BC12"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Advance the activities aimed at ensuring full realization of the rights of women, children, elderly people and persons with disabilities. (Recommendation No 115.43)</w:t>
            </w:r>
          </w:p>
        </w:tc>
        <w:tc>
          <w:tcPr>
            <w:tcW w:w="1100" w:type="dxa"/>
            <w:shd w:val="clear" w:color="auto" w:fill="7FFFD4"/>
            <w:tcMar>
              <w:top w:w="0" w:type="dxa"/>
              <w:left w:w="0" w:type="dxa"/>
              <w:bottom w:w="0" w:type="dxa"/>
              <w:right w:w="0" w:type="dxa"/>
            </w:tcMar>
          </w:tcPr>
          <w:p w14:paraId="7AE5ABF1"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58023F99" w14:textId="1B43B1AB" w:rsidR="00740063" w:rsidRPr="00EB77C8" w:rsidRDefault="00EB77C8" w:rsidP="00C734E1">
            <w:pPr>
              <w:spacing w:after="0" w:line="240" w:lineRule="auto"/>
              <w:rPr>
                <w:rFonts w:asciiTheme="majorHAnsi" w:eastAsia="Times New Roman" w:hAnsiTheme="majorHAnsi" w:cstheme="majorBidi"/>
                <w:sz w:val="24"/>
                <w:szCs w:val="24"/>
              </w:rPr>
            </w:pPr>
            <w:r>
              <w:rPr>
                <w:rFonts w:asciiTheme="majorHAnsi" w:hAnsiTheme="majorHAnsi"/>
                <w:sz w:val="24"/>
                <w:szCs w:val="24"/>
              </w:rPr>
              <w:t xml:space="preserve">Prime Minister’s </w:t>
            </w:r>
            <w:r w:rsidR="00A4568C">
              <w:rPr>
                <w:rFonts w:asciiTheme="majorHAnsi" w:hAnsiTheme="majorHAnsi"/>
                <w:sz w:val="24"/>
                <w:szCs w:val="24"/>
              </w:rPr>
              <w:t>Office, Ministry</w:t>
            </w:r>
            <w:r>
              <w:rPr>
                <w:rFonts w:asciiTheme="majorHAnsi" w:hAnsiTheme="majorHAnsi"/>
                <w:sz w:val="24"/>
                <w:szCs w:val="24"/>
              </w:rPr>
              <w:t xml:space="preserve"> of Justice</w:t>
            </w:r>
            <w:r w:rsidR="005578AE">
              <w:rPr>
                <w:rFonts w:asciiTheme="majorHAnsi" w:hAnsiTheme="majorHAnsi"/>
                <w:sz w:val="24"/>
                <w:szCs w:val="24"/>
              </w:rPr>
              <w:t xml:space="preserve"> and Ministry of Social Affairs</w:t>
            </w:r>
          </w:p>
        </w:tc>
      </w:tr>
      <w:tr w:rsidR="00C21740" w:rsidRPr="00EB77C8" w14:paraId="585C84F7" w14:textId="77777777" w:rsidTr="0034204D">
        <w:trPr>
          <w:trHeight w:val="228"/>
        </w:trPr>
        <w:tc>
          <w:tcPr>
            <w:tcW w:w="9072" w:type="dxa"/>
            <w:gridSpan w:val="3"/>
            <w:shd w:val="clear" w:color="auto" w:fill="C6D9F0"/>
            <w:hideMark/>
          </w:tcPr>
          <w:p w14:paraId="0DE65521" w14:textId="77777777" w:rsidR="00C21740" w:rsidRPr="00EB77C8" w:rsidRDefault="00C21740" w:rsidP="00C734E1">
            <w:pPr>
              <w:pStyle w:val="Heading3"/>
              <w:spacing w:line="240" w:lineRule="auto"/>
              <w:jc w:val="left"/>
              <w:rPr>
                <w:sz w:val="24"/>
                <w:szCs w:val="24"/>
              </w:rPr>
            </w:pPr>
            <w:r>
              <w:t>Protection of children</w:t>
            </w:r>
          </w:p>
        </w:tc>
      </w:tr>
      <w:tr w:rsidR="00EB77C8" w:rsidRPr="00EB77C8" w14:paraId="2BCA0358" w14:textId="77777777" w:rsidTr="0034204D">
        <w:trPr>
          <w:trHeight w:val="660"/>
        </w:trPr>
        <w:tc>
          <w:tcPr>
            <w:tcW w:w="0" w:type="auto"/>
            <w:shd w:val="clear" w:color="auto" w:fill="auto"/>
            <w:hideMark/>
          </w:tcPr>
          <w:p w14:paraId="7065D77C"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Adopt a new national plan of action on children with adequate follow-up mechanisms for full implementation. (Recommendation No 115.92)</w:t>
            </w:r>
          </w:p>
        </w:tc>
        <w:tc>
          <w:tcPr>
            <w:tcW w:w="1100" w:type="dxa"/>
            <w:shd w:val="clear" w:color="auto" w:fill="FFFF00"/>
            <w:tcMar>
              <w:top w:w="0" w:type="dxa"/>
              <w:left w:w="0" w:type="dxa"/>
              <w:bottom w:w="0" w:type="dxa"/>
              <w:right w:w="0" w:type="dxa"/>
            </w:tcMar>
          </w:tcPr>
          <w:p w14:paraId="0E08B57F"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7F278FF1"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Social Affairs, Ministry of Justice and other ministries</w:t>
            </w:r>
          </w:p>
        </w:tc>
      </w:tr>
      <w:tr w:rsidR="00EB77C8" w:rsidRPr="00EB77C8" w14:paraId="1B38CBF5" w14:textId="77777777" w:rsidTr="0034204D">
        <w:trPr>
          <w:trHeight w:val="1104"/>
        </w:trPr>
        <w:tc>
          <w:tcPr>
            <w:tcW w:w="0" w:type="auto"/>
            <w:shd w:val="clear" w:color="auto" w:fill="auto"/>
            <w:hideMark/>
          </w:tcPr>
          <w:p w14:paraId="7FEF04EE"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Establish government-coordinated measures aimed at prevention of sexual abuse of children. Take further steps to protect the rights of the child, prevent child abuse, exploitation and violence. Increase professional and effective working procedures in addressing child sexual abuse cases. (Recommendations No 115.90, 115.91, 115.94 and 115.95)</w:t>
            </w:r>
          </w:p>
        </w:tc>
        <w:tc>
          <w:tcPr>
            <w:tcW w:w="1100" w:type="dxa"/>
            <w:shd w:val="clear" w:color="auto" w:fill="7FFFD4"/>
            <w:tcMar>
              <w:top w:w="0" w:type="dxa"/>
              <w:left w:w="0" w:type="dxa"/>
              <w:bottom w:w="0" w:type="dxa"/>
              <w:right w:w="0" w:type="dxa"/>
            </w:tcMar>
          </w:tcPr>
          <w:p w14:paraId="0F9D26FC"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1AED433A"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Social Affairs and Ministry of Justice</w:t>
            </w:r>
          </w:p>
        </w:tc>
      </w:tr>
      <w:tr w:rsidR="00C21740" w:rsidRPr="00EB77C8" w14:paraId="1786BFDB" w14:textId="77777777" w:rsidTr="0034204D">
        <w:trPr>
          <w:trHeight w:val="228"/>
        </w:trPr>
        <w:tc>
          <w:tcPr>
            <w:tcW w:w="9072" w:type="dxa"/>
            <w:gridSpan w:val="3"/>
            <w:shd w:val="clear" w:color="auto" w:fill="C6D9F0"/>
            <w:hideMark/>
          </w:tcPr>
          <w:p w14:paraId="6CF53F35" w14:textId="77777777" w:rsidR="00C21740" w:rsidRPr="00EB77C8" w:rsidRDefault="00C21740" w:rsidP="00C734E1">
            <w:pPr>
              <w:pStyle w:val="Heading3"/>
              <w:spacing w:line="240" w:lineRule="auto"/>
              <w:jc w:val="left"/>
              <w:rPr>
                <w:sz w:val="24"/>
                <w:szCs w:val="24"/>
              </w:rPr>
            </w:pPr>
            <w:r>
              <w:t>Children: Juvenile justice</w:t>
            </w:r>
          </w:p>
        </w:tc>
      </w:tr>
      <w:tr w:rsidR="00EB77C8" w:rsidRPr="00EB77C8" w14:paraId="373B7ABF" w14:textId="77777777" w:rsidTr="0034204D">
        <w:trPr>
          <w:trHeight w:val="444"/>
        </w:trPr>
        <w:tc>
          <w:tcPr>
            <w:tcW w:w="0" w:type="auto"/>
            <w:shd w:val="clear" w:color="auto" w:fill="auto"/>
            <w:hideMark/>
          </w:tcPr>
          <w:p w14:paraId="277AE1BE"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Ensure that minors are separated from adults in places of detention. (Recommendation No 117.35)</w:t>
            </w:r>
          </w:p>
        </w:tc>
        <w:tc>
          <w:tcPr>
            <w:tcW w:w="1100" w:type="dxa"/>
            <w:shd w:val="clear" w:color="auto" w:fill="92D050"/>
            <w:tcMar>
              <w:top w:w="0" w:type="dxa"/>
              <w:left w:w="0" w:type="dxa"/>
              <w:bottom w:w="0" w:type="dxa"/>
              <w:right w:w="0" w:type="dxa"/>
            </w:tcMar>
          </w:tcPr>
          <w:p w14:paraId="3032FDCE"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2F3FA220"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 and Ministry of Social Affairs</w:t>
            </w:r>
          </w:p>
        </w:tc>
      </w:tr>
      <w:tr w:rsidR="00C21740" w:rsidRPr="00EB77C8" w14:paraId="6A1B6D32" w14:textId="77777777" w:rsidTr="0034204D">
        <w:trPr>
          <w:trHeight w:val="228"/>
        </w:trPr>
        <w:tc>
          <w:tcPr>
            <w:tcW w:w="9072" w:type="dxa"/>
            <w:gridSpan w:val="3"/>
            <w:shd w:val="clear" w:color="auto" w:fill="C6D9F0"/>
            <w:hideMark/>
          </w:tcPr>
          <w:p w14:paraId="7FE0B20C" w14:textId="77777777" w:rsidR="00C21740" w:rsidRPr="00EB77C8" w:rsidRDefault="00C21740" w:rsidP="00C734E1">
            <w:pPr>
              <w:pStyle w:val="Heading3"/>
              <w:spacing w:line="240" w:lineRule="auto"/>
              <w:jc w:val="left"/>
              <w:rPr>
                <w:sz w:val="24"/>
                <w:szCs w:val="24"/>
              </w:rPr>
            </w:pPr>
            <w:r>
              <w:t>Persons with disabilities</w:t>
            </w:r>
          </w:p>
        </w:tc>
      </w:tr>
      <w:tr w:rsidR="00EB77C8" w:rsidRPr="00EB77C8" w14:paraId="3183818B" w14:textId="77777777" w:rsidTr="0034204D">
        <w:trPr>
          <w:trHeight w:val="1104"/>
        </w:trPr>
        <w:tc>
          <w:tcPr>
            <w:tcW w:w="0" w:type="auto"/>
            <w:shd w:val="clear" w:color="auto" w:fill="auto"/>
            <w:hideMark/>
          </w:tcPr>
          <w:p w14:paraId="3938F44D"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Intensify steps to combat and prevent discrimination, especially against persons with disabilities, particularly with respect to the rights to education, housing and social assistance. (Recommendation No 115.96)</w:t>
            </w:r>
          </w:p>
        </w:tc>
        <w:tc>
          <w:tcPr>
            <w:tcW w:w="1100" w:type="dxa"/>
            <w:shd w:val="clear" w:color="auto" w:fill="7FFFD4"/>
            <w:tcMar>
              <w:top w:w="0" w:type="dxa"/>
              <w:left w:w="0" w:type="dxa"/>
              <w:bottom w:w="0" w:type="dxa"/>
              <w:right w:w="0" w:type="dxa"/>
            </w:tcMar>
          </w:tcPr>
          <w:p w14:paraId="5900FF58"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1650B6DA" w14:textId="16B5A66B"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 Ministry of Social Affairs</w:t>
            </w:r>
            <w:r w:rsidR="008B61D8">
              <w:rPr>
                <w:rFonts w:asciiTheme="majorHAnsi" w:hAnsiTheme="majorHAnsi"/>
                <w:sz w:val="24"/>
                <w:szCs w:val="24"/>
              </w:rPr>
              <w:t>,</w:t>
            </w:r>
            <w:r>
              <w:rPr>
                <w:rFonts w:asciiTheme="majorHAnsi" w:hAnsiTheme="majorHAnsi"/>
                <w:sz w:val="24"/>
                <w:szCs w:val="24"/>
              </w:rPr>
              <w:t xml:space="preserve"> Prime Minister’s Office</w:t>
            </w:r>
            <w:r w:rsidR="008B61D8">
              <w:rPr>
                <w:rFonts w:asciiTheme="majorHAnsi" w:hAnsiTheme="majorHAnsi"/>
                <w:sz w:val="24"/>
                <w:szCs w:val="24"/>
              </w:rPr>
              <w:t xml:space="preserve"> and </w:t>
            </w:r>
            <w:r w:rsidR="008B61D8" w:rsidRPr="0035597C">
              <w:rPr>
                <w:rFonts w:asciiTheme="majorHAnsi" w:hAnsiTheme="majorHAnsi"/>
                <w:sz w:val="24"/>
                <w:szCs w:val="24"/>
              </w:rPr>
              <w:t>Ministry of Education, Science and Culture</w:t>
            </w:r>
          </w:p>
        </w:tc>
      </w:tr>
      <w:tr w:rsidR="00EB77C8" w:rsidRPr="00EB77C8" w14:paraId="2E2CFA1B" w14:textId="77777777" w:rsidTr="0034204D">
        <w:trPr>
          <w:trHeight w:val="444"/>
        </w:trPr>
        <w:tc>
          <w:tcPr>
            <w:tcW w:w="0" w:type="auto"/>
            <w:shd w:val="clear" w:color="auto" w:fill="auto"/>
            <w:hideMark/>
          </w:tcPr>
          <w:p w14:paraId="1D0D7BC1"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Adopt comprehensive provisions to combat all forms of discrimination and to adapt the legislation to the Convention on the Rights of Persons with Disabilities. (Recommendation No 115.48)</w:t>
            </w:r>
          </w:p>
        </w:tc>
        <w:tc>
          <w:tcPr>
            <w:tcW w:w="1100" w:type="dxa"/>
            <w:shd w:val="clear" w:color="auto" w:fill="FFFF00"/>
            <w:tcMar>
              <w:top w:w="0" w:type="dxa"/>
              <w:left w:w="0" w:type="dxa"/>
              <w:bottom w:w="0" w:type="dxa"/>
              <w:right w:w="0" w:type="dxa"/>
            </w:tcMar>
          </w:tcPr>
          <w:p w14:paraId="29514ED1"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2F496824"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Prime Minister’s Office and Ministry of Justice</w:t>
            </w:r>
          </w:p>
        </w:tc>
      </w:tr>
      <w:tr w:rsidR="00C21740" w:rsidRPr="00EB77C8" w14:paraId="6C96BF14" w14:textId="77777777" w:rsidTr="0034204D">
        <w:trPr>
          <w:trHeight w:val="228"/>
        </w:trPr>
        <w:tc>
          <w:tcPr>
            <w:tcW w:w="9072" w:type="dxa"/>
            <w:gridSpan w:val="3"/>
            <w:shd w:val="clear" w:color="auto" w:fill="C6D9F0"/>
            <w:hideMark/>
          </w:tcPr>
          <w:p w14:paraId="0E83AD29" w14:textId="77777777" w:rsidR="00C21740" w:rsidRPr="00EB77C8" w:rsidRDefault="00C21740" w:rsidP="00C734E1">
            <w:pPr>
              <w:pStyle w:val="Heading3"/>
              <w:spacing w:line="240" w:lineRule="auto"/>
              <w:jc w:val="left"/>
              <w:rPr>
                <w:sz w:val="24"/>
                <w:szCs w:val="24"/>
              </w:rPr>
            </w:pPr>
            <w:r>
              <w:t>Migrants, refugees &amp; asylum seekers</w:t>
            </w:r>
          </w:p>
        </w:tc>
      </w:tr>
      <w:tr w:rsidR="00EB77C8" w:rsidRPr="00EB77C8" w14:paraId="575B948B" w14:textId="77777777" w:rsidTr="0034204D">
        <w:trPr>
          <w:trHeight w:val="660"/>
        </w:trPr>
        <w:tc>
          <w:tcPr>
            <w:tcW w:w="0" w:type="auto"/>
            <w:shd w:val="clear" w:color="auto" w:fill="auto"/>
            <w:hideMark/>
          </w:tcPr>
          <w:p w14:paraId="6E2D6384"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Strengthen migration policies based on respect for the human rights of all migrants. Take measures for the promotion and protection of the rights of migrants and their families. (Recommendations No 115.99 – 115.100)</w:t>
            </w:r>
          </w:p>
        </w:tc>
        <w:tc>
          <w:tcPr>
            <w:tcW w:w="1100" w:type="dxa"/>
            <w:shd w:val="clear" w:color="auto" w:fill="7FFFD4"/>
            <w:tcMar>
              <w:top w:w="0" w:type="dxa"/>
              <w:left w:w="0" w:type="dxa"/>
              <w:bottom w:w="0" w:type="dxa"/>
              <w:right w:w="0" w:type="dxa"/>
            </w:tcMar>
          </w:tcPr>
          <w:p w14:paraId="5E4FA587"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308E1F82"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 and Ministry of Social Affairs</w:t>
            </w:r>
          </w:p>
        </w:tc>
      </w:tr>
      <w:tr w:rsidR="00EB77C8" w:rsidRPr="00EB77C8" w14:paraId="376880FA" w14:textId="77777777" w:rsidTr="0034204D">
        <w:trPr>
          <w:trHeight w:val="888"/>
        </w:trPr>
        <w:tc>
          <w:tcPr>
            <w:tcW w:w="0" w:type="auto"/>
            <w:shd w:val="clear" w:color="auto" w:fill="auto"/>
            <w:hideMark/>
          </w:tcPr>
          <w:p w14:paraId="6F5E7BEC"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Adopt a comprehensive integration strategy that ensures the proper integration of migrants and increases the awareness of migrant women of their rights and protection thereof. Develop programmes and strategies to increase the awareness of migrants of their rights and provide free legal aid and effective remedies if and when their rights are violated. (Recommendations No 115.101 – 115.102)</w:t>
            </w:r>
          </w:p>
        </w:tc>
        <w:tc>
          <w:tcPr>
            <w:tcW w:w="1100" w:type="dxa"/>
            <w:shd w:val="clear" w:color="auto" w:fill="7FFFD4"/>
            <w:tcMar>
              <w:top w:w="0" w:type="dxa"/>
              <w:left w:w="0" w:type="dxa"/>
              <w:bottom w:w="0" w:type="dxa"/>
              <w:right w:w="0" w:type="dxa"/>
            </w:tcMar>
          </w:tcPr>
          <w:p w14:paraId="16C50E5D"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20C4C28E"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Social Affairs</w:t>
            </w:r>
          </w:p>
        </w:tc>
      </w:tr>
      <w:tr w:rsidR="00EB77C8" w:rsidRPr="00EB77C8" w14:paraId="2B9B146F" w14:textId="77777777" w:rsidTr="0034204D">
        <w:trPr>
          <w:trHeight w:val="228"/>
        </w:trPr>
        <w:tc>
          <w:tcPr>
            <w:tcW w:w="0" w:type="auto"/>
            <w:shd w:val="clear" w:color="auto" w:fill="auto"/>
            <w:hideMark/>
          </w:tcPr>
          <w:p w14:paraId="3F28C3EC"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Improve the integration of children of migrants into the national health system. (Recommendation No 115.98)</w:t>
            </w:r>
          </w:p>
        </w:tc>
        <w:tc>
          <w:tcPr>
            <w:tcW w:w="1100" w:type="dxa"/>
            <w:shd w:val="clear" w:color="auto" w:fill="92D050"/>
            <w:tcMar>
              <w:top w:w="0" w:type="dxa"/>
              <w:left w:w="0" w:type="dxa"/>
              <w:bottom w:w="0" w:type="dxa"/>
              <w:right w:w="0" w:type="dxa"/>
            </w:tcMar>
          </w:tcPr>
          <w:p w14:paraId="19F10B0E"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4F41D527"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Health</w:t>
            </w:r>
          </w:p>
        </w:tc>
      </w:tr>
      <w:tr w:rsidR="00EB77C8" w:rsidRPr="00EB77C8" w14:paraId="2DC49D6B" w14:textId="77777777" w:rsidTr="0034204D">
        <w:trPr>
          <w:trHeight w:val="888"/>
        </w:trPr>
        <w:tc>
          <w:tcPr>
            <w:tcW w:w="0" w:type="auto"/>
            <w:shd w:val="clear" w:color="auto" w:fill="auto"/>
            <w:hideMark/>
          </w:tcPr>
          <w:p w14:paraId="776BA2F0"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Strengthen the measures for the effective implementation of the regulatory framework in the field of immigration, asylum and refugees, in particular by training the workers involved, as well as by accelerating efforts towards the adoption of the action plan 2016-2019, in order to ensure that migrants can be fully involved in society on an equal basis with citizens. (Recommendations No 115.103 – 115.104)</w:t>
            </w:r>
          </w:p>
        </w:tc>
        <w:tc>
          <w:tcPr>
            <w:tcW w:w="1100" w:type="dxa"/>
            <w:shd w:val="clear" w:color="auto" w:fill="7FFFD4"/>
            <w:tcMar>
              <w:top w:w="0" w:type="dxa"/>
              <w:left w:w="0" w:type="dxa"/>
              <w:bottom w:w="0" w:type="dxa"/>
              <w:right w:w="0" w:type="dxa"/>
            </w:tcMar>
          </w:tcPr>
          <w:p w14:paraId="7756CF5D"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585E1E7E"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Social Affairs and Ministry of Justice</w:t>
            </w:r>
          </w:p>
        </w:tc>
      </w:tr>
      <w:tr w:rsidR="00EB77C8" w:rsidRPr="00EB77C8" w14:paraId="61D62E27" w14:textId="77777777" w:rsidTr="0034204D">
        <w:trPr>
          <w:trHeight w:val="660"/>
        </w:trPr>
        <w:tc>
          <w:tcPr>
            <w:tcW w:w="0" w:type="auto"/>
            <w:shd w:val="clear" w:color="auto" w:fill="auto"/>
            <w:hideMark/>
          </w:tcPr>
          <w:p w14:paraId="6AD7DCF2" w14:textId="77777777" w:rsidR="00740063" w:rsidRPr="00EB77C8" w:rsidRDefault="00740063"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Review the legislation to ensure that it fully complies with the International Covenant on Civil and Political Rights and international standards on refugees and asylum seekers. (Recommendation No 117.40)</w:t>
            </w:r>
          </w:p>
        </w:tc>
        <w:tc>
          <w:tcPr>
            <w:tcW w:w="1100" w:type="dxa"/>
            <w:shd w:val="clear" w:color="auto" w:fill="7FFFD4"/>
            <w:tcMar>
              <w:top w:w="0" w:type="dxa"/>
              <w:left w:w="0" w:type="dxa"/>
              <w:bottom w:w="0" w:type="dxa"/>
              <w:right w:w="0" w:type="dxa"/>
            </w:tcMar>
          </w:tcPr>
          <w:p w14:paraId="76443043" w14:textId="77777777" w:rsidR="00740063" w:rsidRPr="00EB77C8" w:rsidRDefault="00740063" w:rsidP="00C734E1">
            <w:pPr>
              <w:spacing w:after="0" w:line="240" w:lineRule="auto"/>
              <w:rPr>
                <w:rFonts w:asciiTheme="majorHAnsi" w:eastAsia="Times New Roman" w:hAnsiTheme="majorHAnsi" w:cstheme="majorHAnsi"/>
                <w:sz w:val="24"/>
                <w:szCs w:val="24"/>
              </w:rPr>
            </w:pPr>
          </w:p>
        </w:tc>
        <w:tc>
          <w:tcPr>
            <w:tcW w:w="3234" w:type="dxa"/>
            <w:shd w:val="clear" w:color="auto" w:fill="auto"/>
            <w:hideMark/>
          </w:tcPr>
          <w:p w14:paraId="30FC8063" w14:textId="77777777" w:rsidR="00740063" w:rsidRPr="00EB77C8" w:rsidRDefault="00EB77C8" w:rsidP="00C734E1">
            <w:pPr>
              <w:spacing w:after="0" w:line="240" w:lineRule="auto"/>
              <w:rPr>
                <w:rFonts w:asciiTheme="majorHAnsi" w:eastAsia="Times New Roman" w:hAnsiTheme="majorHAnsi" w:cstheme="majorHAnsi"/>
                <w:sz w:val="24"/>
                <w:szCs w:val="24"/>
              </w:rPr>
            </w:pPr>
            <w:r>
              <w:rPr>
                <w:rFonts w:asciiTheme="majorHAnsi" w:hAnsiTheme="majorHAnsi"/>
                <w:sz w:val="24"/>
                <w:szCs w:val="24"/>
              </w:rPr>
              <w:t>Ministry of Justice</w:t>
            </w:r>
          </w:p>
        </w:tc>
      </w:tr>
    </w:tbl>
    <w:p w14:paraId="70B5865A" w14:textId="77777777" w:rsidR="003F0D6A" w:rsidRPr="00EB77C8" w:rsidRDefault="00740063" w:rsidP="00C734E1">
      <w:pPr>
        <w:spacing w:after="0" w:line="240" w:lineRule="auto"/>
        <w:rPr>
          <w:rFonts w:asciiTheme="majorHAnsi" w:hAnsiTheme="majorHAnsi" w:cstheme="majorHAnsi"/>
        </w:rPr>
      </w:pPr>
      <w:r>
        <w:rPr>
          <w:rFonts w:asciiTheme="majorHAnsi" w:hAnsiTheme="majorHAnsi"/>
          <w:sz w:val="24"/>
          <w:szCs w:val="24"/>
        </w:rPr>
        <w:br/>
      </w:r>
    </w:p>
    <w:sectPr w:rsidR="003F0D6A" w:rsidRPr="00EB77C8" w:rsidSect="00E9170A">
      <w:footerReference w:type="default" r:id="rId10"/>
      <w:pgSz w:w="11906" w:h="16838"/>
      <w:pgMar w:top="1440" w:right="1440" w:bottom="1440" w:left="1440"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87DE4" w14:textId="77777777" w:rsidR="00607DCE" w:rsidRDefault="00607DCE" w:rsidP="00A824A0">
      <w:pPr>
        <w:spacing w:after="0" w:line="240" w:lineRule="auto"/>
      </w:pPr>
      <w:r>
        <w:separator/>
      </w:r>
    </w:p>
    <w:p w14:paraId="0FA2851F" w14:textId="77777777" w:rsidR="00607DCE" w:rsidRDefault="00607DCE"/>
  </w:endnote>
  <w:endnote w:type="continuationSeparator" w:id="0">
    <w:p w14:paraId="05005EEB" w14:textId="77777777" w:rsidR="00607DCE" w:rsidRDefault="00607DCE" w:rsidP="00A824A0">
      <w:pPr>
        <w:spacing w:after="0" w:line="240" w:lineRule="auto"/>
      </w:pPr>
      <w:r>
        <w:continuationSeparator/>
      </w:r>
    </w:p>
    <w:p w14:paraId="7A460767" w14:textId="77777777" w:rsidR="00607DCE" w:rsidRDefault="00607DCE"/>
  </w:endnote>
  <w:endnote w:type="continuationNotice" w:id="1">
    <w:p w14:paraId="1986DE08" w14:textId="77777777" w:rsidR="00607DCE" w:rsidRDefault="00607DCE">
      <w:pPr>
        <w:spacing w:after="0" w:line="240" w:lineRule="auto"/>
      </w:pPr>
    </w:p>
    <w:p w14:paraId="66009E5D" w14:textId="77777777" w:rsidR="00607DCE" w:rsidRDefault="00607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GO Light">
    <w:altName w:val="Arial Unicode MS"/>
    <w:panose1 w:val="00000000000000000000"/>
    <w:charset w:val="00"/>
    <w:family w:val="swiss"/>
    <w:notTrueType/>
    <w:pitch w:val="variable"/>
    <w:sig w:usb0="00000000" w:usb1="40000001" w:usb2="00000008" w:usb3="00000000" w:csb0="000101FF" w:csb1="00000000"/>
  </w:font>
  <w:font w:name="FiraGO SemiBold">
    <w:altName w:val="Arial Unicode MS"/>
    <w:panose1 w:val="00000000000000000000"/>
    <w:charset w:val="00"/>
    <w:family w:val="swiss"/>
    <w:notTrueType/>
    <w:pitch w:val="variable"/>
    <w:sig w:usb0="00000000" w:usb1="40000001"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693852031"/>
      <w:docPartObj>
        <w:docPartGallery w:val="Page Numbers (Bottom of Page)"/>
        <w:docPartUnique/>
      </w:docPartObj>
    </w:sdtPr>
    <w:sdtEndPr/>
    <w:sdtContent>
      <w:p w14:paraId="3710C842" w14:textId="09F3B21C" w:rsidR="00A824A0" w:rsidRPr="00143EFE" w:rsidRDefault="00A824A0" w:rsidP="00143EFE">
        <w:pPr>
          <w:pStyle w:val="Footer"/>
          <w:jc w:val="center"/>
          <w:rPr>
            <w:rFonts w:ascii="Times New Roman" w:hAnsi="Times New Roman" w:cs="Times New Roman"/>
            <w:sz w:val="20"/>
            <w:szCs w:val="20"/>
          </w:rPr>
        </w:pPr>
        <w:r w:rsidRPr="00143EFE">
          <w:rPr>
            <w:rFonts w:ascii="Times New Roman" w:hAnsi="Times New Roman" w:cs="Times New Roman"/>
            <w:sz w:val="20"/>
            <w:szCs w:val="20"/>
          </w:rPr>
          <w:fldChar w:fldCharType="begin"/>
        </w:r>
        <w:r w:rsidRPr="00143EFE">
          <w:rPr>
            <w:rFonts w:ascii="Times New Roman" w:hAnsi="Times New Roman" w:cs="Times New Roman"/>
            <w:sz w:val="20"/>
            <w:szCs w:val="20"/>
          </w:rPr>
          <w:instrText>PAGE   \* MERGEFORMAT</w:instrText>
        </w:r>
        <w:r w:rsidRPr="00143EFE">
          <w:rPr>
            <w:rFonts w:ascii="Times New Roman" w:hAnsi="Times New Roman" w:cs="Times New Roman"/>
            <w:sz w:val="20"/>
            <w:szCs w:val="20"/>
          </w:rPr>
          <w:fldChar w:fldCharType="separate"/>
        </w:r>
        <w:r w:rsidR="00762754">
          <w:rPr>
            <w:rFonts w:ascii="Times New Roman" w:hAnsi="Times New Roman" w:cs="Times New Roman"/>
            <w:noProof/>
            <w:sz w:val="20"/>
            <w:szCs w:val="20"/>
          </w:rPr>
          <w:t>1</w:t>
        </w:r>
        <w:r w:rsidRPr="00143EFE">
          <w:rPr>
            <w:rFonts w:ascii="Times New Roman" w:hAnsi="Times New Roman" w:cs="Times New Roman"/>
            <w:sz w:val="20"/>
            <w:szCs w:val="20"/>
          </w:rPr>
          <w:fldChar w:fldCharType="end"/>
        </w:r>
      </w:p>
    </w:sdtContent>
  </w:sdt>
  <w:p w14:paraId="19DF5915" w14:textId="77777777" w:rsidR="00DC6638" w:rsidRDefault="00DC66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02A9D" w14:textId="77777777" w:rsidR="00607DCE" w:rsidRDefault="00607DCE" w:rsidP="00A824A0">
      <w:pPr>
        <w:spacing w:after="0" w:line="240" w:lineRule="auto"/>
      </w:pPr>
      <w:r>
        <w:separator/>
      </w:r>
    </w:p>
    <w:p w14:paraId="450F8FD8" w14:textId="77777777" w:rsidR="00607DCE" w:rsidRDefault="00607DCE"/>
  </w:footnote>
  <w:footnote w:type="continuationSeparator" w:id="0">
    <w:p w14:paraId="159DBE86" w14:textId="77777777" w:rsidR="00607DCE" w:rsidRDefault="00607DCE" w:rsidP="00A824A0">
      <w:pPr>
        <w:spacing w:after="0" w:line="240" w:lineRule="auto"/>
      </w:pPr>
      <w:r>
        <w:continuationSeparator/>
      </w:r>
    </w:p>
    <w:p w14:paraId="5FA2D679" w14:textId="77777777" w:rsidR="00607DCE" w:rsidRDefault="00607DCE"/>
  </w:footnote>
  <w:footnote w:type="continuationNotice" w:id="1">
    <w:p w14:paraId="08F51855" w14:textId="77777777" w:rsidR="00607DCE" w:rsidRDefault="00607DCE">
      <w:pPr>
        <w:spacing w:after="0" w:line="240" w:lineRule="auto"/>
      </w:pPr>
    </w:p>
    <w:p w14:paraId="3DB3370B" w14:textId="77777777" w:rsidR="00607DCE" w:rsidRDefault="00607DC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multilevel"/>
    <w:tmpl w:val="99D8733A"/>
    <w:lvl w:ilvl="0">
      <w:start w:val="1"/>
      <w:numFmt w:val="bullet"/>
      <w:pStyle w:val="ListBullet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C1468"/>
    <w:multiLevelType w:val="multilevel"/>
    <w:tmpl w:val="2770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E1C7A"/>
    <w:multiLevelType w:val="multilevel"/>
    <w:tmpl w:val="3C74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36AD3"/>
    <w:multiLevelType w:val="multilevel"/>
    <w:tmpl w:val="F74C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7587D"/>
    <w:multiLevelType w:val="multilevel"/>
    <w:tmpl w:val="13D2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81013"/>
    <w:multiLevelType w:val="multilevel"/>
    <w:tmpl w:val="C258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6515C4"/>
    <w:multiLevelType w:val="multilevel"/>
    <w:tmpl w:val="6D6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D35F7E"/>
    <w:multiLevelType w:val="hybridMultilevel"/>
    <w:tmpl w:val="20C47CD8"/>
    <w:lvl w:ilvl="0" w:tplc="116C9CB2">
      <w:start w:val="1"/>
      <w:numFmt w:val="upperLetter"/>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num w:numId="1">
    <w:abstractNumId w:val="5"/>
  </w:num>
  <w:num w:numId="2">
    <w:abstractNumId w:val="6"/>
  </w:num>
  <w:num w:numId="3">
    <w:abstractNumId w:val="1"/>
  </w:num>
  <w:num w:numId="4">
    <w:abstractNumId w:val="4"/>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tDQyNzc1Nze0NDBX0lEKTi0uzszPAykwqwUAZjhUhiwAAAA="/>
  </w:docVars>
  <w:rsids>
    <w:rsidRoot w:val="00740063"/>
    <w:rsid w:val="00023222"/>
    <w:rsid w:val="00061035"/>
    <w:rsid w:val="000847A9"/>
    <w:rsid w:val="000A6381"/>
    <w:rsid w:val="000B7877"/>
    <w:rsid w:val="000C68B4"/>
    <w:rsid w:val="000D50D1"/>
    <w:rsid w:val="000E7C47"/>
    <w:rsid w:val="0011480B"/>
    <w:rsid w:val="00142384"/>
    <w:rsid w:val="00143EFE"/>
    <w:rsid w:val="0015209E"/>
    <w:rsid w:val="00170DF0"/>
    <w:rsid w:val="001E63EA"/>
    <w:rsid w:val="00200907"/>
    <w:rsid w:val="002016D4"/>
    <w:rsid w:val="00210738"/>
    <w:rsid w:val="00217836"/>
    <w:rsid w:val="00221A18"/>
    <w:rsid w:val="00231EEE"/>
    <w:rsid w:val="00234708"/>
    <w:rsid w:val="00263BF8"/>
    <w:rsid w:val="002705CB"/>
    <w:rsid w:val="00273ADB"/>
    <w:rsid w:val="00290733"/>
    <w:rsid w:val="002A3B39"/>
    <w:rsid w:val="002A4EDA"/>
    <w:rsid w:val="002B3625"/>
    <w:rsid w:val="002D2DCB"/>
    <w:rsid w:val="00320635"/>
    <w:rsid w:val="0034126E"/>
    <w:rsid w:val="0034204D"/>
    <w:rsid w:val="00352791"/>
    <w:rsid w:val="0035597C"/>
    <w:rsid w:val="00360A2E"/>
    <w:rsid w:val="00387237"/>
    <w:rsid w:val="003944DE"/>
    <w:rsid w:val="003B1670"/>
    <w:rsid w:val="003E4FB2"/>
    <w:rsid w:val="003F0D6A"/>
    <w:rsid w:val="00402EA9"/>
    <w:rsid w:val="0043544A"/>
    <w:rsid w:val="00435D58"/>
    <w:rsid w:val="004367D2"/>
    <w:rsid w:val="00445E65"/>
    <w:rsid w:val="00453C31"/>
    <w:rsid w:val="00456D92"/>
    <w:rsid w:val="0046147A"/>
    <w:rsid w:val="00481FEA"/>
    <w:rsid w:val="004B4685"/>
    <w:rsid w:val="004B7CD9"/>
    <w:rsid w:val="00502E1C"/>
    <w:rsid w:val="005045AA"/>
    <w:rsid w:val="00507A36"/>
    <w:rsid w:val="00522DA1"/>
    <w:rsid w:val="00526565"/>
    <w:rsid w:val="00532F7D"/>
    <w:rsid w:val="00544220"/>
    <w:rsid w:val="00555314"/>
    <w:rsid w:val="005578AE"/>
    <w:rsid w:val="005811F8"/>
    <w:rsid w:val="0059674A"/>
    <w:rsid w:val="005A3D48"/>
    <w:rsid w:val="005A4B1A"/>
    <w:rsid w:val="005B3081"/>
    <w:rsid w:val="005C1BA1"/>
    <w:rsid w:val="005D1304"/>
    <w:rsid w:val="006032B0"/>
    <w:rsid w:val="00607DCE"/>
    <w:rsid w:val="006331C6"/>
    <w:rsid w:val="00655740"/>
    <w:rsid w:val="006635BA"/>
    <w:rsid w:val="006712C8"/>
    <w:rsid w:val="00671A5F"/>
    <w:rsid w:val="00686C4B"/>
    <w:rsid w:val="00690220"/>
    <w:rsid w:val="006963B3"/>
    <w:rsid w:val="006B10A1"/>
    <w:rsid w:val="006C3017"/>
    <w:rsid w:val="006C7F73"/>
    <w:rsid w:val="006D6975"/>
    <w:rsid w:val="006F4EB0"/>
    <w:rsid w:val="00702332"/>
    <w:rsid w:val="00717E5E"/>
    <w:rsid w:val="0073030E"/>
    <w:rsid w:val="0073045F"/>
    <w:rsid w:val="007306A9"/>
    <w:rsid w:val="00740063"/>
    <w:rsid w:val="00750E3E"/>
    <w:rsid w:val="00752D35"/>
    <w:rsid w:val="00756042"/>
    <w:rsid w:val="00762754"/>
    <w:rsid w:val="00774D85"/>
    <w:rsid w:val="00775F08"/>
    <w:rsid w:val="007948A7"/>
    <w:rsid w:val="007D03A7"/>
    <w:rsid w:val="007D3FDF"/>
    <w:rsid w:val="007D517F"/>
    <w:rsid w:val="007F3F67"/>
    <w:rsid w:val="00821795"/>
    <w:rsid w:val="00861681"/>
    <w:rsid w:val="00874C96"/>
    <w:rsid w:val="008A5078"/>
    <w:rsid w:val="008B2126"/>
    <w:rsid w:val="008B4DD1"/>
    <w:rsid w:val="008B61D8"/>
    <w:rsid w:val="008E290B"/>
    <w:rsid w:val="008E3AA6"/>
    <w:rsid w:val="00915D38"/>
    <w:rsid w:val="00920436"/>
    <w:rsid w:val="009317FD"/>
    <w:rsid w:val="009378B4"/>
    <w:rsid w:val="00957916"/>
    <w:rsid w:val="009658F5"/>
    <w:rsid w:val="009A4682"/>
    <w:rsid w:val="009B13C9"/>
    <w:rsid w:val="009B3C9C"/>
    <w:rsid w:val="009B5F9D"/>
    <w:rsid w:val="00A065A1"/>
    <w:rsid w:val="00A11548"/>
    <w:rsid w:val="00A22F7C"/>
    <w:rsid w:val="00A36A92"/>
    <w:rsid w:val="00A4568C"/>
    <w:rsid w:val="00A606BD"/>
    <w:rsid w:val="00A824A0"/>
    <w:rsid w:val="00A83973"/>
    <w:rsid w:val="00A9399E"/>
    <w:rsid w:val="00AA2BCF"/>
    <w:rsid w:val="00AC6539"/>
    <w:rsid w:val="00AE3D71"/>
    <w:rsid w:val="00B20A20"/>
    <w:rsid w:val="00B24414"/>
    <w:rsid w:val="00B47865"/>
    <w:rsid w:val="00B52156"/>
    <w:rsid w:val="00B60732"/>
    <w:rsid w:val="00B84591"/>
    <w:rsid w:val="00BA073A"/>
    <w:rsid w:val="00BC6588"/>
    <w:rsid w:val="00BF7054"/>
    <w:rsid w:val="00C12BE8"/>
    <w:rsid w:val="00C15548"/>
    <w:rsid w:val="00C21740"/>
    <w:rsid w:val="00C223BC"/>
    <w:rsid w:val="00C3515F"/>
    <w:rsid w:val="00C377BE"/>
    <w:rsid w:val="00C61E15"/>
    <w:rsid w:val="00C61F46"/>
    <w:rsid w:val="00C734E1"/>
    <w:rsid w:val="00C740D7"/>
    <w:rsid w:val="00C75931"/>
    <w:rsid w:val="00C913B5"/>
    <w:rsid w:val="00C9464A"/>
    <w:rsid w:val="00CD2BD1"/>
    <w:rsid w:val="00D0051D"/>
    <w:rsid w:val="00D01AD9"/>
    <w:rsid w:val="00D069B2"/>
    <w:rsid w:val="00D333A1"/>
    <w:rsid w:val="00D34336"/>
    <w:rsid w:val="00D45FE1"/>
    <w:rsid w:val="00D4703E"/>
    <w:rsid w:val="00D7783F"/>
    <w:rsid w:val="00D859A2"/>
    <w:rsid w:val="00D87CDC"/>
    <w:rsid w:val="00D9457B"/>
    <w:rsid w:val="00D95F12"/>
    <w:rsid w:val="00DA3AD6"/>
    <w:rsid w:val="00DB1D39"/>
    <w:rsid w:val="00DC5C3A"/>
    <w:rsid w:val="00DC6638"/>
    <w:rsid w:val="00DE280E"/>
    <w:rsid w:val="00DF4F32"/>
    <w:rsid w:val="00E13DD6"/>
    <w:rsid w:val="00E15EC0"/>
    <w:rsid w:val="00E21322"/>
    <w:rsid w:val="00E33C03"/>
    <w:rsid w:val="00E346FE"/>
    <w:rsid w:val="00E756C0"/>
    <w:rsid w:val="00E83B28"/>
    <w:rsid w:val="00E9170A"/>
    <w:rsid w:val="00E97C62"/>
    <w:rsid w:val="00EB3471"/>
    <w:rsid w:val="00EB77C8"/>
    <w:rsid w:val="00EC6E72"/>
    <w:rsid w:val="00EE735B"/>
    <w:rsid w:val="00F00D19"/>
    <w:rsid w:val="00F0424C"/>
    <w:rsid w:val="00F05464"/>
    <w:rsid w:val="00F13480"/>
    <w:rsid w:val="00F4132B"/>
    <w:rsid w:val="00F44DA5"/>
    <w:rsid w:val="00F5021F"/>
    <w:rsid w:val="00F51CB5"/>
    <w:rsid w:val="00F53FC8"/>
    <w:rsid w:val="00F6627A"/>
    <w:rsid w:val="00F8318C"/>
    <w:rsid w:val="00F9712E"/>
    <w:rsid w:val="00FD3326"/>
    <w:rsid w:val="00FF6E3F"/>
    <w:rsid w:val="07241F26"/>
    <w:rsid w:val="0E0AF87B"/>
    <w:rsid w:val="1F80DCB5"/>
    <w:rsid w:val="216A16F5"/>
    <w:rsid w:val="24A92824"/>
    <w:rsid w:val="3C5BC2DB"/>
    <w:rsid w:val="3D941B94"/>
    <w:rsid w:val="40F91BD8"/>
    <w:rsid w:val="439B4B98"/>
    <w:rsid w:val="43DC4F6A"/>
    <w:rsid w:val="56FB82DD"/>
    <w:rsid w:val="5CCD23F3"/>
    <w:rsid w:val="6CCD685B"/>
    <w:rsid w:val="6FBA49B9"/>
    <w:rsid w:val="73657283"/>
    <w:rsid w:val="7D73CB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8098"/>
  <w15:chartTrackingRefBased/>
  <w15:docId w15:val="{AA03BB7D-F5A1-401D-BD69-812C3FF7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065A1"/>
    <w:pPr>
      <w:keepNext/>
      <w:keepLines/>
      <w:tabs>
        <w:tab w:val="left" w:pos="340"/>
      </w:tabs>
      <w:spacing w:after="300" w:line="528" w:lineRule="atLeast"/>
      <w:contextualSpacing/>
      <w:jc w:val="both"/>
      <w:outlineLvl w:val="0"/>
    </w:pPr>
    <w:rPr>
      <w:rFonts w:ascii="FiraGO SemiBold" w:eastAsia="MS Gothic" w:hAnsi="FiraGO SemiBold" w:cs="Times New Roman"/>
      <w:bCs/>
      <w:color w:val="003D85"/>
      <w:sz w:val="48"/>
      <w:szCs w:val="28"/>
    </w:rPr>
  </w:style>
  <w:style w:type="paragraph" w:styleId="Heading2">
    <w:name w:val="heading 2"/>
    <w:basedOn w:val="Heading1"/>
    <w:link w:val="Heading2Char"/>
    <w:uiPriority w:val="9"/>
    <w:qFormat/>
    <w:rsid w:val="008E3AA6"/>
    <w:pPr>
      <w:ind w:left="360" w:hanging="360"/>
      <w:outlineLvl w:val="1"/>
    </w:pPr>
    <w:rPr>
      <w:sz w:val="36"/>
      <w:szCs w:val="36"/>
    </w:rPr>
  </w:style>
  <w:style w:type="paragraph" w:styleId="Heading3">
    <w:name w:val="heading 3"/>
    <w:basedOn w:val="Normal"/>
    <w:link w:val="Heading3Char"/>
    <w:autoRedefine/>
    <w:uiPriority w:val="9"/>
    <w:qFormat/>
    <w:rsid w:val="00273ADB"/>
    <w:pPr>
      <w:keepNext/>
      <w:keepLines/>
      <w:spacing w:before="260" w:after="120" w:line="305" w:lineRule="atLeast"/>
      <w:contextualSpacing/>
      <w:jc w:val="both"/>
      <w:outlineLvl w:val="2"/>
    </w:pPr>
    <w:rPr>
      <w:rFonts w:asciiTheme="majorHAnsi" w:eastAsia="MS Gothic" w:hAnsiTheme="majorHAnsi" w:cstheme="majorHAnsi"/>
      <w:b/>
      <w:sz w:val="27"/>
      <w:szCs w:val="27"/>
    </w:rPr>
  </w:style>
  <w:style w:type="paragraph" w:styleId="Heading4">
    <w:name w:val="heading 4"/>
    <w:basedOn w:val="Normal"/>
    <w:link w:val="Heading4Char"/>
    <w:uiPriority w:val="9"/>
    <w:qFormat/>
    <w:rsid w:val="00C9464A"/>
    <w:pPr>
      <w:spacing w:before="240" w:line="240" w:lineRule="auto"/>
      <w:outlineLvl w:val="3"/>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5A1"/>
    <w:rPr>
      <w:rFonts w:ascii="FiraGO SemiBold" w:eastAsia="MS Gothic" w:hAnsi="FiraGO SemiBold" w:cs="Times New Roman"/>
      <w:bCs/>
      <w:color w:val="003D85"/>
      <w:sz w:val="48"/>
      <w:szCs w:val="28"/>
      <w:lang w:val="en-GB"/>
    </w:rPr>
  </w:style>
  <w:style w:type="character" w:customStyle="1" w:styleId="Heading2Char">
    <w:name w:val="Heading 2 Char"/>
    <w:basedOn w:val="DefaultParagraphFont"/>
    <w:link w:val="Heading2"/>
    <w:uiPriority w:val="9"/>
    <w:rsid w:val="008E3AA6"/>
    <w:rPr>
      <w:rFonts w:ascii="FiraGO SemiBold" w:eastAsia="MS Gothic" w:hAnsi="FiraGO SemiBold" w:cs="Times New Roman"/>
      <w:bCs/>
      <w:color w:val="003D85"/>
      <w:sz w:val="36"/>
      <w:szCs w:val="36"/>
      <w:lang w:val="en-GB"/>
    </w:rPr>
  </w:style>
  <w:style w:type="character" w:customStyle="1" w:styleId="Heading3Char">
    <w:name w:val="Heading 3 Char"/>
    <w:basedOn w:val="DefaultParagraphFont"/>
    <w:link w:val="Heading3"/>
    <w:uiPriority w:val="9"/>
    <w:rsid w:val="00273ADB"/>
    <w:rPr>
      <w:rFonts w:asciiTheme="majorHAnsi" w:eastAsia="MS Gothic" w:hAnsiTheme="majorHAnsi" w:cstheme="majorHAnsi"/>
      <w:b/>
      <w:sz w:val="27"/>
      <w:szCs w:val="27"/>
      <w:lang w:val="en-GB"/>
    </w:rPr>
  </w:style>
  <w:style w:type="character" w:customStyle="1" w:styleId="Heading4Char">
    <w:name w:val="Heading 4 Char"/>
    <w:basedOn w:val="DefaultParagraphFont"/>
    <w:link w:val="Heading4"/>
    <w:uiPriority w:val="9"/>
    <w:rsid w:val="00C9464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40063"/>
    <w:rPr>
      <w:color w:val="0000FF"/>
      <w:u w:val="single"/>
    </w:rPr>
  </w:style>
  <w:style w:type="character" w:customStyle="1" w:styleId="sr-only">
    <w:name w:val="sr-only"/>
    <w:basedOn w:val="DefaultParagraphFont"/>
    <w:rsid w:val="00740063"/>
  </w:style>
  <w:style w:type="paragraph" w:customStyle="1" w:styleId="verkefni">
    <w:name w:val="verkefni"/>
    <w:basedOn w:val="Normal"/>
    <w:rsid w:val="007400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st">
    <w:name w:val="efst"/>
    <w:basedOn w:val="Normal"/>
    <w:rsid w:val="007400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gn">
    <w:name w:val="gögn"/>
    <w:basedOn w:val="Normal"/>
    <w:rsid w:val="007400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neyti">
    <w:name w:val="ráðuneyti"/>
    <w:basedOn w:val="Normal"/>
    <w:rsid w:val="007400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kisstjrn">
    <w:name w:val="ríkisstjórn"/>
    <w:basedOn w:val="Normal"/>
    <w:rsid w:val="007400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optionssearch">
    <w:name w:val="nav-options__search"/>
    <w:basedOn w:val="Normal"/>
    <w:rsid w:val="007400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sbtntext">
    <w:name w:val="rsbtn_text"/>
    <w:basedOn w:val="DefaultParagraphFont"/>
    <w:rsid w:val="00740063"/>
  </w:style>
  <w:style w:type="paragraph" w:customStyle="1" w:styleId="breadcrumbslistcrumb">
    <w:name w:val="breadcrumbs__list__crumb"/>
    <w:basedOn w:val="Normal"/>
    <w:rsid w:val="007400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s-listitem">
    <w:name w:val="tags-list__item"/>
    <w:basedOn w:val="Normal"/>
    <w:rsid w:val="007400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0063"/>
    <w:rPr>
      <w:i/>
      <w:iCs/>
    </w:rPr>
  </w:style>
  <w:style w:type="paragraph" w:customStyle="1" w:styleId="active">
    <w:name w:val="active"/>
    <w:basedOn w:val="Normal"/>
    <w:rsid w:val="007400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0063"/>
    <w:rPr>
      <w:b/>
      <w:bCs/>
    </w:rPr>
  </w:style>
  <w:style w:type="character" w:customStyle="1" w:styleId="form-containerlabel">
    <w:name w:val="form-container__label"/>
    <w:basedOn w:val="DefaultParagraphFont"/>
    <w:rsid w:val="00740063"/>
  </w:style>
  <w:style w:type="paragraph" w:styleId="z-TopofForm">
    <w:name w:val="HTML Top of Form"/>
    <w:basedOn w:val="Normal"/>
    <w:next w:val="Normal"/>
    <w:link w:val="z-TopofFormChar"/>
    <w:hidden/>
    <w:uiPriority w:val="99"/>
    <w:semiHidden/>
    <w:unhideWhenUsed/>
    <w:rsid w:val="0074006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40063"/>
    <w:rPr>
      <w:rFonts w:ascii="Arial" w:eastAsia="Times New Roman" w:hAnsi="Arial" w:cs="Arial"/>
      <w:vanish/>
      <w:sz w:val="16"/>
      <w:szCs w:val="16"/>
    </w:rPr>
  </w:style>
  <w:style w:type="character" w:customStyle="1" w:styleId="explanation">
    <w:name w:val="explanation"/>
    <w:basedOn w:val="DefaultParagraphFont"/>
    <w:rsid w:val="00740063"/>
  </w:style>
  <w:style w:type="paragraph" w:styleId="z-BottomofForm">
    <w:name w:val="HTML Bottom of Form"/>
    <w:basedOn w:val="Normal"/>
    <w:next w:val="Normal"/>
    <w:link w:val="z-BottomofFormChar"/>
    <w:hidden/>
    <w:uiPriority w:val="99"/>
    <w:semiHidden/>
    <w:unhideWhenUsed/>
    <w:rsid w:val="0074006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40063"/>
    <w:rPr>
      <w:rFonts w:ascii="Arial" w:eastAsia="Times New Roman" w:hAnsi="Arial" w:cs="Arial"/>
      <w:vanish/>
      <w:sz w:val="16"/>
      <w:szCs w:val="16"/>
    </w:rPr>
  </w:style>
  <w:style w:type="paragraph" w:styleId="NormalWeb">
    <w:name w:val="Normal (Web)"/>
    <w:basedOn w:val="Normal"/>
    <w:uiPriority w:val="99"/>
    <w:semiHidden/>
    <w:unhideWhenUsed/>
    <w:rsid w:val="0074006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2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4A0"/>
  </w:style>
  <w:style w:type="paragraph" w:styleId="Footer">
    <w:name w:val="footer"/>
    <w:basedOn w:val="Normal"/>
    <w:link w:val="FooterChar"/>
    <w:uiPriority w:val="99"/>
    <w:unhideWhenUsed/>
    <w:rsid w:val="00A82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4A0"/>
  </w:style>
  <w:style w:type="paragraph" w:styleId="BalloonText">
    <w:name w:val="Balloon Text"/>
    <w:basedOn w:val="Normal"/>
    <w:link w:val="BalloonTextChar"/>
    <w:uiPriority w:val="99"/>
    <w:semiHidden/>
    <w:unhideWhenUsed/>
    <w:rsid w:val="00A82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4A0"/>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6C7F73"/>
    <w:rPr>
      <w:sz w:val="20"/>
      <w:szCs w:val="20"/>
    </w:rPr>
  </w:style>
  <w:style w:type="paragraph" w:styleId="CommentSubject">
    <w:name w:val="annotation subject"/>
    <w:basedOn w:val="CommentText"/>
    <w:next w:val="CommentText"/>
    <w:link w:val="CommentSubjectChar"/>
    <w:uiPriority w:val="99"/>
    <w:semiHidden/>
    <w:unhideWhenUsed/>
    <w:rsid w:val="006C7F73"/>
    <w:rPr>
      <w:b/>
      <w:bCs/>
    </w:rPr>
  </w:style>
  <w:style w:type="character" w:customStyle="1" w:styleId="CommentSubjectChar">
    <w:name w:val="Comment Subject Char"/>
    <w:basedOn w:val="CommentTextChar"/>
    <w:link w:val="CommentSubject"/>
    <w:uiPriority w:val="99"/>
    <w:semiHidden/>
    <w:rsid w:val="006C7F73"/>
    <w:rPr>
      <w:b/>
      <w:bCs/>
      <w:sz w:val="20"/>
      <w:szCs w:val="20"/>
    </w:rPr>
  </w:style>
  <w:style w:type="paragraph" w:styleId="ListBullet3">
    <w:name w:val="List Bullet 3"/>
    <w:basedOn w:val="Normal"/>
    <w:uiPriority w:val="99"/>
    <w:semiHidden/>
    <w:rsid w:val="00A065A1"/>
    <w:pPr>
      <w:numPr>
        <w:numId w:val="8"/>
      </w:numPr>
      <w:tabs>
        <w:tab w:val="clear" w:pos="926"/>
        <w:tab w:val="left" w:pos="340"/>
      </w:tabs>
      <w:spacing w:line="305" w:lineRule="atLeast"/>
      <w:ind w:left="360"/>
      <w:contextualSpacing/>
      <w:jc w:val="both"/>
    </w:pPr>
    <w:rPr>
      <w:rFonts w:cs="Verdana"/>
      <w:sz w:val="19"/>
      <w:szCs w:val="19"/>
    </w:rPr>
  </w:style>
  <w:style w:type="paragraph" w:styleId="NoSpacing">
    <w:name w:val="No Spacing"/>
    <w:basedOn w:val="Normal"/>
    <w:uiPriority w:val="1"/>
    <w:qFormat/>
    <w:rsid w:val="00D333A1"/>
    <w:pPr>
      <w:spacing w:after="0" w:line="240" w:lineRule="auto"/>
      <w:jc w:val="both"/>
    </w:pPr>
    <w:rPr>
      <w:rFonts w:eastAsia="Times New Roman" w:cstheme="minorHAnsi"/>
    </w:rPr>
  </w:style>
  <w:style w:type="character" w:customStyle="1" w:styleId="UnresolvedMention">
    <w:name w:val="Unresolved Mention"/>
    <w:basedOn w:val="DefaultParagraphFont"/>
    <w:uiPriority w:val="99"/>
    <w:unhideWhenUsed/>
    <w:rsid w:val="00360A2E"/>
    <w:rPr>
      <w:color w:val="605E5C"/>
      <w:shd w:val="clear" w:color="auto" w:fill="E1DFDD"/>
    </w:rPr>
  </w:style>
  <w:style w:type="character" w:customStyle="1" w:styleId="Mention">
    <w:name w:val="Mention"/>
    <w:basedOn w:val="DefaultParagraphFont"/>
    <w:uiPriority w:val="99"/>
    <w:unhideWhenUsed/>
    <w:rsid w:val="00360A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80081">
      <w:bodyDiv w:val="1"/>
      <w:marLeft w:val="0"/>
      <w:marRight w:val="0"/>
      <w:marTop w:val="0"/>
      <w:marBottom w:val="0"/>
      <w:divBdr>
        <w:top w:val="none" w:sz="0" w:space="0" w:color="auto"/>
        <w:left w:val="none" w:sz="0" w:space="0" w:color="auto"/>
        <w:bottom w:val="none" w:sz="0" w:space="0" w:color="auto"/>
        <w:right w:val="none" w:sz="0" w:space="0" w:color="auto"/>
      </w:divBdr>
    </w:div>
    <w:div w:id="435441134">
      <w:bodyDiv w:val="1"/>
      <w:marLeft w:val="0"/>
      <w:marRight w:val="0"/>
      <w:marTop w:val="0"/>
      <w:marBottom w:val="0"/>
      <w:divBdr>
        <w:top w:val="none" w:sz="0" w:space="0" w:color="auto"/>
        <w:left w:val="none" w:sz="0" w:space="0" w:color="auto"/>
        <w:bottom w:val="none" w:sz="0" w:space="0" w:color="auto"/>
        <w:right w:val="none" w:sz="0" w:space="0" w:color="auto"/>
      </w:divBdr>
    </w:div>
    <w:div w:id="514149804">
      <w:bodyDiv w:val="1"/>
      <w:marLeft w:val="0"/>
      <w:marRight w:val="0"/>
      <w:marTop w:val="0"/>
      <w:marBottom w:val="0"/>
      <w:divBdr>
        <w:top w:val="none" w:sz="0" w:space="0" w:color="auto"/>
        <w:left w:val="none" w:sz="0" w:space="0" w:color="auto"/>
        <w:bottom w:val="none" w:sz="0" w:space="0" w:color="auto"/>
        <w:right w:val="none" w:sz="0" w:space="0" w:color="auto"/>
      </w:divBdr>
    </w:div>
    <w:div w:id="739866514">
      <w:bodyDiv w:val="1"/>
      <w:marLeft w:val="0"/>
      <w:marRight w:val="0"/>
      <w:marTop w:val="0"/>
      <w:marBottom w:val="0"/>
      <w:divBdr>
        <w:top w:val="none" w:sz="0" w:space="0" w:color="auto"/>
        <w:left w:val="none" w:sz="0" w:space="0" w:color="auto"/>
        <w:bottom w:val="none" w:sz="0" w:space="0" w:color="auto"/>
        <w:right w:val="none" w:sz="0" w:space="0" w:color="auto"/>
      </w:divBdr>
      <w:divsChild>
        <w:div w:id="20472619">
          <w:marLeft w:val="0"/>
          <w:marRight w:val="0"/>
          <w:marTop w:val="0"/>
          <w:marBottom w:val="0"/>
          <w:divBdr>
            <w:top w:val="single" w:sz="2" w:space="0" w:color="auto"/>
            <w:left w:val="single" w:sz="2" w:space="0" w:color="auto"/>
            <w:bottom w:val="single" w:sz="6" w:space="0" w:color="auto"/>
            <w:right w:val="single" w:sz="2" w:space="0" w:color="auto"/>
          </w:divBdr>
          <w:divsChild>
            <w:div w:id="1557817735">
              <w:marLeft w:val="0"/>
              <w:marRight w:val="0"/>
              <w:marTop w:val="0"/>
              <w:marBottom w:val="0"/>
              <w:divBdr>
                <w:top w:val="none" w:sz="0" w:space="0" w:color="auto"/>
                <w:left w:val="none" w:sz="0" w:space="0" w:color="auto"/>
                <w:bottom w:val="none" w:sz="0" w:space="0" w:color="auto"/>
                <w:right w:val="none" w:sz="0" w:space="0" w:color="auto"/>
              </w:divBdr>
              <w:divsChild>
                <w:div w:id="108088501">
                  <w:marLeft w:val="0"/>
                  <w:marRight w:val="0"/>
                  <w:marTop w:val="0"/>
                  <w:marBottom w:val="0"/>
                  <w:divBdr>
                    <w:top w:val="none" w:sz="0" w:space="0" w:color="auto"/>
                    <w:left w:val="none" w:sz="0" w:space="0" w:color="auto"/>
                    <w:bottom w:val="none" w:sz="0" w:space="0" w:color="auto"/>
                    <w:right w:val="none" w:sz="0" w:space="0" w:color="auto"/>
                  </w:divBdr>
                </w:div>
                <w:div w:id="20180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2747">
          <w:marLeft w:val="0"/>
          <w:marRight w:val="0"/>
          <w:marTop w:val="0"/>
          <w:marBottom w:val="0"/>
          <w:divBdr>
            <w:top w:val="none" w:sz="0" w:space="0" w:color="auto"/>
            <w:left w:val="none" w:sz="0" w:space="0" w:color="auto"/>
            <w:bottom w:val="none" w:sz="0" w:space="0" w:color="auto"/>
            <w:right w:val="none" w:sz="0" w:space="0" w:color="auto"/>
          </w:divBdr>
          <w:divsChild>
            <w:div w:id="1480534122">
              <w:marLeft w:val="0"/>
              <w:marRight w:val="0"/>
              <w:marTop w:val="1500"/>
              <w:marBottom w:val="0"/>
              <w:divBdr>
                <w:top w:val="none" w:sz="0" w:space="0" w:color="auto"/>
                <w:left w:val="none" w:sz="0" w:space="0" w:color="auto"/>
                <w:bottom w:val="none" w:sz="0" w:space="0" w:color="auto"/>
                <w:right w:val="none" w:sz="0" w:space="0" w:color="auto"/>
              </w:divBdr>
              <w:divsChild>
                <w:div w:id="188683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7700643">
          <w:marLeft w:val="0"/>
          <w:marRight w:val="0"/>
          <w:marTop w:val="0"/>
          <w:marBottom w:val="0"/>
          <w:divBdr>
            <w:top w:val="none" w:sz="0" w:space="0" w:color="auto"/>
            <w:left w:val="none" w:sz="0" w:space="0" w:color="auto"/>
            <w:bottom w:val="none" w:sz="0" w:space="0" w:color="auto"/>
            <w:right w:val="none" w:sz="0" w:space="0" w:color="auto"/>
          </w:divBdr>
          <w:divsChild>
            <w:div w:id="1928074376">
              <w:marLeft w:val="-225"/>
              <w:marRight w:val="-225"/>
              <w:marTop w:val="525"/>
              <w:marBottom w:val="600"/>
              <w:divBdr>
                <w:top w:val="none" w:sz="0" w:space="0" w:color="auto"/>
                <w:left w:val="none" w:sz="0" w:space="0" w:color="auto"/>
                <w:bottom w:val="none" w:sz="0" w:space="0" w:color="auto"/>
                <w:right w:val="none" w:sz="0" w:space="0" w:color="auto"/>
              </w:divBdr>
              <w:divsChild>
                <w:div w:id="140287480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154956891">
          <w:marLeft w:val="0"/>
          <w:marRight w:val="0"/>
          <w:marTop w:val="0"/>
          <w:marBottom w:val="0"/>
          <w:divBdr>
            <w:top w:val="none" w:sz="0" w:space="0" w:color="auto"/>
            <w:left w:val="none" w:sz="0" w:space="0" w:color="auto"/>
            <w:bottom w:val="none" w:sz="0" w:space="0" w:color="auto"/>
            <w:right w:val="none" w:sz="0" w:space="0" w:color="auto"/>
          </w:divBdr>
          <w:divsChild>
            <w:div w:id="1199507822">
              <w:marLeft w:val="0"/>
              <w:marRight w:val="0"/>
              <w:marTop w:val="0"/>
              <w:marBottom w:val="0"/>
              <w:divBdr>
                <w:top w:val="none" w:sz="0" w:space="0" w:color="auto"/>
                <w:left w:val="none" w:sz="0" w:space="0" w:color="auto"/>
                <w:bottom w:val="none" w:sz="0" w:space="0" w:color="auto"/>
                <w:right w:val="none" w:sz="0" w:space="0" w:color="auto"/>
              </w:divBdr>
              <w:divsChild>
                <w:div w:id="810099383">
                  <w:marLeft w:val="0"/>
                  <w:marRight w:val="0"/>
                  <w:marTop w:val="0"/>
                  <w:marBottom w:val="0"/>
                  <w:divBdr>
                    <w:top w:val="none" w:sz="0" w:space="0" w:color="auto"/>
                    <w:left w:val="none" w:sz="0" w:space="0" w:color="auto"/>
                    <w:bottom w:val="none" w:sz="0" w:space="0" w:color="auto"/>
                    <w:right w:val="none" w:sz="0" w:space="0" w:color="auto"/>
                  </w:divBdr>
                  <w:divsChild>
                    <w:div w:id="121264757">
                      <w:marLeft w:val="0"/>
                      <w:marRight w:val="0"/>
                      <w:marTop w:val="0"/>
                      <w:marBottom w:val="225"/>
                      <w:divBdr>
                        <w:top w:val="none" w:sz="0" w:space="0" w:color="auto"/>
                        <w:left w:val="none" w:sz="0" w:space="0" w:color="auto"/>
                        <w:bottom w:val="none" w:sz="0" w:space="0" w:color="auto"/>
                        <w:right w:val="none" w:sz="0" w:space="0" w:color="auto"/>
                      </w:divBdr>
                    </w:div>
                    <w:div w:id="859703013">
                      <w:marLeft w:val="0"/>
                      <w:marRight w:val="0"/>
                      <w:marTop w:val="0"/>
                      <w:marBottom w:val="225"/>
                      <w:divBdr>
                        <w:top w:val="none" w:sz="0" w:space="0" w:color="auto"/>
                        <w:left w:val="none" w:sz="0" w:space="0" w:color="auto"/>
                        <w:bottom w:val="none" w:sz="0" w:space="0" w:color="auto"/>
                        <w:right w:val="none" w:sz="0" w:space="0" w:color="auto"/>
                      </w:divBdr>
                    </w:div>
                    <w:div w:id="1162962452">
                      <w:marLeft w:val="0"/>
                      <w:marRight w:val="0"/>
                      <w:marTop w:val="900"/>
                      <w:marBottom w:val="0"/>
                      <w:divBdr>
                        <w:top w:val="none" w:sz="0" w:space="0" w:color="auto"/>
                        <w:left w:val="none" w:sz="0" w:space="0" w:color="auto"/>
                        <w:bottom w:val="none" w:sz="0" w:space="0" w:color="auto"/>
                        <w:right w:val="none" w:sz="0" w:space="0" w:color="auto"/>
                      </w:divBdr>
                      <w:divsChild>
                        <w:div w:id="1622608231">
                          <w:marLeft w:val="0"/>
                          <w:marRight w:val="0"/>
                          <w:marTop w:val="0"/>
                          <w:marBottom w:val="150"/>
                          <w:divBdr>
                            <w:top w:val="none" w:sz="0" w:space="0" w:color="auto"/>
                            <w:left w:val="none" w:sz="0" w:space="0" w:color="auto"/>
                            <w:bottom w:val="none" w:sz="0" w:space="0" w:color="auto"/>
                            <w:right w:val="none" w:sz="0" w:space="0" w:color="auto"/>
                          </w:divBdr>
                        </w:div>
                      </w:divsChild>
                    </w:div>
                    <w:div w:id="1253123826">
                      <w:marLeft w:val="0"/>
                      <w:marRight w:val="0"/>
                      <w:marTop w:val="0"/>
                      <w:marBottom w:val="225"/>
                      <w:divBdr>
                        <w:top w:val="none" w:sz="0" w:space="0" w:color="auto"/>
                        <w:left w:val="none" w:sz="0" w:space="0" w:color="auto"/>
                        <w:bottom w:val="none" w:sz="0" w:space="0" w:color="auto"/>
                        <w:right w:val="none" w:sz="0" w:space="0" w:color="auto"/>
                      </w:divBdr>
                    </w:div>
                    <w:div w:id="1504784863">
                      <w:marLeft w:val="0"/>
                      <w:marRight w:val="0"/>
                      <w:marTop w:val="0"/>
                      <w:marBottom w:val="0"/>
                      <w:divBdr>
                        <w:top w:val="none" w:sz="0" w:space="0" w:color="auto"/>
                        <w:left w:val="none" w:sz="0" w:space="0" w:color="auto"/>
                        <w:bottom w:val="none" w:sz="0" w:space="0" w:color="auto"/>
                        <w:right w:val="none" w:sz="0" w:space="0" w:color="auto"/>
                      </w:divBdr>
                    </w:div>
                    <w:div w:id="1990011352">
                      <w:marLeft w:val="0"/>
                      <w:marRight w:val="0"/>
                      <w:marTop w:val="0"/>
                      <w:marBottom w:val="225"/>
                      <w:divBdr>
                        <w:top w:val="none" w:sz="0" w:space="0" w:color="auto"/>
                        <w:left w:val="none" w:sz="0" w:space="0" w:color="auto"/>
                        <w:bottom w:val="none" w:sz="0" w:space="0" w:color="auto"/>
                        <w:right w:val="none" w:sz="0" w:space="0" w:color="auto"/>
                      </w:divBdr>
                      <w:divsChild>
                        <w:div w:id="22294017">
                          <w:marLeft w:val="0"/>
                          <w:marRight w:val="0"/>
                          <w:marTop w:val="0"/>
                          <w:marBottom w:val="0"/>
                          <w:divBdr>
                            <w:top w:val="none" w:sz="0" w:space="0" w:color="auto"/>
                            <w:left w:val="none" w:sz="0" w:space="0" w:color="auto"/>
                            <w:bottom w:val="none" w:sz="0" w:space="0" w:color="auto"/>
                            <w:right w:val="none" w:sz="0" w:space="0" w:color="auto"/>
                          </w:divBdr>
                          <w:divsChild>
                            <w:div w:id="775097862">
                              <w:marLeft w:val="0"/>
                              <w:marRight w:val="0"/>
                              <w:marTop w:val="0"/>
                              <w:marBottom w:val="0"/>
                              <w:divBdr>
                                <w:top w:val="single" w:sz="6" w:space="7" w:color="CCCCCC"/>
                                <w:left w:val="single" w:sz="6" w:space="14" w:color="CCCCCC"/>
                                <w:bottom w:val="single" w:sz="6" w:space="7" w:color="CCCCCC"/>
                                <w:right w:val="single" w:sz="6" w:space="14" w:color="CCCCCC"/>
                              </w:divBdr>
                            </w:div>
                          </w:divsChild>
                        </w:div>
                      </w:divsChild>
                    </w:div>
                  </w:divsChild>
                </w:div>
              </w:divsChild>
            </w:div>
          </w:divsChild>
        </w:div>
        <w:div w:id="1156142907">
          <w:marLeft w:val="0"/>
          <w:marRight w:val="0"/>
          <w:marTop w:val="0"/>
          <w:marBottom w:val="0"/>
          <w:divBdr>
            <w:top w:val="none" w:sz="0" w:space="0" w:color="auto"/>
            <w:left w:val="none" w:sz="0" w:space="0" w:color="auto"/>
            <w:bottom w:val="none" w:sz="0" w:space="0" w:color="auto"/>
            <w:right w:val="none" w:sz="0" w:space="0" w:color="auto"/>
          </w:divBdr>
          <w:divsChild>
            <w:div w:id="1637030822">
              <w:marLeft w:val="0"/>
              <w:marRight w:val="0"/>
              <w:marTop w:val="0"/>
              <w:marBottom w:val="0"/>
              <w:divBdr>
                <w:top w:val="none" w:sz="0" w:space="0" w:color="auto"/>
                <w:left w:val="none" w:sz="0" w:space="0" w:color="auto"/>
                <w:bottom w:val="none" w:sz="0" w:space="0" w:color="auto"/>
                <w:right w:val="none" w:sz="0" w:space="0" w:color="auto"/>
              </w:divBdr>
              <w:divsChild>
                <w:div w:id="960723098">
                  <w:marLeft w:val="0"/>
                  <w:marRight w:val="0"/>
                  <w:marTop w:val="0"/>
                  <w:marBottom w:val="0"/>
                  <w:divBdr>
                    <w:top w:val="none" w:sz="0" w:space="0" w:color="auto"/>
                    <w:left w:val="none" w:sz="0" w:space="0" w:color="auto"/>
                    <w:bottom w:val="none" w:sz="0" w:space="0" w:color="auto"/>
                    <w:right w:val="none" w:sz="0" w:space="0" w:color="auto"/>
                  </w:divBdr>
                  <w:divsChild>
                    <w:div w:id="177767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36592">
          <w:marLeft w:val="0"/>
          <w:marRight w:val="0"/>
          <w:marTop w:val="0"/>
          <w:marBottom w:val="0"/>
          <w:divBdr>
            <w:top w:val="none" w:sz="0" w:space="0" w:color="auto"/>
            <w:left w:val="none" w:sz="0" w:space="0" w:color="auto"/>
            <w:bottom w:val="none" w:sz="0" w:space="0" w:color="auto"/>
            <w:right w:val="none" w:sz="0" w:space="0" w:color="auto"/>
          </w:divBdr>
          <w:divsChild>
            <w:div w:id="708526763">
              <w:marLeft w:val="0"/>
              <w:marRight w:val="0"/>
              <w:marTop w:val="0"/>
              <w:marBottom w:val="0"/>
              <w:divBdr>
                <w:top w:val="none" w:sz="0" w:space="0" w:color="auto"/>
                <w:left w:val="none" w:sz="0" w:space="0" w:color="auto"/>
                <w:bottom w:val="none" w:sz="0" w:space="0" w:color="auto"/>
                <w:right w:val="none" w:sz="0" w:space="0" w:color="auto"/>
              </w:divBdr>
              <w:divsChild>
                <w:div w:id="1671981655">
                  <w:marLeft w:val="0"/>
                  <w:marRight w:val="0"/>
                  <w:marTop w:val="0"/>
                  <w:marBottom w:val="0"/>
                  <w:divBdr>
                    <w:top w:val="none" w:sz="0" w:space="0" w:color="auto"/>
                    <w:left w:val="none" w:sz="0" w:space="0" w:color="auto"/>
                    <w:bottom w:val="none" w:sz="0" w:space="0" w:color="auto"/>
                    <w:right w:val="none" w:sz="0" w:space="0" w:color="auto"/>
                  </w:divBdr>
                  <w:divsChild>
                    <w:div w:id="1790509903">
                      <w:marLeft w:val="0"/>
                      <w:marRight w:val="0"/>
                      <w:marTop w:val="0"/>
                      <w:marBottom w:val="0"/>
                      <w:divBdr>
                        <w:top w:val="none" w:sz="0" w:space="0" w:color="auto"/>
                        <w:left w:val="none" w:sz="0" w:space="0" w:color="auto"/>
                        <w:bottom w:val="none" w:sz="0" w:space="0" w:color="auto"/>
                        <w:right w:val="none" w:sz="0" w:space="0" w:color="auto"/>
                      </w:divBdr>
                      <w:divsChild>
                        <w:div w:id="436174483">
                          <w:marLeft w:val="0"/>
                          <w:marRight w:val="0"/>
                          <w:marTop w:val="0"/>
                          <w:marBottom w:val="0"/>
                          <w:divBdr>
                            <w:top w:val="none" w:sz="0" w:space="0" w:color="auto"/>
                            <w:left w:val="none" w:sz="0" w:space="0" w:color="auto"/>
                            <w:bottom w:val="none" w:sz="0" w:space="0" w:color="auto"/>
                            <w:right w:val="none" w:sz="0" w:space="0" w:color="auto"/>
                          </w:divBdr>
                          <w:divsChild>
                            <w:div w:id="19672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420908">
          <w:marLeft w:val="0"/>
          <w:marRight w:val="0"/>
          <w:marTop w:val="0"/>
          <w:marBottom w:val="0"/>
          <w:divBdr>
            <w:top w:val="none" w:sz="0" w:space="0" w:color="auto"/>
            <w:left w:val="none" w:sz="0" w:space="0" w:color="auto"/>
            <w:bottom w:val="none" w:sz="0" w:space="0" w:color="auto"/>
            <w:right w:val="none" w:sz="0" w:space="0" w:color="auto"/>
          </w:divBdr>
          <w:divsChild>
            <w:div w:id="1774013941">
              <w:marLeft w:val="0"/>
              <w:marRight w:val="0"/>
              <w:marTop w:val="0"/>
              <w:marBottom w:val="0"/>
              <w:divBdr>
                <w:top w:val="none" w:sz="0" w:space="0" w:color="auto"/>
                <w:left w:val="none" w:sz="0" w:space="0" w:color="auto"/>
                <w:bottom w:val="none" w:sz="0" w:space="0" w:color="auto"/>
                <w:right w:val="none" w:sz="0" w:space="0" w:color="auto"/>
              </w:divBdr>
            </w:div>
          </w:divsChild>
        </w:div>
        <w:div w:id="1385135084">
          <w:marLeft w:val="0"/>
          <w:marRight w:val="0"/>
          <w:marTop w:val="900"/>
          <w:marBottom w:val="900"/>
          <w:divBdr>
            <w:top w:val="none" w:sz="0" w:space="0" w:color="auto"/>
            <w:left w:val="none" w:sz="0" w:space="0" w:color="auto"/>
            <w:bottom w:val="none" w:sz="0" w:space="0" w:color="auto"/>
            <w:right w:val="none" w:sz="0" w:space="0" w:color="auto"/>
          </w:divBdr>
          <w:divsChild>
            <w:div w:id="513540612">
              <w:marLeft w:val="0"/>
              <w:marRight w:val="0"/>
              <w:marTop w:val="0"/>
              <w:marBottom w:val="0"/>
              <w:divBdr>
                <w:top w:val="single" w:sz="6" w:space="16" w:color="979797"/>
                <w:left w:val="single" w:sz="6" w:space="17" w:color="979797"/>
                <w:bottom w:val="single" w:sz="6" w:space="16" w:color="979797"/>
                <w:right w:val="single" w:sz="6" w:space="0" w:color="979797"/>
              </w:divBdr>
            </w:div>
          </w:divsChild>
        </w:div>
        <w:div w:id="1590578758">
          <w:marLeft w:val="0"/>
          <w:marRight w:val="0"/>
          <w:marTop w:val="0"/>
          <w:marBottom w:val="0"/>
          <w:divBdr>
            <w:top w:val="none" w:sz="0" w:space="0" w:color="auto"/>
            <w:left w:val="none" w:sz="0" w:space="0" w:color="auto"/>
            <w:bottom w:val="none" w:sz="0" w:space="0" w:color="auto"/>
            <w:right w:val="none" w:sz="0" w:space="0" w:color="auto"/>
          </w:divBdr>
          <w:divsChild>
            <w:div w:id="569534767">
              <w:marLeft w:val="-225"/>
              <w:marRight w:val="-225"/>
              <w:marTop w:val="1050"/>
              <w:marBottom w:val="0"/>
              <w:divBdr>
                <w:top w:val="none" w:sz="0" w:space="0" w:color="auto"/>
                <w:left w:val="none" w:sz="0" w:space="0" w:color="auto"/>
                <w:bottom w:val="none" w:sz="0" w:space="0" w:color="auto"/>
                <w:right w:val="none" w:sz="0" w:space="0" w:color="auto"/>
              </w:divBdr>
              <w:divsChild>
                <w:div w:id="1699426712">
                  <w:marLeft w:val="0"/>
                  <w:marRight w:val="0"/>
                  <w:marTop w:val="0"/>
                  <w:marBottom w:val="0"/>
                  <w:divBdr>
                    <w:top w:val="none" w:sz="0" w:space="0" w:color="auto"/>
                    <w:left w:val="none" w:sz="0" w:space="0" w:color="auto"/>
                    <w:bottom w:val="none" w:sz="0" w:space="0" w:color="auto"/>
                    <w:right w:val="none" w:sz="0" w:space="0" w:color="auto"/>
                  </w:divBdr>
                  <w:divsChild>
                    <w:div w:id="1740130775">
                      <w:marLeft w:val="0"/>
                      <w:marRight w:val="0"/>
                      <w:marTop w:val="0"/>
                      <w:marBottom w:val="0"/>
                      <w:divBdr>
                        <w:top w:val="none" w:sz="0" w:space="0" w:color="auto"/>
                        <w:left w:val="none" w:sz="0" w:space="0" w:color="auto"/>
                        <w:bottom w:val="none" w:sz="0" w:space="0" w:color="auto"/>
                        <w:right w:val="none" w:sz="0" w:space="0" w:color="auto"/>
                      </w:divBdr>
                      <w:divsChild>
                        <w:div w:id="1390760181">
                          <w:marLeft w:val="0"/>
                          <w:marRight w:val="0"/>
                          <w:marTop w:val="0"/>
                          <w:marBottom w:val="0"/>
                          <w:divBdr>
                            <w:top w:val="none" w:sz="0" w:space="0" w:color="auto"/>
                            <w:left w:val="none" w:sz="0" w:space="0" w:color="auto"/>
                            <w:bottom w:val="none" w:sz="0" w:space="0" w:color="auto"/>
                            <w:right w:val="none" w:sz="0" w:space="0" w:color="auto"/>
                          </w:divBdr>
                          <w:divsChild>
                            <w:div w:id="11406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93475">
                  <w:marLeft w:val="0"/>
                  <w:marRight w:val="0"/>
                  <w:marTop w:val="0"/>
                  <w:marBottom w:val="0"/>
                  <w:divBdr>
                    <w:top w:val="none" w:sz="0" w:space="0" w:color="auto"/>
                    <w:left w:val="none" w:sz="0" w:space="0" w:color="auto"/>
                    <w:bottom w:val="none" w:sz="0" w:space="0" w:color="auto"/>
                    <w:right w:val="none" w:sz="0" w:space="0" w:color="auto"/>
                  </w:divBdr>
                  <w:divsChild>
                    <w:div w:id="575171401">
                      <w:marLeft w:val="0"/>
                      <w:marRight w:val="0"/>
                      <w:marTop w:val="0"/>
                      <w:marBottom w:val="0"/>
                      <w:divBdr>
                        <w:top w:val="none" w:sz="0" w:space="0" w:color="auto"/>
                        <w:left w:val="none" w:sz="0" w:space="0" w:color="auto"/>
                        <w:bottom w:val="none" w:sz="0" w:space="0" w:color="auto"/>
                        <w:right w:val="none" w:sz="0" w:space="0" w:color="auto"/>
                      </w:divBdr>
                      <w:divsChild>
                        <w:div w:id="1492671952">
                          <w:marLeft w:val="0"/>
                          <w:marRight w:val="0"/>
                          <w:marTop w:val="0"/>
                          <w:marBottom w:val="0"/>
                          <w:divBdr>
                            <w:top w:val="none" w:sz="0" w:space="0" w:color="auto"/>
                            <w:left w:val="none" w:sz="0" w:space="0" w:color="auto"/>
                            <w:bottom w:val="none" w:sz="0" w:space="0" w:color="auto"/>
                            <w:right w:val="none" w:sz="0" w:space="0" w:color="auto"/>
                          </w:divBdr>
                          <w:divsChild>
                            <w:div w:id="13092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48035">
                  <w:marLeft w:val="0"/>
                  <w:marRight w:val="0"/>
                  <w:marTop w:val="0"/>
                  <w:marBottom w:val="0"/>
                  <w:divBdr>
                    <w:top w:val="none" w:sz="0" w:space="0" w:color="auto"/>
                    <w:left w:val="none" w:sz="0" w:space="0" w:color="auto"/>
                    <w:bottom w:val="none" w:sz="0" w:space="0" w:color="auto"/>
                    <w:right w:val="none" w:sz="0" w:space="0" w:color="auto"/>
                  </w:divBdr>
                  <w:divsChild>
                    <w:div w:id="877162850">
                      <w:marLeft w:val="0"/>
                      <w:marRight w:val="0"/>
                      <w:marTop w:val="0"/>
                      <w:marBottom w:val="0"/>
                      <w:divBdr>
                        <w:top w:val="none" w:sz="0" w:space="0" w:color="auto"/>
                        <w:left w:val="none" w:sz="0" w:space="0" w:color="auto"/>
                        <w:bottom w:val="none" w:sz="0" w:space="0" w:color="auto"/>
                        <w:right w:val="none" w:sz="0" w:space="0" w:color="auto"/>
                      </w:divBdr>
                      <w:divsChild>
                        <w:div w:id="566576511">
                          <w:marLeft w:val="0"/>
                          <w:marRight w:val="0"/>
                          <w:marTop w:val="0"/>
                          <w:marBottom w:val="0"/>
                          <w:divBdr>
                            <w:top w:val="none" w:sz="0" w:space="0" w:color="auto"/>
                            <w:left w:val="none" w:sz="0" w:space="0" w:color="auto"/>
                            <w:bottom w:val="none" w:sz="0" w:space="0" w:color="auto"/>
                            <w:right w:val="none" w:sz="0" w:space="0" w:color="auto"/>
                          </w:divBdr>
                          <w:divsChild>
                            <w:div w:id="9712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858944">
          <w:marLeft w:val="0"/>
          <w:marRight w:val="0"/>
          <w:marTop w:val="0"/>
          <w:marBottom w:val="300"/>
          <w:divBdr>
            <w:top w:val="none" w:sz="0" w:space="0" w:color="auto"/>
            <w:left w:val="none" w:sz="0" w:space="0" w:color="auto"/>
            <w:bottom w:val="single" w:sz="6" w:space="0" w:color="DDDDDD"/>
            <w:right w:val="none" w:sz="0" w:space="0" w:color="auto"/>
          </w:divBdr>
        </w:div>
        <w:div w:id="2017271134">
          <w:marLeft w:val="-4500"/>
          <w:marRight w:val="0"/>
          <w:marTop w:val="0"/>
          <w:marBottom w:val="0"/>
          <w:divBdr>
            <w:top w:val="single" w:sz="6" w:space="8" w:color="979797"/>
            <w:left w:val="single" w:sz="6" w:space="15" w:color="979797"/>
            <w:bottom w:val="single" w:sz="6" w:space="8" w:color="979797"/>
            <w:right w:val="single" w:sz="6" w:space="8" w:color="979797"/>
          </w:divBdr>
          <w:divsChild>
            <w:div w:id="1748266799">
              <w:marLeft w:val="0"/>
              <w:marRight w:val="0"/>
              <w:marTop w:val="0"/>
              <w:marBottom w:val="0"/>
              <w:divBdr>
                <w:top w:val="none" w:sz="0" w:space="0" w:color="auto"/>
                <w:left w:val="none" w:sz="0" w:space="0" w:color="auto"/>
                <w:bottom w:val="none" w:sz="0" w:space="0" w:color="auto"/>
                <w:right w:val="none" w:sz="0" w:space="0" w:color="auto"/>
              </w:divBdr>
            </w:div>
          </w:divsChild>
        </w:div>
        <w:div w:id="2021354405">
          <w:marLeft w:val="0"/>
          <w:marRight w:val="0"/>
          <w:marTop w:val="0"/>
          <w:marBottom w:val="0"/>
          <w:divBdr>
            <w:top w:val="none" w:sz="0" w:space="0" w:color="auto"/>
            <w:left w:val="none" w:sz="0" w:space="0" w:color="auto"/>
            <w:bottom w:val="none" w:sz="0" w:space="0" w:color="auto"/>
            <w:right w:val="none" w:sz="0" w:space="0" w:color="auto"/>
          </w:divBdr>
          <w:divsChild>
            <w:div w:id="204408365">
              <w:marLeft w:val="0"/>
              <w:marRight w:val="0"/>
              <w:marTop w:val="0"/>
              <w:marBottom w:val="0"/>
              <w:divBdr>
                <w:top w:val="none" w:sz="0" w:space="0" w:color="auto"/>
                <w:left w:val="none" w:sz="0" w:space="0" w:color="auto"/>
                <w:bottom w:val="none" w:sz="0" w:space="0" w:color="auto"/>
                <w:right w:val="none" w:sz="0" w:space="0" w:color="auto"/>
              </w:divBdr>
              <w:divsChild>
                <w:div w:id="1279946380">
                  <w:marLeft w:val="0"/>
                  <w:marRight w:val="0"/>
                  <w:marTop w:val="0"/>
                  <w:marBottom w:val="0"/>
                  <w:divBdr>
                    <w:top w:val="none" w:sz="0" w:space="0" w:color="auto"/>
                    <w:left w:val="none" w:sz="0" w:space="0" w:color="auto"/>
                    <w:bottom w:val="none" w:sz="0" w:space="0" w:color="auto"/>
                    <w:right w:val="none" w:sz="0" w:space="0" w:color="auto"/>
                  </w:divBdr>
                  <w:divsChild>
                    <w:div w:id="15040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77946">
      <w:bodyDiv w:val="1"/>
      <w:marLeft w:val="0"/>
      <w:marRight w:val="0"/>
      <w:marTop w:val="0"/>
      <w:marBottom w:val="0"/>
      <w:divBdr>
        <w:top w:val="none" w:sz="0" w:space="0" w:color="auto"/>
        <w:left w:val="none" w:sz="0" w:space="0" w:color="auto"/>
        <w:bottom w:val="none" w:sz="0" w:space="0" w:color="auto"/>
        <w:right w:val="none" w:sz="0" w:space="0" w:color="auto"/>
      </w:divBdr>
    </w:div>
    <w:div w:id="1019695288">
      <w:bodyDiv w:val="1"/>
      <w:marLeft w:val="0"/>
      <w:marRight w:val="0"/>
      <w:marTop w:val="0"/>
      <w:marBottom w:val="0"/>
      <w:divBdr>
        <w:top w:val="none" w:sz="0" w:space="0" w:color="auto"/>
        <w:left w:val="none" w:sz="0" w:space="0" w:color="auto"/>
        <w:bottom w:val="none" w:sz="0" w:space="0" w:color="auto"/>
        <w:right w:val="none" w:sz="0" w:space="0" w:color="auto"/>
      </w:divBdr>
    </w:div>
    <w:div w:id="1154302392">
      <w:bodyDiv w:val="1"/>
      <w:marLeft w:val="0"/>
      <w:marRight w:val="0"/>
      <w:marTop w:val="0"/>
      <w:marBottom w:val="0"/>
      <w:divBdr>
        <w:top w:val="none" w:sz="0" w:space="0" w:color="auto"/>
        <w:left w:val="none" w:sz="0" w:space="0" w:color="auto"/>
        <w:bottom w:val="none" w:sz="0" w:space="0" w:color="auto"/>
        <w:right w:val="none" w:sz="0" w:space="0" w:color="auto"/>
      </w:divBdr>
    </w:div>
    <w:div w:id="122895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þema">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E61043-262A-4D99-A8DD-345495771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547B1D-BAE8-4C06-A49E-2A1A0FAC0613}">
  <ds:schemaRefs>
    <ds:schemaRef ds:uri="http://schemas.microsoft.com/sharepoint/v3/contenttype/forms"/>
  </ds:schemaRefs>
</ds:datastoreItem>
</file>

<file path=customXml/itemProps3.xml><?xml version="1.0" encoding="utf-8"?>
<ds:datastoreItem xmlns:ds="http://schemas.openxmlformats.org/officeDocument/2006/customXml" ds:itemID="{03E31AA7-D334-40BA-AECC-87AC8346E5DA}">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a62df43e-3f8c-4b06-a4c0-1e36b64c9afd"/>
    <ds:schemaRef ds:uri="http://schemas.microsoft.com/office/2006/metadata/properties"/>
    <ds:schemaRef ds:uri="bf78ef37-3a61-4a70-a771-a7ff3f80616d"/>
    <ds:schemaRef ds:uri="http://schemas.openxmlformats.org/package/2006/metadata/core-properties"/>
    <ds:schemaRef ds:uri="http://www.w3.org/XML/1998/namespac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2304</Words>
  <Characters>13138</Characters>
  <Application>Microsoft Office Word</Application>
  <DocSecurity>4</DocSecurity>
  <Lines>109</Lines>
  <Paragraphs>30</Paragraphs>
  <ScaleCrop>false</ScaleCrop>
  <Company/>
  <LinksUpToDate>false</LinksUpToDate>
  <CharactersWithSpaces>15412</CharactersWithSpaces>
  <SharedDoc>false</SharedDoc>
  <HLinks>
    <vt:vector size="60" baseType="variant">
      <vt:variant>
        <vt:i4>1048702</vt:i4>
      </vt:variant>
      <vt:variant>
        <vt:i4>27</vt:i4>
      </vt:variant>
      <vt:variant>
        <vt:i4>0</vt:i4>
      </vt:variant>
      <vt:variant>
        <vt:i4>5</vt:i4>
      </vt:variant>
      <vt:variant>
        <vt:lpwstr>mailto:silja.stefansdottir@frn.is</vt:lpwstr>
      </vt:variant>
      <vt:variant>
        <vt:lpwstr/>
      </vt:variant>
      <vt:variant>
        <vt:i4>1704051</vt:i4>
      </vt:variant>
      <vt:variant>
        <vt:i4>24</vt:i4>
      </vt:variant>
      <vt:variant>
        <vt:i4>0</vt:i4>
      </vt:variant>
      <vt:variant>
        <vt:i4>5</vt:i4>
      </vt:variant>
      <vt:variant>
        <vt:lpwstr>mailto:gudni.olgeirsson@mrn.is</vt:lpwstr>
      </vt:variant>
      <vt:variant>
        <vt:lpwstr/>
      </vt:variant>
      <vt:variant>
        <vt:i4>1048702</vt:i4>
      </vt:variant>
      <vt:variant>
        <vt:i4>21</vt:i4>
      </vt:variant>
      <vt:variant>
        <vt:i4>0</vt:i4>
      </vt:variant>
      <vt:variant>
        <vt:i4>5</vt:i4>
      </vt:variant>
      <vt:variant>
        <vt:lpwstr>mailto:silja.stefansdottir@frn.is</vt:lpwstr>
      </vt:variant>
      <vt:variant>
        <vt:lpwstr/>
      </vt:variant>
      <vt:variant>
        <vt:i4>1704051</vt:i4>
      </vt:variant>
      <vt:variant>
        <vt:i4>18</vt:i4>
      </vt:variant>
      <vt:variant>
        <vt:i4>0</vt:i4>
      </vt:variant>
      <vt:variant>
        <vt:i4>5</vt:i4>
      </vt:variant>
      <vt:variant>
        <vt:lpwstr>mailto:gudni.olgeirsson@mrn.is</vt:lpwstr>
      </vt:variant>
      <vt:variant>
        <vt:lpwstr/>
      </vt:variant>
      <vt:variant>
        <vt:i4>4653090</vt:i4>
      </vt:variant>
      <vt:variant>
        <vt:i4>15</vt:i4>
      </vt:variant>
      <vt:variant>
        <vt:i4>0</vt:i4>
      </vt:variant>
      <vt:variant>
        <vt:i4>5</vt:i4>
      </vt:variant>
      <vt:variant>
        <vt:lpwstr>mailto:heidur.bjornsdottir@for.is</vt:lpwstr>
      </vt:variant>
      <vt:variant>
        <vt:lpwstr/>
      </vt:variant>
      <vt:variant>
        <vt:i4>4653090</vt:i4>
      </vt:variant>
      <vt:variant>
        <vt:i4>12</vt:i4>
      </vt:variant>
      <vt:variant>
        <vt:i4>0</vt:i4>
      </vt:variant>
      <vt:variant>
        <vt:i4>5</vt:i4>
      </vt:variant>
      <vt:variant>
        <vt:lpwstr>mailto:heidur.bjornsdottir@for.is</vt:lpwstr>
      </vt:variant>
      <vt:variant>
        <vt:lpwstr/>
      </vt:variant>
      <vt:variant>
        <vt:i4>1048702</vt:i4>
      </vt:variant>
      <vt:variant>
        <vt:i4>9</vt:i4>
      </vt:variant>
      <vt:variant>
        <vt:i4>0</vt:i4>
      </vt:variant>
      <vt:variant>
        <vt:i4>5</vt:i4>
      </vt:variant>
      <vt:variant>
        <vt:lpwstr>mailto:silja.stefansdottir@frn.is</vt:lpwstr>
      </vt:variant>
      <vt:variant>
        <vt:lpwstr/>
      </vt:variant>
      <vt:variant>
        <vt:i4>4653090</vt:i4>
      </vt:variant>
      <vt:variant>
        <vt:i4>6</vt:i4>
      </vt:variant>
      <vt:variant>
        <vt:i4>0</vt:i4>
      </vt:variant>
      <vt:variant>
        <vt:i4>5</vt:i4>
      </vt:variant>
      <vt:variant>
        <vt:lpwstr>mailto:heidur.bjornsdottir@for.is</vt:lpwstr>
      </vt:variant>
      <vt:variant>
        <vt:lpwstr/>
      </vt:variant>
      <vt:variant>
        <vt:i4>3997776</vt:i4>
      </vt:variant>
      <vt:variant>
        <vt:i4>3</vt:i4>
      </vt:variant>
      <vt:variant>
        <vt:i4>0</vt:i4>
      </vt:variant>
      <vt:variant>
        <vt:i4>5</vt:i4>
      </vt:variant>
      <vt:variant>
        <vt:lpwstr>mailto:gudrun.torfadottir@fjr.is</vt:lpwstr>
      </vt:variant>
      <vt:variant>
        <vt:lpwstr/>
      </vt:variant>
      <vt:variant>
        <vt:i4>7995472</vt:i4>
      </vt:variant>
      <vt:variant>
        <vt:i4>0</vt:i4>
      </vt:variant>
      <vt:variant>
        <vt:i4>0</vt:i4>
      </vt:variant>
      <vt:variant>
        <vt:i4>5</vt:i4>
      </vt:variant>
      <vt:variant>
        <vt:lpwstr>mailto:helen@utn.is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Unnur Helgadóttir</dc:creator>
  <cp:keywords/>
  <dc:description/>
  <cp:lastModifiedBy>DUPONT Karine</cp:lastModifiedBy>
  <cp:revision>2</cp:revision>
  <dcterms:created xsi:type="dcterms:W3CDTF">2021-12-20T13:05:00Z</dcterms:created>
  <dcterms:modified xsi:type="dcterms:W3CDTF">2021-12-20T13:05:00Z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1550500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