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370F5" w14:textId="77777777" w:rsidR="00606335" w:rsidRDefault="00606335" w:rsidP="00606335">
      <w:bookmarkStart w:id="0" w:name="_GoBack"/>
      <w:bookmarkEnd w:id="0"/>
      <w:r w:rsidRPr="00C3682C">
        <w:rPr>
          <w:noProof/>
          <w:lang w:val="en-GB" w:eastAsia="en-GB"/>
        </w:rPr>
        <w:drawing>
          <wp:inline distT="0" distB="0" distL="0" distR="0" wp14:anchorId="51AD25DE" wp14:editId="7A929D1F">
            <wp:extent cx="3306445" cy="1223010"/>
            <wp:effectExtent l="0" t="0" r="0" b="0"/>
            <wp:docPr id="5" name="Picture 5" descr="Canadian Human Rights Commission (CH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nadian Human Rights Commission (CHR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6445" cy="1223010"/>
                    </a:xfrm>
                    <a:prstGeom prst="rect">
                      <a:avLst/>
                    </a:prstGeom>
                    <a:noFill/>
                    <a:ln>
                      <a:noFill/>
                    </a:ln>
                  </pic:spPr>
                </pic:pic>
              </a:graphicData>
            </a:graphic>
          </wp:inline>
        </w:drawing>
      </w:r>
    </w:p>
    <w:p w14:paraId="2D312BF0" w14:textId="77777777" w:rsidR="00606335" w:rsidRDefault="00606335" w:rsidP="00606335"/>
    <w:p w14:paraId="526F7439" w14:textId="77777777" w:rsidR="00606335" w:rsidRDefault="00606335" w:rsidP="00606335"/>
    <w:p w14:paraId="18CA86FA" w14:textId="77777777" w:rsidR="00606335" w:rsidRDefault="00606335" w:rsidP="00606335">
      <w:pPr>
        <w:spacing w:after="0" w:line="240" w:lineRule="auto"/>
        <w:jc w:val="center"/>
        <w:rPr>
          <w:rFonts w:ascii="Arial" w:hAnsi="Arial" w:cs="Arial"/>
          <w:b/>
          <w:smallCaps/>
          <w:sz w:val="36"/>
          <w:szCs w:val="36"/>
        </w:rPr>
      </w:pPr>
      <w:r>
        <w:rPr>
          <w:rFonts w:ascii="Arial" w:hAnsi="Arial" w:cs="Arial"/>
          <w:b/>
          <w:smallCaps/>
          <w:sz w:val="56"/>
          <w:szCs w:val="56"/>
        </w:rPr>
        <w:br/>
      </w:r>
      <w:r w:rsidRPr="005343D6">
        <w:rPr>
          <w:rFonts w:ascii="Arial" w:hAnsi="Arial" w:cs="Arial"/>
          <w:b/>
          <w:smallCaps/>
          <w:sz w:val="56"/>
          <w:szCs w:val="56"/>
        </w:rPr>
        <w:t xml:space="preserve">Canadian Human Rights Commission </w:t>
      </w:r>
      <w:r>
        <w:rPr>
          <w:rFonts w:ascii="Arial" w:hAnsi="Arial" w:cs="Arial"/>
          <w:b/>
          <w:smallCaps/>
          <w:sz w:val="56"/>
          <w:szCs w:val="56"/>
        </w:rPr>
        <w:br/>
      </w:r>
      <w:r>
        <w:rPr>
          <w:rFonts w:ascii="Arial" w:hAnsi="Arial" w:cs="Arial"/>
          <w:b/>
          <w:smallCaps/>
          <w:sz w:val="56"/>
          <w:szCs w:val="56"/>
        </w:rPr>
        <w:br/>
      </w:r>
      <w:r>
        <w:rPr>
          <w:rFonts w:ascii="Arial" w:hAnsi="Arial" w:cs="Arial"/>
          <w:b/>
          <w:smallCaps/>
          <w:sz w:val="56"/>
          <w:szCs w:val="56"/>
        </w:rPr>
        <w:br/>
      </w:r>
      <w:r>
        <w:rPr>
          <w:rFonts w:ascii="Arial" w:hAnsi="Arial" w:cs="Arial"/>
          <w:b/>
          <w:smallCaps/>
          <w:sz w:val="56"/>
          <w:szCs w:val="56"/>
        </w:rPr>
        <w:br/>
      </w:r>
      <w:r>
        <w:rPr>
          <w:rFonts w:ascii="Arial" w:hAnsi="Arial" w:cs="Arial"/>
          <w:b/>
          <w:smallCaps/>
          <w:sz w:val="56"/>
          <w:szCs w:val="56"/>
        </w:rPr>
        <w:br/>
      </w:r>
      <w:r>
        <w:rPr>
          <w:rFonts w:ascii="Arial" w:hAnsi="Arial" w:cs="Arial"/>
          <w:b/>
          <w:smallCaps/>
          <w:sz w:val="56"/>
          <w:szCs w:val="56"/>
        </w:rPr>
        <w:br/>
      </w:r>
      <w:r>
        <w:rPr>
          <w:rFonts w:ascii="Arial" w:hAnsi="Arial" w:cs="Arial"/>
          <w:b/>
          <w:smallCaps/>
          <w:sz w:val="56"/>
          <w:szCs w:val="56"/>
        </w:rPr>
        <w:br/>
      </w:r>
      <w:r w:rsidRPr="005343D6">
        <w:rPr>
          <w:rFonts w:ascii="Arial" w:hAnsi="Arial" w:cs="Arial"/>
          <w:b/>
          <w:smallCaps/>
          <w:sz w:val="36"/>
          <w:szCs w:val="36"/>
        </w:rPr>
        <w:t xml:space="preserve">Submission to the </w:t>
      </w:r>
    </w:p>
    <w:p w14:paraId="2CA8D740" w14:textId="77777777" w:rsidR="00606335" w:rsidRDefault="00A74E08" w:rsidP="00606335">
      <w:pPr>
        <w:spacing w:after="0" w:line="240" w:lineRule="auto"/>
        <w:jc w:val="center"/>
        <w:rPr>
          <w:rFonts w:ascii="Arial" w:hAnsi="Arial" w:cs="Arial"/>
          <w:b/>
          <w:smallCaps/>
          <w:sz w:val="36"/>
          <w:szCs w:val="36"/>
        </w:rPr>
      </w:pPr>
      <w:r>
        <w:rPr>
          <w:rFonts w:ascii="Arial" w:hAnsi="Arial" w:cs="Arial"/>
          <w:b/>
          <w:smallCaps/>
          <w:sz w:val="36"/>
          <w:szCs w:val="36"/>
        </w:rPr>
        <w:t>Committee on the Rights of Persons with Disabilities</w:t>
      </w:r>
    </w:p>
    <w:p w14:paraId="64566F17" w14:textId="77777777" w:rsidR="00606335" w:rsidRDefault="00606335" w:rsidP="00606335">
      <w:pPr>
        <w:spacing w:after="0" w:line="240" w:lineRule="auto"/>
        <w:jc w:val="center"/>
        <w:rPr>
          <w:rFonts w:ascii="Arial" w:hAnsi="Arial" w:cs="Arial"/>
          <w:b/>
          <w:smallCaps/>
          <w:sz w:val="36"/>
          <w:szCs w:val="36"/>
        </w:rPr>
      </w:pPr>
      <w:r>
        <w:rPr>
          <w:rFonts w:ascii="Arial" w:hAnsi="Arial" w:cs="Arial"/>
          <w:b/>
          <w:smallCaps/>
          <w:sz w:val="36"/>
          <w:szCs w:val="36"/>
        </w:rPr>
        <w:t xml:space="preserve">in preparation </w:t>
      </w:r>
      <w:r w:rsidR="00A74E08">
        <w:rPr>
          <w:rFonts w:ascii="Arial" w:hAnsi="Arial" w:cs="Arial"/>
          <w:b/>
          <w:smallCaps/>
          <w:sz w:val="36"/>
          <w:szCs w:val="36"/>
        </w:rPr>
        <w:t xml:space="preserve">of the Committee’s </w:t>
      </w:r>
      <w:r w:rsidR="00D36616">
        <w:rPr>
          <w:rFonts w:ascii="Arial" w:hAnsi="Arial" w:cs="Arial"/>
          <w:b/>
          <w:smallCaps/>
          <w:sz w:val="36"/>
          <w:szCs w:val="36"/>
        </w:rPr>
        <w:t xml:space="preserve">development of the </w:t>
      </w:r>
      <w:r w:rsidR="00A74E08">
        <w:rPr>
          <w:rFonts w:ascii="Arial" w:hAnsi="Arial" w:cs="Arial"/>
          <w:b/>
          <w:smallCaps/>
          <w:sz w:val="36"/>
          <w:szCs w:val="36"/>
        </w:rPr>
        <w:t>General Comment on the right of persons with disabilities to work and employment</w:t>
      </w:r>
    </w:p>
    <w:p w14:paraId="62F0B213" w14:textId="77777777" w:rsidR="00606335" w:rsidRDefault="00606335" w:rsidP="00606335">
      <w:pPr>
        <w:spacing w:after="0" w:line="240" w:lineRule="auto"/>
        <w:jc w:val="center"/>
        <w:rPr>
          <w:rFonts w:ascii="Arial" w:hAnsi="Arial" w:cs="Arial"/>
          <w:b/>
          <w:smallCaps/>
          <w:sz w:val="36"/>
          <w:szCs w:val="36"/>
        </w:rPr>
      </w:pPr>
    </w:p>
    <w:p w14:paraId="46EC723F" w14:textId="77777777" w:rsidR="00606335" w:rsidRPr="005343D6" w:rsidRDefault="00606335" w:rsidP="00606335">
      <w:pPr>
        <w:spacing w:after="0" w:line="240" w:lineRule="auto"/>
        <w:jc w:val="center"/>
        <w:rPr>
          <w:rFonts w:ascii="Arial" w:hAnsi="Arial" w:cs="Arial"/>
          <w:b/>
          <w:smallCaps/>
          <w:sz w:val="36"/>
          <w:szCs w:val="36"/>
        </w:rPr>
      </w:pPr>
    </w:p>
    <w:p w14:paraId="77E7B193" w14:textId="77777777" w:rsidR="00606335" w:rsidRDefault="00606335" w:rsidP="00606335">
      <w:pPr>
        <w:spacing w:after="0" w:line="240" w:lineRule="auto"/>
        <w:jc w:val="center"/>
        <w:rPr>
          <w:rFonts w:ascii="Arial" w:hAnsi="Arial" w:cs="Arial"/>
          <w:b/>
          <w:smallCaps/>
          <w:sz w:val="36"/>
          <w:szCs w:val="36"/>
        </w:rPr>
      </w:pPr>
    </w:p>
    <w:p w14:paraId="0E945AAD" w14:textId="77777777" w:rsidR="00606335" w:rsidRPr="00802656" w:rsidRDefault="00A74E08" w:rsidP="00606335">
      <w:pPr>
        <w:jc w:val="center"/>
        <w:rPr>
          <w:rFonts w:ascii="Arial" w:hAnsi="Arial" w:cs="Arial"/>
          <w:b/>
          <w:smallCaps/>
          <w:sz w:val="36"/>
          <w:szCs w:val="36"/>
        </w:rPr>
      </w:pPr>
      <w:r>
        <w:rPr>
          <w:rFonts w:ascii="Arial" w:hAnsi="Arial" w:cs="Arial"/>
          <w:b/>
          <w:smallCaps/>
          <w:sz w:val="36"/>
          <w:szCs w:val="36"/>
        </w:rPr>
        <w:t>December</w:t>
      </w:r>
      <w:r w:rsidR="00606335">
        <w:rPr>
          <w:rFonts w:ascii="Arial" w:hAnsi="Arial" w:cs="Arial"/>
          <w:b/>
          <w:smallCaps/>
          <w:sz w:val="36"/>
          <w:szCs w:val="36"/>
        </w:rPr>
        <w:t xml:space="preserve"> 2021 </w:t>
      </w:r>
    </w:p>
    <w:p w14:paraId="6C676581" w14:textId="77777777" w:rsidR="00606335" w:rsidRPr="001D349F" w:rsidRDefault="00606335" w:rsidP="00A74E08">
      <w:pPr>
        <w:pStyle w:val="Heading1"/>
      </w:pPr>
      <w:bookmarkStart w:id="1" w:name="_Toc74213119"/>
      <w:r w:rsidRPr="001D349F">
        <w:lastRenderedPageBreak/>
        <w:t>THE CANADIAN HUMAN RIGHTS COMMISSION</w:t>
      </w:r>
      <w:bookmarkEnd w:id="1"/>
    </w:p>
    <w:p w14:paraId="55ADEAB7" w14:textId="77777777" w:rsidR="00606335" w:rsidRDefault="00606335" w:rsidP="00606335">
      <w:pPr>
        <w:pStyle w:val="NoSpacing"/>
        <w:rPr>
          <w:rFonts w:ascii="Arial" w:hAnsi="Arial" w:cs="Arial"/>
          <w:sz w:val="24"/>
          <w:szCs w:val="24"/>
        </w:rPr>
      </w:pPr>
    </w:p>
    <w:p w14:paraId="0C125B34" w14:textId="77777777" w:rsidR="00606335" w:rsidRPr="00572AAA" w:rsidRDefault="00606335" w:rsidP="00606335">
      <w:pPr>
        <w:spacing w:line="240" w:lineRule="auto"/>
        <w:contextualSpacing/>
        <w:rPr>
          <w:rFonts w:ascii="Arial" w:hAnsi="Arial" w:cs="Arial"/>
          <w:sz w:val="24"/>
          <w:szCs w:val="24"/>
        </w:rPr>
      </w:pPr>
      <w:r w:rsidRPr="00572AAA">
        <w:rPr>
          <w:rFonts w:ascii="Arial" w:hAnsi="Arial" w:cs="Arial"/>
          <w:sz w:val="24"/>
          <w:szCs w:val="24"/>
        </w:rPr>
        <w:t>The Canadian Human Rights Commission (</w:t>
      </w:r>
      <w:r>
        <w:rPr>
          <w:rFonts w:ascii="Arial" w:hAnsi="Arial" w:cs="Arial"/>
          <w:sz w:val="24"/>
          <w:szCs w:val="24"/>
        </w:rPr>
        <w:t>the Commission; CHRC</w:t>
      </w:r>
      <w:r w:rsidRPr="00572AAA">
        <w:rPr>
          <w:rFonts w:ascii="Arial" w:hAnsi="Arial" w:cs="Arial"/>
          <w:sz w:val="24"/>
          <w:szCs w:val="24"/>
        </w:rPr>
        <w:t>) is Canada’s national human rights institution. It has been accredited “A-status” by the Global Alliance of National Human Rights Institutions, first in 1999 and again in 2006, 2011 and 2016.</w:t>
      </w:r>
    </w:p>
    <w:p w14:paraId="3741A2DF" w14:textId="77777777" w:rsidR="00606335" w:rsidRPr="00572AAA" w:rsidRDefault="00606335" w:rsidP="00606335">
      <w:pPr>
        <w:spacing w:line="240" w:lineRule="auto"/>
        <w:contextualSpacing/>
        <w:rPr>
          <w:rFonts w:ascii="Arial" w:hAnsi="Arial" w:cs="Arial"/>
          <w:sz w:val="24"/>
          <w:szCs w:val="24"/>
        </w:rPr>
      </w:pPr>
    </w:p>
    <w:p w14:paraId="6C121BB4" w14:textId="77777777" w:rsidR="00606335" w:rsidRPr="00572AAA" w:rsidRDefault="00606335" w:rsidP="00606335">
      <w:pPr>
        <w:spacing w:line="240" w:lineRule="auto"/>
        <w:contextualSpacing/>
        <w:rPr>
          <w:rFonts w:ascii="Arial" w:hAnsi="Arial" w:cs="Arial"/>
          <w:sz w:val="24"/>
          <w:szCs w:val="24"/>
        </w:rPr>
      </w:pPr>
      <w:r>
        <w:rPr>
          <w:rFonts w:ascii="Arial" w:hAnsi="Arial" w:cs="Arial"/>
          <w:sz w:val="24"/>
          <w:szCs w:val="24"/>
        </w:rPr>
        <w:t>The Commission</w:t>
      </w:r>
      <w:r w:rsidRPr="00572AAA">
        <w:rPr>
          <w:rFonts w:ascii="Arial" w:hAnsi="Arial" w:cs="Arial"/>
          <w:sz w:val="24"/>
          <w:szCs w:val="24"/>
        </w:rPr>
        <w:t xml:space="preserve"> was established by Parliament through the </w:t>
      </w:r>
      <w:r w:rsidRPr="00572AAA">
        <w:rPr>
          <w:rFonts w:ascii="Arial" w:hAnsi="Arial" w:cs="Arial"/>
          <w:i/>
          <w:iCs/>
          <w:sz w:val="24"/>
          <w:szCs w:val="24"/>
        </w:rPr>
        <w:t xml:space="preserve">Canadian Human Rights Act </w:t>
      </w:r>
      <w:r w:rsidRPr="00572AAA">
        <w:rPr>
          <w:rFonts w:ascii="Arial" w:hAnsi="Arial" w:cs="Arial"/>
          <w:sz w:val="24"/>
          <w:szCs w:val="24"/>
        </w:rPr>
        <w:t>(CHRA) in 1977.</w:t>
      </w:r>
      <w:r>
        <w:rPr>
          <w:rStyle w:val="FootnoteReference"/>
          <w:rFonts w:ascii="Arial" w:hAnsi="Arial" w:cs="Arial"/>
          <w:sz w:val="24"/>
          <w:szCs w:val="24"/>
        </w:rPr>
        <w:footnoteReference w:id="1"/>
      </w:r>
      <w:r w:rsidRPr="00572AAA">
        <w:rPr>
          <w:rFonts w:ascii="Arial" w:hAnsi="Arial" w:cs="Arial"/>
          <w:sz w:val="24"/>
          <w:szCs w:val="24"/>
        </w:rPr>
        <w:t xml:space="preserve"> It has a broad mandate to promote and protect human rights. The Constitution of Canada divides jurisdiction for human rights matters between the federal and provincial or t</w:t>
      </w:r>
      <w:r>
        <w:rPr>
          <w:rFonts w:ascii="Arial" w:hAnsi="Arial" w:cs="Arial"/>
          <w:sz w:val="24"/>
          <w:szCs w:val="24"/>
        </w:rPr>
        <w:t>erritorial governments. The Commission, pursuant to the CHRA,</w:t>
      </w:r>
      <w:r w:rsidRPr="00572AAA">
        <w:rPr>
          <w:rFonts w:ascii="Arial" w:hAnsi="Arial" w:cs="Arial"/>
          <w:sz w:val="24"/>
          <w:szCs w:val="24"/>
        </w:rPr>
        <w:t xml:space="preserve"> has jurisdiction over federal government departments and agencies, Crown corporations, First Nations governments and federally-regulated private sector organizations. Provincial and territorial governments have their own human rights codes and are responsible for provincially/territorially-regulated sectors. </w:t>
      </w:r>
      <w:r>
        <w:rPr>
          <w:rFonts w:ascii="Arial" w:hAnsi="Arial" w:cs="Arial"/>
          <w:sz w:val="24"/>
          <w:szCs w:val="24"/>
        </w:rPr>
        <w:t xml:space="preserve"> </w:t>
      </w:r>
    </w:p>
    <w:p w14:paraId="0DBDA84D" w14:textId="77777777" w:rsidR="00606335" w:rsidRDefault="00606335" w:rsidP="00606335">
      <w:pPr>
        <w:spacing w:line="240" w:lineRule="auto"/>
        <w:contextualSpacing/>
        <w:rPr>
          <w:rFonts w:ascii="Arial" w:hAnsi="Arial" w:cs="Arial"/>
          <w:sz w:val="24"/>
          <w:szCs w:val="24"/>
        </w:rPr>
      </w:pPr>
    </w:p>
    <w:p w14:paraId="3FEE58A1" w14:textId="77777777" w:rsidR="00606335" w:rsidRPr="00102641" w:rsidRDefault="00606335" w:rsidP="00606335">
      <w:pPr>
        <w:spacing w:after="0" w:line="240" w:lineRule="auto"/>
        <w:contextualSpacing/>
        <w:rPr>
          <w:rFonts w:ascii="Arial" w:hAnsi="Arial" w:cs="Arial"/>
          <w:iCs/>
          <w:sz w:val="24"/>
          <w:szCs w:val="24"/>
        </w:rPr>
      </w:pPr>
      <w:r w:rsidRPr="000C2611">
        <w:rPr>
          <w:rFonts w:ascii="Arial" w:hAnsi="Arial" w:cs="Arial"/>
          <w:iCs/>
          <w:sz w:val="24"/>
          <w:szCs w:val="24"/>
        </w:rPr>
        <w:t xml:space="preserve">The Commission’s efforts to promote and protect human rights include </w:t>
      </w:r>
      <w:r>
        <w:rPr>
          <w:rFonts w:ascii="Arial" w:hAnsi="Arial" w:cs="Arial"/>
          <w:iCs/>
          <w:sz w:val="24"/>
          <w:szCs w:val="24"/>
        </w:rPr>
        <w:t>screening</w:t>
      </w:r>
      <w:r w:rsidRPr="000C2611">
        <w:rPr>
          <w:rFonts w:ascii="Arial" w:hAnsi="Arial" w:cs="Arial"/>
          <w:iCs/>
          <w:sz w:val="24"/>
          <w:szCs w:val="24"/>
        </w:rPr>
        <w:t xml:space="preserve"> and, where possible, mediating discrimination complaints, representing the public interest in the litigation of complaints, developing policy and conducting research in consultation with rights holders and stakeholders, issuing public statements</w:t>
      </w:r>
      <w:r>
        <w:rPr>
          <w:rFonts w:ascii="Arial" w:hAnsi="Arial" w:cs="Arial"/>
          <w:iCs/>
          <w:sz w:val="24"/>
          <w:szCs w:val="24"/>
        </w:rPr>
        <w:t>,</w:t>
      </w:r>
      <w:r w:rsidRPr="000C2611">
        <w:rPr>
          <w:rFonts w:ascii="Arial" w:hAnsi="Arial" w:cs="Arial"/>
          <w:iCs/>
          <w:sz w:val="24"/>
          <w:szCs w:val="24"/>
        </w:rPr>
        <w:t xml:space="preserve"> and tabling special reports in Parliament.</w:t>
      </w:r>
      <w:r w:rsidRPr="00572AAA">
        <w:rPr>
          <w:rFonts w:ascii="Arial" w:hAnsi="Arial" w:cs="Arial"/>
          <w:iCs/>
          <w:sz w:val="24"/>
          <w:szCs w:val="24"/>
        </w:rPr>
        <w:t xml:space="preserve"> </w:t>
      </w:r>
      <w:r>
        <w:rPr>
          <w:rFonts w:ascii="Arial" w:hAnsi="Arial" w:cs="Arial"/>
          <w:iCs/>
          <w:sz w:val="24"/>
          <w:szCs w:val="24"/>
        </w:rPr>
        <w:t xml:space="preserve">The Commission </w:t>
      </w:r>
      <w:r w:rsidRPr="00572AAA">
        <w:rPr>
          <w:rFonts w:ascii="Arial" w:hAnsi="Arial" w:cs="Arial"/>
          <w:iCs/>
          <w:sz w:val="24"/>
          <w:szCs w:val="24"/>
        </w:rPr>
        <w:t xml:space="preserve">is committed to </w:t>
      </w:r>
      <w:r>
        <w:rPr>
          <w:rFonts w:ascii="Arial" w:hAnsi="Arial" w:cs="Arial"/>
          <w:iCs/>
          <w:sz w:val="24"/>
          <w:szCs w:val="24"/>
        </w:rPr>
        <w:t>working with the Government of Canada as well as domestic and international partners and stakeholders to ensure c</w:t>
      </w:r>
      <w:r w:rsidRPr="00572AAA">
        <w:rPr>
          <w:rFonts w:ascii="Arial" w:hAnsi="Arial" w:cs="Arial"/>
          <w:iCs/>
          <w:sz w:val="24"/>
          <w:szCs w:val="24"/>
        </w:rPr>
        <w:t>ontinued progress in</w:t>
      </w:r>
      <w:r>
        <w:rPr>
          <w:rFonts w:ascii="Arial" w:hAnsi="Arial" w:cs="Arial"/>
          <w:iCs/>
          <w:sz w:val="24"/>
          <w:szCs w:val="24"/>
        </w:rPr>
        <w:t xml:space="preserve"> the protection of human rights, including Canada’s implementation of the rights and obligations enshrined in the various human rights treaties to which Canada is a party. </w:t>
      </w:r>
    </w:p>
    <w:p w14:paraId="35CAFD58" w14:textId="77777777" w:rsidR="00606335" w:rsidRPr="00572AAA" w:rsidRDefault="00606335" w:rsidP="00606335">
      <w:pPr>
        <w:spacing w:line="240" w:lineRule="auto"/>
        <w:contextualSpacing/>
        <w:rPr>
          <w:rFonts w:ascii="Arial" w:hAnsi="Arial" w:cs="Arial"/>
          <w:sz w:val="24"/>
          <w:szCs w:val="24"/>
        </w:rPr>
      </w:pPr>
    </w:p>
    <w:p w14:paraId="4765DF2D" w14:textId="77777777" w:rsidR="00606335" w:rsidRPr="00572AAA" w:rsidRDefault="00606335" w:rsidP="00606335">
      <w:pPr>
        <w:spacing w:line="240" w:lineRule="auto"/>
        <w:contextualSpacing/>
        <w:rPr>
          <w:rFonts w:ascii="Arial" w:hAnsi="Arial" w:cs="Arial"/>
          <w:sz w:val="24"/>
          <w:szCs w:val="24"/>
        </w:rPr>
      </w:pPr>
      <w:r>
        <w:rPr>
          <w:rFonts w:ascii="Arial" w:hAnsi="Arial" w:cs="Arial"/>
          <w:sz w:val="24"/>
          <w:szCs w:val="24"/>
        </w:rPr>
        <w:t>The Commission</w:t>
      </w:r>
      <w:r w:rsidRPr="00572AAA">
        <w:rPr>
          <w:rFonts w:ascii="Arial" w:hAnsi="Arial" w:cs="Arial"/>
          <w:sz w:val="24"/>
          <w:szCs w:val="24"/>
        </w:rPr>
        <w:t xml:space="preserve"> also conducts compliance audits under the </w:t>
      </w:r>
      <w:r w:rsidRPr="00572AAA">
        <w:rPr>
          <w:rFonts w:ascii="Arial" w:hAnsi="Arial" w:cs="Arial"/>
          <w:i/>
          <w:sz w:val="24"/>
          <w:szCs w:val="24"/>
        </w:rPr>
        <w:t>Employment Equity Act</w:t>
      </w:r>
      <w:r w:rsidRPr="00572AAA">
        <w:rPr>
          <w:rFonts w:ascii="Arial" w:hAnsi="Arial" w:cs="Arial"/>
          <w:sz w:val="24"/>
          <w:szCs w:val="24"/>
        </w:rPr>
        <w:t xml:space="preserve"> (EEA).</w:t>
      </w:r>
      <w:r>
        <w:rPr>
          <w:rStyle w:val="FootnoteReference"/>
          <w:rFonts w:ascii="Arial" w:hAnsi="Arial" w:cs="Arial"/>
          <w:sz w:val="24"/>
          <w:szCs w:val="24"/>
        </w:rPr>
        <w:footnoteReference w:id="2"/>
      </w:r>
      <w:r w:rsidRPr="00572AAA">
        <w:rPr>
          <w:rFonts w:ascii="Arial" w:hAnsi="Arial" w:cs="Arial"/>
          <w:sz w:val="24"/>
          <w:szCs w:val="24"/>
        </w:rPr>
        <w:t xml:space="preserve"> The purpose of the EEA is to achieve equality in the workplace so that no person is denied employment opportunities or benefits for reasons unrelated to ability, and to correct the historic employment disadvantages experienced by four designated groups: women, Indigenous peoples, persons with disabilities and </w:t>
      </w:r>
      <w:r>
        <w:rPr>
          <w:rFonts w:ascii="Arial" w:hAnsi="Arial" w:cs="Arial"/>
          <w:sz w:val="24"/>
          <w:szCs w:val="24"/>
        </w:rPr>
        <w:t>racialized people</w:t>
      </w:r>
      <w:r w:rsidRPr="00572AAA">
        <w:rPr>
          <w:rFonts w:ascii="Arial" w:hAnsi="Arial" w:cs="Arial"/>
          <w:sz w:val="24"/>
          <w:szCs w:val="24"/>
        </w:rPr>
        <w:t>.</w:t>
      </w:r>
      <w:r>
        <w:rPr>
          <w:rStyle w:val="FootnoteReference"/>
          <w:rFonts w:ascii="Arial" w:hAnsi="Arial" w:cs="Arial"/>
          <w:sz w:val="24"/>
          <w:szCs w:val="24"/>
        </w:rPr>
        <w:footnoteReference w:id="3"/>
      </w:r>
      <w:r w:rsidRPr="00572AAA">
        <w:rPr>
          <w:rFonts w:ascii="Arial" w:hAnsi="Arial" w:cs="Arial"/>
          <w:sz w:val="24"/>
          <w:szCs w:val="24"/>
        </w:rPr>
        <w:t xml:space="preserve"> </w:t>
      </w:r>
    </w:p>
    <w:p w14:paraId="2A2FA2C2" w14:textId="77777777" w:rsidR="00606335" w:rsidRPr="00572AAA" w:rsidRDefault="00606335" w:rsidP="00606335">
      <w:pPr>
        <w:spacing w:line="240" w:lineRule="auto"/>
        <w:contextualSpacing/>
        <w:rPr>
          <w:rFonts w:ascii="Arial" w:hAnsi="Arial" w:cs="Arial"/>
          <w:sz w:val="24"/>
          <w:szCs w:val="24"/>
        </w:rPr>
      </w:pPr>
    </w:p>
    <w:p w14:paraId="0083A50D" w14:textId="77777777" w:rsidR="00606335" w:rsidRPr="00572AAA" w:rsidRDefault="00606335" w:rsidP="00606335">
      <w:pPr>
        <w:spacing w:line="240" w:lineRule="auto"/>
        <w:contextualSpacing/>
        <w:rPr>
          <w:rFonts w:ascii="Arial" w:hAnsi="Arial" w:cs="Arial"/>
          <w:sz w:val="24"/>
          <w:szCs w:val="24"/>
        </w:rPr>
      </w:pPr>
      <w:r>
        <w:rPr>
          <w:rFonts w:ascii="Arial" w:hAnsi="Arial" w:cs="Arial"/>
          <w:sz w:val="24"/>
          <w:szCs w:val="24"/>
        </w:rPr>
        <w:t>In 2019, the Commission</w:t>
      </w:r>
      <w:r w:rsidRPr="00572AAA">
        <w:rPr>
          <w:rFonts w:ascii="Arial" w:hAnsi="Arial" w:cs="Arial"/>
          <w:sz w:val="24"/>
          <w:szCs w:val="24"/>
        </w:rPr>
        <w:t xml:space="preserve"> </w:t>
      </w:r>
      <w:r>
        <w:rPr>
          <w:rFonts w:ascii="Arial" w:hAnsi="Arial" w:cs="Arial"/>
          <w:sz w:val="24"/>
          <w:szCs w:val="24"/>
        </w:rPr>
        <w:t>was</w:t>
      </w:r>
      <w:r w:rsidRPr="00572AAA">
        <w:rPr>
          <w:rFonts w:ascii="Arial" w:hAnsi="Arial" w:cs="Arial"/>
          <w:sz w:val="24"/>
          <w:szCs w:val="24"/>
        </w:rPr>
        <w:t xml:space="preserve"> mandated with several new responsibilities under the </w:t>
      </w:r>
      <w:r w:rsidRPr="00572AAA">
        <w:rPr>
          <w:rFonts w:ascii="Arial" w:hAnsi="Arial" w:cs="Arial"/>
          <w:i/>
          <w:sz w:val="24"/>
          <w:szCs w:val="24"/>
        </w:rPr>
        <w:t>Accessible Canada Act</w:t>
      </w:r>
      <w:r w:rsidR="0062622C">
        <w:rPr>
          <w:rFonts w:ascii="Arial" w:hAnsi="Arial" w:cs="Arial"/>
          <w:i/>
          <w:sz w:val="24"/>
          <w:szCs w:val="24"/>
        </w:rPr>
        <w:t xml:space="preserve"> </w:t>
      </w:r>
      <w:r w:rsidR="0062622C">
        <w:rPr>
          <w:rFonts w:ascii="Arial" w:hAnsi="Arial" w:cs="Arial"/>
          <w:sz w:val="24"/>
          <w:szCs w:val="24"/>
        </w:rPr>
        <w:t>(ACA)</w:t>
      </w:r>
      <w:r w:rsidRPr="00572AAA">
        <w:rPr>
          <w:rFonts w:ascii="Arial" w:hAnsi="Arial" w:cs="Arial"/>
          <w:i/>
          <w:sz w:val="24"/>
          <w:szCs w:val="24"/>
        </w:rPr>
        <w:t xml:space="preserve">, </w:t>
      </w:r>
      <w:r w:rsidRPr="00572AAA">
        <w:rPr>
          <w:rFonts w:ascii="Arial" w:hAnsi="Arial" w:cs="Arial"/>
          <w:sz w:val="24"/>
          <w:szCs w:val="24"/>
        </w:rPr>
        <w:t xml:space="preserve">the </w:t>
      </w:r>
      <w:r w:rsidRPr="00572AAA">
        <w:rPr>
          <w:rFonts w:ascii="Arial" w:hAnsi="Arial" w:cs="Arial"/>
          <w:i/>
          <w:sz w:val="24"/>
          <w:szCs w:val="24"/>
        </w:rPr>
        <w:t>Pay Equity Act</w:t>
      </w:r>
      <w:r w:rsidRPr="00572AAA">
        <w:rPr>
          <w:rFonts w:ascii="Arial" w:hAnsi="Arial" w:cs="Arial"/>
          <w:sz w:val="24"/>
          <w:szCs w:val="24"/>
        </w:rPr>
        <w:t xml:space="preserve">, and the </w:t>
      </w:r>
      <w:r w:rsidRPr="00572AAA">
        <w:rPr>
          <w:rFonts w:ascii="Arial" w:hAnsi="Arial" w:cs="Arial"/>
          <w:i/>
          <w:sz w:val="24"/>
          <w:szCs w:val="24"/>
        </w:rPr>
        <w:t>National Housing Strategy Act</w:t>
      </w:r>
      <w:r>
        <w:rPr>
          <w:rFonts w:ascii="Arial" w:hAnsi="Arial" w:cs="Arial"/>
          <w:sz w:val="24"/>
          <w:szCs w:val="24"/>
        </w:rPr>
        <w:t>. The Commission</w:t>
      </w:r>
      <w:r w:rsidRPr="00572AAA">
        <w:rPr>
          <w:rFonts w:ascii="Arial" w:hAnsi="Arial" w:cs="Arial"/>
          <w:sz w:val="24"/>
          <w:szCs w:val="24"/>
        </w:rPr>
        <w:t xml:space="preserve"> </w:t>
      </w:r>
      <w:r>
        <w:rPr>
          <w:rFonts w:ascii="Arial" w:hAnsi="Arial" w:cs="Arial"/>
          <w:sz w:val="24"/>
          <w:szCs w:val="24"/>
        </w:rPr>
        <w:t>was</w:t>
      </w:r>
      <w:r w:rsidRPr="00572AAA">
        <w:rPr>
          <w:rFonts w:ascii="Arial" w:hAnsi="Arial" w:cs="Arial"/>
          <w:sz w:val="24"/>
          <w:szCs w:val="24"/>
        </w:rPr>
        <w:t xml:space="preserve"> also designated as a body responsible for monitoring the Government of Canada’s </w:t>
      </w:r>
      <w:r>
        <w:rPr>
          <w:rFonts w:ascii="Arial" w:hAnsi="Arial" w:cs="Arial"/>
          <w:sz w:val="24"/>
          <w:szCs w:val="24"/>
        </w:rPr>
        <w:t>implementation of</w:t>
      </w:r>
      <w:r w:rsidRPr="00572AAA">
        <w:rPr>
          <w:rFonts w:ascii="Arial" w:hAnsi="Arial" w:cs="Arial"/>
          <w:sz w:val="24"/>
          <w:szCs w:val="24"/>
        </w:rPr>
        <w:t xml:space="preserve"> the </w:t>
      </w:r>
      <w:r>
        <w:rPr>
          <w:rFonts w:ascii="Arial" w:hAnsi="Arial" w:cs="Arial"/>
          <w:sz w:val="24"/>
          <w:szCs w:val="24"/>
        </w:rPr>
        <w:t xml:space="preserve">United Nations </w:t>
      </w:r>
      <w:r w:rsidRPr="00572AAA">
        <w:rPr>
          <w:rFonts w:ascii="Arial" w:hAnsi="Arial" w:cs="Arial"/>
          <w:i/>
          <w:sz w:val="24"/>
          <w:szCs w:val="24"/>
        </w:rPr>
        <w:t>Convention on the Rights of Persons with Disabilities</w:t>
      </w:r>
      <w:r w:rsidR="0062622C">
        <w:rPr>
          <w:rFonts w:ascii="Arial" w:hAnsi="Arial" w:cs="Arial"/>
          <w:i/>
          <w:sz w:val="24"/>
          <w:szCs w:val="24"/>
        </w:rPr>
        <w:t xml:space="preserve"> </w:t>
      </w:r>
      <w:r w:rsidR="0062622C">
        <w:rPr>
          <w:rFonts w:ascii="Arial" w:hAnsi="Arial" w:cs="Arial"/>
          <w:sz w:val="24"/>
          <w:szCs w:val="24"/>
        </w:rPr>
        <w:t>(CRPD)</w:t>
      </w:r>
      <w:r>
        <w:rPr>
          <w:rFonts w:ascii="Arial" w:hAnsi="Arial" w:cs="Arial"/>
          <w:sz w:val="24"/>
          <w:szCs w:val="24"/>
        </w:rPr>
        <w:t>,</w:t>
      </w:r>
      <w:r w:rsidRPr="00572AAA">
        <w:rPr>
          <w:rFonts w:ascii="Arial" w:hAnsi="Arial" w:cs="Arial"/>
          <w:sz w:val="24"/>
          <w:szCs w:val="24"/>
        </w:rPr>
        <w:t xml:space="preserve"> in accordance with article 33.2 of the Convention.</w:t>
      </w:r>
    </w:p>
    <w:p w14:paraId="555F9C84" w14:textId="77777777" w:rsidR="00DA0B73" w:rsidRDefault="00DA0B73"/>
    <w:p w14:paraId="50046804" w14:textId="5EA15B28" w:rsidR="00606335" w:rsidRDefault="00606335" w:rsidP="00606335">
      <w:pPr>
        <w:spacing w:after="0" w:line="240" w:lineRule="auto"/>
        <w:contextualSpacing/>
        <w:rPr>
          <w:rFonts w:ascii="Arial" w:hAnsi="Arial" w:cs="Arial"/>
          <w:iCs/>
          <w:sz w:val="24"/>
          <w:szCs w:val="24"/>
        </w:rPr>
      </w:pPr>
      <w:r>
        <w:rPr>
          <w:rFonts w:ascii="Arial" w:hAnsi="Arial" w:cs="Arial"/>
          <w:iCs/>
          <w:sz w:val="24"/>
          <w:szCs w:val="24"/>
        </w:rPr>
        <w:t xml:space="preserve">In the spirit of constructive engagement, the Commission wishes to provide the following written submission to the Committee on the Rights of Persons with Disabilities (the Committee) for the </w:t>
      </w:r>
      <w:r w:rsidR="00384B55">
        <w:rPr>
          <w:rFonts w:ascii="Arial" w:hAnsi="Arial" w:cs="Arial"/>
          <w:iCs/>
          <w:sz w:val="24"/>
          <w:szCs w:val="24"/>
        </w:rPr>
        <w:t>development</w:t>
      </w:r>
      <w:r>
        <w:rPr>
          <w:rFonts w:ascii="Arial" w:hAnsi="Arial" w:cs="Arial"/>
          <w:iCs/>
          <w:sz w:val="24"/>
          <w:szCs w:val="24"/>
        </w:rPr>
        <w:t xml:space="preserve"> of the Committee’s draft </w:t>
      </w:r>
      <w:r w:rsidRPr="00522EB4">
        <w:rPr>
          <w:rFonts w:ascii="Arial" w:hAnsi="Arial" w:cs="Arial"/>
          <w:i/>
          <w:iCs/>
          <w:sz w:val="24"/>
          <w:szCs w:val="24"/>
        </w:rPr>
        <w:t>General Comment on the right of persons with disabilities to work and employment</w:t>
      </w:r>
      <w:r>
        <w:rPr>
          <w:rFonts w:ascii="Arial" w:hAnsi="Arial" w:cs="Arial"/>
          <w:iCs/>
          <w:sz w:val="24"/>
          <w:szCs w:val="24"/>
        </w:rPr>
        <w:t xml:space="preserve"> (General Comment)</w:t>
      </w:r>
      <w:r w:rsidR="00384B55">
        <w:rPr>
          <w:rFonts w:ascii="Arial" w:hAnsi="Arial" w:cs="Arial"/>
          <w:iCs/>
          <w:sz w:val="24"/>
          <w:szCs w:val="24"/>
        </w:rPr>
        <w:t xml:space="preserve">. This submission </w:t>
      </w:r>
      <w:r w:rsidR="00A304BC">
        <w:rPr>
          <w:rFonts w:ascii="Arial" w:hAnsi="Arial" w:cs="Arial"/>
          <w:iCs/>
          <w:sz w:val="24"/>
          <w:szCs w:val="24"/>
        </w:rPr>
        <w:t>follows</w:t>
      </w:r>
      <w:r w:rsidR="00B5550C">
        <w:rPr>
          <w:rFonts w:ascii="Arial" w:hAnsi="Arial" w:cs="Arial"/>
          <w:iCs/>
          <w:sz w:val="24"/>
          <w:szCs w:val="24"/>
        </w:rPr>
        <w:t xml:space="preserve"> </w:t>
      </w:r>
      <w:r w:rsidR="00384B55">
        <w:rPr>
          <w:rFonts w:ascii="Arial" w:hAnsi="Arial" w:cs="Arial"/>
          <w:iCs/>
          <w:sz w:val="24"/>
          <w:szCs w:val="24"/>
        </w:rPr>
        <w:t>the Commission’s previous written contribution to the Committee in March 2021, for the elaboration of the Committee’s outline of the draft General Comment.</w:t>
      </w:r>
      <w:r w:rsidR="0088087C">
        <w:rPr>
          <w:rStyle w:val="FootnoteReference"/>
          <w:rFonts w:ascii="Arial" w:hAnsi="Arial" w:cs="Arial"/>
          <w:iCs/>
          <w:sz w:val="24"/>
          <w:szCs w:val="24"/>
        </w:rPr>
        <w:footnoteReference w:id="4"/>
      </w:r>
      <w:r w:rsidR="00384B55">
        <w:rPr>
          <w:rFonts w:ascii="Arial" w:hAnsi="Arial" w:cs="Arial"/>
          <w:iCs/>
          <w:sz w:val="24"/>
          <w:szCs w:val="24"/>
        </w:rPr>
        <w:t xml:space="preserve"> </w:t>
      </w:r>
    </w:p>
    <w:p w14:paraId="5417549E" w14:textId="77777777" w:rsidR="00606335" w:rsidRDefault="00606335" w:rsidP="00606335">
      <w:pPr>
        <w:spacing w:line="240" w:lineRule="auto"/>
        <w:contextualSpacing/>
        <w:rPr>
          <w:rFonts w:ascii="Arial" w:hAnsi="Arial" w:cs="Arial"/>
          <w:sz w:val="24"/>
          <w:szCs w:val="24"/>
        </w:rPr>
      </w:pPr>
    </w:p>
    <w:p w14:paraId="1E161235" w14:textId="77777777" w:rsidR="00606335" w:rsidRPr="005A7F2A" w:rsidRDefault="00606335" w:rsidP="00606335">
      <w:pPr>
        <w:spacing w:after="0" w:line="240" w:lineRule="auto"/>
        <w:rPr>
          <w:rFonts w:ascii="Arial" w:hAnsi="Arial" w:cs="Arial"/>
          <w:sz w:val="24"/>
          <w:szCs w:val="24"/>
        </w:rPr>
      </w:pPr>
      <w:r w:rsidRPr="005A7F2A">
        <w:rPr>
          <w:rFonts w:ascii="Arial" w:hAnsi="Arial" w:cs="Arial"/>
          <w:sz w:val="24"/>
          <w:szCs w:val="24"/>
        </w:rPr>
        <w:t>The Commission welcomes and supports the Committee’s efforts to create guidance for States parties towards the implementation of article 27 on work and employment</w:t>
      </w:r>
      <w:r>
        <w:rPr>
          <w:rFonts w:ascii="Arial" w:hAnsi="Arial" w:cs="Arial"/>
          <w:sz w:val="24"/>
          <w:szCs w:val="24"/>
        </w:rPr>
        <w:t>. We offer the following comments for the Committee’s consideration.</w:t>
      </w:r>
    </w:p>
    <w:p w14:paraId="4FC548CE" w14:textId="77777777" w:rsidR="00A74E08" w:rsidRDefault="00A74E08" w:rsidP="00A74E08">
      <w:pPr>
        <w:spacing w:after="0"/>
      </w:pPr>
    </w:p>
    <w:p w14:paraId="5E86E099" w14:textId="77777777" w:rsidR="00A74E08" w:rsidRPr="00F740FB" w:rsidRDefault="00A74E08" w:rsidP="00A74E08">
      <w:pPr>
        <w:pStyle w:val="Heading1"/>
      </w:pPr>
      <w:r>
        <w:t xml:space="preserve">ACCESSIBILITY AND WORK AND EMPLOYMENT </w:t>
      </w:r>
    </w:p>
    <w:p w14:paraId="77633EA5" w14:textId="77777777" w:rsidR="00A74E08" w:rsidRPr="00DD6E92" w:rsidRDefault="00A74E08" w:rsidP="00A74E08">
      <w:pPr>
        <w:spacing w:after="0"/>
        <w:rPr>
          <w:rFonts w:ascii="Arial" w:hAnsi="Arial" w:cs="Arial"/>
          <w:sz w:val="24"/>
          <w:szCs w:val="24"/>
        </w:rPr>
      </w:pPr>
    </w:p>
    <w:p w14:paraId="356743D1" w14:textId="77777777" w:rsidR="00A74E08" w:rsidRPr="00752A1C" w:rsidRDefault="00A74E08" w:rsidP="00A74E08">
      <w:pPr>
        <w:pStyle w:val="ListParagraph"/>
        <w:keepNext/>
        <w:keepLines/>
        <w:numPr>
          <w:ilvl w:val="0"/>
          <w:numId w:val="3"/>
        </w:numPr>
        <w:spacing w:before="40" w:after="0"/>
        <w:contextualSpacing w:val="0"/>
        <w:outlineLvl w:val="1"/>
        <w:rPr>
          <w:rFonts w:ascii="Arial" w:eastAsiaTheme="majorEastAsia" w:hAnsi="Arial" w:cs="Arial"/>
          <w:vanish/>
          <w:sz w:val="24"/>
          <w:szCs w:val="24"/>
        </w:rPr>
      </w:pPr>
    </w:p>
    <w:p w14:paraId="55A176C6" w14:textId="77777777" w:rsidR="00A74E08" w:rsidRPr="00752A1C" w:rsidRDefault="00A74E08" w:rsidP="00A74E08">
      <w:pPr>
        <w:pStyle w:val="ListParagraph"/>
        <w:keepNext/>
        <w:keepLines/>
        <w:numPr>
          <w:ilvl w:val="0"/>
          <w:numId w:val="3"/>
        </w:numPr>
        <w:spacing w:before="40" w:after="0"/>
        <w:contextualSpacing w:val="0"/>
        <w:outlineLvl w:val="1"/>
        <w:rPr>
          <w:rFonts w:ascii="Arial" w:eastAsiaTheme="majorEastAsia" w:hAnsi="Arial" w:cs="Arial"/>
          <w:vanish/>
          <w:sz w:val="24"/>
          <w:szCs w:val="24"/>
        </w:rPr>
      </w:pPr>
    </w:p>
    <w:p w14:paraId="2E567F92" w14:textId="77777777" w:rsidR="00A74E08" w:rsidRDefault="00A74E08" w:rsidP="00A74E08">
      <w:pPr>
        <w:spacing w:after="0" w:line="240" w:lineRule="auto"/>
        <w:rPr>
          <w:rFonts w:ascii="Arial" w:hAnsi="Arial" w:cs="Arial"/>
          <w:sz w:val="24"/>
          <w:szCs w:val="24"/>
        </w:rPr>
      </w:pPr>
      <w:r>
        <w:rPr>
          <w:rFonts w:ascii="Arial" w:hAnsi="Arial" w:cs="Arial"/>
          <w:sz w:val="24"/>
          <w:szCs w:val="24"/>
        </w:rPr>
        <w:t>There</w:t>
      </w:r>
      <w:r w:rsidRPr="004A4559">
        <w:rPr>
          <w:rFonts w:ascii="Arial" w:hAnsi="Arial" w:cs="Arial"/>
          <w:sz w:val="24"/>
          <w:szCs w:val="24"/>
        </w:rPr>
        <w:t xml:space="preserve"> is </w:t>
      </w:r>
      <w:r>
        <w:rPr>
          <w:rFonts w:ascii="Arial" w:hAnsi="Arial" w:cs="Arial"/>
          <w:sz w:val="24"/>
          <w:szCs w:val="24"/>
        </w:rPr>
        <w:t>growing</w:t>
      </w:r>
      <w:r w:rsidRPr="004A4559">
        <w:rPr>
          <w:rFonts w:ascii="Arial" w:hAnsi="Arial" w:cs="Arial"/>
          <w:sz w:val="24"/>
          <w:szCs w:val="24"/>
        </w:rPr>
        <w:t xml:space="preserve"> recognition </w:t>
      </w:r>
      <w:r>
        <w:rPr>
          <w:rFonts w:ascii="Arial" w:hAnsi="Arial" w:cs="Arial"/>
          <w:sz w:val="24"/>
          <w:szCs w:val="24"/>
        </w:rPr>
        <w:t xml:space="preserve">– both </w:t>
      </w:r>
      <w:r w:rsidRPr="004A4559">
        <w:rPr>
          <w:rFonts w:ascii="Arial" w:hAnsi="Arial" w:cs="Arial"/>
          <w:sz w:val="24"/>
          <w:szCs w:val="24"/>
        </w:rPr>
        <w:t>domestically and internationally</w:t>
      </w:r>
      <w:r>
        <w:rPr>
          <w:rFonts w:ascii="Arial" w:hAnsi="Arial" w:cs="Arial"/>
          <w:sz w:val="24"/>
          <w:szCs w:val="24"/>
        </w:rPr>
        <w:t xml:space="preserve"> – that more needs to be done to </w:t>
      </w:r>
      <w:r w:rsidRPr="004A4559">
        <w:rPr>
          <w:rFonts w:ascii="Arial" w:hAnsi="Arial" w:cs="Arial"/>
          <w:sz w:val="24"/>
          <w:szCs w:val="24"/>
        </w:rPr>
        <w:t xml:space="preserve">promote, protect and ensure the full and equal enjoyment </w:t>
      </w:r>
      <w:r>
        <w:rPr>
          <w:rFonts w:ascii="Arial" w:hAnsi="Arial" w:cs="Arial"/>
          <w:sz w:val="24"/>
          <w:szCs w:val="24"/>
        </w:rPr>
        <w:t>and participation of all people</w:t>
      </w:r>
      <w:r w:rsidRPr="004A4559">
        <w:rPr>
          <w:rFonts w:ascii="Arial" w:hAnsi="Arial" w:cs="Arial"/>
          <w:sz w:val="24"/>
          <w:szCs w:val="24"/>
        </w:rPr>
        <w:t xml:space="preserve"> with disabilities</w:t>
      </w:r>
      <w:r>
        <w:rPr>
          <w:rFonts w:ascii="Arial" w:hAnsi="Arial" w:cs="Arial"/>
          <w:sz w:val="24"/>
          <w:szCs w:val="24"/>
        </w:rPr>
        <w:t xml:space="preserve"> in work and employment. The Commission emphasizes the important interrelation between articles 9 (accessibility) and 27 (work and employment). The Commission</w:t>
      </w:r>
      <w:r w:rsidRPr="00F740FB">
        <w:rPr>
          <w:rFonts w:ascii="Arial" w:hAnsi="Arial" w:cs="Arial"/>
          <w:sz w:val="24"/>
          <w:szCs w:val="24"/>
        </w:rPr>
        <w:t xml:space="preserve"> receives numerous co</w:t>
      </w:r>
      <w:r>
        <w:rPr>
          <w:rFonts w:ascii="Arial" w:hAnsi="Arial" w:cs="Arial"/>
          <w:sz w:val="24"/>
          <w:szCs w:val="24"/>
        </w:rPr>
        <w:t>mplaints every year from people</w:t>
      </w:r>
      <w:r w:rsidRPr="00F740FB">
        <w:rPr>
          <w:rFonts w:ascii="Arial" w:hAnsi="Arial" w:cs="Arial"/>
          <w:sz w:val="24"/>
          <w:szCs w:val="24"/>
        </w:rPr>
        <w:t xml:space="preserve"> with disabilities that deal with </w:t>
      </w:r>
      <w:r>
        <w:rPr>
          <w:rFonts w:ascii="Arial" w:hAnsi="Arial" w:cs="Arial"/>
          <w:sz w:val="24"/>
          <w:szCs w:val="24"/>
        </w:rPr>
        <w:t xml:space="preserve">barriers to </w:t>
      </w:r>
      <w:r w:rsidRPr="00F740FB">
        <w:rPr>
          <w:rFonts w:ascii="Arial" w:hAnsi="Arial" w:cs="Arial"/>
          <w:sz w:val="24"/>
          <w:szCs w:val="24"/>
        </w:rPr>
        <w:t>accessibility in a variety of facets of everyday life, including in employment</w:t>
      </w:r>
      <w:r>
        <w:rPr>
          <w:rFonts w:ascii="Arial" w:hAnsi="Arial" w:cs="Arial"/>
          <w:sz w:val="24"/>
          <w:szCs w:val="24"/>
        </w:rPr>
        <w:t>. It is clear that accessibility in employment</w:t>
      </w:r>
      <w:r w:rsidRPr="00F740FB">
        <w:rPr>
          <w:rFonts w:ascii="Arial" w:hAnsi="Arial" w:cs="Arial"/>
          <w:sz w:val="24"/>
          <w:szCs w:val="24"/>
        </w:rPr>
        <w:t xml:space="preserve"> remains a</w:t>
      </w:r>
      <w:r>
        <w:rPr>
          <w:rFonts w:ascii="Arial" w:hAnsi="Arial" w:cs="Arial"/>
          <w:sz w:val="24"/>
          <w:szCs w:val="24"/>
        </w:rPr>
        <w:t xml:space="preserve"> pre-eminent concern and a right yet to be fully realized for many people</w:t>
      </w:r>
      <w:r w:rsidRPr="00F740FB">
        <w:rPr>
          <w:rFonts w:ascii="Arial" w:hAnsi="Arial" w:cs="Arial"/>
          <w:sz w:val="24"/>
          <w:szCs w:val="24"/>
        </w:rPr>
        <w:t xml:space="preserve"> with </w:t>
      </w:r>
      <w:r>
        <w:rPr>
          <w:rFonts w:ascii="Arial" w:hAnsi="Arial" w:cs="Arial"/>
          <w:sz w:val="24"/>
          <w:szCs w:val="24"/>
        </w:rPr>
        <w:t>disabilities in Canada.</w:t>
      </w:r>
    </w:p>
    <w:p w14:paraId="4768BE42" w14:textId="77777777" w:rsidR="00A74E08" w:rsidRPr="00A74E08" w:rsidRDefault="00A74E08" w:rsidP="00A74E08">
      <w:pPr>
        <w:spacing w:after="0" w:line="240" w:lineRule="auto"/>
        <w:rPr>
          <w:rFonts w:ascii="Arial" w:hAnsi="Arial" w:cs="Arial"/>
          <w:sz w:val="24"/>
          <w:szCs w:val="24"/>
        </w:rPr>
      </w:pPr>
    </w:p>
    <w:p w14:paraId="1857C8FD" w14:textId="77777777" w:rsidR="00A74E08" w:rsidRDefault="00A74E08" w:rsidP="00A74E08">
      <w:pPr>
        <w:spacing w:line="240" w:lineRule="auto"/>
        <w:contextualSpacing/>
        <w:rPr>
          <w:rFonts w:ascii="Arial" w:hAnsi="Arial" w:cs="Arial"/>
          <w:sz w:val="24"/>
          <w:szCs w:val="24"/>
        </w:rPr>
      </w:pPr>
      <w:r>
        <w:rPr>
          <w:rFonts w:ascii="Arial" w:hAnsi="Arial" w:cs="Arial"/>
          <w:sz w:val="24"/>
          <w:szCs w:val="24"/>
        </w:rPr>
        <w:t>In the Canadian context, the burden has typically been on an individual to request accommodations in order to make the workplace more responsive to their disability-related</w:t>
      </w:r>
      <w:r w:rsidR="0062622C">
        <w:rPr>
          <w:rFonts w:ascii="Arial" w:hAnsi="Arial" w:cs="Arial"/>
          <w:sz w:val="24"/>
          <w:szCs w:val="24"/>
        </w:rPr>
        <w:t xml:space="preserve"> needs. With the passage of the ACA</w:t>
      </w:r>
      <w:r>
        <w:rPr>
          <w:rFonts w:ascii="Arial" w:hAnsi="Arial" w:cs="Arial"/>
          <w:sz w:val="24"/>
          <w:szCs w:val="24"/>
        </w:rPr>
        <w:t xml:space="preserve"> in 2019, the framework in Canada for promoting and protecting the rights of people with disabilities in employment and the provision of services is changing. The Commission is hopeful that these changes will help to promote an impor</w:t>
      </w:r>
      <w:r w:rsidR="00346A49">
        <w:rPr>
          <w:rFonts w:ascii="Arial" w:hAnsi="Arial" w:cs="Arial"/>
          <w:sz w:val="24"/>
          <w:szCs w:val="24"/>
        </w:rPr>
        <w:t>tant culture shift that emphasizes</w:t>
      </w:r>
      <w:r>
        <w:rPr>
          <w:rFonts w:ascii="Arial" w:hAnsi="Arial" w:cs="Arial"/>
          <w:sz w:val="24"/>
          <w:szCs w:val="24"/>
        </w:rPr>
        <w:t xml:space="preserve"> inclusivity as a first principle, and tries to move from a reactive approach to addressing employment-related barriers towards a proactive approach. We believe that this shift may be useful for the Committee to consider in drafting its General Comment.</w:t>
      </w:r>
    </w:p>
    <w:p w14:paraId="7AC651AC" w14:textId="77777777" w:rsidR="00A74E08" w:rsidRDefault="00A74E08" w:rsidP="00A74E08">
      <w:pPr>
        <w:spacing w:line="240" w:lineRule="auto"/>
        <w:contextualSpacing/>
        <w:rPr>
          <w:rFonts w:ascii="Arial" w:hAnsi="Arial" w:cs="Arial"/>
          <w:sz w:val="24"/>
          <w:szCs w:val="24"/>
        </w:rPr>
      </w:pPr>
    </w:p>
    <w:p w14:paraId="2538236E" w14:textId="77777777" w:rsidR="0062622C" w:rsidRDefault="0062622C" w:rsidP="00A74E08">
      <w:pPr>
        <w:spacing w:line="240" w:lineRule="auto"/>
        <w:contextualSpacing/>
        <w:rPr>
          <w:rFonts w:ascii="Arial" w:hAnsi="Arial" w:cs="Arial"/>
          <w:sz w:val="24"/>
          <w:szCs w:val="24"/>
        </w:rPr>
      </w:pPr>
      <w:r>
        <w:rPr>
          <w:rFonts w:ascii="Arial" w:hAnsi="Arial" w:cs="Arial"/>
          <w:sz w:val="24"/>
          <w:szCs w:val="24"/>
        </w:rPr>
        <w:t>In order to address systemic accessibility issues – including those in the workplace – the ACA starts with the premise</w:t>
      </w:r>
      <w:r w:rsidRPr="007A1467">
        <w:rPr>
          <w:rFonts w:ascii="Arial" w:hAnsi="Arial" w:cs="Arial"/>
          <w:sz w:val="24"/>
          <w:szCs w:val="24"/>
        </w:rPr>
        <w:t xml:space="preserve"> that systems </w:t>
      </w:r>
      <w:r>
        <w:rPr>
          <w:rFonts w:ascii="Arial" w:hAnsi="Arial" w:cs="Arial"/>
          <w:sz w:val="24"/>
          <w:szCs w:val="24"/>
        </w:rPr>
        <w:t>should</w:t>
      </w:r>
      <w:r w:rsidRPr="007A1467">
        <w:rPr>
          <w:rFonts w:ascii="Arial" w:hAnsi="Arial" w:cs="Arial"/>
          <w:sz w:val="24"/>
          <w:szCs w:val="24"/>
        </w:rPr>
        <w:t xml:space="preserve"> be designed inclus</w:t>
      </w:r>
      <w:r>
        <w:rPr>
          <w:rFonts w:ascii="Arial" w:hAnsi="Arial" w:cs="Arial"/>
          <w:sz w:val="24"/>
          <w:szCs w:val="24"/>
        </w:rPr>
        <w:t>ively from the start. It</w:t>
      </w:r>
      <w:r w:rsidRPr="008D21EA">
        <w:rPr>
          <w:rFonts w:ascii="Arial" w:hAnsi="Arial" w:cs="Arial"/>
          <w:sz w:val="24"/>
          <w:szCs w:val="24"/>
        </w:rPr>
        <w:t xml:space="preserve"> </w:t>
      </w:r>
      <w:r w:rsidRPr="00937DE1">
        <w:rPr>
          <w:rFonts w:ascii="Arial" w:hAnsi="Arial" w:cs="Arial"/>
          <w:sz w:val="24"/>
          <w:szCs w:val="24"/>
        </w:rPr>
        <w:t>builds on the rights-based</w:t>
      </w:r>
      <w:r>
        <w:rPr>
          <w:rFonts w:ascii="Arial" w:hAnsi="Arial" w:cs="Arial"/>
          <w:sz w:val="24"/>
          <w:szCs w:val="24"/>
        </w:rPr>
        <w:t xml:space="preserve"> approach of the CHRA and the CRPD, and</w:t>
      </w:r>
      <w:r w:rsidRPr="00937DE1">
        <w:rPr>
          <w:rFonts w:ascii="Arial" w:hAnsi="Arial" w:cs="Arial"/>
          <w:sz w:val="24"/>
          <w:szCs w:val="24"/>
        </w:rPr>
        <w:t xml:space="preserve"> </w:t>
      </w:r>
      <w:r>
        <w:rPr>
          <w:rFonts w:ascii="Arial" w:hAnsi="Arial" w:cs="Arial"/>
          <w:sz w:val="24"/>
          <w:szCs w:val="24"/>
        </w:rPr>
        <w:t xml:space="preserve">will </w:t>
      </w:r>
      <w:r w:rsidRPr="00937DE1">
        <w:rPr>
          <w:rFonts w:ascii="Arial" w:hAnsi="Arial" w:cs="Arial"/>
          <w:sz w:val="24"/>
          <w:szCs w:val="24"/>
        </w:rPr>
        <w:t>require employers and service providers under federal jurisdiction to take proactive measures to identify and remove barriers to accessibility</w:t>
      </w:r>
      <w:r>
        <w:rPr>
          <w:rFonts w:ascii="Arial" w:hAnsi="Arial" w:cs="Arial"/>
          <w:sz w:val="24"/>
          <w:szCs w:val="24"/>
        </w:rPr>
        <w:t xml:space="preserve">, as well as to </w:t>
      </w:r>
      <w:r w:rsidRPr="00937DE1">
        <w:rPr>
          <w:rFonts w:ascii="Arial" w:hAnsi="Arial" w:cs="Arial"/>
          <w:sz w:val="24"/>
          <w:szCs w:val="24"/>
        </w:rPr>
        <w:t>prevent the creation of new barriers</w:t>
      </w:r>
      <w:r>
        <w:rPr>
          <w:rFonts w:ascii="Arial" w:hAnsi="Arial" w:cs="Arial"/>
          <w:sz w:val="24"/>
          <w:szCs w:val="24"/>
        </w:rPr>
        <w:t>,</w:t>
      </w:r>
      <w:r w:rsidRPr="00937DE1">
        <w:rPr>
          <w:rFonts w:ascii="Arial" w:hAnsi="Arial" w:cs="Arial"/>
          <w:sz w:val="24"/>
          <w:szCs w:val="24"/>
        </w:rPr>
        <w:t xml:space="preserve"> </w:t>
      </w:r>
      <w:r>
        <w:rPr>
          <w:rFonts w:ascii="Arial" w:hAnsi="Arial" w:cs="Arial"/>
          <w:sz w:val="24"/>
          <w:szCs w:val="24"/>
        </w:rPr>
        <w:t>with the objective of achieving</w:t>
      </w:r>
      <w:r w:rsidRPr="00937DE1">
        <w:rPr>
          <w:rFonts w:ascii="Arial" w:hAnsi="Arial" w:cs="Arial"/>
          <w:sz w:val="24"/>
          <w:szCs w:val="24"/>
        </w:rPr>
        <w:t xml:space="preserve"> the highest level of accessibility for </w:t>
      </w:r>
      <w:r>
        <w:rPr>
          <w:rFonts w:ascii="Arial" w:hAnsi="Arial" w:cs="Arial"/>
          <w:sz w:val="24"/>
          <w:szCs w:val="24"/>
        </w:rPr>
        <w:t xml:space="preserve">all, and in particular for </w:t>
      </w:r>
      <w:r w:rsidRPr="00937DE1">
        <w:rPr>
          <w:rFonts w:ascii="Arial" w:hAnsi="Arial" w:cs="Arial"/>
          <w:sz w:val="24"/>
          <w:szCs w:val="24"/>
        </w:rPr>
        <w:t xml:space="preserve">people with disabilities. </w:t>
      </w:r>
      <w:r>
        <w:rPr>
          <w:rFonts w:ascii="Arial" w:hAnsi="Arial" w:cs="Arial"/>
          <w:sz w:val="24"/>
          <w:szCs w:val="24"/>
        </w:rPr>
        <w:t>This includes in relation to physical infrastructure, technological practices, and attitudinal barriers.</w:t>
      </w:r>
    </w:p>
    <w:p w14:paraId="75B3F4D2" w14:textId="77777777" w:rsidR="0062622C" w:rsidRPr="00A74E08" w:rsidRDefault="0062622C" w:rsidP="00A74E08">
      <w:pPr>
        <w:spacing w:line="240" w:lineRule="auto"/>
        <w:contextualSpacing/>
        <w:rPr>
          <w:rFonts w:ascii="Arial" w:hAnsi="Arial" w:cs="Arial"/>
          <w:sz w:val="24"/>
          <w:szCs w:val="24"/>
        </w:rPr>
      </w:pPr>
    </w:p>
    <w:p w14:paraId="13C40F88" w14:textId="77777777" w:rsidR="00323D15" w:rsidRPr="0062622C" w:rsidRDefault="00A74E08" w:rsidP="0062622C">
      <w:pPr>
        <w:spacing w:line="240" w:lineRule="auto"/>
        <w:contextualSpacing/>
        <w:rPr>
          <w:rFonts w:ascii="Arial" w:hAnsi="Arial" w:cs="Arial"/>
          <w:sz w:val="24"/>
          <w:szCs w:val="24"/>
        </w:rPr>
      </w:pPr>
      <w:r w:rsidRPr="00871FCB">
        <w:rPr>
          <w:rFonts w:ascii="Arial" w:hAnsi="Arial" w:cs="Arial"/>
          <w:sz w:val="24"/>
          <w:szCs w:val="24"/>
        </w:rPr>
        <w:t xml:space="preserve">The obligations recognized in the ACA </w:t>
      </w:r>
      <w:r>
        <w:rPr>
          <w:rFonts w:ascii="Arial" w:hAnsi="Arial" w:cs="Arial"/>
          <w:sz w:val="24"/>
          <w:szCs w:val="24"/>
        </w:rPr>
        <w:t xml:space="preserve">place the onus of creating inclusive spaces, processes and institutions on regulated entities, rather than on rights holders; this means </w:t>
      </w:r>
      <w:r w:rsidRPr="00871FCB">
        <w:rPr>
          <w:rFonts w:ascii="Arial" w:hAnsi="Arial" w:cs="Arial"/>
          <w:sz w:val="24"/>
          <w:szCs w:val="24"/>
        </w:rPr>
        <w:t>thin</w:t>
      </w:r>
      <w:r>
        <w:rPr>
          <w:rFonts w:ascii="Arial" w:hAnsi="Arial" w:cs="Arial"/>
          <w:sz w:val="24"/>
          <w:szCs w:val="24"/>
        </w:rPr>
        <w:t xml:space="preserve">king about accessibility first, </w:t>
      </w:r>
      <w:r w:rsidRPr="00871FCB">
        <w:rPr>
          <w:rFonts w:ascii="Arial" w:hAnsi="Arial" w:cs="Arial"/>
          <w:sz w:val="24"/>
          <w:szCs w:val="24"/>
        </w:rPr>
        <w:t>before accommodation</w:t>
      </w:r>
      <w:r>
        <w:rPr>
          <w:rFonts w:ascii="Arial" w:hAnsi="Arial" w:cs="Arial"/>
          <w:sz w:val="24"/>
          <w:szCs w:val="24"/>
        </w:rPr>
        <w:t>, so that an accommodation request becomes the exception and not the norm</w:t>
      </w:r>
      <w:r w:rsidRPr="00871FCB">
        <w:rPr>
          <w:rFonts w:ascii="Arial" w:hAnsi="Arial" w:cs="Arial"/>
          <w:sz w:val="24"/>
          <w:szCs w:val="24"/>
        </w:rPr>
        <w:t>.</w:t>
      </w:r>
      <w:r>
        <w:rPr>
          <w:rFonts w:ascii="Arial" w:eastAsia="Times New Roman" w:hAnsi="Arial" w:cs="Arial"/>
          <w:sz w:val="24"/>
          <w:szCs w:val="24"/>
        </w:rPr>
        <w:t xml:space="preserve"> </w:t>
      </w:r>
      <w:r>
        <w:rPr>
          <w:rFonts w:ascii="Arial" w:hAnsi="Arial" w:cs="Arial"/>
          <w:sz w:val="24"/>
          <w:szCs w:val="24"/>
        </w:rPr>
        <w:t>We anticipate that this</w:t>
      </w:r>
      <w:r w:rsidRPr="00871FCB">
        <w:rPr>
          <w:rFonts w:ascii="Arial" w:hAnsi="Arial" w:cs="Arial"/>
          <w:sz w:val="24"/>
          <w:szCs w:val="24"/>
        </w:rPr>
        <w:t xml:space="preserve"> </w:t>
      </w:r>
      <w:r>
        <w:rPr>
          <w:rFonts w:ascii="Arial" w:hAnsi="Arial" w:cs="Arial"/>
          <w:sz w:val="24"/>
          <w:szCs w:val="24"/>
        </w:rPr>
        <w:t xml:space="preserve">will </w:t>
      </w:r>
      <w:r w:rsidRPr="00871FCB">
        <w:rPr>
          <w:rFonts w:ascii="Arial" w:hAnsi="Arial" w:cs="Arial"/>
          <w:sz w:val="24"/>
          <w:szCs w:val="24"/>
        </w:rPr>
        <w:t>reduce the instances in which an employee or person seeking service is required to bring forward individual requests for accommodation. </w:t>
      </w:r>
      <w:r w:rsidR="0062622C" w:rsidRPr="00937DE1">
        <w:rPr>
          <w:rFonts w:ascii="Arial" w:hAnsi="Arial" w:cs="Arial"/>
          <w:sz w:val="24"/>
          <w:szCs w:val="24"/>
        </w:rPr>
        <w:t>Creating inclusive workplaces and services means creating environments where people can be themselves in their entire being without being hindered or discouraged in their expressions or actions</w:t>
      </w:r>
      <w:r w:rsidR="0062622C">
        <w:rPr>
          <w:rFonts w:ascii="Arial" w:hAnsi="Arial" w:cs="Arial"/>
          <w:sz w:val="24"/>
          <w:szCs w:val="24"/>
        </w:rPr>
        <w:t>.</w:t>
      </w:r>
      <w:r w:rsidR="0062622C" w:rsidRPr="00BE6BDB">
        <w:rPr>
          <w:rFonts w:ascii="Arial" w:hAnsi="Arial" w:cs="Arial"/>
          <w:sz w:val="24"/>
          <w:szCs w:val="24"/>
        </w:rPr>
        <w:t xml:space="preserve"> </w:t>
      </w:r>
      <w:r w:rsidRPr="00E31618">
        <w:rPr>
          <w:rFonts w:ascii="Arial" w:eastAsia="Times New Roman" w:hAnsi="Arial" w:cs="Arial"/>
          <w:sz w:val="24"/>
          <w:szCs w:val="24"/>
        </w:rPr>
        <w:t xml:space="preserve"> </w:t>
      </w:r>
    </w:p>
    <w:p w14:paraId="639495F7" w14:textId="77777777" w:rsidR="0062622C" w:rsidRPr="0062622C" w:rsidRDefault="0062622C" w:rsidP="0062622C">
      <w:pPr>
        <w:spacing w:after="0" w:line="240" w:lineRule="auto"/>
        <w:rPr>
          <w:rFonts w:ascii="Arial" w:eastAsia="Times New Roman" w:hAnsi="Arial" w:cs="Arial"/>
          <w:sz w:val="24"/>
          <w:szCs w:val="24"/>
        </w:rPr>
      </w:pPr>
    </w:p>
    <w:p w14:paraId="564A2276" w14:textId="77777777" w:rsidR="00A74E08" w:rsidRPr="00F740FB" w:rsidRDefault="00A74E08" w:rsidP="00A74E08">
      <w:pPr>
        <w:pStyle w:val="Heading1"/>
        <w:rPr>
          <w:b w:val="0"/>
        </w:rPr>
      </w:pPr>
      <w:r>
        <w:t xml:space="preserve">RECOMMENDATIONS  </w:t>
      </w:r>
    </w:p>
    <w:p w14:paraId="7518DAC3" w14:textId="77777777" w:rsidR="00A74E08" w:rsidRDefault="00A74E08" w:rsidP="00A74E08">
      <w:pPr>
        <w:spacing w:line="240" w:lineRule="auto"/>
        <w:contextualSpacing/>
        <w:rPr>
          <w:rFonts w:ascii="Arial" w:hAnsi="Arial" w:cs="Arial"/>
          <w:sz w:val="24"/>
          <w:szCs w:val="24"/>
        </w:rPr>
      </w:pPr>
    </w:p>
    <w:p w14:paraId="558D5922" w14:textId="77777777" w:rsidR="00A74E08" w:rsidRDefault="00A74E08" w:rsidP="00A74E08">
      <w:pPr>
        <w:spacing w:line="240" w:lineRule="auto"/>
        <w:contextualSpacing/>
        <w:rPr>
          <w:rFonts w:ascii="Arial" w:hAnsi="Arial" w:cs="Arial"/>
          <w:sz w:val="24"/>
          <w:szCs w:val="24"/>
        </w:rPr>
      </w:pPr>
      <w:r>
        <w:rPr>
          <w:rFonts w:ascii="Arial" w:hAnsi="Arial" w:cs="Arial"/>
          <w:sz w:val="24"/>
          <w:szCs w:val="24"/>
        </w:rPr>
        <w:t>The Commission recommends that the interconnected and interrelated nature of article 9 (accessibility) and article 27 (work and employment) be given greater prominence in the General Comment. The Committee has an opportunity to further</w:t>
      </w:r>
      <w:r w:rsidRPr="00007E49">
        <w:rPr>
          <w:rFonts w:ascii="Arial" w:hAnsi="Arial" w:cs="Arial"/>
          <w:sz w:val="24"/>
          <w:szCs w:val="24"/>
        </w:rPr>
        <w:t xml:space="preserve"> this shift in thinking, from reactive to proactive, and from individual accommodations to broader accessibility </w:t>
      </w:r>
      <w:r>
        <w:rPr>
          <w:rFonts w:ascii="Arial" w:hAnsi="Arial" w:cs="Arial"/>
          <w:sz w:val="24"/>
          <w:szCs w:val="24"/>
        </w:rPr>
        <w:t xml:space="preserve">rights and inclusion for all. The result of this General Comment will hopefully be the adoption of a more proactive and inclusive interpretation of Article 27 that will address the systemic barriers that exclude people with disabilities in work and employment. </w:t>
      </w:r>
    </w:p>
    <w:p w14:paraId="2AA15594" w14:textId="77777777" w:rsidR="00A74E08" w:rsidRDefault="00A74E08" w:rsidP="00A74E08">
      <w:pPr>
        <w:spacing w:line="240" w:lineRule="auto"/>
        <w:contextualSpacing/>
        <w:rPr>
          <w:rFonts w:ascii="Arial" w:hAnsi="Arial" w:cs="Arial"/>
          <w:sz w:val="24"/>
          <w:szCs w:val="24"/>
        </w:rPr>
      </w:pPr>
    </w:p>
    <w:p w14:paraId="0A5CDBA5" w14:textId="77777777" w:rsidR="00A74E08" w:rsidRDefault="00A74E08" w:rsidP="00A74E08">
      <w:pPr>
        <w:spacing w:line="240" w:lineRule="auto"/>
        <w:contextualSpacing/>
        <w:rPr>
          <w:rFonts w:ascii="Arial" w:hAnsi="Arial" w:cs="Arial"/>
          <w:sz w:val="24"/>
          <w:szCs w:val="24"/>
        </w:rPr>
      </w:pPr>
      <w:r>
        <w:rPr>
          <w:rFonts w:ascii="Arial" w:hAnsi="Arial" w:cs="Arial"/>
          <w:sz w:val="24"/>
          <w:szCs w:val="24"/>
        </w:rPr>
        <w:t>To that end, the Commission offers the following more specific recommendations for the Committee’s consideration on the draft General Comment that has been provided.</w:t>
      </w:r>
    </w:p>
    <w:p w14:paraId="27630A5B" w14:textId="77777777" w:rsidR="00A74E08" w:rsidRDefault="00A74E08" w:rsidP="00A74E08">
      <w:pPr>
        <w:spacing w:after="0"/>
      </w:pPr>
    </w:p>
    <w:p w14:paraId="1D910E7E" w14:textId="77777777" w:rsidR="00A74E08" w:rsidRDefault="00A74E08" w:rsidP="00373969">
      <w:pPr>
        <w:spacing w:line="240" w:lineRule="auto"/>
        <w:contextualSpacing/>
        <w:rPr>
          <w:rFonts w:ascii="Arial" w:hAnsi="Arial" w:cs="Arial"/>
          <w:sz w:val="24"/>
          <w:szCs w:val="24"/>
        </w:rPr>
      </w:pPr>
      <w:r w:rsidRPr="00451F45">
        <w:rPr>
          <w:rFonts w:ascii="Arial" w:hAnsi="Arial" w:cs="Arial"/>
          <w:sz w:val="24"/>
          <w:szCs w:val="24"/>
          <w:u w:val="single"/>
        </w:rPr>
        <w:t>Recommendations</w:t>
      </w:r>
      <w:r>
        <w:rPr>
          <w:rFonts w:ascii="Arial" w:hAnsi="Arial" w:cs="Arial"/>
          <w:sz w:val="24"/>
          <w:szCs w:val="24"/>
        </w:rPr>
        <w:t>:</w:t>
      </w:r>
    </w:p>
    <w:p w14:paraId="60E5AB8C" w14:textId="77777777" w:rsidR="00A74E08" w:rsidRDefault="00A74E08" w:rsidP="00373969">
      <w:pPr>
        <w:spacing w:after="0" w:line="240" w:lineRule="auto"/>
      </w:pPr>
    </w:p>
    <w:p w14:paraId="65F30767" w14:textId="77777777" w:rsidR="00384B55" w:rsidRPr="0088087C" w:rsidRDefault="00384B55" w:rsidP="00373969">
      <w:pPr>
        <w:pStyle w:val="ListParagraph"/>
        <w:numPr>
          <w:ilvl w:val="0"/>
          <w:numId w:val="6"/>
        </w:numPr>
        <w:spacing w:after="0" w:line="240" w:lineRule="auto"/>
        <w:rPr>
          <w:rFonts w:ascii="Arial" w:hAnsi="Arial" w:cs="Arial"/>
          <w:sz w:val="24"/>
          <w:szCs w:val="24"/>
        </w:rPr>
      </w:pPr>
      <w:r w:rsidRPr="0088087C">
        <w:rPr>
          <w:rFonts w:ascii="Arial" w:hAnsi="Arial" w:cs="Arial"/>
          <w:sz w:val="24"/>
          <w:szCs w:val="24"/>
        </w:rPr>
        <w:t xml:space="preserve">In the </w:t>
      </w:r>
      <w:r w:rsidR="005A18DE">
        <w:rPr>
          <w:rFonts w:ascii="Arial" w:hAnsi="Arial" w:cs="Arial"/>
          <w:sz w:val="24"/>
          <w:szCs w:val="24"/>
        </w:rPr>
        <w:t>“Normative C</w:t>
      </w:r>
      <w:r w:rsidRPr="0088087C">
        <w:rPr>
          <w:rFonts w:ascii="Arial" w:hAnsi="Arial" w:cs="Arial"/>
          <w:sz w:val="24"/>
          <w:szCs w:val="24"/>
        </w:rPr>
        <w:t>ontent</w:t>
      </w:r>
      <w:r w:rsidR="005A18DE">
        <w:rPr>
          <w:rFonts w:ascii="Arial" w:hAnsi="Arial" w:cs="Arial"/>
          <w:sz w:val="24"/>
          <w:szCs w:val="24"/>
        </w:rPr>
        <w:t>”</w:t>
      </w:r>
      <w:r w:rsidRPr="0088087C">
        <w:rPr>
          <w:rFonts w:ascii="Arial" w:hAnsi="Arial" w:cs="Arial"/>
          <w:sz w:val="24"/>
          <w:szCs w:val="24"/>
        </w:rPr>
        <w:t xml:space="preserve"> section, we recommend that:</w:t>
      </w:r>
    </w:p>
    <w:p w14:paraId="376FE9B0" w14:textId="77777777" w:rsidR="00384B55" w:rsidRPr="00384B55" w:rsidRDefault="00384B55" w:rsidP="00373969">
      <w:pPr>
        <w:numPr>
          <w:ilvl w:val="0"/>
          <w:numId w:val="4"/>
        </w:numPr>
        <w:spacing w:line="240" w:lineRule="auto"/>
        <w:contextualSpacing/>
        <w:rPr>
          <w:rFonts w:ascii="Arial" w:hAnsi="Arial" w:cs="Arial"/>
          <w:sz w:val="24"/>
          <w:szCs w:val="24"/>
        </w:rPr>
      </w:pPr>
      <w:r w:rsidRPr="00384B55">
        <w:rPr>
          <w:rFonts w:ascii="Arial" w:hAnsi="Arial" w:cs="Arial"/>
          <w:sz w:val="24"/>
          <w:szCs w:val="24"/>
        </w:rPr>
        <w:t>the legal analysis</w:t>
      </w:r>
      <w:r w:rsidR="00792C41">
        <w:rPr>
          <w:rFonts w:ascii="Arial" w:hAnsi="Arial" w:cs="Arial"/>
          <w:sz w:val="24"/>
          <w:szCs w:val="24"/>
        </w:rPr>
        <w:t xml:space="preserve"> on the right to work</w:t>
      </w:r>
      <w:r w:rsidRPr="00384B55">
        <w:rPr>
          <w:rFonts w:ascii="Arial" w:hAnsi="Arial" w:cs="Arial"/>
          <w:sz w:val="24"/>
          <w:szCs w:val="24"/>
        </w:rPr>
        <w:t xml:space="preserve"> include an overview of current accessibility legislation, including the </w:t>
      </w:r>
      <w:r w:rsidRPr="009C4807">
        <w:rPr>
          <w:rFonts w:ascii="Arial" w:hAnsi="Arial" w:cs="Arial"/>
          <w:i/>
          <w:sz w:val="24"/>
          <w:szCs w:val="24"/>
        </w:rPr>
        <w:t>Accessible Canada Act</w:t>
      </w:r>
      <w:r w:rsidRPr="00384B55">
        <w:rPr>
          <w:rFonts w:ascii="Arial" w:hAnsi="Arial" w:cs="Arial"/>
          <w:sz w:val="24"/>
          <w:szCs w:val="24"/>
        </w:rPr>
        <w:t xml:space="preserve">, so that States parties can evaluate the various proactive models and note the shift away from reactive models; and </w:t>
      </w:r>
    </w:p>
    <w:p w14:paraId="5B64D4A9" w14:textId="77777777" w:rsidR="00384B55" w:rsidRPr="00570009" w:rsidRDefault="00384B55" w:rsidP="00373969">
      <w:pPr>
        <w:numPr>
          <w:ilvl w:val="0"/>
          <w:numId w:val="4"/>
        </w:numPr>
        <w:spacing w:line="240" w:lineRule="auto"/>
        <w:contextualSpacing/>
        <w:rPr>
          <w:rFonts w:ascii="Arial" w:hAnsi="Arial" w:cs="Arial"/>
          <w:sz w:val="24"/>
          <w:szCs w:val="24"/>
        </w:rPr>
      </w:pPr>
      <w:r w:rsidRPr="00384B55">
        <w:rPr>
          <w:rFonts w:ascii="Arial" w:hAnsi="Arial" w:cs="Arial"/>
          <w:sz w:val="24"/>
          <w:szCs w:val="24"/>
        </w:rPr>
        <w:t>reasonable accommodations in the interpretation of article 27</w:t>
      </w:r>
      <w:r w:rsidR="00792C41">
        <w:rPr>
          <w:rFonts w:ascii="Arial" w:hAnsi="Arial" w:cs="Arial"/>
          <w:sz w:val="24"/>
          <w:szCs w:val="24"/>
        </w:rPr>
        <w:t>(1)</w:t>
      </w:r>
      <w:r w:rsidRPr="00384B55">
        <w:rPr>
          <w:rFonts w:ascii="Arial" w:hAnsi="Arial" w:cs="Arial"/>
          <w:sz w:val="24"/>
          <w:szCs w:val="24"/>
        </w:rPr>
        <w:t>(</w:t>
      </w:r>
      <w:proofErr w:type="spellStart"/>
      <w:r w:rsidRPr="00384B55">
        <w:rPr>
          <w:rFonts w:ascii="Arial" w:hAnsi="Arial" w:cs="Arial"/>
          <w:sz w:val="24"/>
          <w:szCs w:val="24"/>
        </w:rPr>
        <w:t>i</w:t>
      </w:r>
      <w:proofErr w:type="spellEnd"/>
      <w:r w:rsidRPr="00384B55">
        <w:rPr>
          <w:rFonts w:ascii="Arial" w:hAnsi="Arial" w:cs="Arial"/>
          <w:sz w:val="24"/>
          <w:szCs w:val="24"/>
        </w:rPr>
        <w:t xml:space="preserve">) </w:t>
      </w:r>
      <w:r w:rsidR="005A18DE">
        <w:rPr>
          <w:rFonts w:ascii="Arial" w:hAnsi="Arial" w:cs="Arial"/>
          <w:sz w:val="24"/>
          <w:szCs w:val="24"/>
        </w:rPr>
        <w:t xml:space="preserve">– paragraphs 49 and 50 – </w:t>
      </w:r>
      <w:r w:rsidRPr="00384B55">
        <w:rPr>
          <w:rFonts w:ascii="Arial" w:hAnsi="Arial" w:cs="Arial"/>
          <w:sz w:val="24"/>
          <w:szCs w:val="24"/>
        </w:rPr>
        <w:t xml:space="preserve">be framed as an exception to the rule, noting that the expectation should be for employers to proactively create accessible work environments. </w:t>
      </w:r>
      <w:r w:rsidR="00147C6D">
        <w:rPr>
          <w:rFonts w:ascii="Arial" w:hAnsi="Arial" w:cs="Arial"/>
          <w:sz w:val="24"/>
          <w:szCs w:val="24"/>
        </w:rPr>
        <w:t xml:space="preserve">For instance, it should </w:t>
      </w:r>
      <w:r w:rsidR="00570009">
        <w:rPr>
          <w:rFonts w:ascii="Arial" w:hAnsi="Arial" w:cs="Arial"/>
          <w:sz w:val="24"/>
          <w:szCs w:val="24"/>
        </w:rPr>
        <w:t>be noted that a</w:t>
      </w:r>
      <w:r w:rsidR="00570009" w:rsidRPr="00384B55">
        <w:rPr>
          <w:rFonts w:ascii="Arial" w:hAnsi="Arial" w:cs="Arial"/>
          <w:sz w:val="24"/>
          <w:szCs w:val="24"/>
        </w:rPr>
        <w:t>ccessibility should be considered first, before accommodation, so that an accommodation request becomes the exception, not the norm.</w:t>
      </w:r>
    </w:p>
    <w:p w14:paraId="463F3B6C" w14:textId="77777777" w:rsidR="0088087C" w:rsidRPr="00384B55" w:rsidRDefault="0088087C" w:rsidP="00373969">
      <w:pPr>
        <w:spacing w:after="0" w:line="240" w:lineRule="auto"/>
        <w:ind w:left="720"/>
        <w:contextualSpacing/>
        <w:rPr>
          <w:rFonts w:ascii="Arial" w:hAnsi="Arial" w:cs="Arial"/>
          <w:sz w:val="24"/>
          <w:szCs w:val="24"/>
        </w:rPr>
      </w:pPr>
    </w:p>
    <w:p w14:paraId="02D78AE2" w14:textId="77777777" w:rsidR="00384B55" w:rsidRPr="00570009" w:rsidRDefault="005A18DE" w:rsidP="00373969">
      <w:pPr>
        <w:pStyle w:val="ListParagraph"/>
        <w:numPr>
          <w:ilvl w:val="0"/>
          <w:numId w:val="6"/>
        </w:numPr>
        <w:spacing w:after="0" w:line="240" w:lineRule="auto"/>
        <w:rPr>
          <w:rFonts w:ascii="Arial" w:hAnsi="Arial" w:cs="Arial"/>
          <w:sz w:val="24"/>
          <w:szCs w:val="24"/>
        </w:rPr>
      </w:pPr>
      <w:r>
        <w:rPr>
          <w:rFonts w:ascii="Arial" w:hAnsi="Arial" w:cs="Arial"/>
          <w:sz w:val="24"/>
          <w:szCs w:val="24"/>
        </w:rPr>
        <w:t>In</w:t>
      </w:r>
      <w:r w:rsidR="00384B55" w:rsidRPr="00384B55">
        <w:rPr>
          <w:rFonts w:ascii="Arial" w:hAnsi="Arial" w:cs="Arial"/>
          <w:sz w:val="24"/>
          <w:szCs w:val="24"/>
        </w:rPr>
        <w:t xml:space="preserve"> the </w:t>
      </w:r>
      <w:r>
        <w:rPr>
          <w:rFonts w:ascii="Arial" w:hAnsi="Arial" w:cs="Arial"/>
          <w:sz w:val="24"/>
          <w:szCs w:val="24"/>
        </w:rPr>
        <w:t>“States Parties O</w:t>
      </w:r>
      <w:r w:rsidR="00384B55" w:rsidRPr="00384B55">
        <w:rPr>
          <w:rFonts w:ascii="Arial" w:hAnsi="Arial" w:cs="Arial"/>
          <w:sz w:val="24"/>
          <w:szCs w:val="24"/>
        </w:rPr>
        <w:t>bligations</w:t>
      </w:r>
      <w:r>
        <w:rPr>
          <w:rFonts w:ascii="Arial" w:hAnsi="Arial" w:cs="Arial"/>
          <w:sz w:val="24"/>
          <w:szCs w:val="24"/>
        </w:rPr>
        <w:t>”</w:t>
      </w:r>
      <w:r w:rsidR="0061548E">
        <w:rPr>
          <w:rFonts w:ascii="Arial" w:hAnsi="Arial" w:cs="Arial"/>
          <w:sz w:val="24"/>
          <w:szCs w:val="24"/>
        </w:rPr>
        <w:t xml:space="preserve"> section, we recommend</w:t>
      </w:r>
      <w:r w:rsidR="00570009">
        <w:rPr>
          <w:rFonts w:ascii="Arial" w:hAnsi="Arial" w:cs="Arial"/>
          <w:sz w:val="24"/>
          <w:szCs w:val="24"/>
        </w:rPr>
        <w:t xml:space="preserve"> that </w:t>
      </w:r>
      <w:r w:rsidR="00384B55" w:rsidRPr="00570009">
        <w:rPr>
          <w:rFonts w:ascii="Arial" w:hAnsi="Arial" w:cs="Arial"/>
          <w:sz w:val="24"/>
          <w:szCs w:val="24"/>
        </w:rPr>
        <w:t>a paragraph on accessibility legislation be added to complement and broaden the current focus on legislation that is discriminatory or intended to prevent discrimination. This paragraph should also reflect that this model shifts the burden of addressing discrimination from the rights holder to the State</w:t>
      </w:r>
      <w:r w:rsidR="0061548E" w:rsidRPr="00570009">
        <w:rPr>
          <w:rFonts w:ascii="Arial" w:hAnsi="Arial" w:cs="Arial"/>
          <w:sz w:val="24"/>
          <w:szCs w:val="24"/>
        </w:rPr>
        <w:t>. This could be added to and expanded upon in paragraph 65</w:t>
      </w:r>
      <w:r w:rsidR="00570009">
        <w:rPr>
          <w:rFonts w:ascii="Arial" w:hAnsi="Arial" w:cs="Arial"/>
          <w:sz w:val="24"/>
          <w:szCs w:val="24"/>
        </w:rPr>
        <w:t xml:space="preserve">. </w:t>
      </w:r>
    </w:p>
    <w:p w14:paraId="21F7C21E" w14:textId="77777777" w:rsidR="0088087C" w:rsidRPr="00384B55" w:rsidRDefault="0088087C" w:rsidP="00373969">
      <w:pPr>
        <w:spacing w:after="0" w:line="240" w:lineRule="auto"/>
        <w:ind w:left="720"/>
        <w:contextualSpacing/>
        <w:rPr>
          <w:rFonts w:ascii="Arial" w:hAnsi="Arial" w:cs="Arial"/>
          <w:sz w:val="24"/>
          <w:szCs w:val="24"/>
        </w:rPr>
      </w:pPr>
    </w:p>
    <w:p w14:paraId="38DEAD5A" w14:textId="77777777" w:rsidR="00A74E08" w:rsidRDefault="00384B55" w:rsidP="00373969">
      <w:pPr>
        <w:pStyle w:val="ListParagraph"/>
        <w:numPr>
          <w:ilvl w:val="0"/>
          <w:numId w:val="6"/>
        </w:numPr>
        <w:spacing w:line="240" w:lineRule="auto"/>
      </w:pPr>
      <w:r w:rsidRPr="0048236E">
        <w:rPr>
          <w:rFonts w:ascii="Arial" w:hAnsi="Arial" w:cs="Arial"/>
          <w:sz w:val="24"/>
          <w:szCs w:val="24"/>
        </w:rPr>
        <w:lastRenderedPageBreak/>
        <w:t xml:space="preserve">In the </w:t>
      </w:r>
      <w:r w:rsidR="0048236E" w:rsidRPr="0048236E">
        <w:rPr>
          <w:rFonts w:ascii="Arial" w:hAnsi="Arial" w:cs="Arial"/>
          <w:sz w:val="24"/>
          <w:szCs w:val="24"/>
        </w:rPr>
        <w:t xml:space="preserve">“Relationship with other specific articles of the Convention” </w:t>
      </w:r>
      <w:r w:rsidRPr="0048236E">
        <w:rPr>
          <w:rFonts w:ascii="Arial" w:hAnsi="Arial" w:cs="Arial"/>
          <w:sz w:val="24"/>
          <w:szCs w:val="24"/>
        </w:rPr>
        <w:t>section</w:t>
      </w:r>
      <w:r w:rsidR="0061548E" w:rsidRPr="0048236E">
        <w:rPr>
          <w:rFonts w:ascii="Arial" w:hAnsi="Arial" w:cs="Arial"/>
          <w:sz w:val="24"/>
          <w:szCs w:val="24"/>
        </w:rPr>
        <w:t>, we recommend</w:t>
      </w:r>
      <w:r w:rsidRPr="0048236E">
        <w:rPr>
          <w:rFonts w:ascii="Arial" w:hAnsi="Arial" w:cs="Arial"/>
          <w:sz w:val="24"/>
          <w:szCs w:val="24"/>
        </w:rPr>
        <w:t xml:space="preserve"> that </w:t>
      </w:r>
      <w:r w:rsidR="0048236E" w:rsidRPr="0048236E">
        <w:rPr>
          <w:rFonts w:ascii="Arial" w:hAnsi="Arial" w:cs="Arial"/>
          <w:sz w:val="24"/>
          <w:szCs w:val="24"/>
        </w:rPr>
        <w:t xml:space="preserve">the </w:t>
      </w:r>
      <w:r w:rsidRPr="0048236E">
        <w:rPr>
          <w:rFonts w:ascii="Arial" w:hAnsi="Arial" w:cs="Arial"/>
          <w:sz w:val="24"/>
          <w:szCs w:val="24"/>
        </w:rPr>
        <w:t>stand-alone paragraph on accessibility</w:t>
      </w:r>
      <w:r w:rsidR="0048236E" w:rsidRPr="0048236E">
        <w:rPr>
          <w:rFonts w:ascii="Arial" w:hAnsi="Arial" w:cs="Arial"/>
          <w:sz w:val="24"/>
          <w:szCs w:val="24"/>
        </w:rPr>
        <w:t xml:space="preserve"> – paragraph 82 –</w:t>
      </w:r>
      <w:r w:rsidR="0048236E">
        <w:rPr>
          <w:rFonts w:ascii="Arial" w:hAnsi="Arial" w:cs="Arial"/>
          <w:sz w:val="24"/>
          <w:szCs w:val="24"/>
        </w:rPr>
        <w:t xml:space="preserve"> </w:t>
      </w:r>
      <w:r w:rsidR="0048236E" w:rsidRPr="0048236E">
        <w:rPr>
          <w:rFonts w:ascii="Arial" w:hAnsi="Arial" w:cs="Arial"/>
          <w:sz w:val="24"/>
          <w:szCs w:val="24"/>
        </w:rPr>
        <w:t>acknowledge accessibility not only as a means to full participation, but as a human right. We further note that this paragraph should also highlight the scope of barriers accessibility addresses</w:t>
      </w:r>
      <w:r w:rsidRPr="0048236E">
        <w:rPr>
          <w:rFonts w:ascii="Arial" w:hAnsi="Arial" w:cs="Arial"/>
          <w:sz w:val="24"/>
          <w:szCs w:val="24"/>
        </w:rPr>
        <w:t xml:space="preserve">, </w:t>
      </w:r>
      <w:r w:rsidR="0048236E" w:rsidRPr="0048236E">
        <w:rPr>
          <w:rFonts w:ascii="Arial" w:hAnsi="Arial" w:cs="Arial"/>
          <w:sz w:val="24"/>
          <w:szCs w:val="24"/>
        </w:rPr>
        <w:t xml:space="preserve">including attitudinal barriers. </w:t>
      </w:r>
    </w:p>
    <w:sectPr w:rsidR="00A74E08" w:rsidSect="00606335">
      <w:footerReference w:type="defaul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2FB3D" w14:textId="77777777" w:rsidR="00606335" w:rsidRDefault="00606335" w:rsidP="00606335">
      <w:pPr>
        <w:spacing w:after="0" w:line="240" w:lineRule="auto"/>
      </w:pPr>
      <w:r>
        <w:separator/>
      </w:r>
    </w:p>
  </w:endnote>
  <w:endnote w:type="continuationSeparator" w:id="0">
    <w:p w14:paraId="06C7572A" w14:textId="77777777" w:rsidR="00606335" w:rsidRDefault="00606335" w:rsidP="00606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348608459"/>
      <w:docPartObj>
        <w:docPartGallery w:val="Page Numbers (Bottom of Page)"/>
        <w:docPartUnique/>
      </w:docPartObj>
    </w:sdtPr>
    <w:sdtEndPr>
      <w:rPr>
        <w:noProof/>
      </w:rPr>
    </w:sdtEndPr>
    <w:sdtContent>
      <w:p w14:paraId="292B56DA" w14:textId="591BEB69" w:rsidR="00606335" w:rsidRPr="00606335" w:rsidRDefault="00606335">
        <w:pPr>
          <w:pStyle w:val="Footer"/>
          <w:jc w:val="right"/>
          <w:rPr>
            <w:rFonts w:ascii="Arial" w:hAnsi="Arial" w:cs="Arial"/>
          </w:rPr>
        </w:pPr>
        <w:r w:rsidRPr="00606335">
          <w:rPr>
            <w:rFonts w:ascii="Arial" w:hAnsi="Arial" w:cs="Arial"/>
          </w:rPr>
          <w:fldChar w:fldCharType="begin"/>
        </w:r>
        <w:r w:rsidRPr="00606335">
          <w:rPr>
            <w:rFonts w:ascii="Arial" w:hAnsi="Arial" w:cs="Arial"/>
          </w:rPr>
          <w:instrText xml:space="preserve"> PAGE   \* MERGEFORMAT </w:instrText>
        </w:r>
        <w:r w:rsidRPr="00606335">
          <w:rPr>
            <w:rFonts w:ascii="Arial" w:hAnsi="Arial" w:cs="Arial"/>
          </w:rPr>
          <w:fldChar w:fldCharType="separate"/>
        </w:r>
        <w:r w:rsidR="00CE5CAF">
          <w:rPr>
            <w:rFonts w:ascii="Arial" w:hAnsi="Arial" w:cs="Arial"/>
            <w:noProof/>
          </w:rPr>
          <w:t>5</w:t>
        </w:r>
        <w:r w:rsidRPr="00606335">
          <w:rPr>
            <w:rFonts w:ascii="Arial" w:hAnsi="Arial" w:cs="Arial"/>
            <w:noProof/>
          </w:rPr>
          <w:fldChar w:fldCharType="end"/>
        </w:r>
      </w:p>
    </w:sdtContent>
  </w:sdt>
  <w:p w14:paraId="7EAFA4C3" w14:textId="77777777" w:rsidR="00606335" w:rsidRDefault="0060633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428B3" w14:textId="77777777" w:rsidR="00606335" w:rsidRDefault="00606335" w:rsidP="00606335">
      <w:pPr>
        <w:spacing w:after="0" w:line="240" w:lineRule="auto"/>
      </w:pPr>
      <w:r>
        <w:separator/>
      </w:r>
    </w:p>
  </w:footnote>
  <w:footnote w:type="continuationSeparator" w:id="0">
    <w:p w14:paraId="42E275AA" w14:textId="77777777" w:rsidR="00606335" w:rsidRDefault="00606335" w:rsidP="00606335">
      <w:pPr>
        <w:spacing w:after="0" w:line="240" w:lineRule="auto"/>
      </w:pPr>
      <w:r>
        <w:continuationSeparator/>
      </w:r>
    </w:p>
  </w:footnote>
  <w:footnote w:id="1">
    <w:p w14:paraId="17FD409A" w14:textId="77777777" w:rsidR="00606335" w:rsidRPr="003D4E7C" w:rsidRDefault="00606335" w:rsidP="00606335">
      <w:pPr>
        <w:pStyle w:val="FootnoteText"/>
        <w:rPr>
          <w:rFonts w:ascii="Arial" w:hAnsi="Arial" w:cs="Arial"/>
          <w:lang w:val="en-US"/>
        </w:rPr>
      </w:pPr>
      <w:r w:rsidRPr="003D4E7C">
        <w:rPr>
          <w:rStyle w:val="FootnoteReference"/>
          <w:rFonts w:ascii="Arial" w:hAnsi="Arial" w:cs="Arial"/>
        </w:rPr>
        <w:footnoteRef/>
      </w:r>
      <w:r w:rsidRPr="003D4E7C">
        <w:rPr>
          <w:rFonts w:ascii="Arial" w:hAnsi="Arial" w:cs="Arial"/>
        </w:rPr>
        <w:t xml:space="preserve"> Available at: </w:t>
      </w:r>
      <w:hyperlink r:id="rId1" w:history="1">
        <w:r w:rsidRPr="003D4E7C">
          <w:rPr>
            <w:rStyle w:val="Hyperlink"/>
            <w:rFonts w:ascii="Arial" w:hAnsi="Arial" w:cs="Arial"/>
          </w:rPr>
          <w:t>laws-lois.justice.gc.ca/PDF/H-6.pdf</w:t>
        </w:r>
      </w:hyperlink>
      <w:r w:rsidRPr="003D4E7C">
        <w:rPr>
          <w:rFonts w:ascii="Arial" w:hAnsi="Arial" w:cs="Arial"/>
        </w:rPr>
        <w:t xml:space="preserve">. Although Canada’s human rights laws are not part of the Constitution, they are considered “quasi-constitutional” in nature, meaning that all other laws must be interpreted in a manner consistent with human rights law.  </w:t>
      </w:r>
    </w:p>
  </w:footnote>
  <w:footnote w:id="2">
    <w:p w14:paraId="69A41AC0" w14:textId="77777777" w:rsidR="00606335" w:rsidRPr="003D4E7C" w:rsidRDefault="00606335" w:rsidP="00606335">
      <w:pPr>
        <w:pStyle w:val="FootnoteText"/>
        <w:rPr>
          <w:rFonts w:ascii="Arial" w:hAnsi="Arial" w:cs="Arial"/>
          <w:lang w:val="en-US"/>
        </w:rPr>
      </w:pPr>
      <w:r w:rsidRPr="003D4E7C">
        <w:rPr>
          <w:rStyle w:val="FootnoteReference"/>
          <w:rFonts w:ascii="Arial" w:hAnsi="Arial" w:cs="Arial"/>
        </w:rPr>
        <w:footnoteRef/>
      </w:r>
      <w:r w:rsidRPr="003D4E7C">
        <w:rPr>
          <w:rFonts w:ascii="Arial" w:hAnsi="Arial" w:cs="Arial"/>
        </w:rPr>
        <w:t xml:space="preserve"> Available at: </w:t>
      </w:r>
      <w:hyperlink r:id="rId2" w:history="1">
        <w:r w:rsidRPr="003D4E7C">
          <w:rPr>
            <w:rStyle w:val="Hyperlink"/>
            <w:rFonts w:ascii="Arial" w:hAnsi="Arial" w:cs="Arial"/>
          </w:rPr>
          <w:t>laws-lois.justice.gc.ca/PDF/E-5.401.pdf</w:t>
        </w:r>
      </w:hyperlink>
      <w:r w:rsidRPr="003D4E7C">
        <w:rPr>
          <w:rFonts w:ascii="Arial" w:hAnsi="Arial" w:cs="Arial"/>
        </w:rPr>
        <w:t>.</w:t>
      </w:r>
    </w:p>
  </w:footnote>
  <w:footnote w:id="3">
    <w:p w14:paraId="57A32A8A" w14:textId="77777777" w:rsidR="00606335" w:rsidRPr="00956BBF" w:rsidRDefault="00606335" w:rsidP="00606335">
      <w:pPr>
        <w:pStyle w:val="FootnoteText"/>
        <w:rPr>
          <w:lang w:val="en-US"/>
        </w:rPr>
      </w:pPr>
      <w:r w:rsidRPr="003D4E7C">
        <w:rPr>
          <w:rStyle w:val="FootnoteReference"/>
          <w:rFonts w:ascii="Arial" w:hAnsi="Arial" w:cs="Arial"/>
        </w:rPr>
        <w:footnoteRef/>
      </w:r>
      <w:r w:rsidRPr="003D4E7C">
        <w:rPr>
          <w:rFonts w:ascii="Arial" w:hAnsi="Arial" w:cs="Arial"/>
        </w:rPr>
        <w:t xml:space="preserve"> The Commission notes that the terms “visible minority” and “Aboriginal” are increasingly outdated, and as such, they are used only to reflect their official usage in Canadian legislation and in Statistics Canada survey data. Where other terms (such as Indigenous or racialized) can be used, the Commission supports this.</w:t>
      </w:r>
    </w:p>
  </w:footnote>
  <w:footnote w:id="4">
    <w:p w14:paraId="29A3D477" w14:textId="77777777" w:rsidR="0088087C" w:rsidRPr="0088087C" w:rsidRDefault="0088087C">
      <w:pPr>
        <w:pStyle w:val="FootnoteText"/>
        <w:rPr>
          <w:rFonts w:ascii="Arial" w:hAnsi="Arial" w:cs="Arial"/>
          <w:lang w:val="en-US"/>
        </w:rPr>
      </w:pPr>
      <w:r w:rsidRPr="0088087C">
        <w:rPr>
          <w:rStyle w:val="FootnoteReference"/>
          <w:rFonts w:ascii="Arial" w:hAnsi="Arial" w:cs="Arial"/>
        </w:rPr>
        <w:footnoteRef/>
      </w:r>
      <w:r w:rsidRPr="0088087C">
        <w:rPr>
          <w:rFonts w:ascii="Arial" w:hAnsi="Arial" w:cs="Arial"/>
        </w:rPr>
        <w:t xml:space="preserve"> </w:t>
      </w:r>
      <w:r w:rsidRPr="0088087C">
        <w:rPr>
          <w:rFonts w:ascii="Arial" w:hAnsi="Arial" w:cs="Arial"/>
          <w:lang w:val="en-US"/>
        </w:rPr>
        <w:t xml:space="preserve">This written contribution can be found on the Committee’s website at the following link: </w:t>
      </w:r>
      <w:hyperlink r:id="rId3" w:history="1">
        <w:r w:rsidRPr="0088087C">
          <w:rPr>
            <w:rStyle w:val="Hyperlink"/>
            <w:rFonts w:ascii="Arial" w:hAnsi="Arial" w:cs="Arial"/>
            <w:lang w:val="en-US"/>
          </w:rPr>
          <w:t>https://www.ohchr.org/EN/HRBodies/CRPD/Pages/GeneralDiscussions.aspx</w:t>
        </w:r>
      </w:hyperlink>
      <w:r w:rsidRPr="0088087C">
        <w:rPr>
          <w:rFonts w:ascii="Arial" w:hAnsi="Arial" w:cs="Arial"/>
          <w:lang w:val="en-US"/>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002B1"/>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A232BF"/>
    <w:multiLevelType w:val="hybridMultilevel"/>
    <w:tmpl w:val="9384AADE"/>
    <w:lvl w:ilvl="0" w:tplc="10090019">
      <w:start w:val="1"/>
      <w:numFmt w:val="lowerLetter"/>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1CBF02FF"/>
    <w:multiLevelType w:val="hybridMultilevel"/>
    <w:tmpl w:val="9384AADE"/>
    <w:lvl w:ilvl="0" w:tplc="10090019">
      <w:start w:val="1"/>
      <w:numFmt w:val="lowerLetter"/>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27E067A0"/>
    <w:multiLevelType w:val="hybridMultilevel"/>
    <w:tmpl w:val="B012406A"/>
    <w:lvl w:ilvl="0" w:tplc="88CC9A4E">
      <w:start w:val="1"/>
      <w:numFmt w:val="decimal"/>
      <w:lvlText w:val="%1."/>
      <w:lvlJc w:val="left"/>
      <w:pPr>
        <w:ind w:left="360" w:hanging="360"/>
      </w:pPr>
      <w:rPr>
        <w:rFonts w:ascii="Arial" w:hAnsi="Arial" w:cs="Arial" w:hint="default"/>
        <w:sz w:val="24"/>
        <w:szCs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374F1144"/>
    <w:multiLevelType w:val="hybridMultilevel"/>
    <w:tmpl w:val="7EE82CCC"/>
    <w:lvl w:ilvl="0" w:tplc="EB3E63C8">
      <w:start w:val="1"/>
      <w:numFmt w:val="decimal"/>
      <w:lvlText w:val="%1."/>
      <w:lvlJc w:val="left"/>
      <w:pPr>
        <w:ind w:left="360" w:hanging="360"/>
      </w:pPr>
      <w:rPr>
        <w:rFonts w:ascii="Arial" w:hAnsi="Arial" w:cs="Arial" w:hint="default"/>
        <w:b/>
        <w:color w:val="auto"/>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5" w15:restartNumberingAfterBreak="0">
    <w:nsid w:val="509647E4"/>
    <w:multiLevelType w:val="multilevel"/>
    <w:tmpl w:val="5F1AE5D6"/>
    <w:lvl w:ilvl="0">
      <w:start w:val="1"/>
      <w:numFmt w:val="decimal"/>
      <w:pStyle w:val="Heading1"/>
      <w:lvlText w:val="%1."/>
      <w:lvlJc w:val="left"/>
      <w:pPr>
        <w:ind w:left="504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92" w:hanging="432"/>
      </w:pPr>
      <w:rPr>
        <w:rFonts w:ascii="Arial" w:hAnsi="Arial" w:cs="Arial" w:hint="default"/>
        <w:sz w:val="24"/>
        <w:szCs w:val="24"/>
      </w:rPr>
    </w:lvl>
    <w:lvl w:ilvl="2">
      <w:start w:val="1"/>
      <w:numFmt w:val="decimal"/>
      <w:pStyle w:val="Heading3"/>
      <w:lvlText w:val="%1.%2.%3."/>
      <w:lvlJc w:val="left"/>
      <w:pPr>
        <w:ind w:left="1224" w:hanging="504"/>
      </w:pPr>
      <w:rPr>
        <w:b w:val="0"/>
        <w:i w:val="0"/>
      </w:r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0B2662D"/>
    <w:multiLevelType w:val="hybridMultilevel"/>
    <w:tmpl w:val="1D6AB660"/>
    <w:lvl w:ilvl="0" w:tplc="10090019">
      <w:start w:val="1"/>
      <w:numFmt w:val="lowerLetter"/>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6"/>
  </w:num>
  <w:num w:numId="5">
    <w:abstractNumId w:val="6"/>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335"/>
    <w:rsid w:val="00147C6D"/>
    <w:rsid w:val="0032319E"/>
    <w:rsid w:val="00323D15"/>
    <w:rsid w:val="00346A49"/>
    <w:rsid w:val="00373969"/>
    <w:rsid w:val="00384B55"/>
    <w:rsid w:val="003D4E7C"/>
    <w:rsid w:val="0048236E"/>
    <w:rsid w:val="00570009"/>
    <w:rsid w:val="005A18DE"/>
    <w:rsid w:val="00606335"/>
    <w:rsid w:val="0061548E"/>
    <w:rsid w:val="0062622C"/>
    <w:rsid w:val="00792C41"/>
    <w:rsid w:val="0088087C"/>
    <w:rsid w:val="00981CCD"/>
    <w:rsid w:val="009C4807"/>
    <w:rsid w:val="00A304BC"/>
    <w:rsid w:val="00A74E08"/>
    <w:rsid w:val="00B5550C"/>
    <w:rsid w:val="00CE5CAF"/>
    <w:rsid w:val="00D36616"/>
    <w:rsid w:val="00DA0B73"/>
    <w:rsid w:val="00DE5E2A"/>
    <w:rsid w:val="00E52E30"/>
    <w:rsid w:val="00FC20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B636D"/>
  <w15:chartTrackingRefBased/>
  <w15:docId w15:val="{B176E43B-BA90-4E36-ABF0-E6B1BBA3B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335"/>
  </w:style>
  <w:style w:type="paragraph" w:styleId="Heading1">
    <w:name w:val="heading 1"/>
    <w:basedOn w:val="Normal"/>
    <w:next w:val="Normal"/>
    <w:link w:val="Heading1Char"/>
    <w:uiPriority w:val="9"/>
    <w:qFormat/>
    <w:rsid w:val="00A74E08"/>
    <w:pPr>
      <w:numPr>
        <w:numId w:val="1"/>
      </w:numPr>
      <w:pBdr>
        <w:top w:val="single" w:sz="4" w:space="0" w:color="auto"/>
        <w:left w:val="single" w:sz="4" w:space="4" w:color="auto"/>
        <w:bottom w:val="single" w:sz="4" w:space="1" w:color="auto"/>
        <w:right w:val="single" w:sz="4" w:space="4" w:color="auto"/>
      </w:pBdr>
      <w:shd w:val="clear" w:color="auto" w:fill="8DB3E2"/>
      <w:spacing w:after="0" w:line="240" w:lineRule="auto"/>
      <w:ind w:left="360"/>
      <w:outlineLvl w:val="0"/>
    </w:pPr>
    <w:rPr>
      <w:rFonts w:ascii="Arial" w:eastAsiaTheme="majorEastAsia" w:hAnsi="Arial" w:cs="Arial"/>
      <w:b/>
      <w:sz w:val="32"/>
      <w:szCs w:val="32"/>
    </w:rPr>
  </w:style>
  <w:style w:type="paragraph" w:styleId="Heading2">
    <w:name w:val="heading 2"/>
    <w:basedOn w:val="Normal"/>
    <w:next w:val="Normal"/>
    <w:link w:val="Heading2Char"/>
    <w:uiPriority w:val="9"/>
    <w:unhideWhenUsed/>
    <w:qFormat/>
    <w:rsid w:val="00606335"/>
    <w:pPr>
      <w:numPr>
        <w:ilvl w:val="1"/>
        <w:numId w:val="1"/>
      </w:numPr>
      <w:spacing w:line="240" w:lineRule="auto"/>
      <w:outlineLvl w:val="1"/>
    </w:pPr>
    <w:rPr>
      <w:rFonts w:ascii="Arial" w:eastAsia="Calibri" w:hAnsi="Arial" w:cs="Arial"/>
      <w:b/>
      <w:sz w:val="24"/>
      <w:szCs w:val="24"/>
      <w:lang w:val="en-US"/>
    </w:rPr>
  </w:style>
  <w:style w:type="paragraph" w:styleId="Heading3">
    <w:name w:val="heading 3"/>
    <w:basedOn w:val="NoSpacing"/>
    <w:next w:val="Normal"/>
    <w:link w:val="Heading3Char"/>
    <w:uiPriority w:val="9"/>
    <w:unhideWhenUsed/>
    <w:qFormat/>
    <w:rsid w:val="00606335"/>
    <w:pPr>
      <w:numPr>
        <w:ilvl w:val="2"/>
        <w:numId w:val="1"/>
      </w:numPr>
      <w:outlineLvl w:val="2"/>
    </w:pPr>
    <w:rPr>
      <w:rFonts w:ascii="Arial" w:eastAsia="Calibri" w:hAnsi="Arial" w:cs="Arial"/>
      <w:sz w:val="24"/>
      <w:szCs w:val="24"/>
      <w:u w:val="single"/>
      <w:lang w:val="en-US"/>
    </w:rPr>
  </w:style>
  <w:style w:type="paragraph" w:styleId="Heading4">
    <w:name w:val="heading 4"/>
    <w:basedOn w:val="NoSpacing"/>
    <w:next w:val="Normal"/>
    <w:link w:val="Heading4Char"/>
    <w:uiPriority w:val="9"/>
    <w:unhideWhenUsed/>
    <w:qFormat/>
    <w:rsid w:val="00606335"/>
    <w:pPr>
      <w:numPr>
        <w:ilvl w:val="3"/>
        <w:numId w:val="1"/>
      </w:numPr>
      <w:outlineLvl w:val="3"/>
    </w:pPr>
    <w:rPr>
      <w:rFonts w:ascii="Arial" w:eastAsia="Calibri" w:hAnsi="Arial" w:cs="Arial"/>
      <w:i/>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E08"/>
    <w:rPr>
      <w:rFonts w:ascii="Arial" w:eastAsiaTheme="majorEastAsia" w:hAnsi="Arial" w:cs="Arial"/>
      <w:b/>
      <w:sz w:val="32"/>
      <w:szCs w:val="32"/>
      <w:shd w:val="clear" w:color="auto" w:fill="8DB3E2"/>
    </w:rPr>
  </w:style>
  <w:style w:type="character" w:customStyle="1" w:styleId="Heading2Char">
    <w:name w:val="Heading 2 Char"/>
    <w:basedOn w:val="DefaultParagraphFont"/>
    <w:link w:val="Heading2"/>
    <w:uiPriority w:val="9"/>
    <w:rsid w:val="00606335"/>
    <w:rPr>
      <w:rFonts w:ascii="Arial" w:eastAsia="Calibri" w:hAnsi="Arial" w:cs="Arial"/>
      <w:b/>
      <w:sz w:val="24"/>
      <w:szCs w:val="24"/>
      <w:lang w:val="en-US"/>
    </w:rPr>
  </w:style>
  <w:style w:type="character" w:customStyle="1" w:styleId="Heading3Char">
    <w:name w:val="Heading 3 Char"/>
    <w:basedOn w:val="DefaultParagraphFont"/>
    <w:link w:val="Heading3"/>
    <w:uiPriority w:val="9"/>
    <w:rsid w:val="00606335"/>
    <w:rPr>
      <w:rFonts w:ascii="Arial" w:eastAsia="Calibri" w:hAnsi="Arial" w:cs="Arial"/>
      <w:sz w:val="24"/>
      <w:szCs w:val="24"/>
      <w:u w:val="single"/>
      <w:lang w:val="en-US"/>
    </w:rPr>
  </w:style>
  <w:style w:type="character" w:customStyle="1" w:styleId="Heading4Char">
    <w:name w:val="Heading 4 Char"/>
    <w:basedOn w:val="DefaultParagraphFont"/>
    <w:link w:val="Heading4"/>
    <w:uiPriority w:val="9"/>
    <w:rsid w:val="00606335"/>
    <w:rPr>
      <w:rFonts w:ascii="Arial" w:eastAsia="Calibri" w:hAnsi="Arial" w:cs="Arial"/>
      <w:i/>
      <w:sz w:val="24"/>
      <w:szCs w:val="24"/>
      <w:lang w:val="en-US"/>
    </w:rPr>
  </w:style>
  <w:style w:type="paragraph" w:styleId="NoSpacing">
    <w:name w:val="No Spacing"/>
    <w:uiPriority w:val="1"/>
    <w:qFormat/>
    <w:rsid w:val="00606335"/>
    <w:pPr>
      <w:spacing w:after="0" w:line="240" w:lineRule="auto"/>
    </w:pPr>
  </w:style>
  <w:style w:type="character" w:styleId="Hyperlink">
    <w:name w:val="Hyperlink"/>
    <w:basedOn w:val="DefaultParagraphFont"/>
    <w:uiPriority w:val="99"/>
    <w:unhideWhenUsed/>
    <w:rsid w:val="00606335"/>
    <w:rPr>
      <w:color w:val="0563C1" w:themeColor="hyperlink"/>
      <w:u w:val="single"/>
    </w:rPr>
  </w:style>
  <w:style w:type="paragraph" w:styleId="FootnoteText">
    <w:name w:val="footnote text"/>
    <w:aliases w:val="~FootnoteText"/>
    <w:basedOn w:val="Normal"/>
    <w:link w:val="FootnoteTextChar"/>
    <w:uiPriority w:val="99"/>
    <w:unhideWhenUsed/>
    <w:rsid w:val="00606335"/>
    <w:pPr>
      <w:spacing w:after="0" w:line="240" w:lineRule="auto"/>
    </w:pPr>
    <w:rPr>
      <w:sz w:val="20"/>
      <w:szCs w:val="20"/>
    </w:rPr>
  </w:style>
  <w:style w:type="character" w:customStyle="1" w:styleId="FootnoteTextChar">
    <w:name w:val="Footnote Text Char"/>
    <w:aliases w:val="~FootnoteText Char"/>
    <w:basedOn w:val="DefaultParagraphFont"/>
    <w:link w:val="FootnoteText"/>
    <w:uiPriority w:val="99"/>
    <w:rsid w:val="00606335"/>
    <w:rPr>
      <w:sz w:val="20"/>
      <w:szCs w:val="20"/>
    </w:rPr>
  </w:style>
  <w:style w:type="character" w:styleId="FootnoteReference">
    <w:name w:val="footnote reference"/>
    <w:basedOn w:val="DefaultParagraphFont"/>
    <w:uiPriority w:val="99"/>
    <w:semiHidden/>
    <w:unhideWhenUsed/>
    <w:rsid w:val="00606335"/>
    <w:rPr>
      <w:vertAlign w:val="superscript"/>
    </w:rPr>
  </w:style>
  <w:style w:type="paragraph" w:styleId="Header">
    <w:name w:val="header"/>
    <w:basedOn w:val="Normal"/>
    <w:link w:val="HeaderChar"/>
    <w:uiPriority w:val="99"/>
    <w:unhideWhenUsed/>
    <w:rsid w:val="006063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335"/>
  </w:style>
  <w:style w:type="paragraph" w:styleId="Footer">
    <w:name w:val="footer"/>
    <w:basedOn w:val="Normal"/>
    <w:link w:val="FooterChar"/>
    <w:uiPriority w:val="99"/>
    <w:unhideWhenUsed/>
    <w:rsid w:val="00606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335"/>
  </w:style>
  <w:style w:type="paragraph" w:styleId="ListParagraph">
    <w:name w:val="List Paragraph"/>
    <w:basedOn w:val="Normal"/>
    <w:uiPriority w:val="34"/>
    <w:qFormat/>
    <w:rsid w:val="00A74E08"/>
    <w:pPr>
      <w:ind w:left="720"/>
      <w:contextualSpacing/>
    </w:pPr>
  </w:style>
  <w:style w:type="character" w:styleId="FollowedHyperlink">
    <w:name w:val="FollowedHyperlink"/>
    <w:basedOn w:val="DefaultParagraphFont"/>
    <w:uiPriority w:val="99"/>
    <w:semiHidden/>
    <w:unhideWhenUsed/>
    <w:rsid w:val="00792C41"/>
    <w:rPr>
      <w:color w:val="954F72" w:themeColor="followedHyperlink"/>
      <w:u w:val="single"/>
    </w:rPr>
  </w:style>
  <w:style w:type="character" w:styleId="CommentReference">
    <w:name w:val="annotation reference"/>
    <w:basedOn w:val="DefaultParagraphFont"/>
    <w:uiPriority w:val="99"/>
    <w:semiHidden/>
    <w:unhideWhenUsed/>
    <w:rsid w:val="00B5550C"/>
    <w:rPr>
      <w:sz w:val="16"/>
      <w:szCs w:val="16"/>
    </w:rPr>
  </w:style>
  <w:style w:type="paragraph" w:styleId="CommentText">
    <w:name w:val="annotation text"/>
    <w:basedOn w:val="Normal"/>
    <w:link w:val="CommentTextChar"/>
    <w:uiPriority w:val="99"/>
    <w:semiHidden/>
    <w:unhideWhenUsed/>
    <w:rsid w:val="00B5550C"/>
    <w:pPr>
      <w:spacing w:line="240" w:lineRule="auto"/>
    </w:pPr>
    <w:rPr>
      <w:sz w:val="20"/>
      <w:szCs w:val="20"/>
    </w:rPr>
  </w:style>
  <w:style w:type="character" w:customStyle="1" w:styleId="CommentTextChar">
    <w:name w:val="Comment Text Char"/>
    <w:basedOn w:val="DefaultParagraphFont"/>
    <w:link w:val="CommentText"/>
    <w:uiPriority w:val="99"/>
    <w:semiHidden/>
    <w:rsid w:val="00B5550C"/>
    <w:rPr>
      <w:sz w:val="20"/>
      <w:szCs w:val="20"/>
    </w:rPr>
  </w:style>
  <w:style w:type="paragraph" w:styleId="CommentSubject">
    <w:name w:val="annotation subject"/>
    <w:basedOn w:val="CommentText"/>
    <w:next w:val="CommentText"/>
    <w:link w:val="CommentSubjectChar"/>
    <w:uiPriority w:val="99"/>
    <w:semiHidden/>
    <w:unhideWhenUsed/>
    <w:rsid w:val="00B5550C"/>
    <w:rPr>
      <w:b/>
      <w:bCs/>
    </w:rPr>
  </w:style>
  <w:style w:type="character" w:customStyle="1" w:styleId="CommentSubjectChar">
    <w:name w:val="Comment Subject Char"/>
    <w:basedOn w:val="CommentTextChar"/>
    <w:link w:val="CommentSubject"/>
    <w:uiPriority w:val="99"/>
    <w:semiHidden/>
    <w:rsid w:val="00B5550C"/>
    <w:rPr>
      <w:b/>
      <w:bCs/>
      <w:sz w:val="20"/>
      <w:szCs w:val="20"/>
    </w:rPr>
  </w:style>
  <w:style w:type="paragraph" w:styleId="BalloonText">
    <w:name w:val="Balloon Text"/>
    <w:basedOn w:val="Normal"/>
    <w:link w:val="BalloonTextChar"/>
    <w:uiPriority w:val="99"/>
    <w:semiHidden/>
    <w:unhideWhenUsed/>
    <w:rsid w:val="00B55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5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00567">
      <w:bodyDiv w:val="1"/>
      <w:marLeft w:val="0"/>
      <w:marRight w:val="0"/>
      <w:marTop w:val="0"/>
      <w:marBottom w:val="0"/>
      <w:divBdr>
        <w:top w:val="none" w:sz="0" w:space="0" w:color="auto"/>
        <w:left w:val="none" w:sz="0" w:space="0" w:color="auto"/>
        <w:bottom w:val="none" w:sz="0" w:space="0" w:color="auto"/>
        <w:right w:val="none" w:sz="0" w:space="0" w:color="auto"/>
      </w:divBdr>
    </w:div>
    <w:div w:id="357320669">
      <w:bodyDiv w:val="1"/>
      <w:marLeft w:val="0"/>
      <w:marRight w:val="0"/>
      <w:marTop w:val="0"/>
      <w:marBottom w:val="0"/>
      <w:divBdr>
        <w:top w:val="none" w:sz="0" w:space="0" w:color="auto"/>
        <w:left w:val="none" w:sz="0" w:space="0" w:color="auto"/>
        <w:bottom w:val="none" w:sz="0" w:space="0" w:color="auto"/>
        <w:right w:val="none" w:sz="0" w:space="0" w:color="auto"/>
      </w:divBdr>
    </w:div>
    <w:div w:id="719281495">
      <w:bodyDiv w:val="1"/>
      <w:marLeft w:val="0"/>
      <w:marRight w:val="0"/>
      <w:marTop w:val="0"/>
      <w:marBottom w:val="0"/>
      <w:divBdr>
        <w:top w:val="none" w:sz="0" w:space="0" w:color="auto"/>
        <w:left w:val="none" w:sz="0" w:space="0" w:color="auto"/>
        <w:bottom w:val="none" w:sz="0" w:space="0" w:color="auto"/>
        <w:right w:val="none" w:sz="0" w:space="0" w:color="auto"/>
      </w:divBdr>
    </w:div>
    <w:div w:id="92558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s://www.ohchr.org/EN/HRBodies/CRPD/Pages/GeneralDiscussions.aspx" TargetMode="External"/><Relationship Id="rId2" Type="http://schemas.openxmlformats.org/officeDocument/2006/relationships/hyperlink" Target="http://laws-lois.justice.gc.ca/PDF/E-5.401.pdf" TargetMode="External"/><Relationship Id="rId1" Type="http://schemas.openxmlformats.org/officeDocument/2006/relationships/hyperlink" Target="http://laws-lois.justice.gc.ca/PDF/H-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82992A-FC8C-46A0-94A1-A962683D4B9C}">
  <ds:schemaRefs>
    <ds:schemaRef ds:uri="http://schemas.openxmlformats.org/officeDocument/2006/bibliography"/>
  </ds:schemaRefs>
</ds:datastoreItem>
</file>

<file path=customXml/itemProps2.xml><?xml version="1.0" encoding="utf-8"?>
<ds:datastoreItem xmlns:ds="http://schemas.openxmlformats.org/officeDocument/2006/customXml" ds:itemID="{F3B7ABD7-72B5-4681-9AD3-CF1E3C813BDA}"/>
</file>

<file path=customXml/itemProps3.xml><?xml version="1.0" encoding="utf-8"?>
<ds:datastoreItem xmlns:ds="http://schemas.openxmlformats.org/officeDocument/2006/customXml" ds:itemID="{4AFE6412-5833-41D8-9063-93EAE2580612}"/>
</file>

<file path=customXml/itemProps4.xml><?xml version="1.0" encoding="utf-8"?>
<ds:datastoreItem xmlns:ds="http://schemas.openxmlformats.org/officeDocument/2006/customXml" ds:itemID="{265D0F50-E035-4383-A232-7837AE817179}"/>
</file>

<file path=docProps/app.xml><?xml version="1.0" encoding="utf-8"?>
<Properties xmlns="http://schemas.openxmlformats.org/officeDocument/2006/extended-properties" xmlns:vt="http://schemas.openxmlformats.org/officeDocument/2006/docPropsVTypes">
  <Template>Normal.dotm</Template>
  <TotalTime>1</TotalTime>
  <Pages>5</Pages>
  <Words>1292</Words>
  <Characters>7368</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Canadian Human Rights Commission</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Dhaliwal</dc:creator>
  <cp:keywords/>
  <dc:description/>
  <cp:lastModifiedBy>ISKAKOVA Janna</cp:lastModifiedBy>
  <cp:revision>2</cp:revision>
  <dcterms:created xsi:type="dcterms:W3CDTF">2021-12-06T09:16:00Z</dcterms:created>
  <dcterms:modified xsi:type="dcterms:W3CDTF">2021-12-06T09:16:00Z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