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D8936" w14:textId="73F2DDC5" w:rsidR="00AF2246" w:rsidRPr="00AF2246" w:rsidRDefault="00AF2246" w:rsidP="00AF2246">
      <w:pPr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r w:rsidRPr="00AF224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DEFENSORÍA DEL PUEBLO DE LA NACIÓN</w:t>
      </w:r>
    </w:p>
    <w:bookmarkEnd w:id="0"/>
    <w:p w14:paraId="4732B837" w14:textId="1B83B885" w:rsidR="00AF2246" w:rsidRPr="00AF2246" w:rsidRDefault="00AF2246" w:rsidP="00AF2246">
      <w:pPr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F224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REPÚBLICA ARGENTINA</w:t>
      </w:r>
    </w:p>
    <w:p w14:paraId="274A809D" w14:textId="17B687A3" w:rsidR="00AF2246" w:rsidRPr="00AF2246" w:rsidRDefault="00AF2246" w:rsidP="00AF2246">
      <w:pPr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F224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INSTITUCIÓN NACIONAL DE DERECHOS HUMANOS</w:t>
      </w:r>
    </w:p>
    <w:p w14:paraId="411859F3" w14:textId="77777777" w:rsidR="00AF2246" w:rsidRPr="00AF2246" w:rsidRDefault="00AF2246" w:rsidP="00AF2246">
      <w:pPr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1E7B347" w14:textId="2AE57DD0" w:rsidR="009E3D09" w:rsidRPr="00AF2246" w:rsidRDefault="00AF2246" w:rsidP="00AF224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224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Proyecto de Observación General del Comité sobre el derecho de las personas con discapacidad a trabajar y al empleo</w:t>
      </w:r>
    </w:p>
    <w:p w14:paraId="145BEB98" w14:textId="77777777" w:rsidR="00AF2246" w:rsidRDefault="00AF2246" w:rsidP="00AF22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90AC15" w14:textId="507E3249" w:rsidR="00C25F47" w:rsidRPr="00AF2246" w:rsidRDefault="00C25F47" w:rsidP="00AF22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2246">
        <w:rPr>
          <w:rFonts w:ascii="Arial" w:hAnsi="Arial" w:cs="Arial"/>
          <w:sz w:val="24"/>
          <w:szCs w:val="24"/>
        </w:rPr>
        <w:t>En cuanto al Proyecto de observación general sobre el artículo 27 relativo al derecho de las personas con discapacidad al trabajo y al empleo y teniendo en cuenta que el objetivo e la observación es aclara</w:t>
      </w:r>
      <w:r w:rsidR="009E3D09" w:rsidRPr="00AF2246">
        <w:rPr>
          <w:rFonts w:ascii="Arial" w:hAnsi="Arial" w:cs="Arial"/>
          <w:sz w:val="24"/>
          <w:szCs w:val="24"/>
        </w:rPr>
        <w:t>r las obligaciones de los Estados Partes en relación con el contenido del derecho al trabajo y al empleo</w:t>
      </w:r>
      <w:r w:rsidRPr="00AF2246">
        <w:rPr>
          <w:rFonts w:ascii="Arial" w:hAnsi="Arial" w:cs="Arial"/>
          <w:sz w:val="24"/>
          <w:szCs w:val="24"/>
        </w:rPr>
        <w:t xml:space="preserve">, entendemos que debe hacerse mención o referencia a que los </w:t>
      </w:r>
      <w:r w:rsidR="009E3D09" w:rsidRPr="00AF2246">
        <w:rPr>
          <w:rFonts w:ascii="Arial" w:hAnsi="Arial" w:cs="Arial"/>
          <w:sz w:val="24"/>
          <w:szCs w:val="24"/>
        </w:rPr>
        <w:t xml:space="preserve"> Estados Partes deben velar porque las empresas (públicas y privadas) respeten los derechos </w:t>
      </w:r>
      <w:r w:rsidRPr="00AF2246">
        <w:rPr>
          <w:rFonts w:ascii="Arial" w:hAnsi="Arial" w:cs="Arial"/>
          <w:sz w:val="24"/>
          <w:szCs w:val="24"/>
        </w:rPr>
        <w:t xml:space="preserve">laborarles </w:t>
      </w:r>
      <w:r w:rsidR="009E3D09" w:rsidRPr="00AF2246">
        <w:rPr>
          <w:rFonts w:ascii="Arial" w:hAnsi="Arial" w:cs="Arial"/>
          <w:sz w:val="24"/>
          <w:szCs w:val="24"/>
        </w:rPr>
        <w:t xml:space="preserve">de las personas con discapacidad, así como también promuevan beneficios e incentivos para su inserción en el mercado formal. Ello en línea con los Principios Rectores sobre Empresas y Derechos Humanos de las Naciones Unidas; la Declaración </w:t>
      </w:r>
      <w:r w:rsidRPr="00AF2246">
        <w:rPr>
          <w:rFonts w:ascii="Arial" w:hAnsi="Arial" w:cs="Arial"/>
          <w:sz w:val="24"/>
          <w:szCs w:val="24"/>
        </w:rPr>
        <w:t>T</w:t>
      </w:r>
      <w:r w:rsidR="009E3D09" w:rsidRPr="00AF2246">
        <w:rPr>
          <w:rFonts w:ascii="Arial" w:hAnsi="Arial" w:cs="Arial"/>
          <w:sz w:val="24"/>
          <w:szCs w:val="24"/>
        </w:rPr>
        <w:t xml:space="preserve">ripartita de </w:t>
      </w:r>
      <w:r w:rsidRPr="00AF2246">
        <w:rPr>
          <w:rFonts w:ascii="Arial" w:hAnsi="Arial" w:cs="Arial"/>
          <w:sz w:val="24"/>
          <w:szCs w:val="24"/>
        </w:rPr>
        <w:t>P</w:t>
      </w:r>
      <w:r w:rsidR="009E3D09" w:rsidRPr="00AF2246">
        <w:rPr>
          <w:rFonts w:ascii="Arial" w:hAnsi="Arial" w:cs="Arial"/>
          <w:sz w:val="24"/>
          <w:szCs w:val="24"/>
        </w:rPr>
        <w:t xml:space="preserve">rincipios sobre las </w:t>
      </w:r>
      <w:r w:rsidRPr="00AF2246">
        <w:rPr>
          <w:rFonts w:ascii="Arial" w:hAnsi="Arial" w:cs="Arial"/>
          <w:sz w:val="24"/>
          <w:szCs w:val="24"/>
        </w:rPr>
        <w:t>E</w:t>
      </w:r>
      <w:r w:rsidR="009E3D09" w:rsidRPr="00AF2246">
        <w:rPr>
          <w:rFonts w:ascii="Arial" w:hAnsi="Arial" w:cs="Arial"/>
          <w:sz w:val="24"/>
          <w:szCs w:val="24"/>
        </w:rPr>
        <w:t xml:space="preserve">mpresas </w:t>
      </w:r>
      <w:r w:rsidRPr="00AF2246">
        <w:rPr>
          <w:rFonts w:ascii="Arial" w:hAnsi="Arial" w:cs="Arial"/>
          <w:sz w:val="24"/>
          <w:szCs w:val="24"/>
        </w:rPr>
        <w:t>M</w:t>
      </w:r>
      <w:r w:rsidR="009E3D09" w:rsidRPr="00AF2246">
        <w:rPr>
          <w:rFonts w:ascii="Arial" w:hAnsi="Arial" w:cs="Arial"/>
          <w:sz w:val="24"/>
          <w:szCs w:val="24"/>
        </w:rPr>
        <w:t xml:space="preserve">ultinacionales y la </w:t>
      </w:r>
      <w:r w:rsidRPr="00AF2246">
        <w:rPr>
          <w:rFonts w:ascii="Arial" w:hAnsi="Arial" w:cs="Arial"/>
          <w:sz w:val="24"/>
          <w:szCs w:val="24"/>
        </w:rPr>
        <w:t>P</w:t>
      </w:r>
      <w:r w:rsidR="009E3D09" w:rsidRPr="00AF2246">
        <w:rPr>
          <w:rFonts w:ascii="Arial" w:hAnsi="Arial" w:cs="Arial"/>
          <w:sz w:val="24"/>
          <w:szCs w:val="24"/>
        </w:rPr>
        <w:t xml:space="preserve">olítica </w:t>
      </w:r>
      <w:r w:rsidRPr="00AF2246">
        <w:rPr>
          <w:rFonts w:ascii="Arial" w:hAnsi="Arial" w:cs="Arial"/>
          <w:sz w:val="24"/>
          <w:szCs w:val="24"/>
        </w:rPr>
        <w:t>S</w:t>
      </w:r>
      <w:r w:rsidR="009E3D09" w:rsidRPr="00AF2246">
        <w:rPr>
          <w:rFonts w:ascii="Arial" w:hAnsi="Arial" w:cs="Arial"/>
          <w:sz w:val="24"/>
          <w:szCs w:val="24"/>
        </w:rPr>
        <w:t>ocial</w:t>
      </w:r>
      <w:r w:rsidRPr="00AF2246">
        <w:rPr>
          <w:rFonts w:ascii="Arial" w:hAnsi="Arial" w:cs="Arial"/>
          <w:sz w:val="24"/>
          <w:szCs w:val="24"/>
        </w:rPr>
        <w:t xml:space="preserve"> de la OIT</w:t>
      </w:r>
      <w:r w:rsidR="009E3D09" w:rsidRPr="00AF2246">
        <w:rPr>
          <w:rFonts w:ascii="Arial" w:hAnsi="Arial" w:cs="Arial"/>
          <w:sz w:val="24"/>
          <w:szCs w:val="24"/>
        </w:rPr>
        <w:t xml:space="preserve"> y las Líneas Directrices para Empresas Multinacionales de la OCDE.</w:t>
      </w:r>
      <w:r w:rsidRPr="00AF2246">
        <w:rPr>
          <w:rFonts w:ascii="Arial" w:hAnsi="Arial" w:cs="Arial"/>
          <w:sz w:val="24"/>
          <w:szCs w:val="24"/>
        </w:rPr>
        <w:t xml:space="preserve"> </w:t>
      </w:r>
    </w:p>
    <w:p w14:paraId="24265CC0" w14:textId="77777777" w:rsidR="00C25F47" w:rsidRPr="00AF2246" w:rsidRDefault="00C25F47" w:rsidP="00AF22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2246">
        <w:rPr>
          <w:rFonts w:ascii="Arial" w:hAnsi="Arial" w:cs="Arial"/>
          <w:sz w:val="24"/>
          <w:szCs w:val="24"/>
        </w:rPr>
        <w:t xml:space="preserve">La debida diligencia es el proceso para identificar, prevenir, mitigar y explicar cómo se abordan los impactos negativos reales y potenciales </w:t>
      </w:r>
      <w:r w:rsidR="00844EFB" w:rsidRPr="00AF2246">
        <w:rPr>
          <w:rFonts w:ascii="Arial" w:hAnsi="Arial" w:cs="Arial"/>
          <w:sz w:val="24"/>
          <w:szCs w:val="24"/>
        </w:rPr>
        <w:t xml:space="preserve">de las empresas </w:t>
      </w:r>
      <w:r w:rsidRPr="00AF2246">
        <w:rPr>
          <w:rFonts w:ascii="Arial" w:hAnsi="Arial" w:cs="Arial"/>
          <w:sz w:val="24"/>
          <w:szCs w:val="24"/>
        </w:rPr>
        <w:t>en sus propias actividades, su cadena de suministros y otras relaciones comerciales.</w:t>
      </w:r>
      <w:r w:rsidR="00844EFB" w:rsidRPr="00AF2246">
        <w:rPr>
          <w:rFonts w:ascii="Arial" w:hAnsi="Arial" w:cs="Arial"/>
          <w:sz w:val="24"/>
          <w:szCs w:val="24"/>
        </w:rPr>
        <w:t xml:space="preserve"> </w:t>
      </w:r>
      <w:r w:rsidRPr="00AF2246">
        <w:rPr>
          <w:rFonts w:ascii="Arial" w:hAnsi="Arial" w:cs="Arial"/>
          <w:sz w:val="24"/>
          <w:szCs w:val="24"/>
        </w:rPr>
        <w:t>Entonces, la debida diligencia en derechos humanos</w:t>
      </w:r>
      <w:r w:rsidR="00844EFB" w:rsidRPr="00AF2246">
        <w:rPr>
          <w:rFonts w:ascii="Arial" w:hAnsi="Arial" w:cs="Arial"/>
          <w:sz w:val="24"/>
          <w:szCs w:val="24"/>
        </w:rPr>
        <w:t xml:space="preserve">, que incluye los derechos laborales de las personas con discapacidad, </w:t>
      </w:r>
      <w:r w:rsidRPr="00AF2246">
        <w:rPr>
          <w:rFonts w:ascii="Arial" w:hAnsi="Arial" w:cs="Arial"/>
          <w:sz w:val="24"/>
          <w:szCs w:val="24"/>
        </w:rPr>
        <w:t>resulta ser el proceso adecuado para identificar, abordar y mitigar los impactos negativos sobre los derechos humanos por parte de las empresas</w:t>
      </w:r>
      <w:r w:rsidR="00844EFB" w:rsidRPr="00AF2246">
        <w:rPr>
          <w:rFonts w:ascii="Arial" w:hAnsi="Arial" w:cs="Arial"/>
          <w:sz w:val="24"/>
          <w:szCs w:val="24"/>
        </w:rPr>
        <w:t xml:space="preserve">, estableciendo también mecanismos de reparación en caso de vulneración. </w:t>
      </w:r>
    </w:p>
    <w:p w14:paraId="6EC0FCCA" w14:textId="77777777" w:rsidR="00844EFB" w:rsidRPr="00AF2246" w:rsidRDefault="00844EFB" w:rsidP="00AF22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2246">
        <w:rPr>
          <w:rFonts w:ascii="Arial" w:hAnsi="Arial" w:cs="Arial"/>
          <w:sz w:val="24"/>
          <w:szCs w:val="24"/>
        </w:rPr>
        <w:t>Así es que entendemos que en el ámbito empresarial (sea empresa privada o pública) es imprescindible establecer procesos de debida diligencia en derechos humanos y acceso a mecanismos de reparación.</w:t>
      </w:r>
    </w:p>
    <w:p w14:paraId="7CAEBB11" w14:textId="77777777" w:rsidR="00C25F47" w:rsidRPr="00AF2246" w:rsidRDefault="00C25F47" w:rsidP="00AF22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C25F47" w:rsidRPr="00AF2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09"/>
    <w:rsid w:val="00844EFB"/>
    <w:rsid w:val="00934994"/>
    <w:rsid w:val="009E3D09"/>
    <w:rsid w:val="00A637F3"/>
    <w:rsid w:val="00AF2246"/>
    <w:rsid w:val="00C25F47"/>
    <w:rsid w:val="00F5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316A"/>
  <w15:chartTrackingRefBased/>
  <w15:docId w15:val="{ED932BDD-F230-4DA1-BF1D-7BBD5DC3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1839BF-AB18-4E4C-97E6-B05FF7D44125}"/>
</file>

<file path=customXml/itemProps2.xml><?xml version="1.0" encoding="utf-8"?>
<ds:datastoreItem xmlns:ds="http://schemas.openxmlformats.org/officeDocument/2006/customXml" ds:itemID="{8255F638-D136-423F-AC0D-1BD6ACD6C845}"/>
</file>

<file path=customXml/itemProps3.xml><?xml version="1.0" encoding="utf-8"?>
<ds:datastoreItem xmlns:ds="http://schemas.openxmlformats.org/officeDocument/2006/customXml" ds:itemID="{8DB3FA73-71D8-40BC-A8B3-0C5FCB01F2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Defensor del Pueblo de la Nación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dpnuser</dc:creator>
  <cp:keywords/>
  <dc:description/>
  <cp:lastModifiedBy>ISKAKOVA Janna</cp:lastModifiedBy>
  <cp:revision>2</cp:revision>
  <dcterms:created xsi:type="dcterms:W3CDTF">2021-12-07T11:39:00Z</dcterms:created>
  <dcterms:modified xsi:type="dcterms:W3CDTF">2021-12-07T11:39:00Z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