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02DCD" w14:textId="00E2AA3B" w:rsidR="00C02BF5" w:rsidRDefault="00C02BF5" w:rsidP="0031025A">
      <w:pPr>
        <w:pStyle w:val="Heading"/>
        <w:spacing w:before="240"/>
        <w:jc w:val="center"/>
      </w:pPr>
      <w:r>
        <w:t>Draft General Comment No. 8 on Article 27 of the UN Convention on the Rights of Persons with Disabilities</w:t>
      </w:r>
    </w:p>
    <w:p w14:paraId="0759E240" w14:textId="77777777" w:rsidR="00C02BF5" w:rsidRDefault="00C02BF5" w:rsidP="0031025A">
      <w:pPr>
        <w:pStyle w:val="Heading"/>
        <w:spacing w:before="240"/>
        <w:jc w:val="center"/>
      </w:pPr>
      <w:r>
        <w:t>Submission by the European Network on Independent Living</w:t>
      </w:r>
    </w:p>
    <w:p w14:paraId="1E495D63" w14:textId="77777777" w:rsidR="00C02BF5" w:rsidRDefault="00C02BF5" w:rsidP="0031025A">
      <w:pPr>
        <w:pStyle w:val="Heading2"/>
        <w:jc w:val="both"/>
        <w:rPr>
          <w:sz w:val="28"/>
          <w:szCs w:val="28"/>
        </w:rPr>
      </w:pPr>
      <w:r>
        <w:rPr>
          <w:sz w:val="28"/>
          <w:szCs w:val="28"/>
        </w:rPr>
        <w:t xml:space="preserve">About the submitting </w:t>
      </w:r>
      <w:proofErr w:type="spellStart"/>
      <w:r>
        <w:rPr>
          <w:sz w:val="28"/>
          <w:szCs w:val="28"/>
        </w:rPr>
        <w:t>organisation</w:t>
      </w:r>
      <w:proofErr w:type="spellEnd"/>
    </w:p>
    <w:p w14:paraId="7F9051EA" w14:textId="77777777" w:rsidR="00C02BF5" w:rsidRDefault="00C02BF5" w:rsidP="0031025A">
      <w:pPr>
        <w:pStyle w:val="Body"/>
        <w:jc w:val="both"/>
        <w:rPr>
          <w:rFonts w:ascii="Arial" w:eastAsia="Arial" w:hAnsi="Arial" w:cs="Arial"/>
        </w:rPr>
      </w:pPr>
    </w:p>
    <w:p w14:paraId="5EA36BA0" w14:textId="77777777" w:rsidR="00C02BF5" w:rsidRDefault="00C02BF5" w:rsidP="0031025A">
      <w:pPr>
        <w:pStyle w:val="Body"/>
        <w:jc w:val="both"/>
        <w:rPr>
          <w:rFonts w:ascii="Arial" w:eastAsia="Arial" w:hAnsi="Arial" w:cs="Arial"/>
        </w:rPr>
      </w:pPr>
      <w:r>
        <w:rPr>
          <w:rFonts w:ascii="Arial" w:hAnsi="Arial"/>
        </w:rPr>
        <w:t xml:space="preserve">The </w:t>
      </w:r>
      <w:bookmarkStart w:id="0" w:name="_GoBack"/>
      <w:r>
        <w:rPr>
          <w:rFonts w:ascii="Arial" w:hAnsi="Arial"/>
        </w:rPr>
        <w:t xml:space="preserve">European Network on Independent Living (ENIL) </w:t>
      </w:r>
      <w:bookmarkEnd w:id="0"/>
      <w:r>
        <w:rPr>
          <w:rFonts w:ascii="Arial" w:hAnsi="Arial"/>
        </w:rPr>
        <w:t>is a Europe-wide network of people with disabilities. We work with disabled people</w:t>
      </w:r>
      <w:r>
        <w:rPr>
          <w:rFonts w:ascii="Arial" w:eastAsia="Arial" w:hAnsi="Arial" w:cs="Arial"/>
          <w:vertAlign w:val="superscript"/>
        </w:rPr>
        <w:footnoteReference w:id="1"/>
      </w:r>
      <w:r>
        <w:rPr>
          <w:rFonts w:ascii="Arial" w:hAnsi="Arial"/>
        </w:rPr>
        <w:t xml:space="preserve"> across impairment groups, Independent Living </w:t>
      </w:r>
      <w:proofErr w:type="spellStart"/>
      <w:r>
        <w:rPr>
          <w:rFonts w:ascii="Arial" w:hAnsi="Arial"/>
        </w:rPr>
        <w:t>organisations</w:t>
      </w:r>
      <w:proofErr w:type="spellEnd"/>
      <w:r>
        <w:rPr>
          <w:rFonts w:ascii="Arial" w:hAnsi="Arial"/>
        </w:rPr>
        <w:t xml:space="preserve"> and their non-disabled allies on the issues of independent living. ENIL’s mission is to advocate and lobby for Independent Living values, principles and practices, namely for a barrier-free environment, </w:t>
      </w:r>
      <w:proofErr w:type="spellStart"/>
      <w:r>
        <w:rPr>
          <w:rFonts w:ascii="Arial" w:hAnsi="Arial"/>
        </w:rPr>
        <w:t>deinstitutionalisation</w:t>
      </w:r>
      <w:proofErr w:type="spellEnd"/>
      <w:r>
        <w:rPr>
          <w:rFonts w:ascii="Arial" w:hAnsi="Arial"/>
        </w:rPr>
        <w:t>, provision of personal assistance support and adequate technical aids, together making full citizenship of disabled people possible.</w:t>
      </w:r>
    </w:p>
    <w:p w14:paraId="34D39A43" w14:textId="77777777" w:rsidR="00C02BF5" w:rsidRDefault="00C02BF5" w:rsidP="0031025A">
      <w:pPr>
        <w:pStyle w:val="Heading2"/>
        <w:jc w:val="both"/>
        <w:rPr>
          <w:sz w:val="28"/>
          <w:szCs w:val="28"/>
        </w:rPr>
      </w:pPr>
      <w:r w:rsidRPr="00760AAF">
        <w:rPr>
          <w:sz w:val="28"/>
          <w:szCs w:val="28"/>
          <w:lang w:val="en-GB"/>
        </w:rPr>
        <w:t>Introduction</w:t>
      </w:r>
    </w:p>
    <w:p w14:paraId="2BBAAFAD" w14:textId="77777777" w:rsidR="0031025A" w:rsidRDefault="0031025A" w:rsidP="0031025A">
      <w:pPr>
        <w:jc w:val="both"/>
      </w:pPr>
    </w:p>
    <w:p w14:paraId="4017EBC1" w14:textId="48F9A1A2" w:rsidR="007556BA" w:rsidRPr="00C02BF5" w:rsidRDefault="00150BDA" w:rsidP="0031025A">
      <w:pPr>
        <w:jc w:val="both"/>
        <w:rPr>
          <w:rFonts w:ascii="Arial" w:hAnsi="Arial" w:cs="Arial"/>
          <w:sz w:val="24"/>
          <w:szCs w:val="24"/>
        </w:rPr>
      </w:pPr>
      <w:r w:rsidRPr="00C02BF5">
        <w:rPr>
          <w:rFonts w:ascii="Arial" w:hAnsi="Arial" w:cs="Arial"/>
          <w:sz w:val="24"/>
          <w:szCs w:val="24"/>
        </w:rPr>
        <w:t xml:space="preserve">ENIL submitted </w:t>
      </w:r>
      <w:r w:rsidR="00C02BF5">
        <w:rPr>
          <w:rFonts w:ascii="Arial" w:hAnsi="Arial" w:cs="Arial"/>
          <w:sz w:val="24"/>
          <w:szCs w:val="24"/>
        </w:rPr>
        <w:t>our proposals</w:t>
      </w:r>
      <w:r w:rsidRPr="00C02BF5">
        <w:rPr>
          <w:rFonts w:ascii="Arial" w:hAnsi="Arial" w:cs="Arial"/>
          <w:sz w:val="24"/>
          <w:szCs w:val="24"/>
        </w:rPr>
        <w:t xml:space="preserve"> to the </w:t>
      </w:r>
      <w:r w:rsidR="00C02BF5">
        <w:rPr>
          <w:rFonts w:ascii="Arial" w:hAnsi="Arial" w:cs="Arial"/>
          <w:sz w:val="24"/>
          <w:szCs w:val="24"/>
        </w:rPr>
        <w:t>Committee on the Rights of Persons with Disabilities (CRPD Committee)</w:t>
      </w:r>
      <w:r w:rsidRPr="00C02BF5">
        <w:rPr>
          <w:rFonts w:ascii="Arial" w:hAnsi="Arial" w:cs="Arial"/>
          <w:sz w:val="24"/>
          <w:szCs w:val="24"/>
        </w:rPr>
        <w:t xml:space="preserve"> on what we wanted to see included in the General Comment </w:t>
      </w:r>
      <w:r w:rsidR="00C02BF5">
        <w:rPr>
          <w:rFonts w:ascii="Arial" w:hAnsi="Arial" w:cs="Arial"/>
          <w:sz w:val="24"/>
          <w:szCs w:val="24"/>
        </w:rPr>
        <w:t>on</w:t>
      </w:r>
      <w:r w:rsidRPr="00C02BF5">
        <w:rPr>
          <w:rFonts w:ascii="Arial" w:hAnsi="Arial" w:cs="Arial"/>
          <w:sz w:val="24"/>
          <w:szCs w:val="24"/>
        </w:rPr>
        <w:t xml:space="preserve"> article 27 </w:t>
      </w:r>
      <w:r w:rsidR="00B71D61" w:rsidRPr="00C02BF5">
        <w:rPr>
          <w:rFonts w:ascii="Arial" w:hAnsi="Arial" w:cs="Arial"/>
          <w:sz w:val="24"/>
          <w:szCs w:val="24"/>
        </w:rPr>
        <w:t>in March this year</w:t>
      </w:r>
      <w:r w:rsidRPr="00C02BF5">
        <w:rPr>
          <w:rFonts w:ascii="Arial" w:hAnsi="Arial" w:cs="Arial"/>
          <w:sz w:val="24"/>
          <w:szCs w:val="24"/>
        </w:rPr>
        <w:t>.</w:t>
      </w:r>
      <w:r w:rsidRPr="00C02BF5">
        <w:rPr>
          <w:rStyle w:val="FootnoteReference"/>
          <w:rFonts w:ascii="Arial" w:hAnsi="Arial" w:cs="Arial"/>
          <w:sz w:val="24"/>
          <w:szCs w:val="24"/>
        </w:rPr>
        <w:footnoteReference w:id="2"/>
      </w:r>
      <w:r w:rsidR="007556BA" w:rsidRPr="00C02BF5">
        <w:rPr>
          <w:rFonts w:ascii="Arial" w:hAnsi="Arial" w:cs="Arial"/>
          <w:sz w:val="24"/>
          <w:szCs w:val="24"/>
        </w:rPr>
        <w:t xml:space="preserve"> In our written submission</w:t>
      </w:r>
      <w:r w:rsidR="00C02BF5">
        <w:rPr>
          <w:rFonts w:ascii="Arial" w:hAnsi="Arial" w:cs="Arial"/>
          <w:sz w:val="24"/>
          <w:szCs w:val="24"/>
        </w:rPr>
        <w:t>,</w:t>
      </w:r>
      <w:r w:rsidR="007556BA" w:rsidRPr="00C02BF5">
        <w:rPr>
          <w:rFonts w:ascii="Arial" w:hAnsi="Arial" w:cs="Arial"/>
          <w:sz w:val="24"/>
          <w:szCs w:val="24"/>
        </w:rPr>
        <w:t xml:space="preserve"> we outlined </w:t>
      </w:r>
      <w:r w:rsidR="00C02BF5">
        <w:rPr>
          <w:rFonts w:ascii="Arial" w:hAnsi="Arial" w:cs="Arial"/>
          <w:sz w:val="24"/>
          <w:szCs w:val="24"/>
        </w:rPr>
        <w:t xml:space="preserve">a number of </w:t>
      </w:r>
      <w:r w:rsidR="007556BA" w:rsidRPr="00C02BF5">
        <w:rPr>
          <w:rFonts w:ascii="Arial" w:hAnsi="Arial" w:cs="Arial"/>
          <w:sz w:val="24"/>
          <w:szCs w:val="24"/>
        </w:rPr>
        <w:t>specific points</w:t>
      </w:r>
      <w:r w:rsidR="00C02BF5">
        <w:rPr>
          <w:rFonts w:ascii="Arial" w:hAnsi="Arial" w:cs="Arial"/>
          <w:sz w:val="24"/>
          <w:szCs w:val="24"/>
        </w:rPr>
        <w:t xml:space="preserve"> which should be addressed</w:t>
      </w:r>
      <w:r w:rsidR="007556BA" w:rsidRPr="00C02BF5">
        <w:rPr>
          <w:rFonts w:ascii="Arial" w:hAnsi="Arial" w:cs="Arial"/>
          <w:sz w:val="24"/>
          <w:szCs w:val="24"/>
        </w:rPr>
        <w:t xml:space="preserve">: </w:t>
      </w:r>
    </w:p>
    <w:p w14:paraId="70BC11C5" w14:textId="3DF0D904" w:rsidR="007556BA" w:rsidRPr="00C02BF5" w:rsidRDefault="00C02BF5" w:rsidP="0031025A">
      <w:pPr>
        <w:pStyle w:val="ListParagraph"/>
        <w:numPr>
          <w:ilvl w:val="0"/>
          <w:numId w:val="4"/>
        </w:numPr>
        <w:jc w:val="both"/>
        <w:rPr>
          <w:rFonts w:ascii="Arial" w:hAnsi="Arial" w:cs="Arial"/>
          <w:sz w:val="24"/>
          <w:szCs w:val="24"/>
        </w:rPr>
      </w:pPr>
      <w:r w:rsidRPr="00C02BF5">
        <w:rPr>
          <w:rFonts w:ascii="Arial" w:hAnsi="Arial" w:cs="Arial"/>
          <w:sz w:val="24"/>
          <w:szCs w:val="24"/>
        </w:rPr>
        <w:t xml:space="preserve">Access to personal assistance </w:t>
      </w:r>
    </w:p>
    <w:p w14:paraId="7A02976B" w14:textId="44319B63" w:rsidR="007556BA" w:rsidRPr="00C02BF5" w:rsidRDefault="00C02BF5" w:rsidP="0031025A">
      <w:pPr>
        <w:pStyle w:val="ListParagraph"/>
        <w:numPr>
          <w:ilvl w:val="0"/>
          <w:numId w:val="4"/>
        </w:numPr>
        <w:jc w:val="both"/>
        <w:rPr>
          <w:rFonts w:ascii="Arial" w:hAnsi="Arial" w:cs="Arial"/>
          <w:sz w:val="24"/>
          <w:szCs w:val="24"/>
        </w:rPr>
      </w:pPr>
      <w:r w:rsidRPr="00C02BF5">
        <w:rPr>
          <w:rFonts w:ascii="Arial" w:hAnsi="Arial" w:cs="Arial"/>
          <w:sz w:val="24"/>
          <w:szCs w:val="24"/>
        </w:rPr>
        <w:t xml:space="preserve">Abolishing of segregated work environments and alternatives to work </w:t>
      </w:r>
    </w:p>
    <w:p w14:paraId="5077D097" w14:textId="5F63CECF" w:rsidR="007556BA" w:rsidRPr="00C02BF5" w:rsidRDefault="00C02BF5" w:rsidP="0031025A">
      <w:pPr>
        <w:pStyle w:val="ListParagraph"/>
        <w:numPr>
          <w:ilvl w:val="0"/>
          <w:numId w:val="4"/>
        </w:numPr>
        <w:jc w:val="both"/>
        <w:rPr>
          <w:rFonts w:ascii="Arial" w:hAnsi="Arial" w:cs="Arial"/>
          <w:sz w:val="24"/>
          <w:szCs w:val="24"/>
        </w:rPr>
      </w:pPr>
      <w:r w:rsidRPr="00C02BF5">
        <w:rPr>
          <w:rFonts w:ascii="Arial" w:hAnsi="Arial" w:cs="Arial"/>
          <w:sz w:val="24"/>
          <w:szCs w:val="24"/>
        </w:rPr>
        <w:t xml:space="preserve">Fair wages </w:t>
      </w:r>
      <w:r>
        <w:rPr>
          <w:rFonts w:ascii="Arial" w:hAnsi="Arial" w:cs="Arial"/>
          <w:sz w:val="24"/>
          <w:szCs w:val="24"/>
        </w:rPr>
        <w:t>and</w:t>
      </w:r>
      <w:r w:rsidRPr="00C02BF5">
        <w:rPr>
          <w:rFonts w:ascii="Arial" w:hAnsi="Arial" w:cs="Arial"/>
          <w:sz w:val="24"/>
          <w:szCs w:val="24"/>
        </w:rPr>
        <w:t xml:space="preserve"> working conditions </w:t>
      </w:r>
    </w:p>
    <w:p w14:paraId="1F8A2047" w14:textId="6AA442D2" w:rsidR="007556BA" w:rsidRPr="00C02BF5" w:rsidRDefault="00C02BF5" w:rsidP="0031025A">
      <w:pPr>
        <w:pStyle w:val="ListParagraph"/>
        <w:numPr>
          <w:ilvl w:val="0"/>
          <w:numId w:val="4"/>
        </w:numPr>
        <w:jc w:val="both"/>
        <w:rPr>
          <w:rFonts w:ascii="Arial" w:hAnsi="Arial" w:cs="Arial"/>
          <w:sz w:val="24"/>
          <w:szCs w:val="24"/>
        </w:rPr>
      </w:pPr>
      <w:r w:rsidRPr="00C02BF5">
        <w:rPr>
          <w:rFonts w:ascii="Arial" w:hAnsi="Arial" w:cs="Arial"/>
          <w:sz w:val="24"/>
          <w:szCs w:val="24"/>
        </w:rPr>
        <w:t xml:space="preserve">Disabled people as employers </w:t>
      </w:r>
    </w:p>
    <w:p w14:paraId="1104FB18" w14:textId="628C8E61" w:rsidR="007556BA" w:rsidRPr="00C02BF5" w:rsidRDefault="00C02BF5" w:rsidP="0031025A">
      <w:pPr>
        <w:pStyle w:val="ListParagraph"/>
        <w:numPr>
          <w:ilvl w:val="0"/>
          <w:numId w:val="4"/>
        </w:numPr>
        <w:jc w:val="both"/>
        <w:rPr>
          <w:rFonts w:ascii="Arial" w:hAnsi="Arial" w:cs="Arial"/>
          <w:sz w:val="24"/>
          <w:szCs w:val="24"/>
        </w:rPr>
      </w:pPr>
      <w:r w:rsidRPr="00C02BF5">
        <w:rPr>
          <w:rFonts w:ascii="Arial" w:hAnsi="Arial" w:cs="Arial"/>
          <w:sz w:val="24"/>
          <w:szCs w:val="24"/>
        </w:rPr>
        <w:t xml:space="preserve">Sufficient flexibility in social support </w:t>
      </w:r>
      <w:r>
        <w:rPr>
          <w:rFonts w:ascii="Arial" w:hAnsi="Arial" w:cs="Arial"/>
          <w:sz w:val="24"/>
          <w:szCs w:val="24"/>
        </w:rPr>
        <w:t>and</w:t>
      </w:r>
      <w:r w:rsidRPr="00C02BF5">
        <w:rPr>
          <w:rFonts w:ascii="Arial" w:hAnsi="Arial" w:cs="Arial"/>
          <w:sz w:val="24"/>
          <w:szCs w:val="24"/>
        </w:rPr>
        <w:t xml:space="preserve"> benefits </w:t>
      </w:r>
    </w:p>
    <w:p w14:paraId="07217D25" w14:textId="5D41EB3B" w:rsidR="007556BA" w:rsidRPr="00C02BF5" w:rsidRDefault="00C02BF5" w:rsidP="0031025A">
      <w:pPr>
        <w:pStyle w:val="ListParagraph"/>
        <w:numPr>
          <w:ilvl w:val="0"/>
          <w:numId w:val="4"/>
        </w:numPr>
        <w:jc w:val="both"/>
        <w:rPr>
          <w:rFonts w:ascii="Arial" w:hAnsi="Arial" w:cs="Arial"/>
          <w:sz w:val="24"/>
          <w:szCs w:val="24"/>
        </w:rPr>
      </w:pPr>
      <w:r w:rsidRPr="00C02BF5">
        <w:rPr>
          <w:rFonts w:ascii="Arial" w:hAnsi="Arial" w:cs="Arial"/>
          <w:sz w:val="24"/>
          <w:szCs w:val="24"/>
        </w:rPr>
        <w:t xml:space="preserve">Importance of inclusive education in finding employment </w:t>
      </w:r>
    </w:p>
    <w:p w14:paraId="3E86F24A" w14:textId="32E75D87" w:rsidR="007556BA" w:rsidRPr="00C02BF5" w:rsidRDefault="00C02BF5" w:rsidP="0031025A">
      <w:pPr>
        <w:jc w:val="both"/>
        <w:rPr>
          <w:rFonts w:ascii="Arial" w:hAnsi="Arial" w:cs="Arial"/>
          <w:sz w:val="24"/>
          <w:szCs w:val="24"/>
        </w:rPr>
      </w:pPr>
      <w:r>
        <w:rPr>
          <w:rFonts w:ascii="Arial" w:hAnsi="Arial" w:cs="Arial"/>
          <w:sz w:val="24"/>
          <w:szCs w:val="24"/>
        </w:rPr>
        <w:t>Following the publication of the draft General Comment, we</w:t>
      </w:r>
      <w:r w:rsidR="0000548B" w:rsidRPr="00C02BF5">
        <w:rPr>
          <w:rFonts w:ascii="Arial" w:hAnsi="Arial" w:cs="Arial"/>
          <w:sz w:val="24"/>
          <w:szCs w:val="24"/>
        </w:rPr>
        <w:t xml:space="preserve"> held an open consultation with our members and </w:t>
      </w:r>
      <w:r>
        <w:rPr>
          <w:rFonts w:ascii="Arial" w:hAnsi="Arial" w:cs="Arial"/>
          <w:sz w:val="24"/>
          <w:szCs w:val="24"/>
        </w:rPr>
        <w:t>would propose these additional points to be included in the</w:t>
      </w:r>
      <w:r w:rsidR="0000548B" w:rsidRPr="00C02BF5">
        <w:rPr>
          <w:rFonts w:ascii="Arial" w:hAnsi="Arial" w:cs="Arial"/>
          <w:sz w:val="24"/>
          <w:szCs w:val="24"/>
        </w:rPr>
        <w:t xml:space="preserve"> General Comment (henceforth: GC). </w:t>
      </w:r>
    </w:p>
    <w:p w14:paraId="5A09D8D9" w14:textId="77777777" w:rsidR="0000548B" w:rsidRPr="00C02BF5" w:rsidRDefault="0000548B" w:rsidP="0031025A">
      <w:pPr>
        <w:pStyle w:val="ListParagraph"/>
        <w:jc w:val="both"/>
        <w:rPr>
          <w:rFonts w:ascii="Arial" w:hAnsi="Arial" w:cs="Arial"/>
          <w:sz w:val="24"/>
          <w:szCs w:val="24"/>
        </w:rPr>
      </w:pPr>
    </w:p>
    <w:p w14:paraId="46D0E01D" w14:textId="676D2C78" w:rsidR="0000548B" w:rsidRPr="0031025A" w:rsidRDefault="00C02BF5" w:rsidP="0031025A">
      <w:pPr>
        <w:pStyle w:val="ListParagraph"/>
        <w:numPr>
          <w:ilvl w:val="0"/>
          <w:numId w:val="1"/>
        </w:numPr>
        <w:jc w:val="both"/>
        <w:rPr>
          <w:rFonts w:ascii="Arial" w:hAnsi="Arial" w:cs="Arial"/>
          <w:bCs/>
          <w:sz w:val="24"/>
          <w:szCs w:val="24"/>
        </w:rPr>
      </w:pPr>
      <w:r w:rsidRPr="0031025A">
        <w:rPr>
          <w:rFonts w:ascii="Arial" w:hAnsi="Arial" w:cs="Arial"/>
          <w:bCs/>
          <w:sz w:val="24"/>
          <w:szCs w:val="24"/>
          <w:u w:val="single"/>
        </w:rPr>
        <w:t>Sheltered workshops</w:t>
      </w:r>
    </w:p>
    <w:p w14:paraId="6B463424" w14:textId="3312DCD6" w:rsidR="0000548B" w:rsidRPr="0031025A" w:rsidRDefault="00D37AA2" w:rsidP="0031025A">
      <w:pPr>
        <w:jc w:val="both"/>
        <w:rPr>
          <w:rFonts w:ascii="Arial" w:hAnsi="Arial" w:cs="Arial"/>
          <w:sz w:val="24"/>
          <w:szCs w:val="24"/>
        </w:rPr>
      </w:pPr>
      <w:r w:rsidRPr="0031025A">
        <w:rPr>
          <w:rFonts w:ascii="Arial" w:hAnsi="Arial" w:cs="Arial"/>
          <w:sz w:val="24"/>
          <w:szCs w:val="24"/>
        </w:rPr>
        <w:t xml:space="preserve">ENIL is pleased with the </w:t>
      </w:r>
      <w:r w:rsidR="0031025A">
        <w:rPr>
          <w:rFonts w:ascii="Arial" w:hAnsi="Arial" w:cs="Arial"/>
          <w:sz w:val="24"/>
          <w:szCs w:val="24"/>
        </w:rPr>
        <w:t>C</w:t>
      </w:r>
      <w:r w:rsidRPr="0031025A">
        <w:rPr>
          <w:rFonts w:ascii="Arial" w:hAnsi="Arial" w:cs="Arial"/>
          <w:sz w:val="24"/>
          <w:szCs w:val="24"/>
        </w:rPr>
        <w:t xml:space="preserve">ommittee’s specific elaboration on sheltered workshops and how they should not be considered as a legitimate alternative to the right to work. Ideally, we feel that the GC should give real time examples of sheltered workshops </w:t>
      </w:r>
      <w:r w:rsidRPr="0031025A">
        <w:rPr>
          <w:rFonts w:ascii="Arial" w:hAnsi="Arial" w:cs="Arial"/>
          <w:sz w:val="24"/>
          <w:szCs w:val="24"/>
        </w:rPr>
        <w:lastRenderedPageBreak/>
        <w:t xml:space="preserve">that </w:t>
      </w:r>
      <w:r w:rsidR="0031025A">
        <w:rPr>
          <w:rFonts w:ascii="Arial" w:hAnsi="Arial" w:cs="Arial"/>
          <w:sz w:val="24"/>
          <w:szCs w:val="24"/>
        </w:rPr>
        <w:t>exist in different parts of</w:t>
      </w:r>
      <w:r w:rsidRPr="0031025A">
        <w:rPr>
          <w:rFonts w:ascii="Arial" w:hAnsi="Arial" w:cs="Arial"/>
          <w:sz w:val="24"/>
          <w:szCs w:val="24"/>
        </w:rPr>
        <w:t xml:space="preserve"> the world, in order to better demonstrate that these go against the meaning of art. 27 of the UNCRPD.</w:t>
      </w:r>
      <w:r w:rsidRPr="00C02BF5">
        <w:rPr>
          <w:rStyle w:val="FootnoteReference"/>
          <w:rFonts w:ascii="Arial" w:hAnsi="Arial" w:cs="Arial"/>
          <w:sz w:val="24"/>
          <w:szCs w:val="24"/>
        </w:rPr>
        <w:footnoteReference w:id="3"/>
      </w:r>
      <w:r w:rsidRPr="0031025A">
        <w:rPr>
          <w:rFonts w:ascii="Arial" w:hAnsi="Arial" w:cs="Arial"/>
          <w:sz w:val="24"/>
          <w:szCs w:val="24"/>
        </w:rPr>
        <w:t xml:space="preserve"> </w:t>
      </w:r>
      <w:r w:rsidR="0031025A">
        <w:rPr>
          <w:rFonts w:ascii="Arial" w:hAnsi="Arial" w:cs="Arial"/>
          <w:sz w:val="24"/>
          <w:szCs w:val="24"/>
        </w:rPr>
        <w:t xml:space="preserve">It would be important to add that, sometimes, “social enterprises” may in fact be sheltered workshops </w:t>
      </w:r>
      <w:r w:rsidR="00E5753E">
        <w:rPr>
          <w:rFonts w:ascii="Arial" w:hAnsi="Arial" w:cs="Arial"/>
          <w:sz w:val="24"/>
          <w:szCs w:val="24"/>
        </w:rPr>
        <w:t>in disguise, for example employing people with intellectual disabilities under guardianship, without a contract or a salary.</w:t>
      </w:r>
    </w:p>
    <w:p w14:paraId="2CA94F69" w14:textId="477086D7" w:rsidR="00C02BF5" w:rsidRPr="0031025A" w:rsidRDefault="0031025A" w:rsidP="0031025A">
      <w:pPr>
        <w:jc w:val="both"/>
        <w:rPr>
          <w:rFonts w:ascii="Arial" w:hAnsi="Arial" w:cs="Arial"/>
          <w:sz w:val="24"/>
          <w:szCs w:val="24"/>
          <w:u w:val="single"/>
        </w:rPr>
      </w:pPr>
      <w:r w:rsidRPr="0031025A">
        <w:rPr>
          <w:rFonts w:ascii="Arial" w:hAnsi="Arial" w:cs="Arial"/>
          <w:sz w:val="24"/>
          <w:szCs w:val="24"/>
          <w:u w:val="single"/>
        </w:rPr>
        <w:t xml:space="preserve">2. </w:t>
      </w:r>
      <w:r w:rsidR="00C02BF5" w:rsidRPr="0031025A">
        <w:rPr>
          <w:rFonts w:ascii="Arial" w:hAnsi="Arial" w:cs="Arial"/>
          <w:sz w:val="24"/>
          <w:szCs w:val="24"/>
          <w:u w:val="single"/>
        </w:rPr>
        <w:t>Personal assistance</w:t>
      </w:r>
    </w:p>
    <w:p w14:paraId="019BB045" w14:textId="738095B0" w:rsidR="00CF39D0" w:rsidRPr="00E5753E" w:rsidRDefault="00E87960" w:rsidP="00E5753E">
      <w:pPr>
        <w:jc w:val="both"/>
        <w:rPr>
          <w:rFonts w:ascii="Arial" w:hAnsi="Arial" w:cs="Arial"/>
          <w:sz w:val="24"/>
          <w:szCs w:val="24"/>
        </w:rPr>
      </w:pPr>
      <w:r w:rsidRPr="0031025A">
        <w:rPr>
          <w:rFonts w:ascii="Arial" w:hAnsi="Arial" w:cs="Arial"/>
          <w:sz w:val="24"/>
          <w:szCs w:val="24"/>
        </w:rPr>
        <w:t>We are concerned about the lack of reference to personal assistance, and the emancipatory role this can have for many disabled people. We believe that personal assistance is a cornerstone for independent living and that it should be reflected in the GC.</w:t>
      </w:r>
      <w:r w:rsidRPr="00C02BF5">
        <w:rPr>
          <w:rStyle w:val="FootnoteReference"/>
          <w:rFonts w:ascii="Arial" w:hAnsi="Arial" w:cs="Arial"/>
          <w:sz w:val="24"/>
          <w:szCs w:val="24"/>
        </w:rPr>
        <w:footnoteReference w:id="4"/>
      </w:r>
      <w:r w:rsidRPr="0031025A">
        <w:rPr>
          <w:rFonts w:ascii="Arial" w:hAnsi="Arial" w:cs="Arial"/>
          <w:sz w:val="24"/>
          <w:szCs w:val="24"/>
        </w:rPr>
        <w:t xml:space="preserve"> Access to personal assistance for disabled people means giving them the choice to decide when they need assistance</w:t>
      </w:r>
      <w:r w:rsidR="0031025A">
        <w:rPr>
          <w:rFonts w:ascii="Arial" w:hAnsi="Arial" w:cs="Arial"/>
          <w:sz w:val="24"/>
          <w:szCs w:val="24"/>
        </w:rPr>
        <w:t>,</w:t>
      </w:r>
      <w:r w:rsidRPr="0031025A">
        <w:rPr>
          <w:rFonts w:ascii="Arial" w:hAnsi="Arial" w:cs="Arial"/>
          <w:sz w:val="24"/>
          <w:szCs w:val="24"/>
        </w:rPr>
        <w:t xml:space="preserve"> for instance with accessing journeys to and from work. </w:t>
      </w:r>
      <w:r w:rsidR="00CF39D0" w:rsidRPr="0031025A">
        <w:rPr>
          <w:rFonts w:ascii="Arial" w:hAnsi="Arial" w:cs="Arial"/>
          <w:sz w:val="24"/>
          <w:szCs w:val="24"/>
        </w:rPr>
        <w:t xml:space="preserve">As we stated in our initial written submission: </w:t>
      </w:r>
    </w:p>
    <w:p w14:paraId="4CC60628" w14:textId="400BA786" w:rsidR="00CF39D0" w:rsidRDefault="00CF39D0" w:rsidP="0031025A">
      <w:pPr>
        <w:pStyle w:val="ListParagraph"/>
        <w:jc w:val="both"/>
        <w:rPr>
          <w:rFonts w:ascii="Arial" w:hAnsi="Arial" w:cs="Arial"/>
          <w:sz w:val="24"/>
          <w:szCs w:val="24"/>
        </w:rPr>
      </w:pPr>
      <w:r w:rsidRPr="00C02BF5">
        <w:rPr>
          <w:rFonts w:ascii="Arial" w:hAnsi="Arial" w:cs="Arial"/>
          <w:sz w:val="24"/>
          <w:szCs w:val="24"/>
        </w:rPr>
        <w:t xml:space="preserve">“ Personal assistance is considered to be a key tool for Independent Living; it is explicitly mentioned in Article 19 CRPD and defined in the General Comment No. 5 on Article 19. In a number of countries, Personal Assistance is available only to disabled people in their homes. This can be a restriction imposed by law, or it can be the result of a lack of hours or funding that is available to disabled people.” (ENIL Written Contribution, p. 1). </w:t>
      </w:r>
    </w:p>
    <w:p w14:paraId="1A268E48" w14:textId="51908018" w:rsidR="00C02BF5" w:rsidRPr="0031025A" w:rsidRDefault="0031025A" w:rsidP="0031025A">
      <w:pPr>
        <w:jc w:val="both"/>
        <w:rPr>
          <w:rFonts w:ascii="Arial" w:hAnsi="Arial" w:cs="Arial"/>
          <w:sz w:val="24"/>
          <w:szCs w:val="24"/>
          <w:u w:val="single"/>
        </w:rPr>
      </w:pPr>
      <w:r w:rsidRPr="0031025A">
        <w:rPr>
          <w:rFonts w:ascii="Arial" w:hAnsi="Arial" w:cs="Arial"/>
          <w:sz w:val="24"/>
          <w:szCs w:val="24"/>
          <w:u w:val="single"/>
        </w:rPr>
        <w:t xml:space="preserve">3. </w:t>
      </w:r>
      <w:r w:rsidR="00C02BF5" w:rsidRPr="0031025A">
        <w:rPr>
          <w:rFonts w:ascii="Arial" w:hAnsi="Arial" w:cs="Arial"/>
          <w:sz w:val="24"/>
          <w:szCs w:val="24"/>
          <w:u w:val="single"/>
        </w:rPr>
        <w:t>Work assessments</w:t>
      </w:r>
    </w:p>
    <w:p w14:paraId="63E7041F" w14:textId="7D8A6897" w:rsidR="00CF39D0" w:rsidRPr="0031025A" w:rsidRDefault="00CF39D0" w:rsidP="0031025A">
      <w:pPr>
        <w:jc w:val="both"/>
        <w:rPr>
          <w:rFonts w:ascii="Arial" w:hAnsi="Arial" w:cs="Arial"/>
          <w:sz w:val="24"/>
          <w:szCs w:val="24"/>
        </w:rPr>
      </w:pPr>
      <w:r w:rsidRPr="0031025A">
        <w:rPr>
          <w:rFonts w:ascii="Arial" w:hAnsi="Arial" w:cs="Arial"/>
          <w:sz w:val="24"/>
          <w:szCs w:val="24"/>
        </w:rPr>
        <w:t xml:space="preserve">Another topic we wish to see in the </w:t>
      </w:r>
      <w:r w:rsidR="0031025A">
        <w:rPr>
          <w:rFonts w:ascii="Arial" w:hAnsi="Arial" w:cs="Arial"/>
          <w:sz w:val="24"/>
          <w:szCs w:val="24"/>
        </w:rPr>
        <w:t>GC</w:t>
      </w:r>
      <w:r w:rsidRPr="0031025A">
        <w:rPr>
          <w:rFonts w:ascii="Arial" w:hAnsi="Arial" w:cs="Arial"/>
          <w:sz w:val="24"/>
          <w:szCs w:val="24"/>
        </w:rPr>
        <w:t xml:space="preserve">, but that does not appear in the current </w:t>
      </w:r>
      <w:r w:rsidR="0031025A">
        <w:rPr>
          <w:rFonts w:ascii="Arial" w:hAnsi="Arial" w:cs="Arial"/>
          <w:sz w:val="24"/>
          <w:szCs w:val="24"/>
        </w:rPr>
        <w:t>draft</w:t>
      </w:r>
      <w:r w:rsidRPr="0031025A">
        <w:rPr>
          <w:rFonts w:ascii="Arial" w:hAnsi="Arial" w:cs="Arial"/>
          <w:sz w:val="24"/>
          <w:szCs w:val="24"/>
        </w:rPr>
        <w:t xml:space="preserve"> is a call for the prohibition of oppressive programmes such as the UK’s Work Capability Assessment (WAC) programme, which the CRPD </w:t>
      </w:r>
      <w:r w:rsidR="0031025A">
        <w:rPr>
          <w:rFonts w:ascii="Arial" w:hAnsi="Arial" w:cs="Arial"/>
          <w:sz w:val="24"/>
          <w:szCs w:val="24"/>
        </w:rPr>
        <w:t>C</w:t>
      </w:r>
      <w:r w:rsidRPr="0031025A">
        <w:rPr>
          <w:rFonts w:ascii="Arial" w:hAnsi="Arial" w:cs="Arial"/>
          <w:sz w:val="24"/>
          <w:szCs w:val="24"/>
        </w:rPr>
        <w:t xml:space="preserve">ommittee condemned as part of their (2017) findings into the systematic human rights abuses in the UK, calling for assessments of disabled people’s eligibility to be based on a human rights model approach rather than a medical model approach. </w:t>
      </w:r>
      <w:r w:rsidRPr="00C02BF5">
        <w:rPr>
          <w:rStyle w:val="FootnoteReference"/>
          <w:rFonts w:ascii="Arial" w:hAnsi="Arial" w:cs="Arial"/>
          <w:sz w:val="24"/>
          <w:szCs w:val="24"/>
        </w:rPr>
        <w:footnoteReference w:id="5"/>
      </w:r>
      <w:r w:rsidR="00EC5FA0" w:rsidRPr="0031025A">
        <w:rPr>
          <w:rFonts w:ascii="Arial" w:hAnsi="Arial" w:cs="Arial"/>
          <w:sz w:val="24"/>
          <w:szCs w:val="24"/>
        </w:rPr>
        <w:t xml:space="preserve"> </w:t>
      </w:r>
    </w:p>
    <w:p w14:paraId="41825535" w14:textId="1EF946F7" w:rsidR="00C02BF5" w:rsidRPr="0031025A" w:rsidRDefault="0031025A" w:rsidP="0031025A">
      <w:pPr>
        <w:jc w:val="both"/>
        <w:rPr>
          <w:rFonts w:ascii="Arial" w:hAnsi="Arial" w:cs="Arial"/>
          <w:sz w:val="24"/>
          <w:szCs w:val="24"/>
          <w:u w:val="single"/>
        </w:rPr>
      </w:pPr>
      <w:r w:rsidRPr="0031025A">
        <w:rPr>
          <w:rFonts w:ascii="Arial" w:hAnsi="Arial" w:cs="Arial"/>
          <w:sz w:val="24"/>
          <w:szCs w:val="24"/>
          <w:u w:val="single"/>
        </w:rPr>
        <w:t xml:space="preserve">4. </w:t>
      </w:r>
      <w:r w:rsidR="00C02BF5" w:rsidRPr="0031025A">
        <w:rPr>
          <w:rFonts w:ascii="Arial" w:hAnsi="Arial" w:cs="Arial"/>
          <w:sz w:val="24"/>
          <w:szCs w:val="24"/>
          <w:u w:val="single"/>
        </w:rPr>
        <w:t>The effects of austerity policies</w:t>
      </w:r>
    </w:p>
    <w:p w14:paraId="30960B87" w14:textId="56D215B6" w:rsidR="00EC5FA0" w:rsidRDefault="00EC5FA0" w:rsidP="0031025A">
      <w:pPr>
        <w:jc w:val="both"/>
        <w:rPr>
          <w:rFonts w:ascii="Arial" w:hAnsi="Arial" w:cs="Arial"/>
          <w:sz w:val="24"/>
          <w:szCs w:val="24"/>
        </w:rPr>
      </w:pPr>
      <w:r w:rsidRPr="00C02BF5">
        <w:rPr>
          <w:rFonts w:ascii="Arial" w:hAnsi="Arial" w:cs="Arial"/>
          <w:sz w:val="24"/>
          <w:szCs w:val="24"/>
        </w:rPr>
        <w:t>We also wish to see recognition that austerity policies can have a disastrous effect on the lives of disabled people, prohibiting many from entering the workforce, due to cuts to public transport, work assistance programmes, personal assistance, etc.</w:t>
      </w:r>
      <w:r w:rsidRPr="00C02BF5">
        <w:rPr>
          <w:rStyle w:val="FootnoteReference"/>
          <w:rFonts w:ascii="Arial" w:hAnsi="Arial" w:cs="Arial"/>
          <w:sz w:val="24"/>
          <w:szCs w:val="24"/>
        </w:rPr>
        <w:footnoteReference w:id="6"/>
      </w:r>
      <w:r w:rsidR="00945B72" w:rsidRPr="00C02BF5">
        <w:rPr>
          <w:rFonts w:ascii="Arial" w:hAnsi="Arial" w:cs="Arial"/>
          <w:sz w:val="24"/>
          <w:szCs w:val="24"/>
        </w:rPr>
        <w:t xml:space="preserve"> </w:t>
      </w:r>
      <w:r w:rsidR="0031025A">
        <w:rPr>
          <w:rFonts w:ascii="Arial" w:hAnsi="Arial" w:cs="Arial"/>
          <w:sz w:val="24"/>
          <w:szCs w:val="24"/>
        </w:rPr>
        <w:t>This is s</w:t>
      </w:r>
      <w:r w:rsidR="00945B72" w:rsidRPr="00C02BF5">
        <w:rPr>
          <w:rFonts w:ascii="Arial" w:hAnsi="Arial" w:cs="Arial"/>
          <w:sz w:val="24"/>
          <w:szCs w:val="24"/>
        </w:rPr>
        <w:t>omething which the UN has raised concern about for several years now.</w:t>
      </w:r>
      <w:r w:rsidR="00945B72" w:rsidRPr="00C02BF5">
        <w:rPr>
          <w:rStyle w:val="FootnoteReference"/>
          <w:rFonts w:ascii="Arial" w:hAnsi="Arial" w:cs="Arial"/>
          <w:sz w:val="24"/>
          <w:szCs w:val="24"/>
        </w:rPr>
        <w:footnoteReference w:id="7"/>
      </w:r>
      <w:r w:rsidR="00D274D7" w:rsidRPr="00C02BF5">
        <w:rPr>
          <w:rFonts w:ascii="Arial" w:hAnsi="Arial" w:cs="Arial"/>
          <w:sz w:val="24"/>
          <w:szCs w:val="24"/>
        </w:rPr>
        <w:t xml:space="preserve"> </w:t>
      </w:r>
    </w:p>
    <w:p w14:paraId="15BC201D" w14:textId="77777777" w:rsidR="00E5753E" w:rsidRDefault="00E5753E" w:rsidP="0031025A">
      <w:pPr>
        <w:jc w:val="both"/>
        <w:rPr>
          <w:rFonts w:ascii="Arial" w:hAnsi="Arial" w:cs="Arial"/>
          <w:sz w:val="24"/>
          <w:szCs w:val="24"/>
          <w:u w:val="single"/>
        </w:rPr>
      </w:pPr>
    </w:p>
    <w:p w14:paraId="251D04F2" w14:textId="26FB6771" w:rsidR="00C02BF5" w:rsidRPr="0031025A" w:rsidRDefault="0031025A" w:rsidP="0031025A">
      <w:pPr>
        <w:jc w:val="both"/>
        <w:rPr>
          <w:rFonts w:ascii="Arial" w:hAnsi="Arial" w:cs="Arial"/>
          <w:sz w:val="24"/>
          <w:szCs w:val="24"/>
          <w:u w:val="single"/>
        </w:rPr>
      </w:pPr>
      <w:r w:rsidRPr="0031025A">
        <w:rPr>
          <w:rFonts w:ascii="Arial" w:hAnsi="Arial" w:cs="Arial"/>
          <w:sz w:val="24"/>
          <w:szCs w:val="24"/>
          <w:u w:val="single"/>
        </w:rPr>
        <w:lastRenderedPageBreak/>
        <w:t xml:space="preserve">5. </w:t>
      </w:r>
      <w:r w:rsidR="00C02BF5" w:rsidRPr="0031025A">
        <w:rPr>
          <w:rFonts w:ascii="Arial" w:hAnsi="Arial" w:cs="Arial"/>
          <w:sz w:val="24"/>
          <w:szCs w:val="24"/>
          <w:u w:val="single"/>
        </w:rPr>
        <w:t>Inclusive education</w:t>
      </w:r>
    </w:p>
    <w:p w14:paraId="074513F6" w14:textId="5203E4E5" w:rsidR="00D274D7" w:rsidRPr="00C02BF5" w:rsidRDefault="00D274D7" w:rsidP="0031025A">
      <w:pPr>
        <w:jc w:val="both"/>
        <w:rPr>
          <w:rFonts w:ascii="Arial" w:hAnsi="Arial" w:cs="Arial"/>
          <w:sz w:val="24"/>
          <w:szCs w:val="24"/>
        </w:rPr>
      </w:pPr>
      <w:r w:rsidRPr="00C02BF5">
        <w:rPr>
          <w:rFonts w:ascii="Arial" w:hAnsi="Arial" w:cs="Arial"/>
          <w:sz w:val="24"/>
          <w:szCs w:val="24"/>
        </w:rPr>
        <w:t>We also want to see stronger recognition of the importance of inclusive education</w:t>
      </w:r>
      <w:r w:rsidRPr="00C02BF5">
        <w:rPr>
          <w:rStyle w:val="FootnoteReference"/>
          <w:rFonts w:ascii="Arial" w:hAnsi="Arial" w:cs="Arial"/>
          <w:sz w:val="24"/>
          <w:szCs w:val="24"/>
        </w:rPr>
        <w:footnoteReference w:id="8"/>
      </w:r>
      <w:r w:rsidRPr="00C02BF5">
        <w:rPr>
          <w:rFonts w:ascii="Arial" w:hAnsi="Arial" w:cs="Arial"/>
          <w:sz w:val="24"/>
          <w:szCs w:val="24"/>
        </w:rPr>
        <w:t xml:space="preserve"> in helping disabled people find work.</w:t>
      </w:r>
      <w:r w:rsidR="0031025A">
        <w:rPr>
          <w:rFonts w:ascii="Arial" w:hAnsi="Arial" w:cs="Arial"/>
          <w:sz w:val="24"/>
          <w:szCs w:val="24"/>
        </w:rPr>
        <w:t xml:space="preserve"> Those who went to special schools or were trained in jobs no longer in demand should be provided with opportunities for further/adult learning which match the demands of the labour market and their skills and interests.</w:t>
      </w:r>
      <w:r w:rsidRPr="00C02BF5">
        <w:rPr>
          <w:rFonts w:ascii="Arial" w:hAnsi="Arial" w:cs="Arial"/>
          <w:sz w:val="24"/>
          <w:szCs w:val="24"/>
        </w:rPr>
        <w:t xml:space="preserve"> </w:t>
      </w:r>
    </w:p>
    <w:p w14:paraId="27338B4C" w14:textId="0713907F" w:rsidR="00750176" w:rsidRPr="0031025A" w:rsidRDefault="0031025A" w:rsidP="0031025A">
      <w:pPr>
        <w:jc w:val="both"/>
        <w:rPr>
          <w:rFonts w:ascii="Arial" w:hAnsi="Arial" w:cs="Arial"/>
          <w:sz w:val="24"/>
          <w:szCs w:val="24"/>
          <w:u w:val="single"/>
        </w:rPr>
      </w:pPr>
      <w:r w:rsidRPr="0031025A">
        <w:rPr>
          <w:rFonts w:ascii="Arial" w:hAnsi="Arial" w:cs="Arial"/>
          <w:sz w:val="24"/>
          <w:szCs w:val="24"/>
          <w:u w:val="single"/>
        </w:rPr>
        <w:t xml:space="preserve">6. </w:t>
      </w:r>
      <w:r w:rsidR="004915C9" w:rsidRPr="0031025A">
        <w:rPr>
          <w:rFonts w:ascii="Arial" w:hAnsi="Arial" w:cs="Arial"/>
          <w:sz w:val="24"/>
          <w:szCs w:val="24"/>
          <w:u w:val="single"/>
        </w:rPr>
        <w:t>Flexible working conditions</w:t>
      </w:r>
    </w:p>
    <w:p w14:paraId="7F73BCD2" w14:textId="527727BA" w:rsidR="00750176" w:rsidRPr="0031025A" w:rsidRDefault="00750176" w:rsidP="0031025A">
      <w:pPr>
        <w:jc w:val="both"/>
        <w:rPr>
          <w:rFonts w:ascii="Arial" w:hAnsi="Arial" w:cs="Arial"/>
          <w:sz w:val="24"/>
          <w:szCs w:val="24"/>
        </w:rPr>
      </w:pPr>
      <w:r w:rsidRPr="0031025A">
        <w:rPr>
          <w:rFonts w:ascii="Arial" w:hAnsi="Arial" w:cs="Arial"/>
          <w:sz w:val="24"/>
          <w:szCs w:val="24"/>
        </w:rPr>
        <w:t xml:space="preserve">One concern raised by our members was in relation to flexible working conditions so that </w:t>
      </w:r>
      <w:r w:rsidR="0031025A">
        <w:rPr>
          <w:rFonts w:ascii="Arial" w:hAnsi="Arial" w:cs="Arial"/>
          <w:sz w:val="24"/>
          <w:szCs w:val="24"/>
        </w:rPr>
        <w:t xml:space="preserve">disabled </w:t>
      </w:r>
      <w:r w:rsidRPr="0031025A">
        <w:rPr>
          <w:rFonts w:ascii="Arial" w:hAnsi="Arial" w:cs="Arial"/>
          <w:sz w:val="24"/>
          <w:szCs w:val="24"/>
        </w:rPr>
        <w:t>people who need additional time to perform tasks do not face undue discrimination and more accessible working hours can be made to accommodate them.</w:t>
      </w:r>
      <w:r w:rsidRPr="00C02BF5">
        <w:rPr>
          <w:rStyle w:val="FootnoteReference"/>
          <w:rFonts w:ascii="Arial" w:hAnsi="Arial" w:cs="Arial"/>
          <w:sz w:val="24"/>
          <w:szCs w:val="24"/>
        </w:rPr>
        <w:footnoteReference w:id="9"/>
      </w:r>
    </w:p>
    <w:p w14:paraId="72F20874" w14:textId="44D7C69B" w:rsidR="004915C9" w:rsidRPr="0031025A" w:rsidRDefault="0031025A" w:rsidP="0031025A">
      <w:pPr>
        <w:jc w:val="both"/>
        <w:rPr>
          <w:rFonts w:ascii="Arial" w:hAnsi="Arial" w:cs="Arial"/>
          <w:sz w:val="24"/>
          <w:szCs w:val="24"/>
          <w:u w:val="single"/>
        </w:rPr>
      </w:pPr>
      <w:r w:rsidRPr="0031025A">
        <w:rPr>
          <w:rFonts w:ascii="Arial" w:hAnsi="Arial" w:cs="Arial"/>
          <w:sz w:val="24"/>
          <w:szCs w:val="24"/>
          <w:u w:val="single"/>
        </w:rPr>
        <w:t xml:space="preserve">7. </w:t>
      </w:r>
      <w:r w:rsidR="004915C9" w:rsidRPr="0031025A">
        <w:rPr>
          <w:rFonts w:ascii="Arial" w:hAnsi="Arial" w:cs="Arial"/>
          <w:sz w:val="24"/>
          <w:szCs w:val="24"/>
          <w:u w:val="single"/>
        </w:rPr>
        <w:t>Monitoring mechanism</w:t>
      </w:r>
    </w:p>
    <w:p w14:paraId="5DEE0C52" w14:textId="75B7A164" w:rsidR="00750176" w:rsidRPr="0031025A" w:rsidRDefault="00750176" w:rsidP="0031025A">
      <w:pPr>
        <w:jc w:val="both"/>
        <w:rPr>
          <w:rFonts w:ascii="Arial" w:hAnsi="Arial" w:cs="Arial"/>
          <w:sz w:val="24"/>
          <w:szCs w:val="24"/>
          <w:lang w:val="en-US"/>
        </w:rPr>
      </w:pPr>
      <w:r w:rsidRPr="0031025A">
        <w:rPr>
          <w:rFonts w:ascii="Arial" w:hAnsi="Arial" w:cs="Arial"/>
          <w:sz w:val="24"/>
          <w:szCs w:val="24"/>
          <w:lang w:val="en-US"/>
        </w:rPr>
        <w:t xml:space="preserve">The </w:t>
      </w:r>
      <w:r w:rsidR="0031025A">
        <w:rPr>
          <w:rFonts w:ascii="Arial" w:hAnsi="Arial" w:cs="Arial"/>
          <w:sz w:val="24"/>
          <w:szCs w:val="24"/>
          <w:lang w:val="en-US"/>
        </w:rPr>
        <w:t>GC</w:t>
      </w:r>
      <w:r w:rsidRPr="0031025A">
        <w:rPr>
          <w:rFonts w:ascii="Arial" w:hAnsi="Arial" w:cs="Arial"/>
          <w:sz w:val="24"/>
          <w:szCs w:val="24"/>
          <w:lang w:val="en-US"/>
        </w:rPr>
        <w:t xml:space="preserve"> could also emphasize the importance of a monitoring mechanism at the national level that assesses the inclusion of disabled persons in the workplace, </w:t>
      </w:r>
      <w:r w:rsidR="0031025A">
        <w:rPr>
          <w:rFonts w:ascii="Arial" w:hAnsi="Arial" w:cs="Arial"/>
          <w:sz w:val="24"/>
          <w:szCs w:val="24"/>
          <w:lang w:val="en-US"/>
        </w:rPr>
        <w:t xml:space="preserve">and to </w:t>
      </w:r>
      <w:r w:rsidRPr="0031025A">
        <w:rPr>
          <w:rFonts w:ascii="Arial" w:hAnsi="Arial" w:cs="Arial"/>
          <w:sz w:val="24"/>
          <w:szCs w:val="24"/>
          <w:lang w:val="en-US"/>
        </w:rPr>
        <w:t xml:space="preserve">monitor the efficiency of the public administration. A mechanism with sanctions, remedies, warnings and recommendations. For instance, when it comes to discrimination, courts and other bodies making determinations as to whether discrimination has occurred need to have the authority to determine sanctions and remedies that are both monetary and equitable. </w:t>
      </w:r>
    </w:p>
    <w:p w14:paraId="105B7E35" w14:textId="7C6D1840" w:rsidR="00750176" w:rsidRPr="0031025A" w:rsidRDefault="0031025A" w:rsidP="0031025A">
      <w:pPr>
        <w:jc w:val="both"/>
        <w:rPr>
          <w:rFonts w:ascii="Arial" w:hAnsi="Arial" w:cs="Arial"/>
          <w:sz w:val="24"/>
          <w:szCs w:val="24"/>
          <w:u w:val="single"/>
        </w:rPr>
      </w:pPr>
      <w:r w:rsidRPr="0031025A">
        <w:rPr>
          <w:rFonts w:ascii="Arial" w:hAnsi="Arial" w:cs="Arial"/>
          <w:sz w:val="24"/>
          <w:szCs w:val="24"/>
          <w:u w:val="single"/>
        </w:rPr>
        <w:t xml:space="preserve">8. </w:t>
      </w:r>
      <w:r w:rsidR="004915C9" w:rsidRPr="0031025A">
        <w:rPr>
          <w:rFonts w:ascii="Arial" w:hAnsi="Arial" w:cs="Arial"/>
          <w:sz w:val="24"/>
          <w:szCs w:val="24"/>
          <w:u w:val="single"/>
        </w:rPr>
        <w:t>Intersectionality</w:t>
      </w:r>
    </w:p>
    <w:p w14:paraId="2105779F" w14:textId="69309B42" w:rsidR="00750176" w:rsidRPr="0031025A" w:rsidRDefault="00750176" w:rsidP="0031025A">
      <w:pPr>
        <w:jc w:val="both"/>
        <w:rPr>
          <w:rFonts w:ascii="Arial" w:hAnsi="Arial" w:cs="Arial"/>
          <w:sz w:val="24"/>
          <w:szCs w:val="24"/>
        </w:rPr>
      </w:pPr>
      <w:r w:rsidRPr="0031025A">
        <w:rPr>
          <w:rFonts w:ascii="Arial" w:hAnsi="Arial" w:cs="Arial"/>
          <w:sz w:val="24"/>
          <w:szCs w:val="24"/>
        </w:rPr>
        <w:t>The importance of intersectionality was raised</w:t>
      </w:r>
      <w:r w:rsidR="0031025A">
        <w:rPr>
          <w:rFonts w:ascii="Arial" w:hAnsi="Arial" w:cs="Arial"/>
          <w:sz w:val="24"/>
          <w:szCs w:val="24"/>
        </w:rPr>
        <w:t>. F</w:t>
      </w:r>
      <w:r w:rsidRPr="0031025A">
        <w:rPr>
          <w:rFonts w:ascii="Arial" w:hAnsi="Arial" w:cs="Arial"/>
          <w:sz w:val="24"/>
          <w:szCs w:val="24"/>
        </w:rPr>
        <w:t>or instance</w:t>
      </w:r>
      <w:r w:rsidR="0031025A">
        <w:rPr>
          <w:rFonts w:ascii="Arial" w:hAnsi="Arial" w:cs="Arial"/>
          <w:sz w:val="24"/>
          <w:szCs w:val="24"/>
        </w:rPr>
        <w:t>,</w:t>
      </w:r>
      <w:r w:rsidRPr="0031025A">
        <w:rPr>
          <w:rFonts w:ascii="Arial" w:hAnsi="Arial" w:cs="Arial"/>
          <w:sz w:val="24"/>
          <w:szCs w:val="24"/>
        </w:rPr>
        <w:t xml:space="preserve"> disabled people who also identified on the LGBTQIA spectrum, disabled women, disabled people from ethnically marginalised groups, which included refugees, and the overlapping stigmas that these groups may face when it comes to inclusion within countries</w:t>
      </w:r>
      <w:r w:rsidR="0031025A">
        <w:rPr>
          <w:rFonts w:ascii="Arial" w:hAnsi="Arial" w:cs="Arial"/>
          <w:sz w:val="24"/>
          <w:szCs w:val="24"/>
        </w:rPr>
        <w:t xml:space="preserve"> need to be addressed in relation to inclusion in the labour market</w:t>
      </w:r>
      <w:r w:rsidRPr="0031025A">
        <w:rPr>
          <w:rFonts w:ascii="Arial" w:hAnsi="Arial" w:cs="Arial"/>
          <w:sz w:val="24"/>
          <w:szCs w:val="24"/>
        </w:rPr>
        <w:t>.</w:t>
      </w:r>
      <w:r w:rsidRPr="00C02BF5">
        <w:rPr>
          <w:rStyle w:val="FootnoteReference"/>
          <w:rFonts w:ascii="Arial" w:hAnsi="Arial" w:cs="Arial"/>
          <w:sz w:val="24"/>
          <w:szCs w:val="24"/>
        </w:rPr>
        <w:footnoteReference w:id="10"/>
      </w:r>
    </w:p>
    <w:p w14:paraId="69CAC35C" w14:textId="77777777" w:rsidR="00750176" w:rsidRPr="00C02BF5" w:rsidRDefault="00750176" w:rsidP="0031025A">
      <w:pPr>
        <w:pStyle w:val="ListParagraph"/>
        <w:jc w:val="both"/>
        <w:rPr>
          <w:rFonts w:ascii="Arial" w:hAnsi="Arial" w:cs="Arial"/>
          <w:sz w:val="24"/>
          <w:szCs w:val="24"/>
        </w:rPr>
      </w:pPr>
    </w:p>
    <w:p w14:paraId="22B58DE5" w14:textId="1768EBBA" w:rsidR="00750176" w:rsidRPr="0031025A" w:rsidRDefault="00750176" w:rsidP="0031025A">
      <w:pPr>
        <w:jc w:val="both"/>
        <w:rPr>
          <w:rFonts w:ascii="Arial" w:hAnsi="Arial" w:cs="Arial"/>
          <w:sz w:val="24"/>
          <w:szCs w:val="24"/>
        </w:rPr>
      </w:pPr>
      <w:r w:rsidRPr="0031025A">
        <w:rPr>
          <w:rFonts w:ascii="Arial" w:hAnsi="Arial" w:cs="Arial"/>
          <w:sz w:val="24"/>
          <w:szCs w:val="24"/>
        </w:rPr>
        <w:t>Last but certainly not least</w:t>
      </w:r>
      <w:r w:rsidR="0031025A" w:rsidRPr="0031025A">
        <w:rPr>
          <w:rFonts w:ascii="Arial" w:hAnsi="Arial" w:cs="Arial"/>
          <w:sz w:val="24"/>
          <w:szCs w:val="24"/>
        </w:rPr>
        <w:t>,</w:t>
      </w:r>
      <w:r w:rsidRPr="0031025A">
        <w:rPr>
          <w:rFonts w:ascii="Arial" w:hAnsi="Arial" w:cs="Arial"/>
          <w:sz w:val="24"/>
          <w:szCs w:val="24"/>
        </w:rPr>
        <w:t xml:space="preserve"> the accessibility of the </w:t>
      </w:r>
      <w:r w:rsidR="0031025A">
        <w:rPr>
          <w:rFonts w:ascii="Arial" w:hAnsi="Arial" w:cs="Arial"/>
          <w:sz w:val="24"/>
          <w:szCs w:val="24"/>
        </w:rPr>
        <w:t xml:space="preserve">draft </w:t>
      </w:r>
      <w:r w:rsidRPr="0031025A">
        <w:rPr>
          <w:rFonts w:ascii="Arial" w:hAnsi="Arial" w:cs="Arial"/>
          <w:sz w:val="24"/>
          <w:szCs w:val="24"/>
        </w:rPr>
        <w:t>GC itself was raised as an issue</w:t>
      </w:r>
      <w:r w:rsidR="0031025A">
        <w:rPr>
          <w:rFonts w:ascii="Arial" w:hAnsi="Arial" w:cs="Arial"/>
          <w:sz w:val="24"/>
          <w:szCs w:val="24"/>
        </w:rPr>
        <w:t xml:space="preserve"> by ENIL members</w:t>
      </w:r>
      <w:r w:rsidRPr="0031025A">
        <w:rPr>
          <w:rFonts w:ascii="Arial" w:hAnsi="Arial" w:cs="Arial"/>
          <w:sz w:val="24"/>
          <w:szCs w:val="24"/>
        </w:rPr>
        <w:t xml:space="preserve">. It was agreed that the </w:t>
      </w:r>
      <w:r w:rsidR="0031025A">
        <w:rPr>
          <w:rFonts w:ascii="Arial" w:hAnsi="Arial" w:cs="Arial"/>
          <w:sz w:val="24"/>
          <w:szCs w:val="24"/>
        </w:rPr>
        <w:t xml:space="preserve">draft </w:t>
      </w:r>
      <w:r w:rsidRPr="0031025A">
        <w:rPr>
          <w:rFonts w:ascii="Arial" w:hAnsi="Arial" w:cs="Arial"/>
          <w:sz w:val="24"/>
          <w:szCs w:val="24"/>
        </w:rPr>
        <w:t xml:space="preserve">GC should be available in an easy read format as the language employed by the </w:t>
      </w:r>
      <w:r w:rsidR="0031025A">
        <w:rPr>
          <w:rFonts w:ascii="Arial" w:hAnsi="Arial" w:cs="Arial"/>
          <w:sz w:val="24"/>
          <w:szCs w:val="24"/>
        </w:rPr>
        <w:t>C</w:t>
      </w:r>
      <w:r w:rsidRPr="0031025A">
        <w:rPr>
          <w:rFonts w:ascii="Arial" w:hAnsi="Arial" w:cs="Arial"/>
          <w:sz w:val="24"/>
          <w:szCs w:val="24"/>
        </w:rPr>
        <w:t xml:space="preserve">ommittee in the text and the length of the </w:t>
      </w:r>
      <w:r w:rsidR="0031025A">
        <w:rPr>
          <w:rFonts w:ascii="Arial" w:hAnsi="Arial" w:cs="Arial"/>
          <w:sz w:val="24"/>
          <w:szCs w:val="24"/>
        </w:rPr>
        <w:t xml:space="preserve">draft </w:t>
      </w:r>
      <w:r w:rsidRPr="0031025A">
        <w:rPr>
          <w:rFonts w:ascii="Arial" w:hAnsi="Arial" w:cs="Arial"/>
          <w:sz w:val="24"/>
          <w:szCs w:val="24"/>
        </w:rPr>
        <w:t>GC (29 pages) meant that it was difficult to get through all the material and fully understand the points being raised.</w:t>
      </w:r>
    </w:p>
    <w:p w14:paraId="338837E7" w14:textId="77777777" w:rsidR="006857F1" w:rsidRPr="00C02BF5" w:rsidRDefault="006857F1" w:rsidP="0031025A">
      <w:pPr>
        <w:pStyle w:val="ListParagraph"/>
        <w:jc w:val="both"/>
        <w:rPr>
          <w:rFonts w:ascii="Arial" w:hAnsi="Arial" w:cs="Arial"/>
          <w:sz w:val="24"/>
          <w:szCs w:val="24"/>
        </w:rPr>
      </w:pPr>
    </w:p>
    <w:p w14:paraId="0BD566FF" w14:textId="77777777" w:rsidR="00CF39D0" w:rsidRPr="00CF39D0" w:rsidRDefault="00CF39D0" w:rsidP="0031025A">
      <w:pPr>
        <w:pStyle w:val="ListParagraph"/>
        <w:jc w:val="both"/>
      </w:pPr>
    </w:p>
    <w:sectPr w:rsidR="00CF39D0" w:rsidRPr="00CF39D0" w:rsidSect="00C02BF5">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D599F" w14:textId="77777777" w:rsidR="007C70B6" w:rsidRDefault="007C70B6" w:rsidP="00150BDA">
      <w:pPr>
        <w:spacing w:after="0" w:line="240" w:lineRule="auto"/>
      </w:pPr>
      <w:r>
        <w:separator/>
      </w:r>
    </w:p>
  </w:endnote>
  <w:endnote w:type="continuationSeparator" w:id="0">
    <w:p w14:paraId="53DBCA17" w14:textId="77777777" w:rsidR="007C70B6" w:rsidRDefault="007C70B6" w:rsidP="00150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A4EC7" w14:textId="77777777" w:rsidR="007C70B6" w:rsidRDefault="007C70B6" w:rsidP="00150BDA">
      <w:pPr>
        <w:spacing w:after="0" w:line="240" w:lineRule="auto"/>
      </w:pPr>
      <w:r>
        <w:separator/>
      </w:r>
    </w:p>
  </w:footnote>
  <w:footnote w:type="continuationSeparator" w:id="0">
    <w:p w14:paraId="740BCD85" w14:textId="77777777" w:rsidR="007C70B6" w:rsidRDefault="007C70B6" w:rsidP="00150BDA">
      <w:pPr>
        <w:spacing w:after="0" w:line="240" w:lineRule="auto"/>
      </w:pPr>
      <w:r>
        <w:continuationSeparator/>
      </w:r>
    </w:p>
  </w:footnote>
  <w:footnote w:id="1">
    <w:p w14:paraId="34D1BF7A" w14:textId="77777777" w:rsidR="00C02BF5" w:rsidRDefault="00C02BF5" w:rsidP="00C02BF5">
      <w:pPr>
        <w:pStyle w:val="FootnoteText"/>
      </w:pPr>
      <w:r>
        <w:rPr>
          <w:rFonts w:ascii="Arial" w:eastAsia="Arial" w:hAnsi="Arial" w:cs="Arial"/>
          <w:vertAlign w:val="superscript"/>
        </w:rPr>
        <w:footnoteRef/>
      </w:r>
      <w:r>
        <w:rPr>
          <w:rFonts w:ascii="Arial" w:hAnsi="Arial"/>
        </w:rPr>
        <w:t xml:space="preserve"> ENIL uses the term ‘disabled people’, rather than ‘persons with disabilities’ or ‘people with disabilities’, to reflect the fact that people are disabled by the environmental, systemic and attitudinal barriers in society, rather than by their impairment. This is in line with the social model of disability.</w:t>
      </w:r>
    </w:p>
  </w:footnote>
  <w:footnote w:id="2">
    <w:p w14:paraId="63E38FFB" w14:textId="77777777" w:rsidR="00150BDA" w:rsidRDefault="00150BDA">
      <w:pPr>
        <w:pStyle w:val="FootnoteText"/>
      </w:pPr>
      <w:r>
        <w:rPr>
          <w:rStyle w:val="FootnoteReference"/>
        </w:rPr>
        <w:footnoteRef/>
      </w:r>
      <w:r>
        <w:t xml:space="preserve"> </w:t>
      </w:r>
      <w:hyperlink r:id="rId1" w:history="1">
        <w:r w:rsidRPr="00B71D61">
          <w:rPr>
            <w:rStyle w:val="Hyperlink"/>
          </w:rPr>
          <w:t>ENIL’s Written contribution</w:t>
        </w:r>
      </w:hyperlink>
      <w:r w:rsidRPr="00150BDA">
        <w:t xml:space="preserve"> for the General Discussion on the right to of persons with disabilities to work and employment</w:t>
      </w:r>
    </w:p>
  </w:footnote>
  <w:footnote w:id="3">
    <w:p w14:paraId="2C178C44" w14:textId="77777777" w:rsidR="00D37AA2" w:rsidRPr="00D37AA2" w:rsidRDefault="00D37AA2" w:rsidP="00D37AA2">
      <w:pPr>
        <w:pStyle w:val="FootnoteText"/>
      </w:pPr>
      <w:r>
        <w:rPr>
          <w:rStyle w:val="FootnoteReference"/>
        </w:rPr>
        <w:footnoteRef/>
      </w:r>
      <w:r>
        <w:t xml:space="preserve"> </w:t>
      </w:r>
      <w:r w:rsidRPr="00D37AA2">
        <w:t>ENIL and GUE/NGL (2020)</w:t>
      </w:r>
      <w:r w:rsidRPr="00D37AA2">
        <w:rPr>
          <w:i/>
        </w:rPr>
        <w:t xml:space="preserve"> Lost in Interpretation: the Use of ESI Funds during 2014 – 2020 and the impact on the right of persons with disabilities to independent living</w:t>
      </w:r>
      <w:r w:rsidRPr="00D37AA2">
        <w:t xml:space="preserve">, available at: </w:t>
      </w:r>
      <w:hyperlink r:id="rId2" w:history="1">
        <w:r w:rsidRPr="00515F3E">
          <w:rPr>
            <w:rStyle w:val="Hyperlink"/>
          </w:rPr>
          <w:t>https://enil.eu/wp-content/uploads/2020/12/Study_EP_EN_09122020.pdf</w:t>
        </w:r>
      </w:hyperlink>
      <w:r>
        <w:t xml:space="preserve"> </w:t>
      </w:r>
    </w:p>
  </w:footnote>
  <w:footnote w:id="4">
    <w:p w14:paraId="1E6CDEC1" w14:textId="77777777" w:rsidR="00E87960" w:rsidRPr="00E87960" w:rsidRDefault="00E87960" w:rsidP="00E87960">
      <w:pPr>
        <w:pStyle w:val="FootnoteText"/>
      </w:pPr>
      <w:r>
        <w:rPr>
          <w:rStyle w:val="FootnoteReference"/>
        </w:rPr>
        <w:footnoteRef/>
      </w:r>
      <w:r>
        <w:t xml:space="preserve"> </w:t>
      </w:r>
      <w:r w:rsidRPr="00E87960">
        <w:t xml:space="preserve">European Network on Independent Living (2015) </w:t>
      </w:r>
      <w:r w:rsidRPr="00E87960">
        <w:rPr>
          <w:i/>
        </w:rPr>
        <w:t>Independent Living Manual</w:t>
      </w:r>
      <w:r w:rsidRPr="00E87960">
        <w:t xml:space="preserve">, p. 21, available at: </w:t>
      </w:r>
      <w:hyperlink r:id="rId3" w:history="1">
        <w:r w:rsidRPr="00515F3E">
          <w:rPr>
            <w:rStyle w:val="Hyperlink"/>
          </w:rPr>
          <w:t>https://www.enil.eu/wp-content/uploads/2012/06/Independent-Living-Manual-FINAL.pdf</w:t>
        </w:r>
      </w:hyperlink>
      <w:r>
        <w:t xml:space="preserve"> </w:t>
      </w:r>
    </w:p>
  </w:footnote>
  <w:footnote w:id="5">
    <w:p w14:paraId="51AA419E" w14:textId="77777777" w:rsidR="00CF39D0" w:rsidRDefault="00CF39D0">
      <w:pPr>
        <w:pStyle w:val="FootnoteText"/>
      </w:pPr>
      <w:r>
        <w:rPr>
          <w:rStyle w:val="FootnoteReference"/>
        </w:rPr>
        <w:footnoteRef/>
      </w:r>
      <w:r>
        <w:t xml:space="preserve"> </w:t>
      </w:r>
      <w:hyperlink r:id="rId4" w:history="1">
        <w:r w:rsidRPr="00515F3E">
          <w:rPr>
            <w:rStyle w:val="Hyperlink"/>
          </w:rPr>
          <w:t>https://www.equalityni.org/ECNI/media/ECNI/Publications/Corporate/IMNI%20meetings/2017/CRPD17-1-6Jan17OverviewCRPDInquiry.pdf</w:t>
        </w:r>
      </w:hyperlink>
      <w:r>
        <w:t xml:space="preserve"> </w:t>
      </w:r>
    </w:p>
  </w:footnote>
  <w:footnote w:id="6">
    <w:p w14:paraId="0BA42A63" w14:textId="77777777" w:rsidR="00EC5FA0" w:rsidRPr="00EC5FA0" w:rsidRDefault="00EC5FA0">
      <w:pPr>
        <w:pStyle w:val="FootnoteText"/>
      </w:pPr>
      <w:r>
        <w:rPr>
          <w:rStyle w:val="FootnoteReference"/>
        </w:rPr>
        <w:footnoteRef/>
      </w:r>
      <w:r>
        <w:t xml:space="preserve"> Ryan, F. (2019): </w:t>
      </w:r>
      <w:r>
        <w:rPr>
          <w:i/>
        </w:rPr>
        <w:t xml:space="preserve">Crippled: Austerity And the Demonization Of Disabled People </w:t>
      </w:r>
    </w:p>
  </w:footnote>
  <w:footnote w:id="7">
    <w:p w14:paraId="33FABF3A" w14:textId="77777777" w:rsidR="00945B72" w:rsidRDefault="00945B72">
      <w:pPr>
        <w:pStyle w:val="FootnoteText"/>
      </w:pPr>
      <w:r>
        <w:rPr>
          <w:rStyle w:val="FootnoteReference"/>
        </w:rPr>
        <w:footnoteRef/>
      </w:r>
      <w:r>
        <w:t xml:space="preserve"> UN Committee On Economic, Social And Cultural Rights, report into,  </w:t>
      </w:r>
      <w:r w:rsidRPr="00945B72">
        <w:t xml:space="preserve">France, Sweden, Honduras, Burkina Faso, the former Yugoslav Republic of Macedonia, Angola and the UK </w:t>
      </w:r>
      <w:r>
        <w:t xml:space="preserve">(2016) </w:t>
      </w:r>
      <w:hyperlink r:id="rId5" w:history="1">
        <w:r w:rsidRPr="00515F3E">
          <w:rPr>
            <w:rStyle w:val="Hyperlink"/>
          </w:rPr>
          <w:t>https://www.ohchr.org/EN/NewsEvents/Pages/DisplayNews.aspx?NewsID=20191&amp;LangID=E</w:t>
        </w:r>
      </w:hyperlink>
      <w:r>
        <w:t xml:space="preserve"> </w:t>
      </w:r>
    </w:p>
  </w:footnote>
  <w:footnote w:id="8">
    <w:p w14:paraId="3586F4CE" w14:textId="77777777" w:rsidR="00D274D7" w:rsidRDefault="00D274D7">
      <w:pPr>
        <w:pStyle w:val="FootnoteText"/>
      </w:pPr>
      <w:r>
        <w:rPr>
          <w:rStyle w:val="FootnoteReference"/>
        </w:rPr>
        <w:footnoteRef/>
      </w:r>
      <w:r>
        <w:t xml:space="preserve"> UNCRPD art. 24 on education should be directly tied into UNCRPD art. 27 to highlight the link between the two articles, not just regarding vocational training but from early childhood education. </w:t>
      </w:r>
      <w:r w:rsidR="001E6EE9">
        <w:t xml:space="preserve">Furthermore, the GC should stress how those who are placed in segregated school settings face larger obstacle trying to access today’s employment market and that therefore special schools should be abolished/phased out in favour of mainstream schooling. </w:t>
      </w:r>
    </w:p>
  </w:footnote>
  <w:footnote w:id="9">
    <w:p w14:paraId="2A114C21" w14:textId="77777777" w:rsidR="00750176" w:rsidRDefault="00750176" w:rsidP="00750176">
      <w:pPr>
        <w:pStyle w:val="FootnoteText"/>
      </w:pPr>
      <w:r>
        <w:rPr>
          <w:rStyle w:val="FootnoteReference"/>
        </w:rPr>
        <w:footnoteRef/>
      </w:r>
      <w:r>
        <w:t xml:space="preserve"> Report on the need for flexible working conditions </w:t>
      </w:r>
      <w:hyperlink r:id="rId6" w:history="1">
        <w:r w:rsidRPr="00A075F6">
          <w:rPr>
            <w:rStyle w:val="Hyperlink"/>
          </w:rPr>
          <w:t>https://workplaceinsight.net/flexible-working-practices-help-half-disabled-employees-stay-work-claims-report/</w:t>
        </w:r>
      </w:hyperlink>
      <w:r>
        <w:t xml:space="preserve"> </w:t>
      </w:r>
    </w:p>
  </w:footnote>
  <w:footnote w:id="10">
    <w:p w14:paraId="74A261D5" w14:textId="77777777" w:rsidR="00750176" w:rsidRDefault="00750176" w:rsidP="00750176">
      <w:pPr>
        <w:pStyle w:val="FootnoteText"/>
      </w:pPr>
      <w:r>
        <w:rPr>
          <w:rStyle w:val="FootnoteReference"/>
        </w:rPr>
        <w:footnoteRef/>
      </w:r>
      <w:r>
        <w:t xml:space="preserve"> European Network On Anti-Racism (ENAR) report (2020) on racism and intersectional discrimination in Europe, </w:t>
      </w:r>
      <w:hyperlink r:id="rId7" w:history="1">
        <w:r w:rsidRPr="00A075F6">
          <w:rPr>
            <w:rStyle w:val="Hyperlink"/>
          </w:rPr>
          <w:t>https://www.enar-eu.org/intersectionalityreport</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F0D23" w14:textId="0FFD9143" w:rsidR="00C02BF5" w:rsidRDefault="00C02BF5" w:rsidP="00C02BF5">
    <w:pPr>
      <w:pStyle w:val="Header"/>
      <w:jc w:val="right"/>
    </w:pPr>
    <w:r>
      <w:rPr>
        <w:noProof/>
        <w:lang w:eastAsia="en-GB"/>
      </w:rPr>
      <w:drawing>
        <wp:inline distT="0" distB="0" distL="0" distR="0" wp14:anchorId="0DBA78E8" wp14:editId="45BD0D49">
          <wp:extent cx="10922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2200" cy="11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D321AA"/>
    <w:multiLevelType w:val="hybridMultilevel"/>
    <w:tmpl w:val="0540BC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CB4C5F"/>
    <w:multiLevelType w:val="hybridMultilevel"/>
    <w:tmpl w:val="3A2CF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AB18B0"/>
    <w:multiLevelType w:val="hybridMultilevel"/>
    <w:tmpl w:val="7FF2C8D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1E"/>
    <w:rsid w:val="0000548B"/>
    <w:rsid w:val="00150BDA"/>
    <w:rsid w:val="00192B3A"/>
    <w:rsid w:val="001B1C61"/>
    <w:rsid w:val="001E6EE9"/>
    <w:rsid w:val="001F6126"/>
    <w:rsid w:val="002B7D7B"/>
    <w:rsid w:val="0031025A"/>
    <w:rsid w:val="00323BB0"/>
    <w:rsid w:val="00380526"/>
    <w:rsid w:val="003D6B26"/>
    <w:rsid w:val="004915C9"/>
    <w:rsid w:val="00567507"/>
    <w:rsid w:val="006857F1"/>
    <w:rsid w:val="00750176"/>
    <w:rsid w:val="007556BA"/>
    <w:rsid w:val="007A07C3"/>
    <w:rsid w:val="007C70B6"/>
    <w:rsid w:val="00945B72"/>
    <w:rsid w:val="00953B1E"/>
    <w:rsid w:val="009735C0"/>
    <w:rsid w:val="00B71D61"/>
    <w:rsid w:val="00C02BF5"/>
    <w:rsid w:val="00CF39D0"/>
    <w:rsid w:val="00D274D7"/>
    <w:rsid w:val="00D37AA2"/>
    <w:rsid w:val="00D42C03"/>
    <w:rsid w:val="00E34057"/>
    <w:rsid w:val="00E5753E"/>
    <w:rsid w:val="00E87960"/>
    <w:rsid w:val="00EC5FA0"/>
    <w:rsid w:val="00FA7655"/>
    <w:rsid w:val="14B99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BBCD"/>
  <w15:chartTrackingRefBased/>
  <w15:docId w15:val="{67461661-A213-494E-B45B-51590A35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D7B"/>
  </w:style>
  <w:style w:type="paragraph" w:styleId="Heading2">
    <w:name w:val="heading 2"/>
    <w:next w:val="Body"/>
    <w:link w:val="Heading2Char"/>
    <w:rsid w:val="00C02BF5"/>
    <w:pPr>
      <w:keepNext/>
      <w:keepLines/>
      <w:pBdr>
        <w:top w:val="nil"/>
        <w:left w:val="nil"/>
        <w:bottom w:val="nil"/>
        <w:right w:val="nil"/>
        <w:between w:val="nil"/>
        <w:bar w:val="nil"/>
      </w:pBdr>
      <w:spacing w:before="200" w:after="0" w:line="240" w:lineRule="auto"/>
      <w:outlineLvl w:val="1"/>
    </w:pPr>
    <w:rPr>
      <w:rFonts w:ascii="Calibri" w:eastAsia="Calibri" w:hAnsi="Calibri" w:cs="Calibri"/>
      <w:b/>
      <w:bCs/>
      <w:color w:val="4F81BD"/>
      <w:sz w:val="26"/>
      <w:szCs w:val="26"/>
      <w:u w:color="4F81BD"/>
      <w:bdr w:val="nil"/>
      <w:lang w:val="en-US"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BDA"/>
    <w:pPr>
      <w:ind w:left="720"/>
      <w:contextualSpacing/>
    </w:pPr>
  </w:style>
  <w:style w:type="paragraph" w:styleId="FootnoteText">
    <w:name w:val="footnote text"/>
    <w:basedOn w:val="Normal"/>
    <w:link w:val="FootnoteTextChar"/>
    <w:unhideWhenUsed/>
    <w:rsid w:val="00150BDA"/>
    <w:pPr>
      <w:spacing w:after="0" w:line="240" w:lineRule="auto"/>
    </w:pPr>
    <w:rPr>
      <w:sz w:val="20"/>
      <w:szCs w:val="20"/>
    </w:rPr>
  </w:style>
  <w:style w:type="character" w:customStyle="1" w:styleId="FootnoteTextChar">
    <w:name w:val="Footnote Text Char"/>
    <w:basedOn w:val="DefaultParagraphFont"/>
    <w:link w:val="FootnoteText"/>
    <w:rsid w:val="00150BDA"/>
    <w:rPr>
      <w:sz w:val="20"/>
      <w:szCs w:val="20"/>
    </w:rPr>
  </w:style>
  <w:style w:type="character" w:styleId="FootnoteReference">
    <w:name w:val="footnote reference"/>
    <w:basedOn w:val="DefaultParagraphFont"/>
    <w:uiPriority w:val="99"/>
    <w:semiHidden/>
    <w:unhideWhenUsed/>
    <w:rsid w:val="00150BDA"/>
    <w:rPr>
      <w:vertAlign w:val="superscript"/>
    </w:rPr>
  </w:style>
  <w:style w:type="character" w:styleId="Hyperlink">
    <w:name w:val="Hyperlink"/>
    <w:basedOn w:val="DefaultParagraphFont"/>
    <w:uiPriority w:val="99"/>
    <w:unhideWhenUsed/>
    <w:rsid w:val="00B71D61"/>
    <w:rPr>
      <w:color w:val="0563C1" w:themeColor="hyperlink"/>
      <w:u w:val="single"/>
    </w:rPr>
  </w:style>
  <w:style w:type="character" w:customStyle="1" w:styleId="Heading2Char">
    <w:name w:val="Heading 2 Char"/>
    <w:basedOn w:val="DefaultParagraphFont"/>
    <w:link w:val="Heading2"/>
    <w:rsid w:val="00C02BF5"/>
    <w:rPr>
      <w:rFonts w:ascii="Calibri" w:eastAsia="Calibri" w:hAnsi="Calibri" w:cs="Calibri"/>
      <w:b/>
      <w:bCs/>
      <w:color w:val="4F81BD"/>
      <w:sz w:val="26"/>
      <w:szCs w:val="26"/>
      <w:u w:color="4F81BD"/>
      <w:bdr w:val="nil"/>
      <w:lang w:val="en-US" w:eastAsia="nl-BE"/>
    </w:rPr>
  </w:style>
  <w:style w:type="paragraph" w:customStyle="1" w:styleId="Heading">
    <w:name w:val="Heading"/>
    <w:next w:val="Body"/>
    <w:rsid w:val="00C02BF5"/>
    <w:pPr>
      <w:keepNext/>
      <w:keepLines/>
      <w:pBdr>
        <w:top w:val="nil"/>
        <w:left w:val="nil"/>
        <w:bottom w:val="nil"/>
        <w:right w:val="nil"/>
        <w:between w:val="nil"/>
        <w:bar w:val="nil"/>
      </w:pBdr>
      <w:spacing w:before="480" w:after="0" w:line="240" w:lineRule="auto"/>
      <w:outlineLvl w:val="0"/>
    </w:pPr>
    <w:rPr>
      <w:rFonts w:ascii="Calibri" w:eastAsia="Calibri" w:hAnsi="Calibri" w:cs="Calibri"/>
      <w:b/>
      <w:bCs/>
      <w:color w:val="345A8A"/>
      <w:sz w:val="32"/>
      <w:szCs w:val="32"/>
      <w:u w:color="345A8A"/>
      <w:bdr w:val="nil"/>
      <w:lang w:val="en-US" w:eastAsia="nl-BE"/>
    </w:rPr>
  </w:style>
  <w:style w:type="paragraph" w:customStyle="1" w:styleId="Body">
    <w:name w:val="Body"/>
    <w:rsid w:val="00C02BF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nl-BE"/>
    </w:rPr>
  </w:style>
  <w:style w:type="paragraph" w:styleId="Header">
    <w:name w:val="header"/>
    <w:basedOn w:val="Normal"/>
    <w:link w:val="HeaderChar"/>
    <w:uiPriority w:val="99"/>
    <w:unhideWhenUsed/>
    <w:rsid w:val="00C02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BF5"/>
  </w:style>
  <w:style w:type="paragraph" w:styleId="Footer">
    <w:name w:val="footer"/>
    <w:basedOn w:val="Normal"/>
    <w:link w:val="FooterChar"/>
    <w:uiPriority w:val="99"/>
    <w:unhideWhenUsed/>
    <w:rsid w:val="00C02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nil.eu/wp-content/uploads/2012/06/Independent-Living-Manual-FINAL.pdf" TargetMode="External"/><Relationship Id="rId7" Type="http://schemas.openxmlformats.org/officeDocument/2006/relationships/hyperlink" Target="https://www.enar-eu.org/intersectionalityreport" TargetMode="External"/><Relationship Id="rId2" Type="http://schemas.openxmlformats.org/officeDocument/2006/relationships/hyperlink" Target="https://enil.eu/wp-content/uploads/2020/12/Study_EP_EN_09122020.pdf" TargetMode="External"/><Relationship Id="rId1" Type="http://schemas.openxmlformats.org/officeDocument/2006/relationships/hyperlink" Target="file:///C:\Users\Frank%20ENIL\Documents\ENIL's%20Written%20Contribution.docx" TargetMode="External"/><Relationship Id="rId6" Type="http://schemas.openxmlformats.org/officeDocument/2006/relationships/hyperlink" Target="https://workplaceinsight.net/flexible-working-practices-help-half-disabled-employees-stay-work-claims-report/" TargetMode="External"/><Relationship Id="rId5" Type="http://schemas.openxmlformats.org/officeDocument/2006/relationships/hyperlink" Target="https://www.ohchr.org/EN/NewsEvents/Pages/DisplayNews.aspx?NewsID=20191&amp;LangID=E" TargetMode="External"/><Relationship Id="rId4" Type="http://schemas.openxmlformats.org/officeDocument/2006/relationships/hyperlink" Target="https://www.equalityni.org/ECNI/media/ECNI/Publications/Corporate/IMNI%20meetings/2017/CRPD17-1-6Jan17OverviewCRPDInquir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74F0A6-1750-4C44-8501-ACFF89061A59}">
  <ds:schemaRefs>
    <ds:schemaRef ds:uri="http://schemas.openxmlformats.org/officeDocument/2006/bibliography"/>
  </ds:schemaRefs>
</ds:datastoreItem>
</file>

<file path=customXml/itemProps2.xml><?xml version="1.0" encoding="utf-8"?>
<ds:datastoreItem xmlns:ds="http://schemas.openxmlformats.org/officeDocument/2006/customXml" ds:itemID="{7E391538-950D-4D3B-B12A-332021C6A426}"/>
</file>

<file path=customXml/itemProps3.xml><?xml version="1.0" encoding="utf-8"?>
<ds:datastoreItem xmlns:ds="http://schemas.openxmlformats.org/officeDocument/2006/customXml" ds:itemID="{00C3368D-C682-4588-ADA6-7C9A166ABADB}"/>
</file>

<file path=customXml/itemProps4.xml><?xml version="1.0" encoding="utf-8"?>
<ds:datastoreItem xmlns:ds="http://schemas.openxmlformats.org/officeDocument/2006/customXml" ds:itemID="{FEA87CFF-BE4A-40E0-B419-0E06102D2AA8}"/>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5071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ENIL</dc:creator>
  <cp:keywords/>
  <dc:description/>
  <cp:lastModifiedBy>ISKAKOVA Janna</cp:lastModifiedBy>
  <cp:revision>2</cp:revision>
  <dcterms:created xsi:type="dcterms:W3CDTF">2021-12-07T16:48:00Z</dcterms:created>
  <dcterms:modified xsi:type="dcterms:W3CDTF">2021-12-07T16:48:00Z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