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B55B1" w14:textId="47984304" w:rsidR="00A34806" w:rsidRPr="00EE4B9E" w:rsidRDefault="005A6F71" w:rsidP="005A6F71">
      <w:pPr>
        <w:pStyle w:val="Footer"/>
        <w:tabs>
          <w:tab w:val="clear" w:pos="9026"/>
          <w:tab w:val="left" w:pos="426"/>
          <w:tab w:val="right" w:pos="8931"/>
        </w:tabs>
        <w:spacing w:after="240"/>
        <w:ind w:right="-334"/>
        <w:jc w:val="center"/>
        <w:rPr>
          <w:color w:val="2E52A3"/>
        </w:rPr>
      </w:pPr>
      <w:bookmarkStart w:id="0" w:name="_GoBack"/>
      <w:bookmarkEnd w:id="0"/>
      <w:r w:rsidRPr="005A6F71">
        <w:rPr>
          <w:noProof/>
          <w:color w:val="2E52A3"/>
        </w:rPr>
        <w:drawing>
          <wp:inline distT="0" distB="0" distL="0" distR="0" wp14:anchorId="5E2E9756" wp14:editId="3C709F33">
            <wp:extent cx="2870200" cy="102870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8"/>
                    <a:stretch>
                      <a:fillRect/>
                    </a:stretch>
                  </pic:blipFill>
                  <pic:spPr>
                    <a:xfrm>
                      <a:off x="0" y="0"/>
                      <a:ext cx="2870200" cy="1028700"/>
                    </a:xfrm>
                    <a:prstGeom prst="rect">
                      <a:avLst/>
                    </a:prstGeom>
                  </pic:spPr>
                </pic:pic>
              </a:graphicData>
            </a:graphic>
          </wp:inline>
        </w:drawing>
      </w:r>
    </w:p>
    <w:p w14:paraId="1DD6B2A5" w14:textId="2480F459" w:rsidR="0085597C" w:rsidRPr="00E67944" w:rsidRDefault="00A34806" w:rsidP="00A24990">
      <w:pPr>
        <w:pStyle w:val="Footer"/>
        <w:tabs>
          <w:tab w:val="clear" w:pos="9026"/>
          <w:tab w:val="left" w:pos="426"/>
          <w:tab w:val="right" w:pos="8931"/>
        </w:tabs>
        <w:spacing w:after="240"/>
        <w:ind w:right="-334"/>
        <w:jc w:val="center"/>
        <w:rPr>
          <w:color w:val="2E52A3"/>
          <w:sz w:val="21"/>
          <w:szCs w:val="21"/>
        </w:rPr>
      </w:pPr>
      <w:r w:rsidRPr="00E67944">
        <w:rPr>
          <w:color w:val="2E52A3"/>
          <w:sz w:val="21"/>
          <w:szCs w:val="21"/>
        </w:rPr>
        <w:t>African Disability Forum, Arab Organization of Persons with Disabilities, ASEAN Disability Forum, Down Syndrome International, European Disability Forum, Inclusion International,</w:t>
      </w:r>
      <w:r w:rsidR="0085597C" w:rsidRPr="00E67944">
        <w:rPr>
          <w:color w:val="2E52A3"/>
          <w:sz w:val="21"/>
          <w:szCs w:val="21"/>
        </w:rPr>
        <w:t xml:space="preserve"> </w:t>
      </w:r>
      <w:r w:rsidRPr="00E67944">
        <w:rPr>
          <w:color w:val="2E52A3"/>
          <w:sz w:val="21"/>
          <w:szCs w:val="21"/>
        </w:rPr>
        <w:t xml:space="preserve">International Federation of Hard of Hearing People, </w:t>
      </w:r>
      <w:r w:rsidRPr="00E67944">
        <w:rPr>
          <w:bCs/>
          <w:color w:val="2E52A3"/>
          <w:sz w:val="21"/>
          <w:szCs w:val="21"/>
        </w:rPr>
        <w:t>International Federation for Spina Bifida and Hydrocephalus</w:t>
      </w:r>
      <w:r w:rsidRPr="00E67944">
        <w:rPr>
          <w:color w:val="2E52A3"/>
          <w:sz w:val="21"/>
          <w:szCs w:val="21"/>
        </w:rPr>
        <w:t>, Latin American Network of Non-Governmental Organizations of Persons with Disabilities and their Families, Pacific Disability Forum, World Blind Union, World Federation of the Deaf, World Federation of the DeafBlind, World Network of Users and Survivors of Psychiatry</w:t>
      </w:r>
    </w:p>
    <w:p w14:paraId="013C009E" w14:textId="77777777" w:rsidR="00ED1A14" w:rsidRDefault="00ED1A14" w:rsidP="00F55ADC">
      <w:pPr>
        <w:pStyle w:val="Heading1"/>
        <w:jc w:val="center"/>
        <w:rPr>
          <w:sz w:val="36"/>
          <w:szCs w:val="36"/>
        </w:rPr>
      </w:pPr>
      <w:bookmarkStart w:id="1" w:name="_Toc90230119"/>
    </w:p>
    <w:p w14:paraId="57A98CEA" w14:textId="27F8720C" w:rsidR="00E67944" w:rsidRPr="00F55ADC" w:rsidRDefault="0053714B" w:rsidP="00F55ADC">
      <w:pPr>
        <w:pStyle w:val="Heading1"/>
        <w:jc w:val="center"/>
        <w:rPr>
          <w:sz w:val="36"/>
          <w:szCs w:val="36"/>
        </w:rPr>
      </w:pPr>
      <w:r w:rsidRPr="00F55ADC">
        <w:rPr>
          <w:sz w:val="36"/>
          <w:szCs w:val="36"/>
        </w:rPr>
        <w:t>IDA</w:t>
      </w:r>
      <w:r w:rsidR="00624477" w:rsidRPr="00F55ADC">
        <w:rPr>
          <w:sz w:val="36"/>
          <w:szCs w:val="36"/>
        </w:rPr>
        <w:t>´s</w:t>
      </w:r>
      <w:r w:rsidRPr="00F55ADC">
        <w:rPr>
          <w:sz w:val="36"/>
          <w:szCs w:val="36"/>
        </w:rPr>
        <w:t xml:space="preserve"> submission </w:t>
      </w:r>
      <w:r w:rsidR="00E23DFF" w:rsidRPr="00F55ADC">
        <w:rPr>
          <w:sz w:val="36"/>
          <w:szCs w:val="36"/>
        </w:rPr>
        <w:t xml:space="preserve">on the </w:t>
      </w:r>
      <w:r w:rsidR="00B6009F" w:rsidRPr="00F55ADC">
        <w:rPr>
          <w:sz w:val="36"/>
          <w:szCs w:val="36"/>
        </w:rPr>
        <w:t>CRPD</w:t>
      </w:r>
      <w:r w:rsidR="00E23DFF" w:rsidRPr="00F55ADC">
        <w:rPr>
          <w:sz w:val="36"/>
          <w:szCs w:val="36"/>
        </w:rPr>
        <w:t xml:space="preserve"> Committee</w:t>
      </w:r>
      <w:r w:rsidR="0079157C" w:rsidRPr="00F55ADC">
        <w:rPr>
          <w:sz w:val="36"/>
          <w:szCs w:val="36"/>
        </w:rPr>
        <w:t>’s</w:t>
      </w:r>
      <w:r w:rsidR="00E23DFF" w:rsidRPr="00F55ADC">
        <w:rPr>
          <w:sz w:val="36"/>
          <w:szCs w:val="36"/>
        </w:rPr>
        <w:t xml:space="preserve"> </w:t>
      </w:r>
      <w:r w:rsidR="00B6009F" w:rsidRPr="00F55ADC">
        <w:rPr>
          <w:sz w:val="36"/>
          <w:szCs w:val="36"/>
        </w:rPr>
        <w:t>draft g</w:t>
      </w:r>
      <w:r w:rsidR="0079157C" w:rsidRPr="00F55ADC">
        <w:rPr>
          <w:sz w:val="36"/>
          <w:szCs w:val="36"/>
        </w:rPr>
        <w:t xml:space="preserve">eneral comment No. </w:t>
      </w:r>
      <w:r w:rsidR="00B6009F" w:rsidRPr="00F55ADC">
        <w:rPr>
          <w:sz w:val="36"/>
          <w:szCs w:val="36"/>
        </w:rPr>
        <w:t>8</w:t>
      </w:r>
      <w:r w:rsidR="0079157C" w:rsidRPr="00F55ADC">
        <w:rPr>
          <w:sz w:val="36"/>
          <w:szCs w:val="36"/>
        </w:rPr>
        <w:t xml:space="preserve"> (2021) on </w:t>
      </w:r>
      <w:r w:rsidR="00B6009F" w:rsidRPr="00F55ADC">
        <w:rPr>
          <w:sz w:val="36"/>
          <w:szCs w:val="36"/>
        </w:rPr>
        <w:t>Article 27 of the CRPD (work and employment)</w:t>
      </w:r>
      <w:bookmarkEnd w:id="1"/>
    </w:p>
    <w:p w14:paraId="49C0B479" w14:textId="1C28C164" w:rsidR="00E67944" w:rsidRDefault="00B6009F" w:rsidP="00ED1A14">
      <w:pPr>
        <w:tabs>
          <w:tab w:val="left" w:pos="426"/>
        </w:tabs>
        <w:spacing w:after="240"/>
        <w:jc w:val="center"/>
        <w:rPr>
          <w:rFonts w:ascii="Arial" w:hAnsi="Arial" w:cs="Arial"/>
        </w:rPr>
      </w:pPr>
      <w:r>
        <w:rPr>
          <w:rFonts w:ascii="Arial" w:hAnsi="Arial" w:cs="Arial"/>
          <w:lang w:val="es-ES"/>
        </w:rPr>
        <w:t>December</w:t>
      </w:r>
      <w:r w:rsidR="00624477" w:rsidRPr="00EE4B9E">
        <w:rPr>
          <w:rFonts w:ascii="Arial" w:hAnsi="Arial" w:cs="Arial"/>
        </w:rPr>
        <w:t xml:space="preserve"> 2021</w:t>
      </w:r>
    </w:p>
    <w:p w14:paraId="0FB3B6A8" w14:textId="722895FD" w:rsidR="004B4C09" w:rsidRDefault="00E67944">
      <w:pPr>
        <w:pStyle w:val="TOC1"/>
        <w:tabs>
          <w:tab w:val="right" w:leader="dot" w:pos="9019"/>
        </w:tabs>
        <w:rPr>
          <w:rFonts w:eastAsiaTheme="minorEastAsia" w:cstheme="minorBidi"/>
          <w:b w:val="0"/>
          <w:bCs w:val="0"/>
          <w:i w:val="0"/>
          <w:iCs w:val="0"/>
          <w:noProof/>
          <w:lang/>
        </w:rPr>
      </w:pPr>
      <w:r>
        <w:rPr>
          <w:rFonts w:ascii="Arial" w:hAnsi="Arial"/>
        </w:rPr>
        <w:fldChar w:fldCharType="begin"/>
      </w:r>
      <w:r>
        <w:rPr>
          <w:rFonts w:ascii="Arial" w:hAnsi="Arial"/>
        </w:rPr>
        <w:instrText xml:space="preserve"> TOC \o "1-3" \h \z \u </w:instrText>
      </w:r>
      <w:r>
        <w:rPr>
          <w:rFonts w:ascii="Arial" w:hAnsi="Arial"/>
        </w:rPr>
        <w:fldChar w:fldCharType="separate"/>
      </w:r>
      <w:hyperlink w:anchor="_Toc90230119" w:history="1">
        <w:r w:rsidR="004B4C09" w:rsidRPr="003814A9">
          <w:rPr>
            <w:rStyle w:val="Hyperlink"/>
            <w:noProof/>
          </w:rPr>
          <w:t>IDA´s submission on the CRPD Committee’s draft general comment No. 8 (2021) on Article 27 of the CRPD (work and employment)</w:t>
        </w:r>
        <w:r w:rsidR="004B4C09">
          <w:rPr>
            <w:noProof/>
            <w:webHidden/>
          </w:rPr>
          <w:tab/>
        </w:r>
        <w:r w:rsidR="004B4C09">
          <w:rPr>
            <w:noProof/>
            <w:webHidden/>
          </w:rPr>
          <w:fldChar w:fldCharType="begin"/>
        </w:r>
        <w:r w:rsidR="004B4C09">
          <w:rPr>
            <w:noProof/>
            <w:webHidden/>
          </w:rPr>
          <w:instrText xml:space="preserve"> PAGEREF _Toc90230119 \h </w:instrText>
        </w:r>
        <w:r w:rsidR="004B4C09">
          <w:rPr>
            <w:noProof/>
            <w:webHidden/>
          </w:rPr>
        </w:r>
        <w:r w:rsidR="004B4C09">
          <w:rPr>
            <w:noProof/>
            <w:webHidden/>
          </w:rPr>
          <w:fldChar w:fldCharType="separate"/>
        </w:r>
        <w:r w:rsidR="004B4C09">
          <w:rPr>
            <w:noProof/>
            <w:webHidden/>
          </w:rPr>
          <w:t>1</w:t>
        </w:r>
        <w:r w:rsidR="004B4C09">
          <w:rPr>
            <w:noProof/>
            <w:webHidden/>
          </w:rPr>
          <w:fldChar w:fldCharType="end"/>
        </w:r>
      </w:hyperlink>
    </w:p>
    <w:p w14:paraId="7C730925" w14:textId="4EF7CA67" w:rsidR="004B4C09" w:rsidRDefault="00182DC9">
      <w:pPr>
        <w:pStyle w:val="TOC2"/>
        <w:tabs>
          <w:tab w:val="left" w:pos="660"/>
          <w:tab w:val="right" w:leader="dot" w:pos="9019"/>
        </w:tabs>
        <w:rPr>
          <w:rFonts w:eastAsiaTheme="minorEastAsia" w:cstheme="minorBidi"/>
          <w:b w:val="0"/>
          <w:bCs w:val="0"/>
          <w:noProof/>
          <w:sz w:val="24"/>
          <w:szCs w:val="24"/>
          <w:lang/>
        </w:rPr>
      </w:pPr>
      <w:hyperlink w:anchor="_Toc90230120" w:history="1">
        <w:r w:rsidR="004B4C09" w:rsidRPr="003814A9">
          <w:rPr>
            <w:rStyle w:val="Hyperlink"/>
            <w:noProof/>
          </w:rPr>
          <w:t>I.</w:t>
        </w:r>
        <w:r w:rsidR="004B4C09">
          <w:rPr>
            <w:rFonts w:eastAsiaTheme="minorEastAsia" w:cstheme="minorBidi"/>
            <w:b w:val="0"/>
            <w:bCs w:val="0"/>
            <w:noProof/>
            <w:sz w:val="24"/>
            <w:szCs w:val="24"/>
            <w:lang/>
          </w:rPr>
          <w:tab/>
        </w:r>
        <w:r w:rsidR="004B4C09" w:rsidRPr="003814A9">
          <w:rPr>
            <w:rStyle w:val="Hyperlink"/>
            <w:noProof/>
          </w:rPr>
          <w:t>Introduction</w:t>
        </w:r>
        <w:r w:rsidR="004B4C09">
          <w:rPr>
            <w:noProof/>
            <w:webHidden/>
          </w:rPr>
          <w:tab/>
        </w:r>
        <w:r w:rsidR="004B4C09">
          <w:rPr>
            <w:noProof/>
            <w:webHidden/>
          </w:rPr>
          <w:fldChar w:fldCharType="begin"/>
        </w:r>
        <w:r w:rsidR="004B4C09">
          <w:rPr>
            <w:noProof/>
            <w:webHidden/>
          </w:rPr>
          <w:instrText xml:space="preserve"> PAGEREF _Toc90230120 \h </w:instrText>
        </w:r>
        <w:r w:rsidR="004B4C09">
          <w:rPr>
            <w:noProof/>
            <w:webHidden/>
          </w:rPr>
        </w:r>
        <w:r w:rsidR="004B4C09">
          <w:rPr>
            <w:noProof/>
            <w:webHidden/>
          </w:rPr>
          <w:fldChar w:fldCharType="separate"/>
        </w:r>
        <w:r w:rsidR="004B4C09">
          <w:rPr>
            <w:noProof/>
            <w:webHidden/>
          </w:rPr>
          <w:t>2</w:t>
        </w:r>
        <w:r w:rsidR="004B4C09">
          <w:rPr>
            <w:noProof/>
            <w:webHidden/>
          </w:rPr>
          <w:fldChar w:fldCharType="end"/>
        </w:r>
      </w:hyperlink>
    </w:p>
    <w:p w14:paraId="6432C088" w14:textId="0CA62BB7" w:rsidR="004B4C09" w:rsidRDefault="00182DC9">
      <w:pPr>
        <w:pStyle w:val="TOC2"/>
        <w:tabs>
          <w:tab w:val="left" w:pos="660"/>
          <w:tab w:val="right" w:leader="dot" w:pos="9019"/>
        </w:tabs>
        <w:rPr>
          <w:rFonts w:eastAsiaTheme="minorEastAsia" w:cstheme="minorBidi"/>
          <w:b w:val="0"/>
          <w:bCs w:val="0"/>
          <w:noProof/>
          <w:sz w:val="24"/>
          <w:szCs w:val="24"/>
          <w:lang/>
        </w:rPr>
      </w:pPr>
      <w:hyperlink w:anchor="_Toc90230121" w:history="1">
        <w:r w:rsidR="004B4C09" w:rsidRPr="003814A9">
          <w:rPr>
            <w:rStyle w:val="Hyperlink"/>
            <w:noProof/>
          </w:rPr>
          <w:t>II.</w:t>
        </w:r>
        <w:r w:rsidR="004B4C09">
          <w:rPr>
            <w:rFonts w:eastAsiaTheme="minorEastAsia" w:cstheme="minorBidi"/>
            <w:b w:val="0"/>
            <w:bCs w:val="0"/>
            <w:noProof/>
            <w:sz w:val="24"/>
            <w:szCs w:val="24"/>
            <w:lang/>
          </w:rPr>
          <w:tab/>
        </w:r>
        <w:r w:rsidR="004B4C09" w:rsidRPr="003814A9">
          <w:rPr>
            <w:rStyle w:val="Hyperlink"/>
            <w:noProof/>
          </w:rPr>
          <w:t>Consultation’s process: limited timeframes restrict participation, and undermine quality and legitimacy</w:t>
        </w:r>
        <w:r w:rsidR="004B4C09">
          <w:rPr>
            <w:noProof/>
            <w:webHidden/>
          </w:rPr>
          <w:tab/>
        </w:r>
        <w:r w:rsidR="004B4C09">
          <w:rPr>
            <w:noProof/>
            <w:webHidden/>
          </w:rPr>
          <w:fldChar w:fldCharType="begin"/>
        </w:r>
        <w:r w:rsidR="004B4C09">
          <w:rPr>
            <w:noProof/>
            <w:webHidden/>
          </w:rPr>
          <w:instrText xml:space="preserve"> PAGEREF _Toc90230121 \h </w:instrText>
        </w:r>
        <w:r w:rsidR="004B4C09">
          <w:rPr>
            <w:noProof/>
            <w:webHidden/>
          </w:rPr>
        </w:r>
        <w:r w:rsidR="004B4C09">
          <w:rPr>
            <w:noProof/>
            <w:webHidden/>
          </w:rPr>
          <w:fldChar w:fldCharType="separate"/>
        </w:r>
        <w:r w:rsidR="004B4C09">
          <w:rPr>
            <w:noProof/>
            <w:webHidden/>
          </w:rPr>
          <w:t>2</w:t>
        </w:r>
        <w:r w:rsidR="004B4C09">
          <w:rPr>
            <w:noProof/>
            <w:webHidden/>
          </w:rPr>
          <w:fldChar w:fldCharType="end"/>
        </w:r>
      </w:hyperlink>
    </w:p>
    <w:p w14:paraId="0A11176C" w14:textId="4656E365" w:rsidR="004B4C09" w:rsidRDefault="00182DC9">
      <w:pPr>
        <w:pStyle w:val="TOC2"/>
        <w:tabs>
          <w:tab w:val="left" w:pos="880"/>
          <w:tab w:val="right" w:leader="dot" w:pos="9019"/>
        </w:tabs>
        <w:rPr>
          <w:rFonts w:eastAsiaTheme="minorEastAsia" w:cstheme="minorBidi"/>
          <w:b w:val="0"/>
          <w:bCs w:val="0"/>
          <w:noProof/>
          <w:sz w:val="24"/>
          <w:szCs w:val="24"/>
          <w:lang/>
        </w:rPr>
      </w:pPr>
      <w:hyperlink w:anchor="_Toc90230122" w:history="1">
        <w:r w:rsidR="004B4C09" w:rsidRPr="003814A9">
          <w:rPr>
            <w:rStyle w:val="Hyperlink"/>
            <w:noProof/>
          </w:rPr>
          <w:t>III.</w:t>
        </w:r>
        <w:r w:rsidR="004B4C09">
          <w:rPr>
            <w:rFonts w:eastAsiaTheme="minorEastAsia" w:cstheme="minorBidi"/>
            <w:b w:val="0"/>
            <w:bCs w:val="0"/>
            <w:noProof/>
            <w:sz w:val="24"/>
            <w:szCs w:val="24"/>
            <w:lang/>
          </w:rPr>
          <w:tab/>
        </w:r>
        <w:r w:rsidR="004B4C09" w:rsidRPr="003814A9">
          <w:rPr>
            <w:rStyle w:val="Hyperlink"/>
            <w:noProof/>
          </w:rPr>
          <w:t>IDA’s comments on the draft general comment no 8 on article 27 (work and employment)</w:t>
        </w:r>
        <w:r w:rsidR="004B4C09">
          <w:rPr>
            <w:noProof/>
            <w:webHidden/>
          </w:rPr>
          <w:tab/>
        </w:r>
        <w:r w:rsidR="004B4C09">
          <w:rPr>
            <w:noProof/>
            <w:webHidden/>
          </w:rPr>
          <w:fldChar w:fldCharType="begin"/>
        </w:r>
        <w:r w:rsidR="004B4C09">
          <w:rPr>
            <w:noProof/>
            <w:webHidden/>
          </w:rPr>
          <w:instrText xml:space="preserve"> PAGEREF _Toc90230122 \h </w:instrText>
        </w:r>
        <w:r w:rsidR="004B4C09">
          <w:rPr>
            <w:noProof/>
            <w:webHidden/>
          </w:rPr>
        </w:r>
        <w:r w:rsidR="004B4C09">
          <w:rPr>
            <w:noProof/>
            <w:webHidden/>
          </w:rPr>
          <w:fldChar w:fldCharType="separate"/>
        </w:r>
        <w:r w:rsidR="004B4C09">
          <w:rPr>
            <w:noProof/>
            <w:webHidden/>
          </w:rPr>
          <w:t>3</w:t>
        </w:r>
        <w:r w:rsidR="004B4C09">
          <w:rPr>
            <w:noProof/>
            <w:webHidden/>
          </w:rPr>
          <w:fldChar w:fldCharType="end"/>
        </w:r>
      </w:hyperlink>
    </w:p>
    <w:p w14:paraId="4CBC40EE" w14:textId="26A67D20" w:rsidR="004B4C09" w:rsidRDefault="00182DC9">
      <w:pPr>
        <w:pStyle w:val="TOC3"/>
        <w:tabs>
          <w:tab w:val="right" w:leader="dot" w:pos="9019"/>
        </w:tabs>
        <w:rPr>
          <w:rFonts w:eastAsiaTheme="minorEastAsia" w:cstheme="minorBidi"/>
          <w:noProof/>
          <w:sz w:val="24"/>
          <w:szCs w:val="24"/>
          <w:lang/>
        </w:rPr>
      </w:pPr>
      <w:hyperlink w:anchor="_Toc90230123" w:history="1">
        <w:r w:rsidR="004B4C09" w:rsidRPr="003814A9">
          <w:rPr>
            <w:rStyle w:val="Hyperlink"/>
            <w:b/>
            <w:bCs/>
            <w:noProof/>
          </w:rPr>
          <w:t>A- Need to enhance references and language connected to Article 4(3) and 33(3) of the CRPD on involvement of organizations of persons with disabilities in CRPD implementation and monitoring</w:t>
        </w:r>
        <w:r w:rsidR="004B4C09">
          <w:rPr>
            <w:noProof/>
            <w:webHidden/>
          </w:rPr>
          <w:tab/>
        </w:r>
        <w:r w:rsidR="004B4C09">
          <w:rPr>
            <w:noProof/>
            <w:webHidden/>
          </w:rPr>
          <w:fldChar w:fldCharType="begin"/>
        </w:r>
        <w:r w:rsidR="004B4C09">
          <w:rPr>
            <w:noProof/>
            <w:webHidden/>
          </w:rPr>
          <w:instrText xml:space="preserve"> PAGEREF _Toc90230123 \h </w:instrText>
        </w:r>
        <w:r w:rsidR="004B4C09">
          <w:rPr>
            <w:noProof/>
            <w:webHidden/>
          </w:rPr>
        </w:r>
        <w:r w:rsidR="004B4C09">
          <w:rPr>
            <w:noProof/>
            <w:webHidden/>
          </w:rPr>
          <w:fldChar w:fldCharType="separate"/>
        </w:r>
        <w:r w:rsidR="004B4C09">
          <w:rPr>
            <w:noProof/>
            <w:webHidden/>
          </w:rPr>
          <w:t>3</w:t>
        </w:r>
        <w:r w:rsidR="004B4C09">
          <w:rPr>
            <w:noProof/>
            <w:webHidden/>
          </w:rPr>
          <w:fldChar w:fldCharType="end"/>
        </w:r>
      </w:hyperlink>
    </w:p>
    <w:p w14:paraId="6D13DB3A" w14:textId="6B4C3B6D" w:rsidR="004B4C09" w:rsidRDefault="00182DC9">
      <w:pPr>
        <w:pStyle w:val="TOC3"/>
        <w:tabs>
          <w:tab w:val="right" w:leader="dot" w:pos="9019"/>
        </w:tabs>
        <w:rPr>
          <w:rFonts w:eastAsiaTheme="minorEastAsia" w:cstheme="minorBidi"/>
          <w:noProof/>
          <w:sz w:val="24"/>
          <w:szCs w:val="24"/>
          <w:lang/>
        </w:rPr>
      </w:pPr>
      <w:hyperlink w:anchor="_Toc90230124" w:history="1">
        <w:r w:rsidR="004B4C09" w:rsidRPr="003814A9">
          <w:rPr>
            <w:rStyle w:val="Hyperlink"/>
            <w:b/>
            <w:bCs/>
            <w:noProof/>
          </w:rPr>
          <w:t>B- Need to contextualise the reflection on ableism and prejudice to the context of work and employment</w:t>
        </w:r>
        <w:r w:rsidR="004B4C09">
          <w:rPr>
            <w:noProof/>
            <w:webHidden/>
          </w:rPr>
          <w:tab/>
        </w:r>
        <w:r w:rsidR="004B4C09">
          <w:rPr>
            <w:noProof/>
            <w:webHidden/>
          </w:rPr>
          <w:fldChar w:fldCharType="begin"/>
        </w:r>
        <w:r w:rsidR="004B4C09">
          <w:rPr>
            <w:noProof/>
            <w:webHidden/>
          </w:rPr>
          <w:instrText xml:space="preserve"> PAGEREF _Toc90230124 \h </w:instrText>
        </w:r>
        <w:r w:rsidR="004B4C09">
          <w:rPr>
            <w:noProof/>
            <w:webHidden/>
          </w:rPr>
        </w:r>
        <w:r w:rsidR="004B4C09">
          <w:rPr>
            <w:noProof/>
            <w:webHidden/>
          </w:rPr>
          <w:fldChar w:fldCharType="separate"/>
        </w:r>
        <w:r w:rsidR="004B4C09">
          <w:rPr>
            <w:noProof/>
            <w:webHidden/>
          </w:rPr>
          <w:t>4</w:t>
        </w:r>
        <w:r w:rsidR="004B4C09">
          <w:rPr>
            <w:noProof/>
            <w:webHidden/>
          </w:rPr>
          <w:fldChar w:fldCharType="end"/>
        </w:r>
      </w:hyperlink>
    </w:p>
    <w:p w14:paraId="2DCE2812" w14:textId="4373FF8C" w:rsidR="004B4C09" w:rsidRDefault="00182DC9">
      <w:pPr>
        <w:pStyle w:val="TOC3"/>
        <w:tabs>
          <w:tab w:val="right" w:leader="dot" w:pos="9019"/>
        </w:tabs>
        <w:rPr>
          <w:rFonts w:eastAsiaTheme="minorEastAsia" w:cstheme="minorBidi"/>
          <w:noProof/>
          <w:sz w:val="24"/>
          <w:szCs w:val="24"/>
          <w:lang/>
        </w:rPr>
      </w:pPr>
      <w:hyperlink w:anchor="_Toc90230125" w:history="1">
        <w:r w:rsidR="004B4C09" w:rsidRPr="003814A9">
          <w:rPr>
            <w:rStyle w:val="Hyperlink"/>
            <w:b/>
            <w:bCs/>
            <w:noProof/>
          </w:rPr>
          <w:t>C- Need to better reflect the diversity among persons with disabilities</w:t>
        </w:r>
        <w:r w:rsidR="004B4C09">
          <w:rPr>
            <w:noProof/>
            <w:webHidden/>
          </w:rPr>
          <w:tab/>
        </w:r>
        <w:r w:rsidR="004B4C09">
          <w:rPr>
            <w:noProof/>
            <w:webHidden/>
          </w:rPr>
          <w:fldChar w:fldCharType="begin"/>
        </w:r>
        <w:r w:rsidR="004B4C09">
          <w:rPr>
            <w:noProof/>
            <w:webHidden/>
          </w:rPr>
          <w:instrText xml:space="preserve"> PAGEREF _Toc90230125 \h </w:instrText>
        </w:r>
        <w:r w:rsidR="004B4C09">
          <w:rPr>
            <w:noProof/>
            <w:webHidden/>
          </w:rPr>
        </w:r>
        <w:r w:rsidR="004B4C09">
          <w:rPr>
            <w:noProof/>
            <w:webHidden/>
          </w:rPr>
          <w:fldChar w:fldCharType="separate"/>
        </w:r>
        <w:r w:rsidR="004B4C09">
          <w:rPr>
            <w:noProof/>
            <w:webHidden/>
          </w:rPr>
          <w:t>5</w:t>
        </w:r>
        <w:r w:rsidR="004B4C09">
          <w:rPr>
            <w:noProof/>
            <w:webHidden/>
          </w:rPr>
          <w:fldChar w:fldCharType="end"/>
        </w:r>
      </w:hyperlink>
    </w:p>
    <w:p w14:paraId="58E418DF" w14:textId="51C741ED" w:rsidR="004B4C09" w:rsidRDefault="00182DC9">
      <w:pPr>
        <w:pStyle w:val="TOC3"/>
        <w:tabs>
          <w:tab w:val="right" w:leader="dot" w:pos="9019"/>
        </w:tabs>
        <w:rPr>
          <w:rFonts w:eastAsiaTheme="minorEastAsia" w:cstheme="minorBidi"/>
          <w:noProof/>
          <w:sz w:val="24"/>
          <w:szCs w:val="24"/>
          <w:lang/>
        </w:rPr>
      </w:pPr>
      <w:hyperlink w:anchor="_Toc90230126" w:history="1">
        <w:r w:rsidR="004B4C09" w:rsidRPr="003814A9">
          <w:rPr>
            <w:rStyle w:val="Hyperlink"/>
            <w:b/>
            <w:bCs/>
            <w:noProof/>
          </w:rPr>
          <w:t>E- Non-discrimination of persons with disabilities in the area of employment</w:t>
        </w:r>
        <w:r w:rsidR="004B4C09">
          <w:rPr>
            <w:noProof/>
            <w:webHidden/>
          </w:rPr>
          <w:tab/>
        </w:r>
        <w:r w:rsidR="004B4C09">
          <w:rPr>
            <w:noProof/>
            <w:webHidden/>
          </w:rPr>
          <w:fldChar w:fldCharType="begin"/>
        </w:r>
        <w:r w:rsidR="004B4C09">
          <w:rPr>
            <w:noProof/>
            <w:webHidden/>
          </w:rPr>
          <w:instrText xml:space="preserve"> PAGEREF _Toc90230126 \h </w:instrText>
        </w:r>
        <w:r w:rsidR="004B4C09">
          <w:rPr>
            <w:noProof/>
            <w:webHidden/>
          </w:rPr>
        </w:r>
        <w:r w:rsidR="004B4C09">
          <w:rPr>
            <w:noProof/>
            <w:webHidden/>
          </w:rPr>
          <w:fldChar w:fldCharType="separate"/>
        </w:r>
        <w:r w:rsidR="004B4C09">
          <w:rPr>
            <w:noProof/>
            <w:webHidden/>
          </w:rPr>
          <w:t>6</w:t>
        </w:r>
        <w:r w:rsidR="004B4C09">
          <w:rPr>
            <w:noProof/>
            <w:webHidden/>
          </w:rPr>
          <w:fldChar w:fldCharType="end"/>
        </w:r>
      </w:hyperlink>
    </w:p>
    <w:p w14:paraId="419B1727" w14:textId="438516A5" w:rsidR="004B4C09" w:rsidRDefault="00182DC9">
      <w:pPr>
        <w:pStyle w:val="TOC3"/>
        <w:tabs>
          <w:tab w:val="right" w:leader="dot" w:pos="9019"/>
        </w:tabs>
        <w:rPr>
          <w:rFonts w:eastAsiaTheme="minorEastAsia" w:cstheme="minorBidi"/>
          <w:noProof/>
          <w:sz w:val="24"/>
          <w:szCs w:val="24"/>
          <w:lang/>
        </w:rPr>
      </w:pPr>
      <w:hyperlink w:anchor="_Toc90230127" w:history="1">
        <w:r w:rsidR="004B4C09" w:rsidRPr="003814A9">
          <w:rPr>
            <w:rStyle w:val="Hyperlink"/>
            <w:b/>
            <w:bCs/>
            <w:noProof/>
          </w:rPr>
          <w:t>F- Affirmative actions to favour employment of persons with disabilities</w:t>
        </w:r>
        <w:r w:rsidR="004B4C09">
          <w:rPr>
            <w:noProof/>
            <w:webHidden/>
          </w:rPr>
          <w:tab/>
        </w:r>
        <w:r w:rsidR="004B4C09">
          <w:rPr>
            <w:noProof/>
            <w:webHidden/>
          </w:rPr>
          <w:fldChar w:fldCharType="begin"/>
        </w:r>
        <w:r w:rsidR="004B4C09">
          <w:rPr>
            <w:noProof/>
            <w:webHidden/>
          </w:rPr>
          <w:instrText xml:space="preserve"> PAGEREF _Toc90230127 \h </w:instrText>
        </w:r>
        <w:r w:rsidR="004B4C09">
          <w:rPr>
            <w:noProof/>
            <w:webHidden/>
          </w:rPr>
        </w:r>
        <w:r w:rsidR="004B4C09">
          <w:rPr>
            <w:noProof/>
            <w:webHidden/>
          </w:rPr>
          <w:fldChar w:fldCharType="separate"/>
        </w:r>
        <w:r w:rsidR="004B4C09">
          <w:rPr>
            <w:noProof/>
            <w:webHidden/>
          </w:rPr>
          <w:t>8</w:t>
        </w:r>
        <w:r w:rsidR="004B4C09">
          <w:rPr>
            <w:noProof/>
            <w:webHidden/>
          </w:rPr>
          <w:fldChar w:fldCharType="end"/>
        </w:r>
      </w:hyperlink>
    </w:p>
    <w:p w14:paraId="75D3FB79" w14:textId="41D8088B" w:rsidR="004B4C09" w:rsidRDefault="00182DC9">
      <w:pPr>
        <w:pStyle w:val="TOC3"/>
        <w:tabs>
          <w:tab w:val="right" w:leader="dot" w:pos="9019"/>
        </w:tabs>
        <w:rPr>
          <w:rFonts w:eastAsiaTheme="minorEastAsia" w:cstheme="minorBidi"/>
          <w:noProof/>
          <w:sz w:val="24"/>
          <w:szCs w:val="24"/>
          <w:lang/>
        </w:rPr>
      </w:pPr>
      <w:hyperlink w:anchor="_Toc90230128" w:history="1">
        <w:r w:rsidR="004B4C09" w:rsidRPr="003814A9">
          <w:rPr>
            <w:rStyle w:val="Hyperlink"/>
            <w:b/>
            <w:bCs/>
            <w:noProof/>
          </w:rPr>
          <w:t>G- Need for accurate and precise delimitations between sheltered workshops and “cooperatives”: preventing and sanctioning misuse of legal frameworks for cooperative associations</w:t>
        </w:r>
        <w:r w:rsidR="004B4C09">
          <w:rPr>
            <w:noProof/>
            <w:webHidden/>
          </w:rPr>
          <w:tab/>
        </w:r>
        <w:r w:rsidR="004B4C09">
          <w:rPr>
            <w:noProof/>
            <w:webHidden/>
          </w:rPr>
          <w:fldChar w:fldCharType="begin"/>
        </w:r>
        <w:r w:rsidR="004B4C09">
          <w:rPr>
            <w:noProof/>
            <w:webHidden/>
          </w:rPr>
          <w:instrText xml:space="preserve"> PAGEREF _Toc90230128 \h </w:instrText>
        </w:r>
        <w:r w:rsidR="004B4C09">
          <w:rPr>
            <w:noProof/>
            <w:webHidden/>
          </w:rPr>
        </w:r>
        <w:r w:rsidR="004B4C09">
          <w:rPr>
            <w:noProof/>
            <w:webHidden/>
          </w:rPr>
          <w:fldChar w:fldCharType="separate"/>
        </w:r>
        <w:r w:rsidR="004B4C09">
          <w:rPr>
            <w:noProof/>
            <w:webHidden/>
          </w:rPr>
          <w:t>9</w:t>
        </w:r>
        <w:r w:rsidR="004B4C09">
          <w:rPr>
            <w:noProof/>
            <w:webHidden/>
          </w:rPr>
          <w:fldChar w:fldCharType="end"/>
        </w:r>
      </w:hyperlink>
    </w:p>
    <w:p w14:paraId="606335A9" w14:textId="6636DD7E" w:rsidR="004B4C09" w:rsidRDefault="00182DC9">
      <w:pPr>
        <w:pStyle w:val="TOC3"/>
        <w:tabs>
          <w:tab w:val="right" w:leader="dot" w:pos="9019"/>
        </w:tabs>
        <w:rPr>
          <w:rFonts w:eastAsiaTheme="minorEastAsia" w:cstheme="minorBidi"/>
          <w:noProof/>
          <w:sz w:val="24"/>
          <w:szCs w:val="24"/>
          <w:lang/>
        </w:rPr>
      </w:pPr>
      <w:hyperlink w:anchor="_Toc90230129" w:history="1">
        <w:r w:rsidR="004B4C09" w:rsidRPr="003814A9">
          <w:rPr>
            <w:rStyle w:val="Hyperlink"/>
            <w:b/>
            <w:bCs/>
            <w:noProof/>
          </w:rPr>
          <w:t>H- Discrimination to employees associated with persons with disabilities: reasonable accommodation by association to prevent negative impacts on the rights of persons with disabilities</w:t>
        </w:r>
        <w:r w:rsidR="004B4C09">
          <w:rPr>
            <w:noProof/>
            <w:webHidden/>
          </w:rPr>
          <w:tab/>
        </w:r>
        <w:r w:rsidR="004B4C09">
          <w:rPr>
            <w:noProof/>
            <w:webHidden/>
          </w:rPr>
          <w:fldChar w:fldCharType="begin"/>
        </w:r>
        <w:r w:rsidR="004B4C09">
          <w:rPr>
            <w:noProof/>
            <w:webHidden/>
          </w:rPr>
          <w:instrText xml:space="preserve"> PAGEREF _Toc90230129 \h </w:instrText>
        </w:r>
        <w:r w:rsidR="004B4C09">
          <w:rPr>
            <w:noProof/>
            <w:webHidden/>
          </w:rPr>
        </w:r>
        <w:r w:rsidR="004B4C09">
          <w:rPr>
            <w:noProof/>
            <w:webHidden/>
          </w:rPr>
          <w:fldChar w:fldCharType="separate"/>
        </w:r>
        <w:r w:rsidR="004B4C09">
          <w:rPr>
            <w:noProof/>
            <w:webHidden/>
          </w:rPr>
          <w:t>10</w:t>
        </w:r>
        <w:r w:rsidR="004B4C09">
          <w:rPr>
            <w:noProof/>
            <w:webHidden/>
          </w:rPr>
          <w:fldChar w:fldCharType="end"/>
        </w:r>
      </w:hyperlink>
    </w:p>
    <w:p w14:paraId="590E7307" w14:textId="595C4C0F" w:rsidR="004B4C09" w:rsidRDefault="00182DC9">
      <w:pPr>
        <w:pStyle w:val="TOC2"/>
        <w:tabs>
          <w:tab w:val="left" w:pos="880"/>
          <w:tab w:val="right" w:leader="dot" w:pos="9019"/>
        </w:tabs>
        <w:rPr>
          <w:rFonts w:eastAsiaTheme="minorEastAsia" w:cstheme="minorBidi"/>
          <w:b w:val="0"/>
          <w:bCs w:val="0"/>
          <w:noProof/>
          <w:sz w:val="24"/>
          <w:szCs w:val="24"/>
          <w:lang/>
        </w:rPr>
      </w:pPr>
      <w:hyperlink w:anchor="_Toc90230130" w:history="1">
        <w:r w:rsidR="004B4C09" w:rsidRPr="003814A9">
          <w:rPr>
            <w:rStyle w:val="Hyperlink"/>
            <w:noProof/>
          </w:rPr>
          <w:t>IV.</w:t>
        </w:r>
        <w:r w:rsidR="004B4C09">
          <w:rPr>
            <w:rFonts w:eastAsiaTheme="minorEastAsia" w:cstheme="minorBidi"/>
            <w:b w:val="0"/>
            <w:bCs w:val="0"/>
            <w:noProof/>
            <w:sz w:val="24"/>
            <w:szCs w:val="24"/>
            <w:lang/>
          </w:rPr>
          <w:tab/>
        </w:r>
        <w:r w:rsidR="004B4C09" w:rsidRPr="003814A9">
          <w:rPr>
            <w:rStyle w:val="Hyperlink"/>
            <w:noProof/>
          </w:rPr>
          <w:t>Recommendations</w:t>
        </w:r>
        <w:r w:rsidR="004B4C09">
          <w:rPr>
            <w:noProof/>
            <w:webHidden/>
          </w:rPr>
          <w:tab/>
        </w:r>
        <w:r w:rsidR="004B4C09">
          <w:rPr>
            <w:noProof/>
            <w:webHidden/>
          </w:rPr>
          <w:fldChar w:fldCharType="begin"/>
        </w:r>
        <w:r w:rsidR="004B4C09">
          <w:rPr>
            <w:noProof/>
            <w:webHidden/>
          </w:rPr>
          <w:instrText xml:space="preserve"> PAGEREF _Toc90230130 \h </w:instrText>
        </w:r>
        <w:r w:rsidR="004B4C09">
          <w:rPr>
            <w:noProof/>
            <w:webHidden/>
          </w:rPr>
        </w:r>
        <w:r w:rsidR="004B4C09">
          <w:rPr>
            <w:noProof/>
            <w:webHidden/>
          </w:rPr>
          <w:fldChar w:fldCharType="separate"/>
        </w:r>
        <w:r w:rsidR="004B4C09">
          <w:rPr>
            <w:noProof/>
            <w:webHidden/>
          </w:rPr>
          <w:t>11</w:t>
        </w:r>
        <w:r w:rsidR="004B4C09">
          <w:rPr>
            <w:noProof/>
            <w:webHidden/>
          </w:rPr>
          <w:fldChar w:fldCharType="end"/>
        </w:r>
      </w:hyperlink>
    </w:p>
    <w:p w14:paraId="0715D330" w14:textId="1A5FBD32" w:rsidR="0006104D" w:rsidRPr="005A6F71" w:rsidRDefault="00E67944" w:rsidP="008C3F0A">
      <w:pPr>
        <w:pStyle w:val="Heading2"/>
        <w:numPr>
          <w:ilvl w:val="0"/>
          <w:numId w:val="2"/>
        </w:numPr>
        <w:spacing w:after="240" w:line="240" w:lineRule="auto"/>
        <w:jc w:val="both"/>
        <w:rPr>
          <w:b/>
          <w:bCs/>
        </w:rPr>
      </w:pPr>
      <w:r>
        <w:lastRenderedPageBreak/>
        <w:fldChar w:fldCharType="end"/>
      </w:r>
      <w:bookmarkStart w:id="2" w:name="_Toc66452310"/>
      <w:bookmarkStart w:id="3" w:name="_Toc90230120"/>
      <w:r w:rsidR="0053714B" w:rsidRPr="005A6F71">
        <w:rPr>
          <w:b/>
          <w:bCs/>
        </w:rPr>
        <w:t>Introduction</w:t>
      </w:r>
      <w:bookmarkEnd w:id="2"/>
      <w:bookmarkEnd w:id="3"/>
    </w:p>
    <w:p w14:paraId="24DF38B9" w14:textId="380B4BC1" w:rsidR="00F15A42" w:rsidRDefault="0053714B" w:rsidP="00E06C23">
      <w:pPr>
        <w:pStyle w:val="ListParagraph"/>
        <w:numPr>
          <w:ilvl w:val="0"/>
          <w:numId w:val="1"/>
        </w:numPr>
        <w:tabs>
          <w:tab w:val="left" w:pos="284"/>
          <w:tab w:val="left" w:pos="426"/>
        </w:tabs>
        <w:spacing w:after="240" w:line="360" w:lineRule="auto"/>
        <w:ind w:left="0" w:firstLine="0"/>
        <w:contextualSpacing w:val="0"/>
        <w:jc w:val="both"/>
      </w:pPr>
      <w:r w:rsidRPr="00EE4B9E">
        <w:t xml:space="preserve">IDA welcomes the </w:t>
      </w:r>
      <w:r w:rsidR="00A24990">
        <w:t>opportunity to provide comments on substance and form to the CRPD Committee’s draft general comment no. 8 on Article 27 (work and employment) of the Convention on the rights of persons with disabilities. This topic is key for persons with disabilities and organizations of persons with disabilities representing, around the world, the diverse constituencies of the disability movement. This is due to the very challenging situation of exclusion of persons with disabilities from employment, in all its forms,</w:t>
      </w:r>
      <w:r w:rsidR="00F15A42">
        <w:rPr>
          <w:rStyle w:val="EndnoteReference"/>
        </w:rPr>
        <w:endnoteReference w:id="1"/>
      </w:r>
      <w:r w:rsidR="00F15A42">
        <w:t xml:space="preserve"> and the relevance that participation in economic life has for allowing for participation in social life all together. </w:t>
      </w:r>
    </w:p>
    <w:p w14:paraId="0BB10ABB" w14:textId="13989071" w:rsidR="00F15A42" w:rsidRPr="00FC2D6A" w:rsidRDefault="00F15A42" w:rsidP="00F15A42">
      <w:pPr>
        <w:pStyle w:val="Heading2"/>
        <w:numPr>
          <w:ilvl w:val="0"/>
          <w:numId w:val="2"/>
        </w:numPr>
        <w:spacing w:after="240" w:line="240" w:lineRule="auto"/>
        <w:jc w:val="both"/>
        <w:rPr>
          <w:b/>
          <w:bCs/>
        </w:rPr>
      </w:pPr>
      <w:bookmarkStart w:id="5" w:name="_Toc90230121"/>
      <w:r w:rsidRPr="005A6F71">
        <w:rPr>
          <w:b/>
          <w:bCs/>
        </w:rPr>
        <w:t>Consultation’s process: limited timeframes restrict participation,</w:t>
      </w:r>
      <w:r>
        <w:rPr>
          <w:b/>
          <w:bCs/>
        </w:rPr>
        <w:t xml:space="preserve"> and</w:t>
      </w:r>
      <w:r w:rsidRPr="005A6F71">
        <w:rPr>
          <w:b/>
          <w:bCs/>
        </w:rPr>
        <w:t xml:space="preserve"> </w:t>
      </w:r>
      <w:r>
        <w:rPr>
          <w:b/>
          <w:bCs/>
        </w:rPr>
        <w:t>undermine</w:t>
      </w:r>
      <w:r w:rsidRPr="005A6F71">
        <w:rPr>
          <w:b/>
          <w:bCs/>
        </w:rPr>
        <w:t xml:space="preserve"> quality and legitimacy</w:t>
      </w:r>
      <w:bookmarkEnd w:id="5"/>
    </w:p>
    <w:p w14:paraId="2D293F9A" w14:textId="1E63DE73" w:rsidR="00F15A42" w:rsidRDefault="00F15A42" w:rsidP="00E06C23">
      <w:pPr>
        <w:pStyle w:val="ListParagraph"/>
        <w:numPr>
          <w:ilvl w:val="0"/>
          <w:numId w:val="1"/>
        </w:numPr>
        <w:tabs>
          <w:tab w:val="left" w:pos="284"/>
          <w:tab w:val="left" w:pos="426"/>
        </w:tabs>
        <w:spacing w:after="240" w:line="360" w:lineRule="auto"/>
        <w:ind w:left="0" w:firstLine="0"/>
        <w:contextualSpacing w:val="0"/>
        <w:jc w:val="both"/>
      </w:pPr>
      <w:r>
        <w:t xml:space="preserve">Before addressing substantive concerns, IDA would like to reflect on the consultation process. Similarly, to the consultation prior to the Day of General Discussion, </w:t>
      </w:r>
      <w:r w:rsidRPr="00CD14F8">
        <w:rPr>
          <w:b/>
          <w:bCs/>
        </w:rPr>
        <w:t xml:space="preserve">the timeframe for this consultation has been </w:t>
      </w:r>
      <w:r>
        <w:rPr>
          <w:b/>
          <w:bCs/>
        </w:rPr>
        <w:t>quite</w:t>
      </w:r>
      <w:r w:rsidRPr="00CD14F8">
        <w:rPr>
          <w:b/>
          <w:bCs/>
        </w:rPr>
        <w:t xml:space="preserve"> short</w:t>
      </w:r>
      <w:r>
        <w:t>,</w:t>
      </w:r>
      <w:r>
        <w:rPr>
          <w:rStyle w:val="EndnoteReference"/>
        </w:rPr>
        <w:endnoteReference w:id="2"/>
      </w:r>
      <w:r>
        <w:t xml:space="preserve"> which is more concerning in this opportunity given that there is a complex 29 pages draft text, which requires time for analysis and internal discussion by all stakeholders. </w:t>
      </w:r>
    </w:p>
    <w:p w14:paraId="26E901C9" w14:textId="008E63E1" w:rsidR="00F15A42" w:rsidRDefault="00F15A42" w:rsidP="00E06C23">
      <w:pPr>
        <w:pStyle w:val="ListParagraph"/>
        <w:numPr>
          <w:ilvl w:val="0"/>
          <w:numId w:val="1"/>
        </w:numPr>
        <w:tabs>
          <w:tab w:val="left" w:pos="284"/>
          <w:tab w:val="left" w:pos="426"/>
        </w:tabs>
        <w:spacing w:after="240" w:line="360" w:lineRule="auto"/>
        <w:ind w:left="0" w:firstLine="0"/>
        <w:contextualSpacing w:val="0"/>
        <w:jc w:val="both"/>
      </w:pPr>
      <w:r>
        <w:t>It is true that there is no rule on timeframes for consultations in general comment processes.</w:t>
      </w:r>
      <w:r>
        <w:rPr>
          <w:rStyle w:val="EndnoteReference"/>
        </w:rPr>
        <w:endnoteReference w:id="3"/>
      </w:r>
      <w:r>
        <w:t xml:space="preserve"> In addition, resources allocated to UN Treaty Bodies and their Secretariat remain scarce, and that many organisational matters might negatively impact the work of UNTBs.</w:t>
      </w:r>
      <w:r>
        <w:rPr>
          <w:rStyle w:val="EndnoteReference"/>
        </w:rPr>
        <w:endnoteReference w:id="4"/>
      </w:r>
      <w:r>
        <w:t xml:space="preserve"> The uncertainties caused by the COVID19 pandemic add another complicated layer. </w:t>
      </w:r>
    </w:p>
    <w:p w14:paraId="5ED2556E" w14:textId="2D26D10D" w:rsidR="00F15A42" w:rsidRPr="006E264D" w:rsidRDefault="00F15A42" w:rsidP="00E06C23">
      <w:pPr>
        <w:pStyle w:val="ListParagraph"/>
        <w:numPr>
          <w:ilvl w:val="0"/>
          <w:numId w:val="1"/>
        </w:numPr>
        <w:tabs>
          <w:tab w:val="left" w:pos="284"/>
          <w:tab w:val="left" w:pos="426"/>
        </w:tabs>
        <w:spacing w:after="240" w:line="360" w:lineRule="auto"/>
        <w:ind w:left="0" w:firstLine="0"/>
        <w:contextualSpacing w:val="0"/>
        <w:jc w:val="both"/>
      </w:pPr>
      <w:r w:rsidRPr="002A2CE3">
        <w:rPr>
          <w:lang w:val="en-US"/>
        </w:rPr>
        <w:t xml:space="preserve">IDA highly appreciates the </w:t>
      </w:r>
      <w:r>
        <w:rPr>
          <w:lang w:val="en-US"/>
        </w:rPr>
        <w:t>attempt of the</w:t>
      </w:r>
      <w:r w:rsidRPr="002A2CE3">
        <w:rPr>
          <w:lang w:val="en-US"/>
        </w:rPr>
        <w:t xml:space="preserve"> CRPD Committee </w:t>
      </w:r>
      <w:r>
        <w:rPr>
          <w:lang w:val="en-US"/>
        </w:rPr>
        <w:t>to produce</w:t>
      </w:r>
      <w:r w:rsidRPr="002A2CE3">
        <w:rPr>
          <w:lang w:val="en-US"/>
        </w:rPr>
        <w:t xml:space="preserve"> a key general comment</w:t>
      </w:r>
      <w:r>
        <w:rPr>
          <w:lang w:val="en-US"/>
        </w:rPr>
        <w:t>.</w:t>
      </w:r>
      <w:r w:rsidRPr="002A2CE3">
        <w:rPr>
          <w:lang w:val="en-US"/>
        </w:rPr>
        <w:t xml:space="preserve"> </w:t>
      </w:r>
      <w:r w:rsidRPr="002F7345">
        <w:rPr>
          <w:lang w:val="en-US"/>
        </w:rPr>
        <w:t xml:space="preserve">However, the timeframes the CRPD Committee sets should </w:t>
      </w:r>
      <w:r>
        <w:rPr>
          <w:lang w:val="en-US"/>
        </w:rPr>
        <w:t>not</w:t>
      </w:r>
      <w:r w:rsidRPr="002F7345">
        <w:rPr>
          <w:lang w:val="en-US"/>
        </w:rPr>
        <w:t xml:space="preserve"> creat</w:t>
      </w:r>
      <w:r>
        <w:rPr>
          <w:lang w:val="en-US"/>
        </w:rPr>
        <w:t>e</w:t>
      </w:r>
      <w:r w:rsidRPr="002F7345">
        <w:rPr>
          <w:lang w:val="en-US"/>
        </w:rPr>
        <w:t xml:space="preserve"> difficulties and disincentives for participation (including of States and OPDs) and should be </w:t>
      </w:r>
      <w:r w:rsidR="00FC5965">
        <w:rPr>
          <w:lang w:val="en-US"/>
        </w:rPr>
        <w:t>attentive</w:t>
      </w:r>
      <w:r w:rsidRPr="002F7345">
        <w:rPr>
          <w:lang w:val="en-US"/>
        </w:rPr>
        <w:t xml:space="preserve"> of </w:t>
      </w:r>
      <w:r>
        <w:rPr>
          <w:lang w:val="en-US"/>
        </w:rPr>
        <w:t xml:space="preserve">stakeholders </w:t>
      </w:r>
      <w:r w:rsidRPr="002F7345">
        <w:rPr>
          <w:lang w:val="en-US"/>
        </w:rPr>
        <w:t xml:space="preserve">limited resources, foreseen activities, and internal processes. Secondly, the combo scarce resources together with self-imposed time-pressure inevitably compromises quality of processes and outcomes. </w:t>
      </w:r>
      <w:r>
        <w:rPr>
          <w:lang w:val="en-US"/>
        </w:rPr>
        <w:t>We all need</w:t>
      </w:r>
      <w:r w:rsidRPr="002F7345">
        <w:rPr>
          <w:lang w:val="en-US"/>
        </w:rPr>
        <w:t xml:space="preserve"> the </w:t>
      </w:r>
      <w:r w:rsidRPr="00A0767C">
        <w:rPr>
          <w:i/>
          <w:iCs/>
          <w:lang w:val="en-US"/>
        </w:rPr>
        <w:t>best</w:t>
      </w:r>
      <w:r w:rsidRPr="002F7345">
        <w:rPr>
          <w:lang w:val="en-US"/>
        </w:rPr>
        <w:t xml:space="preserve"> general comment</w:t>
      </w:r>
      <w:r w:rsidR="00FC5965">
        <w:rPr>
          <w:lang w:val="en-US"/>
        </w:rPr>
        <w:t>s</w:t>
      </w:r>
      <w:r w:rsidRPr="002F7345">
        <w:rPr>
          <w:lang w:val="en-US"/>
        </w:rPr>
        <w:t xml:space="preserve"> possible, </w:t>
      </w:r>
      <w:r>
        <w:rPr>
          <w:lang w:val="en-US"/>
        </w:rPr>
        <w:t>meant to last</w:t>
      </w:r>
      <w:r w:rsidRPr="002F7345">
        <w:rPr>
          <w:lang w:val="en-US"/>
        </w:rPr>
        <w:t>, and not necessarily the fastest one</w:t>
      </w:r>
      <w:r w:rsidR="00FC5965">
        <w:rPr>
          <w:lang w:val="en-US"/>
        </w:rPr>
        <w:t>s</w:t>
      </w:r>
      <w:r w:rsidRPr="002F7345">
        <w:rPr>
          <w:lang w:val="en-US"/>
        </w:rPr>
        <w:t>. Finally, general comments are usual victims of criticism</w:t>
      </w:r>
      <w:r>
        <w:rPr>
          <w:lang w:val="en-US"/>
        </w:rPr>
        <w:t xml:space="preserve"> and rejection</w:t>
      </w:r>
      <w:r w:rsidR="00FC5965">
        <w:rPr>
          <w:lang w:val="en-US"/>
        </w:rPr>
        <w:t>, e.g.,</w:t>
      </w:r>
      <w:r w:rsidRPr="002F7345">
        <w:rPr>
          <w:lang w:val="en-US"/>
        </w:rPr>
        <w:t xml:space="preserve"> States which still contest Treaty Bodies</w:t>
      </w:r>
      <w:r w:rsidR="00FC5965">
        <w:rPr>
          <w:lang w:val="en-US"/>
        </w:rPr>
        <w:t>’</w:t>
      </w:r>
      <w:r w:rsidRPr="002F7345">
        <w:rPr>
          <w:lang w:val="en-US"/>
        </w:rPr>
        <w:t xml:space="preserve"> competence to adopt them. Only robust processes with great levels of participation by States, civil society, UN agencies and other stakeholders, can provide a great level of legitimacy to general comment</w:t>
      </w:r>
      <w:r w:rsidR="00FC5965">
        <w:rPr>
          <w:lang w:val="en-US"/>
        </w:rPr>
        <w:t>s</w:t>
      </w:r>
      <w:r w:rsidRPr="002F7345">
        <w:rPr>
          <w:lang w:val="en-US"/>
        </w:rPr>
        <w:t xml:space="preserve">. </w:t>
      </w:r>
    </w:p>
    <w:p w14:paraId="64A183C5" w14:textId="6ECB9BC4" w:rsidR="00F15A42" w:rsidRPr="006103ED" w:rsidRDefault="00F15A42" w:rsidP="00E06C23">
      <w:pPr>
        <w:pStyle w:val="ListParagraph"/>
        <w:numPr>
          <w:ilvl w:val="0"/>
          <w:numId w:val="1"/>
        </w:numPr>
        <w:tabs>
          <w:tab w:val="left" w:pos="284"/>
          <w:tab w:val="left" w:pos="426"/>
        </w:tabs>
        <w:spacing w:after="240" w:line="360" w:lineRule="auto"/>
        <w:ind w:left="0" w:firstLine="0"/>
        <w:contextualSpacing w:val="0"/>
        <w:jc w:val="both"/>
        <w:rPr>
          <w:b/>
          <w:bCs/>
        </w:rPr>
      </w:pPr>
      <w:r w:rsidRPr="007749F7">
        <w:rPr>
          <w:b/>
          <w:bCs/>
          <w:lang w:val="en-US"/>
        </w:rPr>
        <w:t xml:space="preserve"> For these considerations, IDA </w:t>
      </w:r>
      <w:r w:rsidR="00FC5965">
        <w:rPr>
          <w:b/>
          <w:bCs/>
          <w:lang w:val="en-US"/>
        </w:rPr>
        <w:t>calls</w:t>
      </w:r>
      <w:r w:rsidRPr="007749F7">
        <w:rPr>
          <w:b/>
          <w:bCs/>
          <w:lang w:val="en-US"/>
        </w:rPr>
        <w:t xml:space="preserve"> the CRPD Committee </w:t>
      </w:r>
      <w:r w:rsidR="00FC5965">
        <w:rPr>
          <w:b/>
          <w:bCs/>
          <w:lang w:val="en-US"/>
        </w:rPr>
        <w:t xml:space="preserve">attention to this point </w:t>
      </w:r>
      <w:r w:rsidRPr="007749F7">
        <w:rPr>
          <w:b/>
          <w:bCs/>
          <w:lang w:val="en-US"/>
        </w:rPr>
        <w:t xml:space="preserve">to reflect on the timeframes it sets for </w:t>
      </w:r>
      <w:r>
        <w:rPr>
          <w:b/>
          <w:bCs/>
          <w:lang w:val="en-US"/>
        </w:rPr>
        <w:t>consultation</w:t>
      </w:r>
      <w:r w:rsidR="00240792">
        <w:rPr>
          <w:b/>
          <w:bCs/>
          <w:lang w:val="en-US"/>
        </w:rPr>
        <w:t>s</w:t>
      </w:r>
      <w:r>
        <w:rPr>
          <w:b/>
          <w:bCs/>
          <w:lang w:val="en-US"/>
        </w:rPr>
        <w:t xml:space="preserve"> </w:t>
      </w:r>
      <w:r w:rsidRPr="007749F7">
        <w:rPr>
          <w:b/>
          <w:bCs/>
          <w:lang w:val="en-US"/>
        </w:rPr>
        <w:t>process</w:t>
      </w:r>
      <w:r w:rsidR="00240792">
        <w:rPr>
          <w:b/>
          <w:bCs/>
          <w:lang w:val="en-US"/>
        </w:rPr>
        <w:t>es</w:t>
      </w:r>
      <w:r w:rsidRPr="007749F7">
        <w:rPr>
          <w:b/>
          <w:bCs/>
          <w:lang w:val="en-US"/>
        </w:rPr>
        <w:t xml:space="preserve">, in order to ensure the broadest participation, the highest quality and the strongest legitimacy of process and outcomes. </w:t>
      </w:r>
    </w:p>
    <w:p w14:paraId="05C19B27" w14:textId="77179DB7" w:rsidR="00F15A42" w:rsidRPr="005A6F71" w:rsidRDefault="00F15A42" w:rsidP="00E06C23">
      <w:pPr>
        <w:pStyle w:val="Heading2"/>
        <w:numPr>
          <w:ilvl w:val="0"/>
          <w:numId w:val="2"/>
        </w:numPr>
        <w:tabs>
          <w:tab w:val="left" w:pos="284"/>
          <w:tab w:val="left" w:pos="426"/>
        </w:tabs>
        <w:spacing w:after="240" w:line="360" w:lineRule="auto"/>
        <w:jc w:val="both"/>
        <w:rPr>
          <w:b/>
          <w:bCs/>
        </w:rPr>
      </w:pPr>
      <w:bookmarkStart w:id="6" w:name="_Toc90230122"/>
      <w:r w:rsidRPr="005A6F71">
        <w:rPr>
          <w:b/>
          <w:bCs/>
        </w:rPr>
        <w:lastRenderedPageBreak/>
        <w:t>IDA’s comments on the draft general comment no 8 on article 27 (work and employment)</w:t>
      </w:r>
      <w:bookmarkEnd w:id="6"/>
    </w:p>
    <w:p w14:paraId="56DA824B" w14:textId="00AC4AFA" w:rsidR="00F15A42" w:rsidRDefault="00F15A42" w:rsidP="00E06C23">
      <w:pPr>
        <w:pStyle w:val="ListParagraph"/>
        <w:numPr>
          <w:ilvl w:val="0"/>
          <w:numId w:val="1"/>
        </w:numPr>
        <w:tabs>
          <w:tab w:val="left" w:pos="284"/>
          <w:tab w:val="left" w:pos="426"/>
        </w:tabs>
        <w:spacing w:after="240" w:line="360" w:lineRule="auto"/>
        <w:ind w:left="0" w:firstLine="0"/>
        <w:contextualSpacing w:val="0"/>
        <w:jc w:val="both"/>
        <w:rPr>
          <w:lang w:val="en-US"/>
        </w:rPr>
      </w:pPr>
      <w:r>
        <w:rPr>
          <w:lang w:val="en-US"/>
        </w:rPr>
        <w:t xml:space="preserve">IDA highly appreciates the work undertaken by the CRPD Committee since the Day of General Discussion last Mach towards the adoption of a general comment and remains confident that the outcome will be highly useful. Nevertheless, IDA considers that the draft general comment requires a thorough review, improvement and editing, mainly in order to avoid any unnecessary overlaps (e.g. current paras. 2 and 10), reduce extensive references in the text (e.g. para. 12), enhance clarity where required (e.g., para. 18 on “cooperatives”, see section G below), and to better reflect the diversity among persons with disabilities. </w:t>
      </w:r>
    </w:p>
    <w:p w14:paraId="4C4FC501" w14:textId="310A5160" w:rsidR="00F15A42" w:rsidRPr="002C0CEB" w:rsidRDefault="00F15A42" w:rsidP="00E06C23">
      <w:pPr>
        <w:pStyle w:val="ListParagraph"/>
        <w:numPr>
          <w:ilvl w:val="0"/>
          <w:numId w:val="1"/>
        </w:numPr>
        <w:tabs>
          <w:tab w:val="left" w:pos="284"/>
          <w:tab w:val="left" w:pos="426"/>
        </w:tabs>
        <w:spacing w:after="240" w:line="360" w:lineRule="auto"/>
        <w:ind w:left="0" w:firstLine="0"/>
        <w:contextualSpacing w:val="0"/>
        <w:jc w:val="both"/>
      </w:pPr>
      <w:r w:rsidRPr="002C0CEB">
        <w:rPr>
          <w:lang w:val="en-US"/>
        </w:rPr>
        <w:t>The following sub-sections</w:t>
      </w:r>
      <w:r>
        <w:rPr>
          <w:lang w:val="en-US"/>
        </w:rPr>
        <w:t xml:space="preserve"> focus on some relevant themes and come to complement IDA’s submission for the Day of Genera Discussion (March 2021), which content remains valid, but focusing more on the relevant points emanating from the draft general comment.</w:t>
      </w:r>
    </w:p>
    <w:p w14:paraId="7E8AB9F1" w14:textId="147334FB" w:rsidR="00F15A42" w:rsidRDefault="00F15A42" w:rsidP="00F55ADC">
      <w:pPr>
        <w:pStyle w:val="3"/>
        <w:jc w:val="both"/>
        <w:rPr>
          <w:b/>
          <w:bCs/>
        </w:rPr>
      </w:pPr>
      <w:bookmarkStart w:id="7" w:name="_Toc90230123"/>
      <w:r w:rsidRPr="008A7798">
        <w:rPr>
          <w:b/>
          <w:bCs/>
        </w:rPr>
        <w:t>A- Need to enhance references and language connected to Article 4(3) and 33(3) of the CRPD on involvement of organizations of persons with disabilities in CRPD implementation and monitoring</w:t>
      </w:r>
      <w:bookmarkEnd w:id="7"/>
      <w:r w:rsidRPr="008A7798">
        <w:rPr>
          <w:b/>
          <w:bCs/>
        </w:rPr>
        <w:t xml:space="preserve"> </w:t>
      </w:r>
    </w:p>
    <w:p w14:paraId="22C44752" w14:textId="77777777" w:rsidR="00F15A42" w:rsidRPr="00F55ADC" w:rsidRDefault="00F15A42" w:rsidP="00F55ADC">
      <w:pPr>
        <w:rPr>
          <w:lang w:val="en-GB"/>
        </w:rPr>
      </w:pPr>
    </w:p>
    <w:p w14:paraId="7D79AD44" w14:textId="21FA5F6C" w:rsidR="00F15A42" w:rsidRDefault="00F15A42" w:rsidP="00E06C23">
      <w:pPr>
        <w:pStyle w:val="ListParagraph"/>
        <w:numPr>
          <w:ilvl w:val="0"/>
          <w:numId w:val="1"/>
        </w:numPr>
        <w:tabs>
          <w:tab w:val="left" w:pos="284"/>
          <w:tab w:val="left" w:pos="426"/>
        </w:tabs>
        <w:spacing w:after="240" w:line="360" w:lineRule="auto"/>
        <w:ind w:left="0" w:firstLine="0"/>
        <w:contextualSpacing w:val="0"/>
        <w:jc w:val="both"/>
      </w:pPr>
      <w:r>
        <w:t>IDA highlights the key relevance for the right to work and employment of persons with disabilities of Article 4(3) and 33(3) of the CRPD, which require States to “closely consult and actively involve” organizations of persons with disabilities in the design, implementation and monitoring of measures to implement the convention. Regarding the obligations emanating from them, the CRPD Committee has done a great work in its general comment no. 7 (2018) which is unfortunately not referenced in the draft.</w:t>
      </w:r>
    </w:p>
    <w:p w14:paraId="433A3BCA" w14:textId="7F27E978" w:rsidR="00F15A42" w:rsidRDefault="00F15A42" w:rsidP="00E06C23">
      <w:pPr>
        <w:pStyle w:val="ListParagraph"/>
        <w:numPr>
          <w:ilvl w:val="0"/>
          <w:numId w:val="1"/>
        </w:numPr>
        <w:tabs>
          <w:tab w:val="left" w:pos="284"/>
          <w:tab w:val="left" w:pos="426"/>
        </w:tabs>
        <w:spacing w:after="240" w:line="360" w:lineRule="auto"/>
        <w:ind w:left="0" w:firstLine="0"/>
        <w:contextualSpacing w:val="0"/>
        <w:jc w:val="both"/>
      </w:pPr>
      <w:r>
        <w:t>The development, implementation and evaluation of work and employment legislations and policies, especially at national level, is quite complex and typically characterised by a tripartite structure: public authorities (ministry of labour) mediate and arbitrate between employers and trade unions, each of them defending the interests of their constituencies. In some contexts, also informal economy actors find a seat at the discussion table. These actors are already organised, have accumulated political history, identify each other as the main interlocutors, and, as many societal structures, are most likely not inclusive of persons with disabilities.</w:t>
      </w:r>
      <w:r w:rsidRPr="008020A6">
        <w:rPr>
          <w:rStyle w:val="EndnoteReference"/>
        </w:rPr>
        <w:endnoteReference w:id="5"/>
      </w:r>
    </w:p>
    <w:p w14:paraId="0661207F" w14:textId="6F4D325F" w:rsidR="00F15A42" w:rsidRPr="00DF5D3A" w:rsidRDefault="00F15A42" w:rsidP="00E06C23">
      <w:pPr>
        <w:pStyle w:val="ListParagraph"/>
        <w:numPr>
          <w:ilvl w:val="0"/>
          <w:numId w:val="1"/>
        </w:numPr>
        <w:tabs>
          <w:tab w:val="left" w:pos="284"/>
          <w:tab w:val="left" w:pos="426"/>
        </w:tabs>
        <w:spacing w:after="240" w:line="360" w:lineRule="auto"/>
        <w:ind w:left="0" w:firstLine="0"/>
        <w:contextualSpacing w:val="0"/>
        <w:jc w:val="both"/>
      </w:pPr>
      <w:r>
        <w:t xml:space="preserve">Such picture, highly simplified and schematic of course, calls for a very strong message highlighting CRPD obligations under Article 4(3) and 33(3) to try to shake the employment policy related institutional set up and structures creating the required space for organizations of persons with disabilities to express their views and influence decision making to enhance inclusion of persons with disabilities in employment.   </w:t>
      </w:r>
    </w:p>
    <w:p w14:paraId="67984A57" w14:textId="381FE417" w:rsidR="00F15A42" w:rsidRPr="00EA63DA" w:rsidRDefault="00F15A42" w:rsidP="00E06C23">
      <w:pPr>
        <w:pStyle w:val="ListParagraph"/>
        <w:numPr>
          <w:ilvl w:val="0"/>
          <w:numId w:val="1"/>
        </w:numPr>
        <w:tabs>
          <w:tab w:val="left" w:pos="284"/>
          <w:tab w:val="left" w:pos="426"/>
        </w:tabs>
        <w:spacing w:after="240" w:line="360" w:lineRule="auto"/>
        <w:ind w:left="0" w:firstLine="0"/>
        <w:contextualSpacing w:val="0"/>
        <w:jc w:val="both"/>
        <w:rPr>
          <w:b/>
          <w:bCs/>
        </w:rPr>
      </w:pPr>
      <w:r w:rsidRPr="00EA63DA">
        <w:rPr>
          <w:b/>
          <w:bCs/>
        </w:rPr>
        <w:t>In this sense, IDA believes that paragraph 8 of the draft general comment, which intends to be general and applicable to all the general comment,</w:t>
      </w:r>
      <w:r w:rsidRPr="00EA63DA">
        <w:rPr>
          <w:rStyle w:val="EndnoteReference"/>
          <w:b/>
          <w:bCs/>
        </w:rPr>
        <w:endnoteReference w:id="6"/>
      </w:r>
      <w:r w:rsidRPr="00EA63DA">
        <w:rPr>
          <w:b/>
          <w:bCs/>
        </w:rPr>
        <w:t xml:space="preserve"> should be highly strengthened and be drafted in terms of strict State obligation to push towards to consultation and even co-production of employment legislation and policies inclusive of persons with disabilities. In this sense, a reference in the text to general comment no 7 seems mandatory.</w:t>
      </w:r>
    </w:p>
    <w:p w14:paraId="708447DB" w14:textId="42BE1DDB" w:rsidR="00F15A42" w:rsidRDefault="00F15A42" w:rsidP="008A7798">
      <w:pPr>
        <w:pStyle w:val="3"/>
        <w:jc w:val="both"/>
        <w:rPr>
          <w:b/>
          <w:bCs/>
        </w:rPr>
      </w:pPr>
      <w:bookmarkStart w:id="8" w:name="_Toc90230124"/>
      <w:r w:rsidRPr="00EA63DA">
        <w:rPr>
          <w:b/>
          <w:bCs/>
        </w:rPr>
        <w:t xml:space="preserve">B- </w:t>
      </w:r>
      <w:r>
        <w:rPr>
          <w:b/>
          <w:bCs/>
        </w:rPr>
        <w:t>Need to c</w:t>
      </w:r>
      <w:r w:rsidRPr="00EA63DA">
        <w:rPr>
          <w:b/>
          <w:bCs/>
        </w:rPr>
        <w:t>ontextualis</w:t>
      </w:r>
      <w:r>
        <w:rPr>
          <w:b/>
          <w:bCs/>
        </w:rPr>
        <w:t>e</w:t>
      </w:r>
      <w:r w:rsidRPr="00EA63DA">
        <w:rPr>
          <w:b/>
          <w:bCs/>
        </w:rPr>
        <w:t xml:space="preserve"> the reflection on ableism</w:t>
      </w:r>
      <w:r>
        <w:rPr>
          <w:b/>
          <w:bCs/>
        </w:rPr>
        <w:t xml:space="preserve"> and prejudice</w:t>
      </w:r>
      <w:r w:rsidRPr="00EA63DA">
        <w:rPr>
          <w:b/>
          <w:bCs/>
        </w:rPr>
        <w:t xml:space="preserve"> to the context of work and employment</w:t>
      </w:r>
      <w:bookmarkEnd w:id="8"/>
    </w:p>
    <w:p w14:paraId="128C3A19" w14:textId="77777777" w:rsidR="00F15A42" w:rsidRPr="008A7798" w:rsidRDefault="00F15A42" w:rsidP="008A7798">
      <w:pPr>
        <w:rPr>
          <w:lang w:val="en-GB"/>
        </w:rPr>
      </w:pPr>
    </w:p>
    <w:p w14:paraId="7F4061AA" w14:textId="7963019A" w:rsidR="00F15A42" w:rsidRDefault="00F15A42" w:rsidP="00E06C23">
      <w:pPr>
        <w:pStyle w:val="ListParagraph"/>
        <w:numPr>
          <w:ilvl w:val="0"/>
          <w:numId w:val="1"/>
        </w:numPr>
        <w:tabs>
          <w:tab w:val="left" w:pos="284"/>
          <w:tab w:val="left" w:pos="426"/>
        </w:tabs>
        <w:spacing w:after="240" w:line="360" w:lineRule="auto"/>
        <w:ind w:left="0" w:firstLine="0"/>
        <w:contextualSpacing w:val="0"/>
        <w:jc w:val="both"/>
      </w:pPr>
      <w:r>
        <w:t>IDA welcomes paragraph 3 of the draft general comment on ableism, following the report by the 2019 report by the Special Rapporteur on the Rights of Persons with Disabilities.</w:t>
      </w:r>
      <w:r>
        <w:rPr>
          <w:rStyle w:val="EndnoteReference"/>
        </w:rPr>
        <w:endnoteReference w:id="7"/>
      </w:r>
      <w:r>
        <w:t xml:space="preserve"> Indeed, ableism leads to prejudice and discrimination against persons with disabilities, which in turn restricts their opportunities to access meaningful work and employment.</w:t>
      </w:r>
    </w:p>
    <w:p w14:paraId="635DF5EF" w14:textId="37B96985" w:rsidR="00F15A42" w:rsidRPr="00226C27" w:rsidRDefault="00F15A42" w:rsidP="00E06C23">
      <w:pPr>
        <w:pStyle w:val="ListParagraph"/>
        <w:numPr>
          <w:ilvl w:val="0"/>
          <w:numId w:val="1"/>
        </w:numPr>
        <w:tabs>
          <w:tab w:val="left" w:pos="284"/>
          <w:tab w:val="left" w:pos="426"/>
        </w:tabs>
        <w:spacing w:after="240" w:line="360" w:lineRule="auto"/>
        <w:ind w:left="0" w:firstLine="0"/>
        <w:contextualSpacing w:val="0"/>
        <w:jc w:val="both"/>
        <w:rPr>
          <w:iCs/>
        </w:rPr>
      </w:pPr>
      <w:r>
        <w:rPr>
          <w:iCs/>
        </w:rPr>
        <w:t>To enhance this reference to ableism and prejudice, IDA proposes to contextualise more to the context of work and employment.</w:t>
      </w:r>
      <w:r>
        <w:rPr>
          <w:rStyle w:val="EndnoteReference"/>
          <w:iCs/>
        </w:rPr>
        <w:endnoteReference w:id="8"/>
      </w:r>
      <w:r>
        <w:rPr>
          <w:iCs/>
        </w:rPr>
        <w:t xml:space="preserve"> In this sense, for instance, ableist views can also lead to </w:t>
      </w:r>
      <w:r w:rsidRPr="00226C27">
        <w:rPr>
          <w:iCs/>
        </w:rPr>
        <w:t xml:space="preserve">attaching </w:t>
      </w:r>
      <w:r>
        <w:rPr>
          <w:iCs/>
        </w:rPr>
        <w:t xml:space="preserve">positive </w:t>
      </w:r>
      <w:r w:rsidRPr="00226C27">
        <w:rPr>
          <w:iCs/>
        </w:rPr>
        <w:t xml:space="preserve">value to </w:t>
      </w:r>
      <w:r>
        <w:rPr>
          <w:iCs/>
        </w:rPr>
        <w:t>applicants or employees with disabilities</w:t>
      </w:r>
      <w:r w:rsidRPr="00226C27">
        <w:rPr>
          <w:iCs/>
        </w:rPr>
        <w:t xml:space="preserve"> </w:t>
      </w:r>
      <w:r>
        <w:rPr>
          <w:iCs/>
        </w:rPr>
        <w:t xml:space="preserve">only </w:t>
      </w:r>
      <w:r w:rsidRPr="00226C27">
        <w:rPr>
          <w:iCs/>
        </w:rPr>
        <w:t xml:space="preserve">based on </w:t>
      </w:r>
      <w:r>
        <w:rPr>
          <w:iCs/>
        </w:rPr>
        <w:t>their specific</w:t>
      </w:r>
      <w:r w:rsidRPr="00226C27">
        <w:rPr>
          <w:iCs/>
        </w:rPr>
        <w:t xml:space="preserve"> </w:t>
      </w:r>
      <w:r w:rsidRPr="00226C27">
        <w:rPr>
          <w:i/>
        </w:rPr>
        <w:t>exceptional</w:t>
      </w:r>
      <w:r w:rsidRPr="00226C27">
        <w:rPr>
          <w:iCs/>
        </w:rPr>
        <w:t xml:space="preserve"> qualifications</w:t>
      </w:r>
      <w:r>
        <w:rPr>
          <w:iCs/>
        </w:rPr>
        <w:t xml:space="preserve">, beyond the minimum standards valued in terms of </w:t>
      </w:r>
      <w:r w:rsidRPr="00357C94">
        <w:rPr>
          <w:iCs/>
          <w:lang w:val="en-AU"/>
        </w:rPr>
        <w:t>functioning and behaviour</w:t>
      </w:r>
      <w:r>
        <w:rPr>
          <w:iCs/>
        </w:rPr>
        <w:t xml:space="preserve"> (disregarding or devaluing other personal characteristics). This entails </w:t>
      </w:r>
      <w:r w:rsidRPr="00226C27">
        <w:rPr>
          <w:iCs/>
        </w:rPr>
        <w:t xml:space="preserve">not </w:t>
      </w:r>
      <w:r>
        <w:rPr>
          <w:iCs/>
        </w:rPr>
        <w:t>awarding to those persons with disabilities</w:t>
      </w:r>
      <w:r w:rsidRPr="00226C27">
        <w:rPr>
          <w:iCs/>
        </w:rPr>
        <w:t xml:space="preserve"> the same range</w:t>
      </w:r>
      <w:r>
        <w:rPr>
          <w:iCs/>
        </w:rPr>
        <w:t xml:space="preserve"> of considerations than to other</w:t>
      </w:r>
      <w:r w:rsidRPr="00226C27">
        <w:rPr>
          <w:iCs/>
        </w:rPr>
        <w:t xml:space="preserve"> employees</w:t>
      </w:r>
      <w:r>
        <w:rPr>
          <w:iCs/>
        </w:rPr>
        <w:t xml:space="preserve">, including e.g., the chance </w:t>
      </w:r>
      <w:r w:rsidRPr="00226C27">
        <w:rPr>
          <w:iCs/>
        </w:rPr>
        <w:t>to be average</w:t>
      </w:r>
      <w:r>
        <w:rPr>
          <w:iCs/>
        </w:rPr>
        <w:t>, the chance</w:t>
      </w:r>
      <w:r w:rsidRPr="00226C27">
        <w:rPr>
          <w:iCs/>
        </w:rPr>
        <w:t xml:space="preserve"> to fail</w:t>
      </w:r>
      <w:r>
        <w:rPr>
          <w:iCs/>
        </w:rPr>
        <w:t xml:space="preserve"> etc.</w:t>
      </w:r>
    </w:p>
    <w:p w14:paraId="3A48B3E6" w14:textId="4C3B920F" w:rsidR="00F15A42" w:rsidRPr="00FC2D6A" w:rsidRDefault="00F15A42" w:rsidP="00FC2D6A">
      <w:pPr>
        <w:pStyle w:val="ListParagraph"/>
        <w:numPr>
          <w:ilvl w:val="0"/>
          <w:numId w:val="1"/>
        </w:numPr>
        <w:tabs>
          <w:tab w:val="left" w:pos="284"/>
          <w:tab w:val="left" w:pos="426"/>
        </w:tabs>
        <w:spacing w:after="240" w:line="360" w:lineRule="auto"/>
        <w:ind w:left="0" w:firstLine="0"/>
        <w:contextualSpacing w:val="0"/>
        <w:jc w:val="both"/>
        <w:rPr>
          <w:iCs/>
        </w:rPr>
      </w:pPr>
      <w:r>
        <w:rPr>
          <w:iCs/>
        </w:rPr>
        <w:t>In the similar trait</w:t>
      </w:r>
      <w:r w:rsidRPr="00226C27">
        <w:rPr>
          <w:iCs/>
        </w:rPr>
        <w:t xml:space="preserve">, </w:t>
      </w:r>
      <w:r>
        <w:rPr>
          <w:iCs/>
        </w:rPr>
        <w:t xml:space="preserve">several “positive” </w:t>
      </w:r>
      <w:r w:rsidRPr="00226C27">
        <w:rPr>
          <w:iCs/>
        </w:rPr>
        <w:t>stereotypes</w:t>
      </w:r>
      <w:r>
        <w:rPr>
          <w:iCs/>
        </w:rPr>
        <w:t xml:space="preserve"> on persons with disabilities might create excessive expectations from them and prevent them from receiving equal consideration, value, and treatment as employees.</w:t>
      </w:r>
      <w:r w:rsidRPr="00226C27">
        <w:rPr>
          <w:iCs/>
        </w:rPr>
        <w:t xml:space="preserve"> </w:t>
      </w:r>
      <w:r>
        <w:rPr>
          <w:iCs/>
        </w:rPr>
        <w:t xml:space="preserve">In this sense, for instance, </w:t>
      </w:r>
      <w:r w:rsidRPr="00226C27">
        <w:rPr>
          <w:iCs/>
        </w:rPr>
        <w:t>employees with disabilities are</w:t>
      </w:r>
      <w:r>
        <w:rPr>
          <w:iCs/>
        </w:rPr>
        <w:t xml:space="preserve"> typically considered</w:t>
      </w:r>
      <w:r w:rsidRPr="00226C27">
        <w:rPr>
          <w:iCs/>
        </w:rPr>
        <w:t xml:space="preserve"> more loyal</w:t>
      </w:r>
      <w:r>
        <w:rPr>
          <w:iCs/>
        </w:rPr>
        <w:t xml:space="preserve"> (which statistically might be or might not be the case in the given context) and</w:t>
      </w:r>
      <w:r w:rsidRPr="00226C27">
        <w:rPr>
          <w:iCs/>
        </w:rPr>
        <w:t xml:space="preserve"> deaf workers </w:t>
      </w:r>
      <w:r>
        <w:rPr>
          <w:iCs/>
        </w:rPr>
        <w:t>are believed to</w:t>
      </w:r>
      <w:r w:rsidRPr="00226C27">
        <w:rPr>
          <w:iCs/>
        </w:rPr>
        <w:t xml:space="preserve"> concentrate </w:t>
      </w:r>
      <w:r>
        <w:rPr>
          <w:iCs/>
        </w:rPr>
        <w:t xml:space="preserve">better </w:t>
      </w:r>
      <w:r w:rsidRPr="00226C27">
        <w:rPr>
          <w:iCs/>
        </w:rPr>
        <w:t xml:space="preserve">and </w:t>
      </w:r>
      <w:r>
        <w:rPr>
          <w:iCs/>
        </w:rPr>
        <w:t>get distracted less.</w:t>
      </w:r>
    </w:p>
    <w:p w14:paraId="01997323" w14:textId="16A90A47" w:rsidR="00F15A42" w:rsidRDefault="00F15A42" w:rsidP="008A7798">
      <w:pPr>
        <w:pStyle w:val="3"/>
        <w:jc w:val="both"/>
        <w:rPr>
          <w:b/>
          <w:bCs/>
        </w:rPr>
      </w:pPr>
      <w:bookmarkStart w:id="9" w:name="_Toc90230125"/>
      <w:r>
        <w:rPr>
          <w:b/>
          <w:bCs/>
        </w:rPr>
        <w:t xml:space="preserve">C- </w:t>
      </w:r>
      <w:r w:rsidRPr="00D7266F">
        <w:rPr>
          <w:b/>
          <w:bCs/>
        </w:rPr>
        <w:t xml:space="preserve">Need to better reflect </w:t>
      </w:r>
      <w:r>
        <w:rPr>
          <w:b/>
          <w:bCs/>
        </w:rPr>
        <w:t xml:space="preserve">the </w:t>
      </w:r>
      <w:r w:rsidRPr="00D7266F">
        <w:rPr>
          <w:b/>
          <w:bCs/>
        </w:rPr>
        <w:t>diversity among persons with disabilities</w:t>
      </w:r>
      <w:bookmarkEnd w:id="9"/>
      <w:r>
        <w:rPr>
          <w:b/>
          <w:bCs/>
        </w:rPr>
        <w:t xml:space="preserve"> </w:t>
      </w:r>
    </w:p>
    <w:p w14:paraId="6DFBFF09" w14:textId="77777777" w:rsidR="00F15A42" w:rsidRPr="008A7798" w:rsidRDefault="00F15A42" w:rsidP="008A7798">
      <w:pPr>
        <w:rPr>
          <w:lang w:val="en-GB"/>
        </w:rPr>
      </w:pPr>
    </w:p>
    <w:p w14:paraId="4302A5F5" w14:textId="7CB117E4" w:rsidR="00F15A42" w:rsidRDefault="00F15A42" w:rsidP="00E06C23">
      <w:pPr>
        <w:pStyle w:val="ListParagraph"/>
        <w:numPr>
          <w:ilvl w:val="0"/>
          <w:numId w:val="1"/>
        </w:numPr>
        <w:tabs>
          <w:tab w:val="left" w:pos="284"/>
          <w:tab w:val="left" w:pos="426"/>
        </w:tabs>
        <w:spacing w:after="240" w:line="360" w:lineRule="auto"/>
        <w:ind w:left="0" w:firstLine="0"/>
        <w:contextualSpacing w:val="0"/>
        <w:jc w:val="both"/>
        <w:rPr>
          <w:iCs/>
        </w:rPr>
      </w:pPr>
      <w:r>
        <w:rPr>
          <w:iCs/>
        </w:rPr>
        <w:t xml:space="preserve">While general comments try to consider persons with disabilities as a group, IDA believes that this current draft general comment no 8 on article 27 (work and employment) does not serve right and give visibility to the diversity of persons with disabilities, in particular of those of underrepresented groups (deaf persons, deaf-blind persons, persons with psychosocial disabilities, persons with intellectual disabilities). </w:t>
      </w:r>
      <w:r w:rsidRPr="00E63CEB">
        <w:rPr>
          <w:iCs/>
        </w:rPr>
        <w:t xml:space="preserve">In this sense, omitting referring to </w:t>
      </w:r>
      <w:r>
        <w:rPr>
          <w:iCs/>
        </w:rPr>
        <w:t xml:space="preserve">those </w:t>
      </w:r>
      <w:r w:rsidRPr="00E63CEB">
        <w:rPr>
          <w:iCs/>
        </w:rPr>
        <w:t xml:space="preserve">underrepresented might lead readers </w:t>
      </w:r>
      <w:r>
        <w:rPr>
          <w:iCs/>
        </w:rPr>
        <w:t>to</w:t>
      </w:r>
      <w:r w:rsidRPr="00E63CEB">
        <w:rPr>
          <w:iCs/>
        </w:rPr>
        <w:t xml:space="preserve"> a</w:t>
      </w:r>
      <w:r>
        <w:rPr>
          <w:iCs/>
        </w:rPr>
        <w:t xml:space="preserve"> limited understanding and an</w:t>
      </w:r>
      <w:r w:rsidRPr="00E63CEB">
        <w:rPr>
          <w:iCs/>
        </w:rPr>
        <w:t xml:space="preserve"> overall impression</w:t>
      </w:r>
      <w:r>
        <w:rPr>
          <w:rStyle w:val="EndnoteReference"/>
          <w:iCs/>
        </w:rPr>
        <w:endnoteReference w:id="9"/>
      </w:r>
      <w:r w:rsidRPr="00E63CEB">
        <w:rPr>
          <w:iCs/>
        </w:rPr>
        <w:t xml:space="preserve"> that the draft relates mostly to persons with physical disabilities and persons with visual impairments</w:t>
      </w:r>
      <w:r>
        <w:rPr>
          <w:iCs/>
        </w:rPr>
        <w:t xml:space="preserve">, </w:t>
      </w:r>
      <w:r w:rsidRPr="00E63CEB">
        <w:rPr>
          <w:iCs/>
        </w:rPr>
        <w:t>miss</w:t>
      </w:r>
      <w:r>
        <w:rPr>
          <w:iCs/>
        </w:rPr>
        <w:t>ing</w:t>
      </w:r>
      <w:r w:rsidRPr="00E63CEB">
        <w:rPr>
          <w:iCs/>
        </w:rPr>
        <w:t xml:space="preserve"> considering </w:t>
      </w:r>
      <w:r>
        <w:rPr>
          <w:iCs/>
        </w:rPr>
        <w:t>others</w:t>
      </w:r>
      <w:r w:rsidRPr="00E63CEB">
        <w:rPr>
          <w:iCs/>
        </w:rPr>
        <w:t xml:space="preserve"> in </w:t>
      </w:r>
      <w:r>
        <w:rPr>
          <w:iCs/>
        </w:rPr>
        <w:t xml:space="preserve">relation to </w:t>
      </w:r>
      <w:r w:rsidRPr="00E63CEB">
        <w:rPr>
          <w:iCs/>
        </w:rPr>
        <w:t>employment</w:t>
      </w:r>
      <w:r>
        <w:rPr>
          <w:iCs/>
        </w:rPr>
        <w:t>.</w:t>
      </w:r>
    </w:p>
    <w:p w14:paraId="241E9994" w14:textId="53DD1300" w:rsidR="00F15A42" w:rsidRDefault="00F15A42" w:rsidP="00E06C23">
      <w:pPr>
        <w:pStyle w:val="ListParagraph"/>
        <w:numPr>
          <w:ilvl w:val="0"/>
          <w:numId w:val="1"/>
        </w:numPr>
        <w:tabs>
          <w:tab w:val="left" w:pos="284"/>
          <w:tab w:val="left" w:pos="426"/>
        </w:tabs>
        <w:spacing w:after="240" w:line="360" w:lineRule="auto"/>
        <w:ind w:left="0" w:firstLine="0"/>
        <w:contextualSpacing w:val="0"/>
        <w:jc w:val="both"/>
        <w:rPr>
          <w:iCs/>
        </w:rPr>
      </w:pPr>
      <w:r>
        <w:rPr>
          <w:iCs/>
        </w:rPr>
        <w:t xml:space="preserve">This risk sufficiently worrying to suggest the </w:t>
      </w:r>
      <w:r w:rsidRPr="007E6152">
        <w:rPr>
          <w:b/>
          <w:bCs/>
          <w:iCs/>
        </w:rPr>
        <w:t>strong need for better, explicit and more frequent references to the diverse groups of persons with disabilities</w:t>
      </w:r>
      <w:r>
        <w:rPr>
          <w:iCs/>
        </w:rPr>
        <w:t>, in connection to the issues particularly concerning them and their specific needs (e.g. kinds of accessible formats). Appropriate references could be included throughout the text.</w:t>
      </w:r>
    </w:p>
    <w:p w14:paraId="2E63A275" w14:textId="75622297" w:rsidR="00F15A42" w:rsidRDefault="00F15A42" w:rsidP="00E06C23">
      <w:pPr>
        <w:pStyle w:val="ListParagraph"/>
        <w:numPr>
          <w:ilvl w:val="0"/>
          <w:numId w:val="1"/>
        </w:numPr>
        <w:tabs>
          <w:tab w:val="left" w:pos="284"/>
          <w:tab w:val="left" w:pos="426"/>
        </w:tabs>
        <w:spacing w:after="240" w:line="360" w:lineRule="auto"/>
        <w:ind w:left="0" w:firstLine="0"/>
        <w:contextualSpacing w:val="0"/>
        <w:jc w:val="both"/>
        <w:rPr>
          <w:iCs/>
        </w:rPr>
      </w:pPr>
      <w:r>
        <w:rPr>
          <w:iCs/>
        </w:rPr>
        <w:t xml:space="preserve">In this sense, </w:t>
      </w:r>
      <w:r w:rsidRPr="00846588">
        <w:rPr>
          <w:b/>
          <w:bCs/>
          <w:iCs/>
        </w:rPr>
        <w:t>certain issues relate more with specific constituencies among persons with disabilities</w:t>
      </w:r>
      <w:r>
        <w:rPr>
          <w:iCs/>
        </w:rPr>
        <w:t xml:space="preserve">. For instance, deprivation of legal capacity relates more to persons with intellectual disabilities and persons with psychosocial disabilities. Persons with intellectual disabilities tend to be overrepresented in the informal sector compared to others, given their higher exclusion from inclusive educational opportunities and lower levels of qualifications.     </w:t>
      </w:r>
    </w:p>
    <w:p w14:paraId="190DAF98" w14:textId="037EFABD" w:rsidR="00F15A42" w:rsidRDefault="00F15A42" w:rsidP="00E06C23">
      <w:pPr>
        <w:pStyle w:val="ListParagraph"/>
        <w:numPr>
          <w:ilvl w:val="0"/>
          <w:numId w:val="1"/>
        </w:numPr>
        <w:tabs>
          <w:tab w:val="left" w:pos="284"/>
          <w:tab w:val="left" w:pos="426"/>
        </w:tabs>
        <w:spacing w:after="240" w:line="360" w:lineRule="auto"/>
        <w:ind w:left="0" w:firstLine="0"/>
        <w:contextualSpacing w:val="0"/>
        <w:jc w:val="both"/>
        <w:rPr>
          <w:iCs/>
        </w:rPr>
      </w:pPr>
      <w:r>
        <w:rPr>
          <w:iCs/>
        </w:rPr>
        <w:t xml:space="preserve">Also, </w:t>
      </w:r>
      <w:r w:rsidRPr="00846588">
        <w:rPr>
          <w:b/>
          <w:bCs/>
          <w:iCs/>
        </w:rPr>
        <w:t>the introduction of practical examples</w:t>
      </w:r>
      <w:r w:rsidRPr="00846588">
        <w:rPr>
          <w:iCs/>
        </w:rPr>
        <w:t xml:space="preserve"> can provide opportunities for explicit references. For instance, examples of reasonable accommodation in para. 22 could refer to sign language interpretation for deaf persons and to tactile communication for deaf-blind persons. </w:t>
      </w:r>
      <w:r>
        <w:rPr>
          <w:iCs/>
        </w:rPr>
        <w:t>R</w:t>
      </w:r>
      <w:r w:rsidRPr="00846588">
        <w:rPr>
          <w:iCs/>
        </w:rPr>
        <w:t xml:space="preserve">eferences to “rescheduling work” </w:t>
      </w:r>
      <w:r>
        <w:rPr>
          <w:iCs/>
        </w:rPr>
        <w:t>or</w:t>
      </w:r>
      <w:r w:rsidRPr="00846588">
        <w:rPr>
          <w:iCs/>
        </w:rPr>
        <w:t xml:space="preserve"> </w:t>
      </w:r>
      <w:r>
        <w:rPr>
          <w:iCs/>
        </w:rPr>
        <w:t>to</w:t>
      </w:r>
      <w:r w:rsidRPr="00846588">
        <w:rPr>
          <w:iCs/>
        </w:rPr>
        <w:t xml:space="preserve"> extended time for tasks could be linked to persons with physical disabilities (e.g. for typing) and to persons with intellectual disabilities.</w:t>
      </w:r>
    </w:p>
    <w:p w14:paraId="266125EB" w14:textId="7EA47347" w:rsidR="00FC2D6A" w:rsidRPr="00FC2D6A" w:rsidRDefault="00F15A42" w:rsidP="00FC2D6A">
      <w:pPr>
        <w:pStyle w:val="ListParagraph"/>
        <w:numPr>
          <w:ilvl w:val="0"/>
          <w:numId w:val="1"/>
        </w:numPr>
        <w:tabs>
          <w:tab w:val="left" w:pos="284"/>
          <w:tab w:val="left" w:pos="426"/>
        </w:tabs>
        <w:spacing w:after="240" w:line="360" w:lineRule="auto"/>
        <w:ind w:left="0" w:firstLine="0"/>
        <w:contextualSpacing w:val="0"/>
        <w:jc w:val="both"/>
        <w:rPr>
          <w:b/>
          <w:bCs/>
        </w:rPr>
      </w:pPr>
      <w:r w:rsidRPr="00725BE3">
        <w:rPr>
          <w:b/>
          <w:bCs/>
          <w:iCs/>
        </w:rPr>
        <w:t>IDA encourages the CRPD Committee to review the draft general comment in taking this into account. IDA strongly recommends the thorough review and consideration of IDA’s and IDA’s members’ submissions for the Day of General Discussion and to this draft, as many relevant elements might have been omitted</w:t>
      </w:r>
      <w:r>
        <w:rPr>
          <w:b/>
          <w:bCs/>
          <w:iCs/>
        </w:rPr>
        <w:t>.</w:t>
      </w:r>
      <w:r w:rsidR="00FC2D6A">
        <w:rPr>
          <w:b/>
          <w:bCs/>
        </w:rPr>
        <w:tab/>
      </w:r>
    </w:p>
    <w:p w14:paraId="7C1FA433" w14:textId="742AF959" w:rsidR="00F15A42" w:rsidRPr="00725BE3" w:rsidRDefault="00F15A42" w:rsidP="00725BE3">
      <w:pPr>
        <w:pStyle w:val="ListParagraph"/>
        <w:tabs>
          <w:tab w:val="left" w:pos="284"/>
          <w:tab w:val="left" w:pos="426"/>
        </w:tabs>
        <w:spacing w:after="240" w:line="360" w:lineRule="auto"/>
        <w:ind w:left="0"/>
        <w:contextualSpacing w:val="0"/>
        <w:jc w:val="both"/>
        <w:rPr>
          <w:b/>
          <w:bCs/>
        </w:rPr>
      </w:pPr>
      <w:r w:rsidRPr="00725BE3">
        <w:rPr>
          <w:b/>
          <w:bCs/>
          <w:sz w:val="28"/>
          <w:szCs w:val="28"/>
        </w:rPr>
        <w:t xml:space="preserve">D- Need to acknowledge and elaborate on the role of relatives of persons with disabilities, notably those with intellectual disabilities </w:t>
      </w:r>
    </w:p>
    <w:p w14:paraId="5E56F54D" w14:textId="4267A69E" w:rsidR="00F15A42" w:rsidRDefault="00F15A42" w:rsidP="00E06C23">
      <w:pPr>
        <w:pStyle w:val="ListParagraph"/>
        <w:numPr>
          <w:ilvl w:val="0"/>
          <w:numId w:val="1"/>
        </w:numPr>
        <w:tabs>
          <w:tab w:val="left" w:pos="284"/>
          <w:tab w:val="left" w:pos="426"/>
        </w:tabs>
        <w:spacing w:after="240" w:line="360" w:lineRule="auto"/>
        <w:ind w:left="0" w:firstLine="0"/>
        <w:jc w:val="both"/>
        <w:rPr>
          <w:iCs/>
        </w:rPr>
      </w:pPr>
      <w:r>
        <w:rPr>
          <w:iCs/>
        </w:rPr>
        <w:t>In connection to the previous section and its suggestions, IDA would like to stress the need to consider the supportive role that relatives of persons with disabilities, including primary caregivers, might exercise for the enjoyment of the right to work and employment by persons with disabilities, especially those with intellectual disabilities. Such role should be acknowledged and supported by the text, in particular as important for successful experiences of persons with intellectual disabilities in the both wagedand self-employment.</w:t>
      </w:r>
    </w:p>
    <w:p w14:paraId="0FDB9D0B" w14:textId="77777777" w:rsidR="00F15A42" w:rsidRDefault="00F15A42" w:rsidP="00725BE3">
      <w:pPr>
        <w:pStyle w:val="ListParagraph"/>
        <w:tabs>
          <w:tab w:val="left" w:pos="284"/>
          <w:tab w:val="left" w:pos="426"/>
        </w:tabs>
        <w:spacing w:after="240" w:line="360" w:lineRule="auto"/>
        <w:ind w:left="0"/>
        <w:jc w:val="both"/>
        <w:rPr>
          <w:iCs/>
        </w:rPr>
      </w:pPr>
    </w:p>
    <w:p w14:paraId="4D113B59" w14:textId="6983B0B0" w:rsidR="00F15A42" w:rsidRPr="008C3F0A" w:rsidRDefault="00F15A42" w:rsidP="00B60FF5">
      <w:pPr>
        <w:pStyle w:val="ListParagraph"/>
        <w:numPr>
          <w:ilvl w:val="0"/>
          <w:numId w:val="1"/>
        </w:numPr>
        <w:tabs>
          <w:tab w:val="left" w:pos="284"/>
          <w:tab w:val="left" w:pos="426"/>
        </w:tabs>
        <w:spacing w:after="240" w:line="360" w:lineRule="auto"/>
        <w:ind w:left="0" w:firstLine="0"/>
        <w:jc w:val="both"/>
        <w:rPr>
          <w:iCs/>
        </w:rPr>
      </w:pPr>
      <w:r>
        <w:rPr>
          <w:iCs/>
        </w:rPr>
        <w:t>While in a different context, in its general comment no. 7 on Articles 4(3) and 33(3) of the CRPD, the Committee has acknowledged the supportive and empowering role of family members to facilitate, promote and secure the interest and supporting the autonomy and active participation of their relatives with intellectual disabilities.</w:t>
      </w:r>
      <w:r>
        <w:rPr>
          <w:rStyle w:val="EndnoteReference"/>
          <w:iCs/>
        </w:rPr>
        <w:endnoteReference w:id="10"/>
      </w:r>
      <w:r>
        <w:rPr>
          <w:iCs/>
        </w:rPr>
        <w:t xml:space="preserve"> Similarly, </w:t>
      </w:r>
      <w:r w:rsidRPr="00425B19">
        <w:rPr>
          <w:b/>
          <w:bCs/>
          <w:iCs/>
        </w:rPr>
        <w:t xml:space="preserve">the CRPD Committee should </w:t>
      </w:r>
      <w:r>
        <w:rPr>
          <w:b/>
          <w:bCs/>
          <w:iCs/>
        </w:rPr>
        <w:t xml:space="preserve">again </w:t>
      </w:r>
      <w:r w:rsidRPr="00425B19">
        <w:rPr>
          <w:b/>
          <w:bCs/>
          <w:iCs/>
        </w:rPr>
        <w:t>acknowledge this role and call States to provide for concrete measures to support it</w:t>
      </w:r>
      <w:r>
        <w:rPr>
          <w:rStyle w:val="EndnoteReference"/>
          <w:b/>
          <w:bCs/>
          <w:iCs/>
        </w:rPr>
        <w:endnoteReference w:id="11"/>
      </w:r>
      <w:r w:rsidRPr="00425B19">
        <w:rPr>
          <w:b/>
          <w:bCs/>
          <w:iCs/>
        </w:rPr>
        <w:t xml:space="preserve"> and to ensure that the will and preferences of persons with disabilities prevail and are always respected</w:t>
      </w:r>
      <w:r>
        <w:rPr>
          <w:iCs/>
        </w:rPr>
        <w:t>, in line with Article 12 of the CRPD (see also section H below on reasonable accommodation for relatives of persons with disabilities).</w:t>
      </w:r>
    </w:p>
    <w:p w14:paraId="279F5E1A" w14:textId="517EE58C" w:rsidR="00F15A42" w:rsidRDefault="00F15A42" w:rsidP="008A7798">
      <w:pPr>
        <w:pStyle w:val="3"/>
        <w:jc w:val="both"/>
        <w:rPr>
          <w:b/>
          <w:bCs/>
        </w:rPr>
      </w:pPr>
      <w:bookmarkStart w:id="10" w:name="_Toc90230126"/>
      <w:r>
        <w:rPr>
          <w:b/>
          <w:bCs/>
        </w:rPr>
        <w:t xml:space="preserve">E- </w:t>
      </w:r>
      <w:r w:rsidRPr="007E6152">
        <w:rPr>
          <w:b/>
          <w:bCs/>
        </w:rPr>
        <w:t>Non-discrimination</w:t>
      </w:r>
      <w:r>
        <w:rPr>
          <w:b/>
          <w:bCs/>
        </w:rPr>
        <w:t xml:space="preserve"> of persons with disabilities</w:t>
      </w:r>
      <w:r w:rsidRPr="007E6152">
        <w:rPr>
          <w:b/>
          <w:bCs/>
        </w:rPr>
        <w:t xml:space="preserve"> in employment</w:t>
      </w:r>
      <w:bookmarkEnd w:id="10"/>
    </w:p>
    <w:p w14:paraId="3D844C34" w14:textId="77777777" w:rsidR="00F15A42" w:rsidRPr="008A7798" w:rsidRDefault="00F15A42" w:rsidP="008A7798">
      <w:pPr>
        <w:rPr>
          <w:lang w:val="en-GB"/>
        </w:rPr>
      </w:pPr>
    </w:p>
    <w:p w14:paraId="3BF80A8D" w14:textId="2168839A" w:rsidR="00F15A42" w:rsidRDefault="00F15A42" w:rsidP="007E6152">
      <w:pPr>
        <w:pStyle w:val="ListParagraph"/>
        <w:tabs>
          <w:tab w:val="left" w:pos="284"/>
          <w:tab w:val="left" w:pos="426"/>
        </w:tabs>
        <w:spacing w:after="240" w:line="240" w:lineRule="auto"/>
        <w:ind w:left="0"/>
        <w:contextualSpacing w:val="0"/>
        <w:jc w:val="both"/>
        <w:rPr>
          <w:b/>
          <w:bCs/>
          <w:sz w:val="28"/>
          <w:szCs w:val="28"/>
        </w:rPr>
      </w:pPr>
      <w:r>
        <w:rPr>
          <w:b/>
          <w:bCs/>
          <w:i/>
        </w:rPr>
        <w:t xml:space="preserve">a) </w:t>
      </w:r>
      <w:r w:rsidRPr="0085232F">
        <w:rPr>
          <w:b/>
          <w:bCs/>
          <w:i/>
        </w:rPr>
        <w:t>Deprivation of legal capacity and Article 12 of the CRPD</w:t>
      </w:r>
    </w:p>
    <w:p w14:paraId="263A5320" w14:textId="0BCB8B77" w:rsidR="00F15A42" w:rsidRPr="00BD598C"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Lack of equal recognition of persons with disabilities before the law and lack of recognition of their legal capacity, in contradiction of Article 12 of the CRPD, constitutes a main barrier for some persons with disabilities, notably those with intellectual and with psychosocial disabilities, to access employment. If selected for dependent employment, those deprived of legal capacity are prevented from entering a legal contract. In the case of self-employment, they might be excluded from the possibility to formally set up a business.</w:t>
      </w:r>
    </w:p>
    <w:p w14:paraId="264A9A63" w14:textId="4C1E93E5" w:rsidR="00F15A42"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 xml:space="preserve">Not elaborating this from the outset in connection with and as a case of disability-based discrimination in employment, but only in section V of the draft on “relationship with other articles” reinforces the negative impression suggested above in section C (paras. 15 to 19). </w:t>
      </w:r>
      <w:r w:rsidRPr="003624CA">
        <w:rPr>
          <w:b/>
          <w:bCs/>
          <w:iCs/>
        </w:rPr>
        <w:t xml:space="preserve">IDA encourages the CRPD Committee to include this key issue in the section devoted to Article 27(1)(a) of the </w:t>
      </w:r>
      <w:r>
        <w:rPr>
          <w:b/>
          <w:bCs/>
          <w:iCs/>
        </w:rPr>
        <w:t>CRPD</w:t>
      </w:r>
      <w:r w:rsidRPr="003624CA">
        <w:rPr>
          <w:b/>
          <w:bCs/>
          <w:iCs/>
        </w:rPr>
        <w:t xml:space="preserve"> in the draft.</w:t>
      </w:r>
      <w:r>
        <w:rPr>
          <w:iCs/>
        </w:rPr>
        <w:t xml:space="preserve"> </w:t>
      </w:r>
    </w:p>
    <w:p w14:paraId="1EC6FFEC" w14:textId="516EA124" w:rsidR="00F15A42" w:rsidRDefault="00F15A42" w:rsidP="003624CA">
      <w:pPr>
        <w:pStyle w:val="ListParagraph"/>
        <w:tabs>
          <w:tab w:val="left" w:pos="284"/>
          <w:tab w:val="left" w:pos="426"/>
        </w:tabs>
        <w:spacing w:after="240" w:line="240" w:lineRule="auto"/>
        <w:ind w:left="0"/>
        <w:jc w:val="both"/>
        <w:rPr>
          <w:b/>
          <w:bCs/>
          <w:i/>
          <w:iCs/>
        </w:rPr>
      </w:pPr>
      <w:r>
        <w:rPr>
          <w:b/>
          <w:bCs/>
          <w:i/>
        </w:rPr>
        <w:t xml:space="preserve">b) </w:t>
      </w:r>
      <w:bookmarkStart w:id="11" w:name="_Toc66452320"/>
      <w:r>
        <w:rPr>
          <w:b/>
          <w:bCs/>
          <w:i/>
          <w:iCs/>
        </w:rPr>
        <w:t>Concretising non-discrimination and favouring inclusive recruitment processes in dependent employment:</w:t>
      </w:r>
      <w:bookmarkEnd w:id="11"/>
      <w:r>
        <w:rPr>
          <w:b/>
          <w:bCs/>
          <w:i/>
          <w:iCs/>
        </w:rPr>
        <w:t xml:space="preserve"> </w:t>
      </w:r>
    </w:p>
    <w:p w14:paraId="2A5637F2" w14:textId="3491783C" w:rsidR="00F15A42" w:rsidRDefault="00F15A42" w:rsidP="003624CA">
      <w:pPr>
        <w:pStyle w:val="ListParagraph"/>
        <w:tabs>
          <w:tab w:val="left" w:pos="284"/>
          <w:tab w:val="left" w:pos="426"/>
        </w:tabs>
        <w:spacing w:after="240" w:line="240" w:lineRule="auto"/>
        <w:ind w:left="0"/>
        <w:jc w:val="both"/>
        <w:rPr>
          <w:b/>
          <w:bCs/>
          <w:i/>
          <w:iCs/>
        </w:rPr>
      </w:pPr>
    </w:p>
    <w:p w14:paraId="4BBE581C" w14:textId="507CCE6B" w:rsidR="00F15A42" w:rsidRPr="00B60F5B" w:rsidRDefault="00F15A42" w:rsidP="003624CA">
      <w:pPr>
        <w:pStyle w:val="ListParagraph"/>
        <w:tabs>
          <w:tab w:val="left" w:pos="284"/>
          <w:tab w:val="left" w:pos="426"/>
        </w:tabs>
        <w:spacing w:after="240" w:line="240" w:lineRule="auto"/>
        <w:ind w:left="0"/>
        <w:jc w:val="both"/>
        <w:rPr>
          <w:i/>
          <w:iCs/>
          <w:u w:val="single"/>
        </w:rPr>
      </w:pPr>
      <w:r>
        <w:rPr>
          <w:b/>
          <w:bCs/>
          <w:i/>
          <w:iCs/>
        </w:rPr>
        <w:tab/>
      </w:r>
      <w:r w:rsidRPr="00B60F5B">
        <w:rPr>
          <w:i/>
          <w:iCs/>
          <w:u w:val="single"/>
        </w:rPr>
        <w:t>i. Elaborating on “essential functions of the job”</w:t>
      </w:r>
    </w:p>
    <w:p w14:paraId="024FDDE9" w14:textId="77777777" w:rsidR="00F15A42" w:rsidRPr="00E37046" w:rsidRDefault="00F15A42" w:rsidP="003624CA">
      <w:pPr>
        <w:pStyle w:val="ListParagraph"/>
        <w:tabs>
          <w:tab w:val="left" w:pos="284"/>
          <w:tab w:val="left" w:pos="426"/>
        </w:tabs>
        <w:spacing w:after="240" w:line="240" w:lineRule="auto"/>
        <w:ind w:left="0"/>
        <w:jc w:val="both"/>
        <w:rPr>
          <w:b/>
          <w:bCs/>
          <w:i/>
          <w:iCs/>
        </w:rPr>
      </w:pPr>
    </w:p>
    <w:p w14:paraId="7A3F6EE2" w14:textId="35A7189B" w:rsidR="00F15A42"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 xml:space="preserve">IDA stressed in its submission for the Day of General Discussion last March that, while stressing on non-discrimination, </w:t>
      </w:r>
      <w:r w:rsidRPr="0095180E">
        <w:rPr>
          <w:iCs/>
        </w:rPr>
        <w:t xml:space="preserve">the </w:t>
      </w:r>
      <w:r>
        <w:rPr>
          <w:iCs/>
        </w:rPr>
        <w:t xml:space="preserve">CRPD </w:t>
      </w:r>
      <w:r w:rsidRPr="0095180E">
        <w:rPr>
          <w:iCs/>
        </w:rPr>
        <w:t xml:space="preserve">Committee </w:t>
      </w:r>
      <w:r>
        <w:rPr>
          <w:iCs/>
        </w:rPr>
        <w:t>“</w:t>
      </w:r>
      <w:r w:rsidRPr="0095180E">
        <w:rPr>
          <w:iCs/>
        </w:rPr>
        <w:t xml:space="preserve">has not so often elaborated in more detail on the concrete implications for employers’ assessments of candidates and reassignments to </w:t>
      </w:r>
      <w:r>
        <w:rPr>
          <w:iCs/>
        </w:rPr>
        <w:t>employees</w:t>
      </w:r>
      <w:r w:rsidRPr="0095180E">
        <w:rPr>
          <w:iCs/>
        </w:rPr>
        <w:t xml:space="preserve"> acquiring an impairment.</w:t>
      </w:r>
      <w:r>
        <w:rPr>
          <w:iCs/>
        </w:rPr>
        <w:t>”</w:t>
      </w:r>
      <w:r w:rsidRPr="0095180E">
        <w:rPr>
          <w:iCs/>
        </w:rPr>
        <w:t xml:space="preserve"> </w:t>
      </w:r>
      <w:r>
        <w:rPr>
          <w:iCs/>
        </w:rPr>
        <w:t>However, in some opportunities, t</w:t>
      </w:r>
      <w:r w:rsidRPr="0095180E">
        <w:rPr>
          <w:iCs/>
        </w:rPr>
        <w:t xml:space="preserve">his Committee </w:t>
      </w:r>
      <w:r>
        <w:rPr>
          <w:iCs/>
        </w:rPr>
        <w:t>called</w:t>
      </w:r>
      <w:r w:rsidRPr="0095180E">
        <w:rPr>
          <w:iCs/>
        </w:rPr>
        <w:t xml:space="preserve"> to “ensure individualized assessments are conducted to determine suitability for bona fide occupational requirements”</w:t>
      </w:r>
      <w:r w:rsidRPr="0095180E">
        <w:rPr>
          <w:iCs/>
          <w:vertAlign w:val="superscript"/>
        </w:rPr>
        <w:endnoteReference w:id="12"/>
      </w:r>
      <w:r w:rsidRPr="0095180E">
        <w:rPr>
          <w:iCs/>
        </w:rPr>
        <w:t xml:space="preserve"> and “to replace any assessment of suitability to work with an assessment that considers the needs and requirements for reasonable accommodation at work for persons with disabilities.”</w:t>
      </w:r>
      <w:r w:rsidRPr="0095180E">
        <w:rPr>
          <w:iCs/>
          <w:vertAlign w:val="superscript"/>
        </w:rPr>
        <w:endnoteReference w:id="13"/>
      </w:r>
      <w:r w:rsidRPr="0095180E">
        <w:rPr>
          <w:iCs/>
        </w:rPr>
        <w:t xml:space="preserve"> </w:t>
      </w:r>
      <w:r>
        <w:rPr>
          <w:iCs/>
        </w:rPr>
        <w:t>We stressed then:</w:t>
      </w:r>
    </w:p>
    <w:p w14:paraId="3E7394BA" w14:textId="6A29BC87" w:rsidR="00F15A42" w:rsidRPr="003223A7" w:rsidRDefault="00F15A42" w:rsidP="008C3F0A">
      <w:pPr>
        <w:pStyle w:val="ListParagraph"/>
        <w:tabs>
          <w:tab w:val="left" w:pos="284"/>
        </w:tabs>
        <w:snapToGrid w:val="0"/>
        <w:spacing w:line="240" w:lineRule="auto"/>
        <w:ind w:left="851" w:right="807"/>
        <w:contextualSpacing w:val="0"/>
        <w:jc w:val="both"/>
        <w:rPr>
          <w:iCs/>
          <w:sz w:val="20"/>
          <w:szCs w:val="20"/>
        </w:rPr>
      </w:pPr>
      <w:r w:rsidRPr="003223A7">
        <w:rPr>
          <w:iCs/>
          <w:sz w:val="20"/>
          <w:szCs w:val="20"/>
        </w:rPr>
        <w:t xml:space="preserve"> “Indeed, assessments of candidates should always be individualised and focused on the ‘essential functions of the job’:</w:t>
      </w:r>
      <w:r w:rsidRPr="003223A7">
        <w:rPr>
          <w:sz w:val="20"/>
          <w:szCs w:val="20"/>
          <w:vertAlign w:val="superscript"/>
        </w:rPr>
        <w:endnoteReference w:id="14"/>
      </w:r>
      <w:r w:rsidRPr="003223A7">
        <w:rPr>
          <w:iCs/>
          <w:sz w:val="20"/>
          <w:szCs w:val="20"/>
        </w:rPr>
        <w:t xml:space="preserve"> never general and standardised (regardless of the specific core functions of the job). In addition, they should also contemplate the duty to provide reasonable accommodation and support measures.” </w:t>
      </w:r>
    </w:p>
    <w:p w14:paraId="5E327FAD" w14:textId="77777777" w:rsidR="00F15A42" w:rsidRPr="003223A7" w:rsidRDefault="00F15A42" w:rsidP="003223A7">
      <w:pPr>
        <w:pStyle w:val="ListParagraph"/>
        <w:tabs>
          <w:tab w:val="left" w:pos="284"/>
          <w:tab w:val="left" w:pos="426"/>
        </w:tabs>
        <w:snapToGrid w:val="0"/>
        <w:spacing w:line="240" w:lineRule="auto"/>
        <w:ind w:left="425" w:right="522"/>
        <w:contextualSpacing w:val="0"/>
        <w:jc w:val="both"/>
        <w:rPr>
          <w:iCs/>
        </w:rPr>
      </w:pPr>
    </w:p>
    <w:p w14:paraId="0D788B09" w14:textId="51198AD6" w:rsidR="00F15A42" w:rsidRDefault="00F15A42" w:rsidP="00E06C23">
      <w:pPr>
        <w:pStyle w:val="ListParagraph"/>
        <w:numPr>
          <w:ilvl w:val="0"/>
          <w:numId w:val="1"/>
        </w:numPr>
        <w:tabs>
          <w:tab w:val="left" w:pos="284"/>
        </w:tabs>
        <w:snapToGrid w:val="0"/>
        <w:spacing w:after="240" w:line="360" w:lineRule="auto"/>
        <w:contextualSpacing w:val="0"/>
        <w:jc w:val="both"/>
        <w:rPr>
          <w:iCs/>
        </w:rPr>
      </w:pPr>
      <w:r w:rsidRPr="0095180E">
        <w:rPr>
          <w:iCs/>
        </w:rPr>
        <w:t xml:space="preserve">IDA believes that the Committee should </w:t>
      </w:r>
      <w:r>
        <w:rPr>
          <w:iCs/>
        </w:rPr>
        <w:t xml:space="preserve">not miss the opportunity of this process to provide more detailed guidance on this area to States and other stakeholders. As IDA highlighted by then: </w:t>
      </w:r>
    </w:p>
    <w:p w14:paraId="00D6E513" w14:textId="61CAF902" w:rsidR="00F15A42" w:rsidRPr="003223A7" w:rsidRDefault="00F15A42" w:rsidP="008C3F0A">
      <w:pPr>
        <w:pStyle w:val="ListParagraph"/>
        <w:numPr>
          <w:ilvl w:val="1"/>
          <w:numId w:val="1"/>
        </w:numPr>
        <w:tabs>
          <w:tab w:val="left" w:pos="284"/>
        </w:tabs>
        <w:snapToGrid w:val="0"/>
        <w:spacing w:line="240" w:lineRule="auto"/>
        <w:ind w:left="851" w:right="807" w:hanging="16"/>
        <w:contextualSpacing w:val="0"/>
        <w:jc w:val="both"/>
        <w:rPr>
          <w:iCs/>
          <w:sz w:val="20"/>
          <w:szCs w:val="20"/>
        </w:rPr>
      </w:pPr>
      <w:r w:rsidRPr="003223A7">
        <w:rPr>
          <w:iCs/>
          <w:sz w:val="20"/>
          <w:szCs w:val="20"/>
        </w:rPr>
        <w:t>“</w:t>
      </w:r>
      <w:r w:rsidRPr="0095180E">
        <w:rPr>
          <w:iCs/>
          <w:sz w:val="20"/>
          <w:szCs w:val="20"/>
        </w:rPr>
        <w:t>Job descriptions should clearly identify the “essential functions of the job.”</w:t>
      </w:r>
      <w:r w:rsidRPr="0095180E">
        <w:rPr>
          <w:iCs/>
          <w:sz w:val="20"/>
          <w:szCs w:val="20"/>
          <w:vertAlign w:val="superscript"/>
        </w:rPr>
        <w:endnoteReference w:id="15"/>
      </w:r>
    </w:p>
    <w:p w14:paraId="2C126BC1" w14:textId="77777777" w:rsidR="00F15A42" w:rsidRPr="003223A7" w:rsidRDefault="00F15A42" w:rsidP="008C3F0A">
      <w:pPr>
        <w:pStyle w:val="ListParagraph"/>
        <w:numPr>
          <w:ilvl w:val="1"/>
          <w:numId w:val="1"/>
        </w:numPr>
        <w:tabs>
          <w:tab w:val="left" w:pos="284"/>
        </w:tabs>
        <w:snapToGrid w:val="0"/>
        <w:spacing w:line="240" w:lineRule="auto"/>
        <w:ind w:left="851" w:right="807" w:hanging="16"/>
        <w:contextualSpacing w:val="0"/>
        <w:jc w:val="both"/>
        <w:rPr>
          <w:iCs/>
          <w:sz w:val="20"/>
          <w:szCs w:val="20"/>
        </w:rPr>
      </w:pPr>
      <w:r w:rsidRPr="0095180E">
        <w:rPr>
          <w:iCs/>
          <w:sz w:val="20"/>
          <w:szCs w:val="20"/>
        </w:rPr>
        <w:t xml:space="preserve">Assessments of candidates must be individualised focusing on whether the person´s qualifications match those “essential functions” and considering the duty to provide support measures, and reasonable accommodations. </w:t>
      </w:r>
    </w:p>
    <w:p w14:paraId="0F48B797" w14:textId="66B9D069" w:rsidR="00F15A42" w:rsidRDefault="00F15A42" w:rsidP="008C3F0A">
      <w:pPr>
        <w:pStyle w:val="ListParagraph"/>
        <w:numPr>
          <w:ilvl w:val="1"/>
          <w:numId w:val="1"/>
        </w:numPr>
        <w:tabs>
          <w:tab w:val="left" w:pos="284"/>
        </w:tabs>
        <w:snapToGrid w:val="0"/>
        <w:spacing w:line="240" w:lineRule="auto"/>
        <w:ind w:left="851" w:right="807" w:hanging="16"/>
        <w:contextualSpacing w:val="0"/>
        <w:jc w:val="both"/>
        <w:rPr>
          <w:iCs/>
          <w:sz w:val="20"/>
          <w:szCs w:val="20"/>
        </w:rPr>
      </w:pPr>
      <w:r w:rsidRPr="0095180E">
        <w:rPr>
          <w:iCs/>
          <w:sz w:val="20"/>
          <w:szCs w:val="20"/>
        </w:rPr>
        <w:t>Occupational health assessments should also focus on “the individual capabilities of the person with disability, the core functions of the job and the environment in which that job is operating,”</w:t>
      </w:r>
      <w:r w:rsidRPr="0095180E">
        <w:rPr>
          <w:iCs/>
          <w:sz w:val="20"/>
          <w:szCs w:val="20"/>
          <w:vertAlign w:val="superscript"/>
        </w:rPr>
        <w:endnoteReference w:id="16"/>
      </w:r>
      <w:r w:rsidRPr="0095180E">
        <w:rPr>
          <w:iCs/>
          <w:sz w:val="20"/>
          <w:szCs w:val="20"/>
        </w:rPr>
        <w:t xml:space="preserve"> and not be based on prejudice and negative stereotypes.</w:t>
      </w:r>
      <w:r w:rsidRPr="003223A7">
        <w:rPr>
          <w:iCs/>
          <w:sz w:val="20"/>
          <w:szCs w:val="20"/>
        </w:rPr>
        <w:t>”</w:t>
      </w:r>
      <w:r w:rsidRPr="0095180E">
        <w:rPr>
          <w:iCs/>
          <w:sz w:val="20"/>
          <w:szCs w:val="20"/>
        </w:rPr>
        <w:t xml:space="preserve"> </w:t>
      </w:r>
    </w:p>
    <w:p w14:paraId="017D284F" w14:textId="77777777" w:rsidR="00F15A42" w:rsidRPr="003862E5" w:rsidRDefault="00F15A42" w:rsidP="003862E5">
      <w:pPr>
        <w:tabs>
          <w:tab w:val="left" w:pos="284"/>
        </w:tabs>
        <w:snapToGrid w:val="0"/>
        <w:ind w:right="807"/>
        <w:jc w:val="both"/>
        <w:rPr>
          <w:iCs/>
          <w:sz w:val="20"/>
          <w:szCs w:val="20"/>
        </w:rPr>
      </w:pPr>
    </w:p>
    <w:p w14:paraId="25C40218" w14:textId="77777777" w:rsidR="00F15A42" w:rsidRPr="0095180E" w:rsidRDefault="00F15A42" w:rsidP="002D4D51">
      <w:pPr>
        <w:pStyle w:val="ListParagraph"/>
        <w:tabs>
          <w:tab w:val="left" w:pos="284"/>
        </w:tabs>
        <w:snapToGrid w:val="0"/>
        <w:spacing w:line="240" w:lineRule="auto"/>
        <w:ind w:left="1134" w:right="807"/>
        <w:contextualSpacing w:val="0"/>
        <w:jc w:val="both"/>
        <w:rPr>
          <w:iCs/>
          <w:sz w:val="20"/>
          <w:szCs w:val="20"/>
        </w:rPr>
      </w:pPr>
    </w:p>
    <w:p w14:paraId="7EF3B726" w14:textId="5241504D" w:rsidR="00F15A42" w:rsidRPr="00B60F5B" w:rsidRDefault="00F15A42" w:rsidP="003862E5">
      <w:pPr>
        <w:pStyle w:val="ListParagraph"/>
        <w:tabs>
          <w:tab w:val="left" w:pos="284"/>
          <w:tab w:val="left" w:pos="426"/>
        </w:tabs>
        <w:snapToGrid w:val="0"/>
        <w:spacing w:after="240" w:line="360" w:lineRule="auto"/>
        <w:ind w:left="0"/>
        <w:contextualSpacing w:val="0"/>
        <w:jc w:val="both"/>
        <w:rPr>
          <w:iCs/>
          <w:u w:val="single"/>
        </w:rPr>
      </w:pPr>
      <w:r>
        <w:rPr>
          <w:b/>
          <w:bCs/>
          <w:i/>
          <w:iCs/>
        </w:rPr>
        <w:tab/>
      </w:r>
      <w:r w:rsidRPr="00B60F5B">
        <w:rPr>
          <w:i/>
          <w:iCs/>
          <w:u w:val="single"/>
        </w:rPr>
        <w:t>ii. Ensuring access to information on job-advertisements</w:t>
      </w:r>
    </w:p>
    <w:p w14:paraId="1BA78FA4" w14:textId="2F73D553" w:rsidR="00F15A42" w:rsidRPr="00FC2D6A" w:rsidRDefault="00F15A42" w:rsidP="008C3F0A">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 xml:space="preserve">In addition, despite the general references in paragraph 13 and 82 linking accessibility and recruitment processes, </w:t>
      </w:r>
      <w:r w:rsidRPr="00E37046">
        <w:rPr>
          <w:b/>
          <w:bCs/>
          <w:iCs/>
        </w:rPr>
        <w:t>IDA believes that the draft should stress, in the context of non-discrimination, and more specifically indirect discrimination, the need to adopt measures to ensure that job advertisements are published in accessible formats</w:t>
      </w:r>
      <w:r>
        <w:rPr>
          <w:iCs/>
        </w:rPr>
        <w:t xml:space="preserve"> for persons with disabilities to access on equal basis with others to recruitment processes from the outset. Nowadays, ICTs and online platforms can play a major role in ensuring this is the case, and States should be called to be proactive on this front.   </w:t>
      </w:r>
    </w:p>
    <w:p w14:paraId="27D33D18" w14:textId="5DB32BE7" w:rsidR="00F15A42" w:rsidRPr="00B60F5B" w:rsidRDefault="00F15A42" w:rsidP="00B60F5B">
      <w:pPr>
        <w:pStyle w:val="ListParagraph"/>
        <w:tabs>
          <w:tab w:val="left" w:pos="284"/>
          <w:tab w:val="left" w:pos="426"/>
        </w:tabs>
        <w:snapToGrid w:val="0"/>
        <w:spacing w:after="240" w:line="360" w:lineRule="auto"/>
        <w:ind w:left="0"/>
        <w:contextualSpacing w:val="0"/>
        <w:jc w:val="both"/>
        <w:rPr>
          <w:iCs/>
          <w:u w:val="single"/>
        </w:rPr>
      </w:pPr>
      <w:r>
        <w:rPr>
          <w:b/>
          <w:bCs/>
          <w:i/>
          <w:iCs/>
        </w:rPr>
        <w:tab/>
      </w:r>
      <w:r w:rsidRPr="00B60F5B">
        <w:rPr>
          <w:i/>
          <w:iCs/>
          <w:u w:val="single"/>
        </w:rPr>
        <w:t xml:space="preserve">iii. Distinguishing reasonable accommodation and supports </w:t>
      </w:r>
    </w:p>
    <w:p w14:paraId="08FBEE6C" w14:textId="49BFF8B5" w:rsidR="00F15A42"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 xml:space="preserve">Finally, the draft general comment elaborates on reasonable accommodation. In connection to this, firstly, IDA believes that paragraph 49 comes confuse the concepts of “reasonable accommodation” with that out “individualised </w:t>
      </w:r>
      <w:r w:rsidRPr="00CF513A">
        <w:rPr>
          <w:b/>
          <w:bCs/>
          <w:iCs/>
        </w:rPr>
        <w:t>supports</w:t>
      </w:r>
      <w:r>
        <w:rPr>
          <w:iCs/>
        </w:rPr>
        <w:t>” when seeking to distinguish the former from “accessibility”. In order to clarity this and to protect the broad and flexible scope of reasonable accommodation, IDA suggest the draft to consider and incorporate the two following elements:</w:t>
      </w:r>
    </w:p>
    <w:p w14:paraId="10D7F53F" w14:textId="196C32CB" w:rsidR="00F15A42" w:rsidRPr="00AC484A" w:rsidRDefault="00F15A42" w:rsidP="00E06C23">
      <w:pPr>
        <w:pStyle w:val="ListParagraph"/>
        <w:numPr>
          <w:ilvl w:val="1"/>
          <w:numId w:val="1"/>
        </w:numPr>
        <w:tabs>
          <w:tab w:val="left" w:pos="284"/>
          <w:tab w:val="left" w:pos="426"/>
        </w:tabs>
        <w:snapToGrid w:val="0"/>
        <w:spacing w:after="240" w:line="360" w:lineRule="auto"/>
        <w:ind w:left="426"/>
        <w:contextualSpacing w:val="0"/>
        <w:jc w:val="both"/>
        <w:rPr>
          <w:iCs/>
          <w:sz w:val="20"/>
          <w:szCs w:val="20"/>
        </w:rPr>
      </w:pPr>
      <w:r w:rsidRPr="00AC484A">
        <w:rPr>
          <w:iCs/>
          <w:sz w:val="20"/>
          <w:szCs w:val="20"/>
        </w:rPr>
        <w:t xml:space="preserve">“Reasonable accommodation” might include but it is not limited to “individualised </w:t>
      </w:r>
      <w:r w:rsidRPr="00AC484A">
        <w:rPr>
          <w:b/>
          <w:bCs/>
          <w:iCs/>
          <w:sz w:val="20"/>
          <w:szCs w:val="20"/>
        </w:rPr>
        <w:t>supports</w:t>
      </w:r>
      <w:r w:rsidRPr="00AC484A">
        <w:rPr>
          <w:iCs/>
          <w:sz w:val="20"/>
          <w:szCs w:val="20"/>
        </w:rPr>
        <w:t>”. In this sense, “reasonable accommodation” can be a “means to provide individualised supports”.</w:t>
      </w:r>
      <w:r w:rsidRPr="00AC484A">
        <w:rPr>
          <w:rStyle w:val="EndnoteReference"/>
          <w:iCs/>
          <w:sz w:val="20"/>
          <w:szCs w:val="20"/>
        </w:rPr>
        <w:endnoteReference w:id="17"/>
      </w:r>
      <w:r w:rsidRPr="00AC484A">
        <w:rPr>
          <w:iCs/>
          <w:sz w:val="20"/>
          <w:szCs w:val="20"/>
        </w:rPr>
        <w:t xml:space="preserve"> </w:t>
      </w:r>
    </w:p>
    <w:p w14:paraId="1AA2BE31" w14:textId="26E9EDA2" w:rsidR="00F15A42" w:rsidRPr="00AC484A" w:rsidRDefault="00F15A42" w:rsidP="00E06C23">
      <w:pPr>
        <w:pStyle w:val="ListParagraph"/>
        <w:numPr>
          <w:ilvl w:val="1"/>
          <w:numId w:val="1"/>
        </w:numPr>
        <w:tabs>
          <w:tab w:val="left" w:pos="284"/>
          <w:tab w:val="left" w:pos="426"/>
        </w:tabs>
        <w:snapToGrid w:val="0"/>
        <w:spacing w:after="240" w:line="360" w:lineRule="auto"/>
        <w:ind w:left="426"/>
        <w:contextualSpacing w:val="0"/>
        <w:jc w:val="both"/>
        <w:rPr>
          <w:iCs/>
          <w:sz w:val="20"/>
          <w:szCs w:val="20"/>
        </w:rPr>
      </w:pPr>
      <w:r w:rsidRPr="00AC484A">
        <w:rPr>
          <w:iCs/>
          <w:sz w:val="20"/>
          <w:szCs w:val="20"/>
        </w:rPr>
        <w:t xml:space="preserve">“Individualised </w:t>
      </w:r>
      <w:r w:rsidRPr="00AC484A">
        <w:rPr>
          <w:b/>
          <w:bCs/>
          <w:iCs/>
          <w:sz w:val="20"/>
          <w:szCs w:val="20"/>
        </w:rPr>
        <w:t>supports</w:t>
      </w:r>
      <w:r w:rsidRPr="00AC484A">
        <w:rPr>
          <w:iCs/>
          <w:sz w:val="20"/>
          <w:szCs w:val="20"/>
        </w:rPr>
        <w:t xml:space="preserve">”, and more specifically “supports,” suggests rather a service of frequent and/or continuous provision.  </w:t>
      </w:r>
    </w:p>
    <w:p w14:paraId="5CCE26C7" w14:textId="20FB606B" w:rsidR="00F15A42"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 xml:space="preserve">Like this, for instance, adapting the height of a desk or working hours (start at 10 am, instead of 9 am), constitute typical cases of reasonable accommodation which would not constitute “support” in a strict sense. By the contrary, full or part-time sign language interpretation would be an “individualised support” that could, in a particular case and under an immediate obligation relative to non-discrimination, constitute a “reasonable accommodation”, of course provided that it does not become a context specific and concrete “disproportionate or under burden” after having undertaken a proportionality test. </w:t>
      </w:r>
    </w:p>
    <w:p w14:paraId="10E3C774" w14:textId="4308D465" w:rsidR="00F15A42" w:rsidRDefault="00F15A42" w:rsidP="00ED1A14">
      <w:pPr>
        <w:pStyle w:val="3"/>
        <w:jc w:val="both"/>
        <w:rPr>
          <w:b/>
          <w:bCs/>
        </w:rPr>
      </w:pPr>
      <w:bookmarkStart w:id="12" w:name="_Toc90230127"/>
      <w:r>
        <w:rPr>
          <w:b/>
          <w:bCs/>
        </w:rPr>
        <w:t>F</w:t>
      </w:r>
      <w:r w:rsidRPr="002D4D51">
        <w:rPr>
          <w:b/>
          <w:bCs/>
        </w:rPr>
        <w:t xml:space="preserve">- </w:t>
      </w:r>
      <w:r>
        <w:rPr>
          <w:b/>
          <w:bCs/>
        </w:rPr>
        <w:t>Affirmative actions to favour employment of persons with disabilities</w:t>
      </w:r>
      <w:bookmarkEnd w:id="12"/>
    </w:p>
    <w:p w14:paraId="44C8F55E" w14:textId="77777777" w:rsidR="00F15A42" w:rsidRPr="00ED1A14" w:rsidRDefault="00F15A42" w:rsidP="00ED1A14">
      <w:pPr>
        <w:rPr>
          <w:lang w:val="en-GB"/>
        </w:rPr>
      </w:pPr>
    </w:p>
    <w:p w14:paraId="182E8D57" w14:textId="77777777" w:rsidR="00F15A42"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IDA is glad to find several of the points it has suggested regarding to affirmative action in the section of the draft general comment on Article 27(1)(h). Nonetheless, some points can be stressed and considered in order to further strengthened this section.</w:t>
      </w:r>
    </w:p>
    <w:p w14:paraId="4C22467A" w14:textId="7C2FCDFF" w:rsidR="00F15A42" w:rsidRPr="009604A8"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 xml:space="preserve">Firstly, IDA believes that </w:t>
      </w:r>
      <w:r w:rsidRPr="009604A8">
        <w:rPr>
          <w:b/>
          <w:bCs/>
          <w:iCs/>
        </w:rPr>
        <w:t>the section should elaborate more on other typical measures and incentives, their prospects of success and their characteristics</w:t>
      </w:r>
      <w:r>
        <w:rPr>
          <w:iCs/>
        </w:rPr>
        <w:t xml:space="preserve">, particularly in connection to factors such as size of companies and sectors of economy. IDA does note attempts in paragraphs 44 and especially 46 </w:t>
      </w:r>
      <w:r w:rsidRPr="00212FCF">
        <w:rPr>
          <w:i/>
        </w:rPr>
        <w:t>in fine</w:t>
      </w:r>
      <w:r>
        <w:rPr>
          <w:iCs/>
        </w:rPr>
        <w:t xml:space="preserve"> that mentions “</w:t>
      </w:r>
      <w:r w:rsidRPr="00F96EE0">
        <w:rPr>
          <w:iCs/>
          <w:lang/>
        </w:rPr>
        <w:t xml:space="preserve">targeted funding </w:t>
      </w:r>
      <w:r w:rsidRPr="00F96EE0">
        <w:rPr>
          <w:iCs/>
          <w:lang w:val="en-US"/>
        </w:rPr>
        <w:t>[for</w:t>
      </w:r>
      <w:r>
        <w:rPr>
          <w:iCs/>
          <w:lang w:val="en-US"/>
        </w:rPr>
        <w:t>]</w:t>
      </w:r>
      <w:r w:rsidRPr="00F96EE0">
        <w:rPr>
          <w:iCs/>
          <w:lang/>
        </w:rPr>
        <w:t xml:space="preserve"> modifications of the working environment, apprentice wage supports, payroll tax deductions, and wage subsidies</w:t>
      </w:r>
      <w:r w:rsidRPr="00F96EE0">
        <w:rPr>
          <w:iCs/>
          <w:lang w:val="en-US"/>
        </w:rPr>
        <w:t>”</w:t>
      </w:r>
      <w:r>
        <w:rPr>
          <w:iCs/>
          <w:lang w:val="en-US"/>
        </w:rPr>
        <w:t xml:space="preserve">, but we consider it limited. </w:t>
      </w:r>
      <w:r w:rsidRPr="0089181B">
        <w:rPr>
          <w:b/>
          <w:bCs/>
          <w:iCs/>
          <w:lang w:val="en-US"/>
        </w:rPr>
        <w:t>For instance, the measure of awarding points in public tenders’ procedures to enterprises that employ persons with disabilities remains absent from the current draft</w:t>
      </w:r>
      <w:r>
        <w:rPr>
          <w:b/>
          <w:bCs/>
          <w:iCs/>
          <w:lang w:val="en-US"/>
        </w:rPr>
        <w:t xml:space="preserve">, and would deserve not just a mention in this section, but especially a explicit and detailed explanation in the last section of the general comment (for instance, in paragraph 101(n)). </w:t>
      </w:r>
    </w:p>
    <w:p w14:paraId="460D90C9" w14:textId="65C0BCE2" w:rsidR="00F15A42" w:rsidRPr="00C106ED"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sidRPr="00C106ED">
        <w:rPr>
          <w:b/>
          <w:bCs/>
          <w:iCs/>
          <w:lang w:val="en-US"/>
        </w:rPr>
        <w:t>Regarding quota measures</w:t>
      </w:r>
      <w:r>
        <w:rPr>
          <w:iCs/>
          <w:lang w:val="en-US"/>
        </w:rPr>
        <w:t xml:space="preserve">, IDA notes that, while they have not provided the results hoped, they remain a measure adopted by over 100 </w:t>
      </w:r>
      <w:r w:rsidRPr="008020A6">
        <w:t>States</w:t>
      </w:r>
      <w:r>
        <w:t>,</w:t>
      </w:r>
      <w:r w:rsidRPr="008020A6">
        <w:rPr>
          <w:rStyle w:val="EndnoteReference"/>
        </w:rPr>
        <w:endnoteReference w:id="18"/>
      </w:r>
      <w:r>
        <w:t xml:space="preserve"> most of the times by legislation. Thus, while not relying exclusive on them for the inclusion of persons with disabilities, as the Committee generally suggests in para. 48 </w:t>
      </w:r>
      <w:r w:rsidRPr="00623084">
        <w:rPr>
          <w:i/>
          <w:iCs/>
        </w:rPr>
        <w:t>in fine</w:t>
      </w:r>
      <w:r>
        <w:t xml:space="preserve">, </w:t>
      </w:r>
      <w:r w:rsidRPr="00623084">
        <w:rPr>
          <w:b/>
          <w:bCs/>
        </w:rPr>
        <w:t xml:space="preserve">where States have adopted them, an evaluation and later improvement could relaunch their usefulness, provided that those who have </w:t>
      </w:r>
      <w:r>
        <w:rPr>
          <w:b/>
          <w:bCs/>
        </w:rPr>
        <w:t xml:space="preserve">comparatively </w:t>
      </w:r>
      <w:r w:rsidRPr="00623084">
        <w:rPr>
          <w:b/>
          <w:bCs/>
        </w:rPr>
        <w:t xml:space="preserve">still not benefitted (e.g. persons with intellectual disabilities, deaf-blind, etc.) are </w:t>
      </w:r>
      <w:r>
        <w:rPr>
          <w:b/>
          <w:bCs/>
        </w:rPr>
        <w:t>prioritised in any</w:t>
      </w:r>
      <w:r w:rsidRPr="00623084">
        <w:rPr>
          <w:b/>
          <w:bCs/>
        </w:rPr>
        <w:t xml:space="preserve"> renewed efforts moving forwards</w:t>
      </w:r>
      <w:r>
        <w:t xml:space="preserve">. </w:t>
      </w:r>
    </w:p>
    <w:p w14:paraId="377BA687" w14:textId="39607301" w:rsidR="00F15A42" w:rsidRPr="004A3378"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t xml:space="preserve">In this sense, the short reference to “benefit all employees with disabilities” in para. 47(c), which seeks to address and correct the past differential benefit by constituencies of persons with disabilities, could be re-drafted to compensate that effect and explicitly require to prioritise those more disadvantage groups among persons with disabilities. </w:t>
      </w:r>
    </w:p>
    <w:p w14:paraId="3E9C9E3C" w14:textId="07ABBC4B" w:rsidR="00F15A42" w:rsidRPr="00725BE3"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t xml:space="preserve">Furthermore, while career advancement is mentioned throughout the draft general comment, there is no reference to </w:t>
      </w:r>
      <w:r w:rsidRPr="004A3378">
        <w:rPr>
          <w:b/>
          <w:bCs/>
        </w:rPr>
        <w:t>the common experience and perception that usually persons with disabilities benefitted by affirmative actions as quotas, find their chances for career advancement</w:t>
      </w:r>
      <w:r>
        <w:t xml:space="preserve"> limited, compared to their skills and qualifications: the initial benefit causes in practice the limitation of further opportunities, due to attitudinal barriers.   </w:t>
      </w:r>
    </w:p>
    <w:p w14:paraId="181B01D6" w14:textId="0ADC8462" w:rsidR="00F15A42" w:rsidRDefault="00F15A42" w:rsidP="00E67944">
      <w:pPr>
        <w:pStyle w:val="3"/>
        <w:jc w:val="both"/>
        <w:rPr>
          <w:b/>
          <w:bCs/>
        </w:rPr>
      </w:pPr>
      <w:bookmarkStart w:id="13" w:name="_Toc90230128"/>
      <w:r>
        <w:rPr>
          <w:b/>
          <w:bCs/>
        </w:rPr>
        <w:t>G</w:t>
      </w:r>
      <w:r w:rsidRPr="002D4D51">
        <w:rPr>
          <w:b/>
          <w:bCs/>
        </w:rPr>
        <w:t xml:space="preserve">- </w:t>
      </w:r>
      <w:r>
        <w:rPr>
          <w:b/>
          <w:bCs/>
        </w:rPr>
        <w:t>Need for accurate and precise delimitations between s</w:t>
      </w:r>
      <w:r w:rsidRPr="007E6152">
        <w:rPr>
          <w:b/>
          <w:bCs/>
        </w:rPr>
        <w:t xml:space="preserve">heltered workshops and “cooperatives”: </w:t>
      </w:r>
      <w:r>
        <w:rPr>
          <w:b/>
          <w:bCs/>
        </w:rPr>
        <w:t>preventing and sanctioning misuse of legal frameworks for cooperative associations</w:t>
      </w:r>
      <w:bookmarkEnd w:id="13"/>
      <w:r>
        <w:rPr>
          <w:b/>
          <w:bCs/>
        </w:rPr>
        <w:t xml:space="preserve"> </w:t>
      </w:r>
    </w:p>
    <w:p w14:paraId="5D881199" w14:textId="77777777" w:rsidR="00F15A42" w:rsidRPr="00E67944" w:rsidRDefault="00F15A42" w:rsidP="00E67944">
      <w:pPr>
        <w:rPr>
          <w:lang w:val="en-GB"/>
        </w:rPr>
      </w:pPr>
    </w:p>
    <w:p w14:paraId="28D35396" w14:textId="677A47D1" w:rsidR="00F15A42"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IDA notes with much interest the distinction drawn by the CRPD Committee between “sheltered workshops” and “</w:t>
      </w:r>
      <w:r w:rsidRPr="00603A59">
        <w:rPr>
          <w:iCs/>
          <w:lang/>
        </w:rPr>
        <w:t>cooperatives, or jobs organized or run by persons with disabilities in which labour laws are generally respected</w:t>
      </w:r>
      <w:r w:rsidRPr="0014246F">
        <w:rPr>
          <w:iCs/>
          <w:lang w:val="en-US"/>
        </w:rPr>
        <w:t>”</w:t>
      </w:r>
      <w:r>
        <w:rPr>
          <w:iCs/>
          <w:lang w:val="en-US"/>
        </w:rPr>
        <w:t xml:space="preserve"> (para. 18 of the draft). Cooperatives are further discussed in paras. 41 and 42 of the draft general comment, given their role in securing self-employment within this kind structure.</w:t>
      </w:r>
    </w:p>
    <w:p w14:paraId="0E0C7B39" w14:textId="18334DEA" w:rsidR="00F15A42"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 xml:space="preserve">World-wide, persons with disabilities might decide to self-organise themselves in cooperative associations for working and participating in the economic life. Cooperatives differ from other business organisations as members usually have an equal status, retain control, and participate in the decision-making of the organization and are not dependants in a typical employer-employee relationship. </w:t>
      </w:r>
    </w:p>
    <w:p w14:paraId="68AAAA5B" w14:textId="77A27009" w:rsidR="00F15A42"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 xml:space="preserve">Para. 18 of the draft suggest that a cooperative formed by persons with disabilities might be confused with a sheltered workshop, hence the need for alerting and distinguishing. The distinction is key given that the cooperatives would be compatible with the CRPD and sheltered workshops are not. </w:t>
      </w:r>
      <w:r w:rsidRPr="00BD64C2">
        <w:rPr>
          <w:b/>
          <w:bCs/>
          <w:iCs/>
        </w:rPr>
        <w:t>IDA believes, however, that the draft should be reviewed and should clarify some aspects for it to be more effective in its attempt</w:t>
      </w:r>
      <w:r>
        <w:rPr>
          <w:iCs/>
        </w:rPr>
        <w:t xml:space="preserve"> </w:t>
      </w:r>
      <w:r w:rsidRPr="00BD64C2">
        <w:rPr>
          <w:b/>
          <w:bCs/>
          <w:iCs/>
        </w:rPr>
        <w:t>to allow for self-organisation and self-employment of persons with disabilities through cooperatives.</w:t>
      </w:r>
    </w:p>
    <w:p w14:paraId="4867206C" w14:textId="143974E9" w:rsidR="00F15A42" w:rsidRPr="00DF5B40" w:rsidRDefault="00F15A42" w:rsidP="00E06C23">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Some questions can trigger reflection to enhance this distinction, especially noting that the current draft provides guidance to identify “sheltered workshops” “</w:t>
      </w:r>
      <w:r w:rsidRPr="00DF5B40">
        <w:rPr>
          <w:iCs/>
          <w:lang/>
        </w:rPr>
        <w:t xml:space="preserve">characterized by </w:t>
      </w:r>
      <w:r w:rsidRPr="00DF5B40">
        <w:rPr>
          <w:b/>
          <w:bCs/>
          <w:iCs/>
          <w:lang/>
        </w:rPr>
        <w:t>at least some</w:t>
      </w:r>
      <w:r w:rsidRPr="00DF5B40">
        <w:rPr>
          <w:iCs/>
          <w:lang/>
        </w:rPr>
        <w:t xml:space="preserve"> of the following elements</w:t>
      </w:r>
      <w:r w:rsidRPr="00DF5B40">
        <w:rPr>
          <w:iCs/>
          <w:lang w:val="en-US"/>
        </w:rPr>
        <w:t>” includi</w:t>
      </w:r>
      <w:r>
        <w:rPr>
          <w:iCs/>
          <w:lang w:val="en-US"/>
        </w:rPr>
        <w:t xml:space="preserve">ng “a. </w:t>
      </w:r>
      <w:r w:rsidRPr="00DF5B40">
        <w:rPr>
          <w:iCs/>
          <w:lang/>
        </w:rPr>
        <w:t>They segregate persons with disabilities, that is, they separate them from the rest of the society and bring them together on their own</w:t>
      </w:r>
      <w:r w:rsidRPr="00DF5B40">
        <w:rPr>
          <w:iCs/>
          <w:lang w:val="en-US"/>
        </w:rPr>
        <w:t>”</w:t>
      </w:r>
      <w:r>
        <w:rPr>
          <w:iCs/>
          <w:lang w:val="en-US"/>
        </w:rPr>
        <w:t>:</w:t>
      </w:r>
    </w:p>
    <w:p w14:paraId="4AE03257" w14:textId="602938B5" w:rsidR="00F15A42" w:rsidRDefault="00F15A42" w:rsidP="00E06C23">
      <w:pPr>
        <w:pStyle w:val="ListParagraph"/>
        <w:numPr>
          <w:ilvl w:val="1"/>
          <w:numId w:val="1"/>
        </w:numPr>
        <w:tabs>
          <w:tab w:val="left" w:pos="284"/>
          <w:tab w:val="left" w:pos="426"/>
        </w:tabs>
        <w:snapToGrid w:val="0"/>
        <w:spacing w:after="240" w:line="360" w:lineRule="auto"/>
        <w:ind w:left="567"/>
        <w:contextualSpacing w:val="0"/>
        <w:jc w:val="both"/>
        <w:rPr>
          <w:iCs/>
        </w:rPr>
      </w:pPr>
      <w:r>
        <w:rPr>
          <w:iCs/>
        </w:rPr>
        <w:t xml:space="preserve"> Would it be admissible under the CRPD a situation in which </w:t>
      </w:r>
      <w:r w:rsidRPr="004210CF">
        <w:rPr>
          <w:b/>
          <w:bCs/>
          <w:iCs/>
        </w:rPr>
        <w:t>only</w:t>
      </w:r>
      <w:r>
        <w:rPr>
          <w:iCs/>
        </w:rPr>
        <w:t xml:space="preserve"> persons with disabilities work in particular establishment manufacturing a product as equal members of a cooperative? Would that be </w:t>
      </w:r>
      <w:r w:rsidRPr="004210CF">
        <w:rPr>
          <w:iCs/>
        </w:rPr>
        <w:t>considered a segregated environment</w:t>
      </w:r>
      <w:r>
        <w:rPr>
          <w:iCs/>
        </w:rPr>
        <w:t>?</w:t>
      </w:r>
    </w:p>
    <w:p w14:paraId="3708BDBD" w14:textId="133982AB" w:rsidR="00F15A42" w:rsidRDefault="00F15A42" w:rsidP="00E06C23">
      <w:pPr>
        <w:pStyle w:val="ListParagraph"/>
        <w:numPr>
          <w:ilvl w:val="1"/>
          <w:numId w:val="1"/>
        </w:numPr>
        <w:tabs>
          <w:tab w:val="left" w:pos="284"/>
          <w:tab w:val="left" w:pos="426"/>
        </w:tabs>
        <w:snapToGrid w:val="0"/>
        <w:spacing w:after="240" w:line="360" w:lineRule="auto"/>
        <w:ind w:left="567"/>
        <w:contextualSpacing w:val="0"/>
        <w:jc w:val="both"/>
        <w:rPr>
          <w:iCs/>
        </w:rPr>
      </w:pPr>
      <w:r>
        <w:rPr>
          <w:iCs/>
        </w:rPr>
        <w:t xml:space="preserve">  Would it be admissible under the CRPD a situation in which persons with disabilities members of a cooperative do not receive adequate compensation for their work due to financial complications of their own cooperative?</w:t>
      </w:r>
    </w:p>
    <w:p w14:paraId="77FB33BA" w14:textId="1B86BDF3" w:rsidR="00F15A42" w:rsidRDefault="00F15A42" w:rsidP="00521D4F">
      <w:pPr>
        <w:pStyle w:val="ListParagraph"/>
        <w:numPr>
          <w:ilvl w:val="0"/>
          <w:numId w:val="1"/>
        </w:numPr>
        <w:tabs>
          <w:tab w:val="left" w:pos="284"/>
          <w:tab w:val="left" w:pos="426"/>
        </w:tabs>
        <w:snapToGrid w:val="0"/>
        <w:spacing w:after="240" w:line="360" w:lineRule="auto"/>
        <w:ind w:left="0" w:firstLine="0"/>
        <w:contextualSpacing w:val="0"/>
        <w:jc w:val="both"/>
        <w:rPr>
          <w:iCs/>
        </w:rPr>
      </w:pPr>
      <w:r>
        <w:rPr>
          <w:iCs/>
        </w:rPr>
        <w:t xml:space="preserve">Similar questions could be further posed to shed light on the need to reflect and review the sections of the draft general comment that refer to cooperatives. </w:t>
      </w:r>
      <w:r w:rsidRPr="00521D4F">
        <w:rPr>
          <w:iCs/>
        </w:rPr>
        <w:t xml:space="preserve">In any case, </w:t>
      </w:r>
      <w:r w:rsidRPr="00521D4F">
        <w:rPr>
          <w:b/>
          <w:bCs/>
          <w:iCs/>
        </w:rPr>
        <w:t>IDA believes that the CRPD Committee should stress the need to monitor the effective functioning of organisations registered as cooperatives to ensure that this legal figure</w:t>
      </w:r>
      <w:r>
        <w:rPr>
          <w:b/>
          <w:bCs/>
          <w:iCs/>
        </w:rPr>
        <w:t xml:space="preserve"> -or any similar-</w:t>
      </w:r>
      <w:r w:rsidRPr="00521D4F">
        <w:rPr>
          <w:b/>
          <w:bCs/>
          <w:iCs/>
        </w:rPr>
        <w:t xml:space="preserve"> and framework is not misused, e.g. even as pure marketing label, to disguise real economic dependant relationships and evading the requirements imposed by labour law</w:t>
      </w:r>
      <w:r w:rsidRPr="00521D4F">
        <w:rPr>
          <w:iCs/>
        </w:rPr>
        <w:t>. Any fraud should immediately give raise to the enforcement of labour law, under what some labour law legal traditions call the principle of supremacy of reality (over the legal form adopted).</w:t>
      </w:r>
    </w:p>
    <w:p w14:paraId="61071BBF" w14:textId="36B87E21" w:rsidR="00F15A42" w:rsidRDefault="00F15A42" w:rsidP="00ED1A14">
      <w:pPr>
        <w:pStyle w:val="3"/>
        <w:jc w:val="both"/>
        <w:rPr>
          <w:b/>
          <w:bCs/>
        </w:rPr>
      </w:pPr>
      <w:bookmarkStart w:id="14" w:name="_Toc66452323"/>
      <w:bookmarkStart w:id="15" w:name="_Toc90230129"/>
      <w:r>
        <w:rPr>
          <w:b/>
          <w:bCs/>
        </w:rPr>
        <w:t>H</w:t>
      </w:r>
      <w:r w:rsidRPr="00EC3288">
        <w:rPr>
          <w:b/>
          <w:bCs/>
        </w:rPr>
        <w:t xml:space="preserve">- </w:t>
      </w:r>
      <w:r>
        <w:rPr>
          <w:b/>
          <w:bCs/>
        </w:rPr>
        <w:t>R</w:t>
      </w:r>
      <w:r w:rsidRPr="00ED1A14">
        <w:rPr>
          <w:b/>
          <w:bCs/>
          <w:lang/>
        </w:rPr>
        <w:t xml:space="preserve">easonable accommodation </w:t>
      </w:r>
      <w:r w:rsidRPr="00EC3288">
        <w:rPr>
          <w:b/>
          <w:bCs/>
        </w:rPr>
        <w:t>to employees associated with persons with disabilities</w:t>
      </w:r>
      <w:r>
        <w:rPr>
          <w:b/>
          <w:bCs/>
        </w:rPr>
        <w:t xml:space="preserve"> </w:t>
      </w:r>
      <w:bookmarkEnd w:id="14"/>
      <w:bookmarkEnd w:id="15"/>
    </w:p>
    <w:p w14:paraId="5ECB9BF1" w14:textId="77777777" w:rsidR="00F15A42" w:rsidRPr="00ED1A14" w:rsidRDefault="00F15A42" w:rsidP="00ED1A14">
      <w:pPr>
        <w:rPr>
          <w:lang w:val="en-GB"/>
        </w:rPr>
      </w:pPr>
    </w:p>
    <w:p w14:paraId="37F86EF4" w14:textId="77777777" w:rsidR="00EC3288" w:rsidRPr="00EC3288" w:rsidRDefault="00F15A42" w:rsidP="00E06C23">
      <w:pPr>
        <w:pStyle w:val="ListParagraph"/>
        <w:numPr>
          <w:ilvl w:val="0"/>
          <w:numId w:val="1"/>
        </w:numPr>
        <w:tabs>
          <w:tab w:val="left" w:pos="284"/>
          <w:tab w:val="left" w:pos="426"/>
        </w:tabs>
        <w:spacing w:after="240" w:line="360" w:lineRule="auto"/>
        <w:ind w:left="0" w:firstLine="0"/>
        <w:contextualSpacing w:val="0"/>
        <w:jc w:val="both"/>
      </w:pPr>
      <w:r w:rsidRPr="00EC3288">
        <w:t>In its submission to the Day of General Discussion in March,</w:t>
      </w:r>
      <w:r w:rsidRPr="00EC3288">
        <w:rPr>
          <w:rStyle w:val="EndnoteReference"/>
          <w:lang w:val="en-US"/>
        </w:rPr>
        <w:endnoteReference w:id="19"/>
      </w:r>
      <w:r w:rsidRPr="00EC3288">
        <w:t xml:space="preserve"> </w:t>
      </w:r>
      <w:r w:rsidR="002C35F3" w:rsidRPr="00EC3288">
        <w:t xml:space="preserve">IDA addressed the issue of </w:t>
      </w:r>
      <w:r w:rsidR="002C35F3" w:rsidRPr="00EC3288">
        <w:rPr>
          <w:lang w:val="en-US"/>
        </w:rPr>
        <w:t>p</w:t>
      </w:r>
      <w:r w:rsidR="002C35F3" w:rsidRPr="00EC3288">
        <w:rPr>
          <w:lang/>
        </w:rPr>
        <w:t>rimary caregivers of persons with disabilities</w:t>
      </w:r>
      <w:r w:rsidR="00B60F5B" w:rsidRPr="00EC3288">
        <w:rPr>
          <w:lang w:val="en-US"/>
        </w:rPr>
        <w:t>.</w:t>
      </w:r>
      <w:r w:rsidR="002C35F3" w:rsidRPr="00EC3288">
        <w:rPr>
          <w:lang/>
        </w:rPr>
        <w:t xml:space="preserve"> </w:t>
      </w:r>
      <w:r w:rsidR="00EC3288" w:rsidRPr="00EC3288">
        <w:rPr>
          <w:lang w:val="en-US"/>
        </w:rPr>
        <w:t xml:space="preserve">We highlighted that </w:t>
      </w:r>
      <w:r w:rsidR="00EC3288" w:rsidRPr="00EC3288">
        <w:t>“</w:t>
      </w:r>
      <w:r w:rsidR="00EC3288" w:rsidRPr="00EC3288">
        <w:rPr>
          <w:lang w:val="en-US"/>
        </w:rPr>
        <w:t>t</w:t>
      </w:r>
      <w:r w:rsidR="00B60F5B" w:rsidRPr="00EC3288">
        <w:rPr>
          <w:lang w:val="en-US"/>
        </w:rPr>
        <w:t>hey</w:t>
      </w:r>
      <w:r w:rsidR="002C35F3" w:rsidRPr="00EC3288">
        <w:t xml:space="preserve"> are</w:t>
      </w:r>
      <w:r w:rsidR="00B60F5B" w:rsidRPr="00EC3288">
        <w:t xml:space="preserve"> usually</w:t>
      </w:r>
      <w:r w:rsidR="002C35F3" w:rsidRPr="00EC3288">
        <w:t xml:space="preserve"> discriminated by association and/or forced to leave employment find reduced their income and capacity to afford services for their relative(s) with disabilities. As services are usually not free from cost, insufficient and/or not provided within the community, the household risks stepping into a downward spiral with negative consequences to the person with disability in many areas.</w:t>
      </w:r>
      <w:r w:rsidR="00EC3288" w:rsidRPr="00EC3288">
        <w:t xml:space="preserve">” The </w:t>
      </w:r>
      <w:r w:rsidR="002C35F3" w:rsidRPr="00EC3288">
        <w:t>idea</w:t>
      </w:r>
      <w:r w:rsidR="00EC3288" w:rsidRPr="00EC3288">
        <w:t xml:space="preserve"> of reasonable accommodation in employment for primary caregivers (associates) of persons with disabilities would provide with an immediate legal tool to support them in adjusting their work duties with their caring responsibilities. </w:t>
      </w:r>
    </w:p>
    <w:p w14:paraId="4A80277C" w14:textId="77777777" w:rsidR="00EC3288" w:rsidRPr="00EC3288" w:rsidRDefault="002C35F3" w:rsidP="00E06C23">
      <w:pPr>
        <w:pStyle w:val="ListParagraph"/>
        <w:numPr>
          <w:ilvl w:val="0"/>
          <w:numId w:val="1"/>
        </w:numPr>
        <w:tabs>
          <w:tab w:val="left" w:pos="284"/>
          <w:tab w:val="left" w:pos="426"/>
        </w:tabs>
        <w:spacing w:after="240" w:line="360" w:lineRule="auto"/>
        <w:ind w:left="0" w:firstLine="0"/>
        <w:contextualSpacing w:val="0"/>
        <w:jc w:val="both"/>
      </w:pPr>
      <w:r w:rsidRPr="00EC3288">
        <w:t xml:space="preserve">In 2014, the Committee recommended the European Union to “take necessary measures to ensure that all employees of the European Union who are persons with disabilities, </w:t>
      </w:r>
      <w:r w:rsidRPr="00EC3288">
        <w:rPr>
          <w:i/>
          <w:iCs/>
        </w:rPr>
        <w:t>or have family members with disabilities, receive the reasonable accommodation they need to enjoy their rights from the labour and related relationships on an equal basis with others</w:t>
      </w:r>
      <w:r w:rsidRPr="00EC3288">
        <w:t>.”</w:t>
      </w:r>
      <w:r w:rsidRPr="00EC3288">
        <w:rPr>
          <w:rStyle w:val="EndnoteReference"/>
        </w:rPr>
        <w:endnoteReference w:id="20"/>
      </w:r>
      <w:r w:rsidRPr="00EC3288">
        <w:t xml:space="preserve"> OHCHR noted in 2016 that “recent developments in the field of employment suggest that the duty to provide reasonable accommodation also applies to the relatives of persons with disabilities.”</w:t>
      </w:r>
      <w:r w:rsidRPr="00EC3288">
        <w:rPr>
          <w:rStyle w:val="EndnoteReference"/>
        </w:rPr>
        <w:endnoteReference w:id="21"/>
      </w:r>
      <w:r w:rsidRPr="00EC3288">
        <w:t xml:space="preserve"> </w:t>
      </w:r>
      <w:r w:rsidR="00EC3288" w:rsidRPr="00EC3288">
        <w:t>However,</w:t>
      </w:r>
      <w:r w:rsidRPr="00EC3288">
        <w:t xml:space="preserve"> general comment no. 6 on Article 5 of the CRPD</w:t>
      </w:r>
      <w:r w:rsidR="00EC3288" w:rsidRPr="00EC3288">
        <w:t>, which</w:t>
      </w:r>
      <w:r w:rsidRPr="00EC3288">
        <w:t xml:space="preserve"> </w:t>
      </w:r>
      <w:r w:rsidR="00EC3288" w:rsidRPr="00EC3288">
        <w:t>protects</w:t>
      </w:r>
      <w:r w:rsidRPr="00EC3288">
        <w:t xml:space="preserve"> associates </w:t>
      </w:r>
      <w:r w:rsidR="00EC3288" w:rsidRPr="00EC3288">
        <w:t>from</w:t>
      </w:r>
      <w:r w:rsidRPr="00EC3288">
        <w:t xml:space="preserve"> disability based discrimination, </w:t>
      </w:r>
      <w:r w:rsidR="00EC3288" w:rsidRPr="00EC3288">
        <w:t>has</w:t>
      </w:r>
      <w:r w:rsidRPr="00EC3288">
        <w:t xml:space="preserve"> remain</w:t>
      </w:r>
      <w:r w:rsidR="00EC3288" w:rsidRPr="00EC3288">
        <w:t>ed</w:t>
      </w:r>
      <w:r w:rsidRPr="00EC3288">
        <w:t xml:space="preserve"> elusive when it comes to the provision of reasonable accommodation in the exercise of their rights</w:t>
      </w:r>
      <w:r w:rsidR="00EC3288" w:rsidRPr="00EC3288">
        <w:t xml:space="preserve">. </w:t>
      </w:r>
    </w:p>
    <w:p w14:paraId="23E05900" w14:textId="141749E6" w:rsidR="005422F8" w:rsidRPr="00BB7D25" w:rsidRDefault="00EC3288" w:rsidP="00E06C23">
      <w:pPr>
        <w:pStyle w:val="ListParagraph"/>
        <w:numPr>
          <w:ilvl w:val="0"/>
          <w:numId w:val="1"/>
        </w:numPr>
        <w:tabs>
          <w:tab w:val="left" w:pos="284"/>
          <w:tab w:val="left" w:pos="426"/>
        </w:tabs>
        <w:spacing w:after="240" w:line="360" w:lineRule="auto"/>
        <w:ind w:left="0" w:firstLine="0"/>
        <w:contextualSpacing w:val="0"/>
        <w:jc w:val="both"/>
      </w:pPr>
      <w:r w:rsidRPr="00EC3288">
        <w:t xml:space="preserve">In view of these considerations, </w:t>
      </w:r>
      <w:r w:rsidRPr="00EC3288">
        <w:rPr>
          <w:b/>
          <w:bCs/>
        </w:rPr>
        <w:t>IDA encourages</w:t>
      </w:r>
      <w:r w:rsidR="00BB7D25">
        <w:rPr>
          <w:b/>
          <w:bCs/>
        </w:rPr>
        <w:t xml:space="preserve"> once more</w:t>
      </w:r>
      <w:r w:rsidRPr="00EC3288">
        <w:rPr>
          <w:b/>
          <w:bCs/>
        </w:rPr>
        <w:t xml:space="preserve"> the CRPD Committee not to miss the opportunity of this draft general comment to</w:t>
      </w:r>
      <w:r w:rsidR="002C35F3" w:rsidRPr="00EC3288">
        <w:rPr>
          <w:b/>
          <w:bCs/>
        </w:rPr>
        <w:t xml:space="preserve"> elaborate on the right of primary caregivers of persons with disabilities</w:t>
      </w:r>
      <w:r w:rsidR="002C35F3" w:rsidRPr="00EC3288">
        <w:rPr>
          <w:rStyle w:val="EndnoteReference"/>
          <w:b/>
          <w:bCs/>
        </w:rPr>
        <w:endnoteReference w:id="22"/>
      </w:r>
      <w:r w:rsidR="002C35F3" w:rsidRPr="00EC3288">
        <w:rPr>
          <w:b/>
          <w:bCs/>
        </w:rPr>
        <w:t xml:space="preserve"> to reasonable accommodation in employment, in order to prevent the indirect negative impacts of the demands of the labour market on the lives of persons with disabilities.</w:t>
      </w:r>
      <w:r w:rsidR="002C35F3" w:rsidRPr="00EC3288">
        <w:t xml:space="preserve"> </w:t>
      </w:r>
    </w:p>
    <w:p w14:paraId="3A5D7217" w14:textId="52921B95" w:rsidR="00316FB5" w:rsidRPr="00BB7D25" w:rsidRDefault="00316FB5" w:rsidP="00E06C23">
      <w:pPr>
        <w:pStyle w:val="Heading2"/>
        <w:numPr>
          <w:ilvl w:val="0"/>
          <w:numId w:val="2"/>
        </w:numPr>
        <w:spacing w:after="240" w:line="240" w:lineRule="auto"/>
        <w:rPr>
          <w:b/>
          <w:bCs/>
        </w:rPr>
      </w:pPr>
      <w:bookmarkStart w:id="16" w:name="_Toc90230130"/>
      <w:r w:rsidRPr="00BB7D25">
        <w:rPr>
          <w:b/>
          <w:bCs/>
        </w:rPr>
        <w:t>Recommendations</w:t>
      </w:r>
      <w:bookmarkEnd w:id="16"/>
    </w:p>
    <w:p w14:paraId="3444B291" w14:textId="3032E016" w:rsidR="00267D02" w:rsidRDefault="00316FB5" w:rsidP="004C1F18">
      <w:pPr>
        <w:tabs>
          <w:tab w:val="left" w:pos="284"/>
          <w:tab w:val="left" w:pos="426"/>
        </w:tabs>
        <w:spacing w:after="240" w:line="360" w:lineRule="auto"/>
        <w:jc w:val="both"/>
        <w:rPr>
          <w:rFonts w:ascii="Arial" w:eastAsia="Arial" w:hAnsi="Arial" w:cs="Arial"/>
          <w:sz w:val="22"/>
          <w:szCs w:val="22"/>
          <w:lang w:val="en-GB"/>
        </w:rPr>
      </w:pPr>
      <w:r w:rsidRPr="00316FB5">
        <w:rPr>
          <w:rFonts w:ascii="Arial" w:eastAsia="Arial" w:hAnsi="Arial" w:cs="Arial"/>
          <w:sz w:val="22"/>
          <w:szCs w:val="22"/>
          <w:lang w:val="en-GB"/>
        </w:rPr>
        <w:t xml:space="preserve">For the above considerations, IDA would like to </w:t>
      </w:r>
      <w:r w:rsidR="00267D02">
        <w:rPr>
          <w:rFonts w:ascii="Arial" w:eastAsia="Arial" w:hAnsi="Arial" w:cs="Arial"/>
          <w:sz w:val="22"/>
          <w:szCs w:val="22"/>
          <w:lang w:val="en-GB"/>
        </w:rPr>
        <w:t>advance, together with the recommendations included in our submission for the Day of General Discussion (March 2021), the following complementary recommendations for the CRPD Committee towards its finalisation of the draft general comment:</w:t>
      </w:r>
    </w:p>
    <w:p w14:paraId="38456CE7" w14:textId="078D8AB9" w:rsidR="001C6947" w:rsidRDefault="001C6947" w:rsidP="00556214">
      <w:pPr>
        <w:tabs>
          <w:tab w:val="left" w:pos="284"/>
          <w:tab w:val="left" w:pos="426"/>
        </w:tabs>
        <w:spacing w:after="240"/>
        <w:jc w:val="both"/>
        <w:rPr>
          <w:rFonts w:ascii="Arial" w:eastAsia="Arial" w:hAnsi="Arial" w:cs="Arial"/>
          <w:sz w:val="22"/>
          <w:szCs w:val="22"/>
          <w:lang w:val="en-GB"/>
        </w:rPr>
      </w:pPr>
      <w:r>
        <w:rPr>
          <w:rFonts w:ascii="Arial" w:eastAsia="Arial" w:hAnsi="Arial" w:cs="Arial"/>
          <w:sz w:val="22"/>
          <w:szCs w:val="22"/>
          <w:lang w:val="en-GB"/>
        </w:rPr>
        <w:t>1. Call States to proactively consult and actively involve organizations of persons with disabilities in the design and development of legislation</w:t>
      </w:r>
      <w:r w:rsidR="00556214">
        <w:rPr>
          <w:rFonts w:ascii="Arial" w:eastAsia="Arial" w:hAnsi="Arial" w:cs="Arial"/>
          <w:sz w:val="22"/>
          <w:szCs w:val="22"/>
          <w:lang w:val="en-GB"/>
        </w:rPr>
        <w:t>.</w:t>
      </w:r>
      <w:r>
        <w:rPr>
          <w:rFonts w:ascii="Arial" w:eastAsia="Arial" w:hAnsi="Arial" w:cs="Arial"/>
          <w:sz w:val="22"/>
          <w:szCs w:val="22"/>
          <w:lang w:val="en-GB"/>
        </w:rPr>
        <w:t xml:space="preserve"> </w:t>
      </w:r>
      <w:r w:rsidR="00556214">
        <w:rPr>
          <w:rFonts w:ascii="Arial" w:eastAsia="Arial" w:hAnsi="Arial" w:cs="Arial"/>
          <w:sz w:val="22"/>
          <w:szCs w:val="22"/>
          <w:lang w:val="en-GB"/>
        </w:rPr>
        <w:t>p</w:t>
      </w:r>
      <w:r>
        <w:rPr>
          <w:rFonts w:ascii="Arial" w:eastAsia="Arial" w:hAnsi="Arial" w:cs="Arial"/>
          <w:sz w:val="22"/>
          <w:szCs w:val="22"/>
          <w:lang w:val="en-GB"/>
        </w:rPr>
        <w:t>olicy</w:t>
      </w:r>
      <w:r w:rsidR="00556214">
        <w:rPr>
          <w:rFonts w:ascii="Arial" w:eastAsia="Arial" w:hAnsi="Arial" w:cs="Arial"/>
          <w:sz w:val="22"/>
          <w:szCs w:val="22"/>
          <w:lang w:val="en-GB"/>
        </w:rPr>
        <w:t xml:space="preserve"> and programmes to ensure, promote and facilitate the right to work and employment of persons with disabilities, following the guidance provided by the CRPD Committee in its general comment no. 7, especially in connection to the diversity of constituencies of persons with disabilities.</w:t>
      </w:r>
      <w:r>
        <w:rPr>
          <w:rFonts w:ascii="Arial" w:eastAsia="Arial" w:hAnsi="Arial" w:cs="Arial"/>
          <w:sz w:val="22"/>
          <w:szCs w:val="22"/>
          <w:lang w:val="en-GB"/>
        </w:rPr>
        <w:t xml:space="preserve"> </w:t>
      </w:r>
    </w:p>
    <w:p w14:paraId="5C0F9CC5" w14:textId="4655B2DB" w:rsidR="00556214" w:rsidRDefault="00556214" w:rsidP="00556214">
      <w:pPr>
        <w:tabs>
          <w:tab w:val="left" w:pos="284"/>
          <w:tab w:val="left" w:pos="426"/>
        </w:tabs>
        <w:spacing w:after="240"/>
        <w:jc w:val="both"/>
        <w:rPr>
          <w:rFonts w:ascii="Arial" w:eastAsia="Arial" w:hAnsi="Arial" w:cs="Arial"/>
          <w:sz w:val="22"/>
          <w:szCs w:val="22"/>
          <w:lang w:val="en-GB"/>
        </w:rPr>
      </w:pPr>
      <w:r>
        <w:rPr>
          <w:rFonts w:ascii="Arial" w:eastAsia="Arial" w:hAnsi="Arial" w:cs="Arial"/>
          <w:sz w:val="22"/>
          <w:szCs w:val="22"/>
          <w:lang w:val="en-GB"/>
        </w:rPr>
        <w:t xml:space="preserve">2. </w:t>
      </w:r>
      <w:r w:rsidR="00F442F5">
        <w:rPr>
          <w:rFonts w:ascii="Arial" w:eastAsia="Arial" w:hAnsi="Arial" w:cs="Arial"/>
          <w:sz w:val="22"/>
          <w:szCs w:val="22"/>
          <w:lang w:val="en-GB"/>
        </w:rPr>
        <w:t xml:space="preserve">Call States to undertake awareness raising campaigns on the content of the right to work and employment of persons with disabilities </w:t>
      </w:r>
      <w:r w:rsidR="00ED1E86">
        <w:rPr>
          <w:rFonts w:ascii="Arial" w:eastAsia="Arial" w:hAnsi="Arial" w:cs="Arial"/>
          <w:sz w:val="22"/>
          <w:szCs w:val="22"/>
          <w:lang w:val="en-GB"/>
        </w:rPr>
        <w:t>targeting</w:t>
      </w:r>
      <w:r w:rsidR="00F442F5">
        <w:rPr>
          <w:rFonts w:ascii="Arial" w:eastAsia="Arial" w:hAnsi="Arial" w:cs="Arial"/>
          <w:sz w:val="22"/>
          <w:szCs w:val="22"/>
          <w:lang w:val="en-GB"/>
        </w:rPr>
        <w:t xml:space="preserve"> them, as well as training programmes and other measures directed to employers and human resources companies to eradicate </w:t>
      </w:r>
      <w:r w:rsidR="00ED1E86">
        <w:rPr>
          <w:rFonts w:ascii="Arial" w:eastAsia="Arial" w:hAnsi="Arial" w:cs="Arial"/>
          <w:sz w:val="22"/>
          <w:szCs w:val="22"/>
          <w:lang w:val="en-GB"/>
        </w:rPr>
        <w:t xml:space="preserve">prejudice and </w:t>
      </w:r>
      <w:r w:rsidR="00F442F5">
        <w:rPr>
          <w:rFonts w:ascii="Arial" w:eastAsia="Arial" w:hAnsi="Arial" w:cs="Arial"/>
          <w:sz w:val="22"/>
          <w:szCs w:val="22"/>
          <w:lang w:val="en-GB"/>
        </w:rPr>
        <w:t xml:space="preserve">stereotypes (both negative and “positive” ones) </w:t>
      </w:r>
      <w:r w:rsidR="00ED1E86">
        <w:rPr>
          <w:rFonts w:ascii="Arial" w:eastAsia="Arial" w:hAnsi="Arial" w:cs="Arial"/>
          <w:sz w:val="22"/>
          <w:szCs w:val="22"/>
          <w:lang w:val="en-GB"/>
        </w:rPr>
        <w:t xml:space="preserve">related to employment </w:t>
      </w:r>
      <w:r w:rsidR="00F442F5">
        <w:rPr>
          <w:rFonts w:ascii="Arial" w:eastAsia="Arial" w:hAnsi="Arial" w:cs="Arial"/>
          <w:sz w:val="22"/>
          <w:szCs w:val="22"/>
          <w:lang w:val="en-GB"/>
        </w:rPr>
        <w:t xml:space="preserve">on persons with disabilities. </w:t>
      </w:r>
    </w:p>
    <w:p w14:paraId="6B819A70" w14:textId="6FD9E0BA" w:rsidR="0080178F" w:rsidRDefault="00ED1E86" w:rsidP="0080178F">
      <w:pPr>
        <w:tabs>
          <w:tab w:val="left" w:pos="284"/>
          <w:tab w:val="left" w:pos="426"/>
        </w:tabs>
        <w:spacing w:after="240"/>
        <w:jc w:val="both"/>
        <w:rPr>
          <w:rFonts w:ascii="Arial" w:eastAsia="Arial" w:hAnsi="Arial" w:cs="Arial"/>
          <w:sz w:val="22"/>
          <w:szCs w:val="22"/>
          <w:lang w:val="en-GB"/>
        </w:rPr>
      </w:pPr>
      <w:r>
        <w:rPr>
          <w:rFonts w:ascii="Arial" w:eastAsia="Arial" w:hAnsi="Arial" w:cs="Arial"/>
          <w:sz w:val="22"/>
          <w:szCs w:val="22"/>
          <w:lang w:val="en-GB"/>
        </w:rPr>
        <w:t xml:space="preserve">3. Call States </w:t>
      </w:r>
      <w:r w:rsidR="004F60D3">
        <w:rPr>
          <w:rFonts w:ascii="Arial" w:eastAsia="Arial" w:hAnsi="Arial" w:cs="Arial"/>
          <w:sz w:val="22"/>
          <w:szCs w:val="22"/>
          <w:lang w:val="en-GB"/>
        </w:rPr>
        <w:t xml:space="preserve">to ensure its </w:t>
      </w:r>
      <w:r w:rsidR="006449EA">
        <w:rPr>
          <w:rFonts w:ascii="Arial" w:eastAsia="Arial" w:hAnsi="Arial" w:cs="Arial"/>
          <w:sz w:val="22"/>
          <w:szCs w:val="22"/>
          <w:lang w:val="en-GB"/>
        </w:rPr>
        <w:t xml:space="preserve">general and disability-specific </w:t>
      </w:r>
      <w:r w:rsidR="004F60D3">
        <w:rPr>
          <w:rFonts w:ascii="Arial" w:eastAsia="Arial" w:hAnsi="Arial" w:cs="Arial"/>
          <w:sz w:val="22"/>
          <w:szCs w:val="22"/>
          <w:lang w:val="en-GB"/>
        </w:rPr>
        <w:t>policies on employment</w:t>
      </w:r>
      <w:r w:rsidR="006449EA">
        <w:rPr>
          <w:rFonts w:ascii="Arial" w:eastAsia="Arial" w:hAnsi="Arial" w:cs="Arial"/>
          <w:sz w:val="22"/>
          <w:szCs w:val="22"/>
          <w:lang w:val="en-GB"/>
        </w:rPr>
        <w:t xml:space="preserve"> </w:t>
      </w:r>
      <w:r w:rsidR="004F60D3">
        <w:rPr>
          <w:rFonts w:ascii="Arial" w:eastAsia="Arial" w:hAnsi="Arial" w:cs="Arial"/>
          <w:sz w:val="22"/>
          <w:szCs w:val="22"/>
          <w:lang w:val="en-GB"/>
        </w:rPr>
        <w:t>are inclusive of all persons with disabilities, including those underrepresented groups, such as women with disabilities, deaf persons, deaf blind persons</w:t>
      </w:r>
      <w:r w:rsidR="006449EA">
        <w:rPr>
          <w:rFonts w:ascii="Arial" w:eastAsia="Arial" w:hAnsi="Arial" w:cs="Arial"/>
          <w:sz w:val="22"/>
          <w:szCs w:val="22"/>
          <w:lang w:val="en-GB"/>
        </w:rPr>
        <w:t xml:space="preserve"> and</w:t>
      </w:r>
      <w:r w:rsidR="004F60D3">
        <w:rPr>
          <w:rFonts w:ascii="Arial" w:eastAsia="Arial" w:hAnsi="Arial" w:cs="Arial"/>
          <w:sz w:val="22"/>
          <w:szCs w:val="22"/>
          <w:lang w:val="en-GB"/>
        </w:rPr>
        <w:t xml:space="preserve"> persons with intellectual disabilities, and that they benefit equitably all of them</w:t>
      </w:r>
      <w:r w:rsidR="006449EA">
        <w:rPr>
          <w:rFonts w:ascii="Arial" w:eastAsia="Arial" w:hAnsi="Arial" w:cs="Arial"/>
          <w:sz w:val="22"/>
          <w:szCs w:val="22"/>
          <w:lang w:val="en-GB"/>
        </w:rPr>
        <w:t>, considering also specific measures focused on disadvantaged groups among persons with disabilities.</w:t>
      </w:r>
    </w:p>
    <w:p w14:paraId="148F2E8B" w14:textId="1947550B" w:rsidR="00E502BB" w:rsidRDefault="00E502BB" w:rsidP="0080178F">
      <w:pPr>
        <w:tabs>
          <w:tab w:val="left" w:pos="284"/>
          <w:tab w:val="left" w:pos="426"/>
        </w:tabs>
        <w:spacing w:after="240"/>
        <w:jc w:val="both"/>
        <w:rPr>
          <w:rFonts w:ascii="Arial" w:eastAsia="Arial" w:hAnsi="Arial" w:cs="Arial"/>
          <w:iCs/>
          <w:sz w:val="22"/>
          <w:szCs w:val="22"/>
          <w:lang w:val="en-US"/>
        </w:rPr>
      </w:pPr>
      <w:r>
        <w:rPr>
          <w:rFonts w:ascii="Arial" w:eastAsia="Arial" w:hAnsi="Arial" w:cs="Arial"/>
          <w:sz w:val="22"/>
          <w:szCs w:val="22"/>
          <w:lang w:val="en-GB"/>
        </w:rPr>
        <w:t xml:space="preserve">4. Call States to acknowledge and support </w:t>
      </w:r>
      <w:r w:rsidRPr="00E502BB">
        <w:rPr>
          <w:rFonts w:ascii="Arial" w:eastAsia="Arial" w:hAnsi="Arial" w:cs="Arial"/>
          <w:iCs/>
          <w:sz w:val="22"/>
          <w:szCs w:val="22"/>
        </w:rPr>
        <w:t xml:space="preserve">the supportive and empowering role </w:t>
      </w:r>
      <w:r w:rsidRPr="00E502BB">
        <w:rPr>
          <w:rFonts w:ascii="Arial" w:eastAsia="Arial" w:hAnsi="Arial" w:cs="Arial"/>
          <w:iCs/>
          <w:sz w:val="22"/>
          <w:szCs w:val="22"/>
          <w:lang w:val="en-US"/>
        </w:rPr>
        <w:t>that</w:t>
      </w:r>
      <w:r w:rsidRPr="00E502BB">
        <w:rPr>
          <w:rFonts w:ascii="Arial" w:eastAsia="Arial" w:hAnsi="Arial" w:cs="Arial"/>
          <w:iCs/>
          <w:sz w:val="22"/>
          <w:szCs w:val="22"/>
        </w:rPr>
        <w:t xml:space="preserve"> </w:t>
      </w:r>
      <w:r w:rsidRPr="00E502BB">
        <w:rPr>
          <w:rFonts w:ascii="Arial" w:eastAsia="Arial" w:hAnsi="Arial" w:cs="Arial"/>
          <w:iCs/>
          <w:sz w:val="22"/>
          <w:szCs w:val="22"/>
          <w:lang w:val="en-US"/>
        </w:rPr>
        <w:t>relative</w:t>
      </w:r>
      <w:r>
        <w:rPr>
          <w:rFonts w:ascii="Arial" w:eastAsia="Arial" w:hAnsi="Arial" w:cs="Arial"/>
          <w:iCs/>
          <w:sz w:val="22"/>
          <w:szCs w:val="22"/>
          <w:lang w:val="en-US"/>
        </w:rPr>
        <w:t>s of persons with disabilities</w:t>
      </w:r>
      <w:r w:rsidRPr="00E502BB">
        <w:rPr>
          <w:rFonts w:ascii="Arial" w:eastAsia="Arial" w:hAnsi="Arial" w:cs="Arial"/>
          <w:iCs/>
          <w:sz w:val="22"/>
          <w:szCs w:val="22"/>
        </w:rPr>
        <w:t xml:space="preserve"> </w:t>
      </w:r>
      <w:r w:rsidRPr="00E502BB">
        <w:rPr>
          <w:rFonts w:ascii="Arial" w:eastAsia="Arial" w:hAnsi="Arial" w:cs="Arial"/>
          <w:iCs/>
          <w:sz w:val="22"/>
          <w:szCs w:val="22"/>
          <w:lang w:val="en-US"/>
        </w:rPr>
        <w:t xml:space="preserve">might play </w:t>
      </w:r>
      <w:r>
        <w:rPr>
          <w:rFonts w:ascii="Arial" w:eastAsia="Arial" w:hAnsi="Arial" w:cs="Arial"/>
          <w:iCs/>
          <w:sz w:val="22"/>
          <w:szCs w:val="22"/>
          <w:lang w:val="en-US"/>
        </w:rPr>
        <w:t xml:space="preserve">in </w:t>
      </w:r>
      <w:r w:rsidRPr="00E502BB">
        <w:rPr>
          <w:rFonts w:ascii="Arial" w:eastAsia="Arial" w:hAnsi="Arial" w:cs="Arial"/>
          <w:iCs/>
          <w:sz w:val="22"/>
          <w:szCs w:val="22"/>
        </w:rPr>
        <w:t>facilitat</w:t>
      </w:r>
      <w:r w:rsidRPr="00E502BB">
        <w:rPr>
          <w:rFonts w:ascii="Arial" w:eastAsia="Arial" w:hAnsi="Arial" w:cs="Arial"/>
          <w:iCs/>
          <w:sz w:val="22"/>
          <w:szCs w:val="22"/>
          <w:lang w:val="en-US"/>
        </w:rPr>
        <w:t>ing</w:t>
      </w:r>
      <w:r w:rsidRPr="00E502BB">
        <w:rPr>
          <w:rFonts w:ascii="Arial" w:eastAsia="Arial" w:hAnsi="Arial" w:cs="Arial"/>
          <w:iCs/>
          <w:sz w:val="22"/>
          <w:szCs w:val="22"/>
        </w:rPr>
        <w:t>, promot</w:t>
      </w:r>
      <w:r w:rsidRPr="00E502BB">
        <w:rPr>
          <w:rFonts w:ascii="Arial" w:eastAsia="Arial" w:hAnsi="Arial" w:cs="Arial"/>
          <w:iCs/>
          <w:sz w:val="22"/>
          <w:szCs w:val="22"/>
          <w:lang w:val="en-US"/>
        </w:rPr>
        <w:t>ing</w:t>
      </w:r>
      <w:r w:rsidRPr="00E502BB">
        <w:rPr>
          <w:rFonts w:ascii="Arial" w:eastAsia="Arial" w:hAnsi="Arial" w:cs="Arial"/>
          <w:iCs/>
          <w:sz w:val="22"/>
          <w:szCs w:val="22"/>
        </w:rPr>
        <w:t xml:space="preserve"> and secur</w:t>
      </w:r>
      <w:r w:rsidRPr="00E502BB">
        <w:rPr>
          <w:rFonts w:ascii="Arial" w:eastAsia="Arial" w:hAnsi="Arial" w:cs="Arial"/>
          <w:iCs/>
          <w:sz w:val="22"/>
          <w:szCs w:val="22"/>
          <w:lang w:val="en-US"/>
        </w:rPr>
        <w:t>ing</w:t>
      </w:r>
      <w:r w:rsidRPr="00E502BB">
        <w:rPr>
          <w:rFonts w:ascii="Arial" w:eastAsia="Arial" w:hAnsi="Arial" w:cs="Arial"/>
          <w:iCs/>
          <w:sz w:val="22"/>
          <w:szCs w:val="22"/>
        </w:rPr>
        <w:t xml:space="preserve"> the interest and supporting the autonomy and active participation of their relatives with disabilities</w:t>
      </w:r>
      <w:r w:rsidRPr="00E502BB">
        <w:rPr>
          <w:rFonts w:ascii="Arial" w:eastAsia="Arial" w:hAnsi="Arial" w:cs="Arial"/>
          <w:iCs/>
          <w:sz w:val="22"/>
          <w:szCs w:val="22"/>
          <w:lang w:val="en-US"/>
        </w:rPr>
        <w:t xml:space="preserve"> in the </w:t>
      </w:r>
      <w:r w:rsidR="00267D02">
        <w:rPr>
          <w:rFonts w:ascii="Arial" w:eastAsia="Arial" w:hAnsi="Arial" w:cs="Arial"/>
          <w:iCs/>
          <w:sz w:val="22"/>
          <w:szCs w:val="22"/>
          <w:lang w:val="en-US"/>
        </w:rPr>
        <w:t>a</w:t>
      </w:r>
      <w:r w:rsidRPr="00E502BB">
        <w:rPr>
          <w:rFonts w:ascii="Arial" w:eastAsia="Arial" w:hAnsi="Arial" w:cs="Arial"/>
          <w:iCs/>
          <w:sz w:val="22"/>
          <w:szCs w:val="22"/>
          <w:lang w:val="en-US"/>
        </w:rPr>
        <w:t xml:space="preserve">rea of both </w:t>
      </w:r>
      <w:r w:rsidR="00267D02">
        <w:rPr>
          <w:rFonts w:ascii="Arial" w:eastAsia="Arial" w:hAnsi="Arial" w:cs="Arial"/>
          <w:iCs/>
          <w:sz w:val="22"/>
          <w:szCs w:val="22"/>
          <w:lang w:val="en-US"/>
        </w:rPr>
        <w:t>waged</w:t>
      </w:r>
      <w:r w:rsidR="005F47FB">
        <w:rPr>
          <w:rFonts w:ascii="Arial" w:eastAsia="Arial" w:hAnsi="Arial" w:cs="Arial"/>
          <w:iCs/>
          <w:sz w:val="22"/>
          <w:szCs w:val="22"/>
          <w:lang w:val="en-US"/>
        </w:rPr>
        <w:t xml:space="preserve"> </w:t>
      </w:r>
      <w:r>
        <w:rPr>
          <w:rFonts w:ascii="Arial" w:eastAsia="Arial" w:hAnsi="Arial" w:cs="Arial"/>
          <w:iCs/>
          <w:sz w:val="22"/>
          <w:szCs w:val="22"/>
          <w:lang w:val="en-US"/>
        </w:rPr>
        <w:t>employment and self-employment.</w:t>
      </w:r>
    </w:p>
    <w:p w14:paraId="79FABFAE" w14:textId="4B826E7F" w:rsidR="00267D02" w:rsidRDefault="00267D02" w:rsidP="0080178F">
      <w:pPr>
        <w:tabs>
          <w:tab w:val="left" w:pos="284"/>
          <w:tab w:val="left" w:pos="426"/>
        </w:tabs>
        <w:spacing w:after="240"/>
        <w:jc w:val="both"/>
        <w:rPr>
          <w:rFonts w:ascii="Arial" w:eastAsia="Arial" w:hAnsi="Arial" w:cs="Arial"/>
          <w:iCs/>
          <w:sz w:val="22"/>
          <w:szCs w:val="22"/>
          <w:lang w:val="en-US"/>
        </w:rPr>
      </w:pPr>
      <w:r>
        <w:rPr>
          <w:rFonts w:ascii="Arial" w:eastAsia="Arial" w:hAnsi="Arial" w:cs="Arial"/>
          <w:iCs/>
          <w:sz w:val="22"/>
          <w:szCs w:val="22"/>
          <w:lang w:val="en-US"/>
        </w:rPr>
        <w:t>5. Call States to develop comprehensive</w:t>
      </w:r>
      <w:r w:rsidR="00885BA4">
        <w:rPr>
          <w:rFonts w:ascii="Arial" w:eastAsia="Arial" w:hAnsi="Arial" w:cs="Arial"/>
          <w:iCs/>
          <w:sz w:val="22"/>
          <w:szCs w:val="22"/>
          <w:lang w:val="en-US"/>
        </w:rPr>
        <w:t>,</w:t>
      </w:r>
      <w:r>
        <w:rPr>
          <w:rFonts w:ascii="Arial" w:eastAsia="Arial" w:hAnsi="Arial" w:cs="Arial"/>
          <w:iCs/>
          <w:sz w:val="22"/>
          <w:szCs w:val="22"/>
          <w:lang w:val="en-US"/>
        </w:rPr>
        <w:t xml:space="preserve"> </w:t>
      </w:r>
      <w:r w:rsidR="00885BA4">
        <w:rPr>
          <w:rFonts w:ascii="Arial" w:eastAsia="Arial" w:hAnsi="Arial" w:cs="Arial"/>
          <w:iCs/>
          <w:sz w:val="22"/>
          <w:szCs w:val="22"/>
          <w:lang w:val="en-US"/>
        </w:rPr>
        <w:t>sound and detailed</w:t>
      </w:r>
      <w:r>
        <w:rPr>
          <w:rFonts w:ascii="Arial" w:eastAsia="Arial" w:hAnsi="Arial" w:cs="Arial"/>
          <w:iCs/>
          <w:sz w:val="22"/>
          <w:szCs w:val="22"/>
          <w:lang w:val="en-US"/>
        </w:rPr>
        <w:t xml:space="preserve"> legal and regulatory non-discrimination framework applicable to the area of employment </w:t>
      </w:r>
      <w:r w:rsidR="00885BA4">
        <w:rPr>
          <w:rFonts w:ascii="Arial" w:eastAsia="Arial" w:hAnsi="Arial" w:cs="Arial"/>
          <w:iCs/>
          <w:sz w:val="22"/>
          <w:szCs w:val="22"/>
          <w:lang w:val="en-US"/>
        </w:rPr>
        <w:t xml:space="preserve">and self-employment in line with the Convention on the Rights of Persons with Disabilities, notably articles 5, 12 and 27 of the CRPD. </w:t>
      </w:r>
    </w:p>
    <w:p w14:paraId="7EF92BA2" w14:textId="3AD6B665" w:rsidR="0080178F" w:rsidRDefault="0037491B" w:rsidP="0037491B">
      <w:pPr>
        <w:tabs>
          <w:tab w:val="left" w:pos="284"/>
          <w:tab w:val="left" w:pos="426"/>
        </w:tabs>
        <w:spacing w:after="240"/>
        <w:jc w:val="both"/>
        <w:rPr>
          <w:rFonts w:ascii="Arial" w:eastAsia="Arial" w:hAnsi="Arial" w:cs="Arial"/>
          <w:iCs/>
          <w:sz w:val="22"/>
          <w:szCs w:val="22"/>
          <w:lang w:val="en-GB"/>
        </w:rPr>
      </w:pPr>
      <w:r w:rsidRPr="0037491B">
        <w:rPr>
          <w:rFonts w:ascii="Arial" w:eastAsia="Arial" w:hAnsi="Arial" w:cs="Arial"/>
          <w:iCs/>
          <w:sz w:val="22"/>
          <w:szCs w:val="22"/>
          <w:lang w:val="en-US"/>
        </w:rPr>
        <w:t>6. Call States to adopt specific measures to promote the right to employment of persons with disabilities, to enhance compliance of those already adopted and to diversify the kind of measures to adopt, on account of diversity of</w:t>
      </w:r>
      <w:r w:rsidR="00885BA4" w:rsidRPr="0037491B">
        <w:rPr>
          <w:rFonts w:ascii="Arial" w:eastAsia="Arial" w:hAnsi="Arial" w:cs="Arial"/>
          <w:iCs/>
          <w:sz w:val="22"/>
          <w:szCs w:val="22"/>
          <w:lang w:val="en-GB"/>
        </w:rPr>
        <w:t xml:space="preserve"> </w:t>
      </w:r>
      <w:r w:rsidRPr="0037491B">
        <w:rPr>
          <w:rFonts w:ascii="Arial" w:eastAsia="Arial" w:hAnsi="Arial" w:cs="Arial"/>
          <w:iCs/>
          <w:sz w:val="22"/>
          <w:szCs w:val="22"/>
          <w:lang w:val="en-GB"/>
        </w:rPr>
        <w:t xml:space="preserve">contexts, of </w:t>
      </w:r>
      <w:r w:rsidR="00885BA4" w:rsidRPr="0037491B">
        <w:rPr>
          <w:rFonts w:ascii="Arial" w:eastAsia="Arial" w:hAnsi="Arial" w:cs="Arial"/>
          <w:iCs/>
          <w:sz w:val="22"/>
          <w:szCs w:val="22"/>
          <w:lang w:val="en-GB"/>
        </w:rPr>
        <w:t>economic sector and of companies</w:t>
      </w:r>
      <w:r w:rsidR="000F024A">
        <w:rPr>
          <w:rFonts w:ascii="Arial" w:eastAsia="Arial" w:hAnsi="Arial" w:cs="Arial"/>
          <w:iCs/>
          <w:sz w:val="22"/>
          <w:szCs w:val="22"/>
          <w:lang w:val="en-GB"/>
        </w:rPr>
        <w:t>, including importantly public procurement based strategies</w:t>
      </w:r>
      <w:r w:rsidRPr="0037491B">
        <w:rPr>
          <w:rFonts w:ascii="Arial" w:eastAsia="Arial" w:hAnsi="Arial" w:cs="Arial"/>
          <w:iCs/>
          <w:sz w:val="22"/>
          <w:szCs w:val="22"/>
          <w:lang w:val="en-GB"/>
        </w:rPr>
        <w:t>;</w:t>
      </w:r>
      <w:r w:rsidR="00885BA4" w:rsidRPr="0037491B">
        <w:rPr>
          <w:rFonts w:ascii="Arial" w:eastAsia="Arial" w:hAnsi="Arial" w:cs="Arial"/>
          <w:iCs/>
          <w:sz w:val="22"/>
          <w:szCs w:val="22"/>
          <w:lang w:val="en-GB"/>
        </w:rPr>
        <w:t xml:space="preserve"> and </w:t>
      </w:r>
      <w:r w:rsidRPr="0037491B">
        <w:rPr>
          <w:rFonts w:ascii="Arial" w:eastAsia="Arial" w:hAnsi="Arial" w:cs="Arial"/>
          <w:iCs/>
          <w:sz w:val="22"/>
          <w:szCs w:val="22"/>
          <w:lang w:val="en-GB"/>
        </w:rPr>
        <w:t>to develop</w:t>
      </w:r>
      <w:r w:rsidR="00885BA4" w:rsidRPr="0037491B">
        <w:rPr>
          <w:rFonts w:ascii="Arial" w:eastAsia="Arial" w:hAnsi="Arial" w:cs="Arial"/>
          <w:iCs/>
          <w:sz w:val="22"/>
          <w:szCs w:val="22"/>
          <w:lang w:val="en-GB"/>
        </w:rPr>
        <w:t xml:space="preserve"> strong monitoring and evaluation mechanisms to ensure their effectiveness</w:t>
      </w:r>
      <w:r>
        <w:rPr>
          <w:rFonts w:ascii="Arial" w:eastAsia="Arial" w:hAnsi="Arial" w:cs="Arial"/>
          <w:iCs/>
          <w:sz w:val="22"/>
          <w:szCs w:val="22"/>
          <w:lang w:val="en-GB"/>
        </w:rPr>
        <w:t>,</w:t>
      </w:r>
      <w:r w:rsidR="00885BA4" w:rsidRPr="0037491B">
        <w:rPr>
          <w:rFonts w:ascii="Arial" w:eastAsia="Arial" w:hAnsi="Arial" w:cs="Arial"/>
          <w:iCs/>
          <w:sz w:val="22"/>
          <w:szCs w:val="22"/>
          <w:lang w:val="en-GB"/>
        </w:rPr>
        <w:t xml:space="preserve"> prevent negative outcomes</w:t>
      </w:r>
      <w:r>
        <w:rPr>
          <w:rFonts w:ascii="Arial" w:eastAsia="Arial" w:hAnsi="Arial" w:cs="Arial"/>
          <w:iCs/>
          <w:sz w:val="22"/>
          <w:szCs w:val="22"/>
          <w:lang w:val="en-GB"/>
        </w:rPr>
        <w:t xml:space="preserve"> and, if general in nature favour all groups of persons with disabilities equitably.</w:t>
      </w:r>
    </w:p>
    <w:p w14:paraId="65F951B9" w14:textId="77777777" w:rsidR="00885CE7" w:rsidRDefault="0037491B" w:rsidP="0037491B">
      <w:pPr>
        <w:tabs>
          <w:tab w:val="left" w:pos="284"/>
          <w:tab w:val="left" w:pos="426"/>
        </w:tabs>
        <w:spacing w:after="240"/>
        <w:jc w:val="both"/>
        <w:rPr>
          <w:rFonts w:ascii="Arial" w:eastAsia="Arial" w:hAnsi="Arial" w:cs="Arial"/>
          <w:iCs/>
          <w:sz w:val="22"/>
          <w:szCs w:val="22"/>
          <w:lang w:val="en-GB"/>
        </w:rPr>
      </w:pPr>
      <w:r>
        <w:rPr>
          <w:rFonts w:ascii="Arial" w:eastAsia="Arial" w:hAnsi="Arial" w:cs="Arial"/>
          <w:iCs/>
          <w:sz w:val="22"/>
          <w:szCs w:val="22"/>
          <w:lang w:val="en-GB"/>
        </w:rPr>
        <w:t>7.</w:t>
      </w:r>
      <w:r w:rsidR="00ED3E9C">
        <w:rPr>
          <w:rFonts w:ascii="Arial" w:eastAsia="Arial" w:hAnsi="Arial" w:cs="Arial"/>
          <w:iCs/>
          <w:sz w:val="22"/>
          <w:szCs w:val="22"/>
          <w:lang w:val="en-GB"/>
        </w:rPr>
        <w:t xml:space="preserve"> Call States to enhance efforts to phase out sheltered workshops, which are essentially contrary to the Convention due to the segregation of persons with disabilities they provoke, and in practice non-compliant with minimum working conditions, including remuneration and labour rights. </w:t>
      </w:r>
    </w:p>
    <w:p w14:paraId="3BF9D111" w14:textId="78ECF18D" w:rsidR="0037491B" w:rsidRPr="001C6947" w:rsidRDefault="00885CE7" w:rsidP="0037491B">
      <w:pPr>
        <w:tabs>
          <w:tab w:val="left" w:pos="284"/>
          <w:tab w:val="left" w:pos="426"/>
        </w:tabs>
        <w:spacing w:after="240"/>
        <w:jc w:val="both"/>
        <w:rPr>
          <w:rFonts w:ascii="Arial" w:eastAsia="Arial" w:hAnsi="Arial" w:cs="Arial"/>
          <w:iCs/>
          <w:sz w:val="22"/>
          <w:szCs w:val="22"/>
          <w:lang w:val="en-GB"/>
        </w:rPr>
      </w:pPr>
      <w:r>
        <w:rPr>
          <w:rFonts w:ascii="Arial" w:eastAsia="Arial" w:hAnsi="Arial" w:cs="Arial"/>
          <w:iCs/>
          <w:sz w:val="22"/>
          <w:szCs w:val="22"/>
          <w:lang w:val="en-GB"/>
        </w:rPr>
        <w:t xml:space="preserve">8. Call </w:t>
      </w:r>
      <w:r w:rsidR="00ED3E9C">
        <w:rPr>
          <w:rFonts w:ascii="Arial" w:eastAsia="Arial" w:hAnsi="Arial" w:cs="Arial"/>
          <w:iCs/>
          <w:sz w:val="22"/>
          <w:szCs w:val="22"/>
          <w:lang w:val="en-GB"/>
        </w:rPr>
        <w:t xml:space="preserve">States </w:t>
      </w:r>
      <w:r>
        <w:rPr>
          <w:rFonts w:ascii="Arial" w:eastAsia="Arial" w:hAnsi="Arial" w:cs="Arial"/>
          <w:iCs/>
          <w:sz w:val="22"/>
          <w:szCs w:val="22"/>
          <w:lang w:val="en-GB"/>
        </w:rPr>
        <w:t>to</w:t>
      </w:r>
      <w:r w:rsidR="00ED3E9C">
        <w:rPr>
          <w:rFonts w:ascii="Arial" w:eastAsia="Arial" w:hAnsi="Arial" w:cs="Arial"/>
          <w:iCs/>
          <w:sz w:val="22"/>
          <w:szCs w:val="22"/>
          <w:lang w:val="en-GB"/>
        </w:rPr>
        <w:t xml:space="preserve"> clearly distinguish </w:t>
      </w:r>
      <w:r>
        <w:rPr>
          <w:rFonts w:ascii="Arial" w:eastAsia="Arial" w:hAnsi="Arial" w:cs="Arial"/>
          <w:iCs/>
          <w:sz w:val="22"/>
          <w:szCs w:val="22"/>
          <w:lang w:val="en-GB"/>
        </w:rPr>
        <w:t>sheltered workshops</w:t>
      </w:r>
      <w:r w:rsidR="00ED3E9C">
        <w:rPr>
          <w:rFonts w:ascii="Arial" w:eastAsia="Arial" w:hAnsi="Arial" w:cs="Arial"/>
          <w:iCs/>
          <w:sz w:val="22"/>
          <w:szCs w:val="22"/>
          <w:lang w:val="en-GB"/>
        </w:rPr>
        <w:t xml:space="preserve"> from</w:t>
      </w:r>
      <w:r>
        <w:rPr>
          <w:rFonts w:ascii="Arial" w:eastAsia="Arial" w:hAnsi="Arial" w:cs="Arial"/>
          <w:iCs/>
          <w:sz w:val="22"/>
          <w:szCs w:val="22"/>
          <w:lang w:val="en-GB"/>
        </w:rPr>
        <w:t xml:space="preserve"> </w:t>
      </w:r>
      <w:r w:rsidR="00ED3E9C">
        <w:rPr>
          <w:rFonts w:ascii="Arial" w:eastAsia="Arial" w:hAnsi="Arial" w:cs="Arial"/>
          <w:iCs/>
          <w:sz w:val="22"/>
          <w:szCs w:val="22"/>
          <w:lang w:val="en-GB"/>
        </w:rPr>
        <w:t xml:space="preserve">acceptable </w:t>
      </w:r>
      <w:r>
        <w:rPr>
          <w:rFonts w:ascii="Arial" w:eastAsia="Arial" w:hAnsi="Arial" w:cs="Arial"/>
          <w:iCs/>
          <w:sz w:val="22"/>
          <w:szCs w:val="22"/>
          <w:lang w:val="en-GB"/>
        </w:rPr>
        <w:t xml:space="preserve">cases of </w:t>
      </w:r>
      <w:r w:rsidR="00ED3E9C">
        <w:rPr>
          <w:rFonts w:ascii="Arial" w:eastAsia="Arial" w:hAnsi="Arial" w:cs="Arial"/>
          <w:iCs/>
          <w:sz w:val="22"/>
          <w:szCs w:val="22"/>
          <w:lang w:val="en-GB"/>
        </w:rPr>
        <w:t xml:space="preserve">self-organisation of persons with disabilities for economic activities through legal figures such as </w:t>
      </w:r>
      <w:r>
        <w:rPr>
          <w:rFonts w:ascii="Arial" w:eastAsia="Arial" w:hAnsi="Arial" w:cs="Arial"/>
          <w:iCs/>
          <w:sz w:val="22"/>
          <w:szCs w:val="22"/>
          <w:lang w:val="en-GB"/>
        </w:rPr>
        <w:t xml:space="preserve">cooperatives. Monitoring should be put in place to prevent that any legal framework </w:t>
      </w:r>
      <w:r w:rsidR="004B4C09">
        <w:rPr>
          <w:rFonts w:ascii="Arial" w:eastAsia="Arial" w:hAnsi="Arial" w:cs="Arial"/>
          <w:iCs/>
          <w:sz w:val="22"/>
          <w:szCs w:val="22"/>
          <w:lang w:val="en-GB"/>
        </w:rPr>
        <w:t>is</w:t>
      </w:r>
      <w:r>
        <w:rPr>
          <w:rFonts w:ascii="Arial" w:eastAsia="Arial" w:hAnsi="Arial" w:cs="Arial"/>
          <w:iCs/>
          <w:sz w:val="22"/>
          <w:szCs w:val="22"/>
          <w:lang w:val="en-GB"/>
        </w:rPr>
        <w:t xml:space="preserve"> misused and </w:t>
      </w:r>
      <w:r w:rsidR="00FC2D6A">
        <w:rPr>
          <w:rFonts w:ascii="Arial" w:eastAsia="Arial" w:hAnsi="Arial" w:cs="Arial"/>
          <w:iCs/>
          <w:sz w:val="22"/>
          <w:szCs w:val="22"/>
          <w:lang w:val="en-GB"/>
        </w:rPr>
        <w:t xml:space="preserve">to prevent </w:t>
      </w:r>
      <w:r>
        <w:rPr>
          <w:rFonts w:ascii="Arial" w:eastAsia="Arial" w:hAnsi="Arial" w:cs="Arial"/>
          <w:iCs/>
          <w:sz w:val="22"/>
          <w:szCs w:val="22"/>
          <w:lang w:val="en-GB"/>
        </w:rPr>
        <w:t>that organizations behind them undertake practices contrary to the CRPD.</w:t>
      </w:r>
    </w:p>
    <w:p w14:paraId="6C2DC476" w14:textId="7F0E9CF6" w:rsidR="00AF5221" w:rsidRPr="00521D4F" w:rsidRDefault="005F47FB" w:rsidP="00521D4F">
      <w:pPr>
        <w:tabs>
          <w:tab w:val="left" w:pos="284"/>
          <w:tab w:val="left" w:pos="426"/>
        </w:tabs>
        <w:spacing w:after="240"/>
        <w:jc w:val="both"/>
        <w:rPr>
          <w:rFonts w:ascii="Arial" w:eastAsia="Arial" w:hAnsi="Arial" w:cs="Arial"/>
          <w:sz w:val="22"/>
          <w:szCs w:val="22"/>
          <w:lang w:val="en-GB"/>
        </w:rPr>
      </w:pPr>
      <w:r>
        <w:rPr>
          <w:rFonts w:ascii="Arial" w:eastAsia="Arial" w:hAnsi="Arial" w:cs="Arial"/>
          <w:sz w:val="22"/>
          <w:szCs w:val="22"/>
          <w:lang w:val="en-GB"/>
        </w:rPr>
        <w:t>9</w:t>
      </w:r>
      <w:r w:rsidR="0080178F">
        <w:rPr>
          <w:rFonts w:ascii="Arial" w:eastAsia="Arial" w:hAnsi="Arial" w:cs="Arial"/>
          <w:sz w:val="22"/>
          <w:szCs w:val="22"/>
          <w:lang w:val="en-GB"/>
        </w:rPr>
        <w:t xml:space="preserve">. Call States to recognise and </w:t>
      </w:r>
      <w:r w:rsidR="0080178F" w:rsidRPr="0080178F">
        <w:rPr>
          <w:rFonts w:ascii="Arial" w:eastAsia="Arial" w:hAnsi="Arial" w:cs="Arial"/>
          <w:sz w:val="22"/>
          <w:szCs w:val="22"/>
          <w:lang w:val="en-GB"/>
        </w:rPr>
        <w:t>ensur</w:t>
      </w:r>
      <w:r w:rsidR="0080178F">
        <w:rPr>
          <w:rFonts w:ascii="Arial" w:eastAsia="Arial" w:hAnsi="Arial" w:cs="Arial"/>
          <w:sz w:val="22"/>
          <w:szCs w:val="22"/>
          <w:lang w:val="en-GB"/>
        </w:rPr>
        <w:t>e</w:t>
      </w:r>
      <w:r w:rsidR="0080178F" w:rsidRPr="0080178F">
        <w:rPr>
          <w:rFonts w:ascii="Arial" w:eastAsia="Arial" w:hAnsi="Arial" w:cs="Arial"/>
          <w:sz w:val="22"/>
          <w:szCs w:val="22"/>
          <w:lang w:val="en-GB"/>
        </w:rPr>
        <w:t xml:space="preserve"> the</w:t>
      </w:r>
      <w:r w:rsidR="0080178F">
        <w:rPr>
          <w:rFonts w:ascii="Arial" w:eastAsia="Arial" w:hAnsi="Arial" w:cs="Arial"/>
          <w:sz w:val="22"/>
          <w:szCs w:val="22"/>
          <w:lang w:val="en-GB"/>
        </w:rPr>
        <w:t xml:space="preserve"> right to</w:t>
      </w:r>
      <w:r w:rsidR="0080178F" w:rsidRPr="0080178F">
        <w:rPr>
          <w:rFonts w:ascii="Arial" w:eastAsia="Arial" w:hAnsi="Arial" w:cs="Arial"/>
          <w:sz w:val="22"/>
          <w:szCs w:val="22"/>
          <w:lang w:val="en-GB"/>
        </w:rPr>
        <w:t xml:space="preserve"> </w:t>
      </w:r>
      <w:r w:rsidR="0080178F">
        <w:rPr>
          <w:rFonts w:ascii="Arial" w:eastAsia="Arial" w:hAnsi="Arial" w:cs="Arial"/>
          <w:sz w:val="22"/>
          <w:szCs w:val="22"/>
          <w:lang w:val="en-GB"/>
        </w:rPr>
        <w:t xml:space="preserve">the provision </w:t>
      </w:r>
      <w:r w:rsidR="0080178F" w:rsidRPr="0080178F">
        <w:rPr>
          <w:rFonts w:ascii="Arial" w:eastAsia="Arial" w:hAnsi="Arial" w:cs="Arial"/>
          <w:sz w:val="22"/>
          <w:szCs w:val="22"/>
          <w:lang w:val="en-GB"/>
        </w:rPr>
        <w:t xml:space="preserve">reasonable accommodation to </w:t>
      </w:r>
      <w:r w:rsidR="0080178F">
        <w:rPr>
          <w:rFonts w:ascii="Arial" w:eastAsia="Arial" w:hAnsi="Arial" w:cs="Arial"/>
          <w:sz w:val="22"/>
          <w:szCs w:val="22"/>
          <w:lang w:val="en-GB"/>
        </w:rPr>
        <w:t>relatives (</w:t>
      </w:r>
      <w:r w:rsidR="0080178F" w:rsidRPr="0080178F">
        <w:rPr>
          <w:rFonts w:ascii="Arial" w:eastAsia="Arial" w:hAnsi="Arial" w:cs="Arial"/>
          <w:sz w:val="22"/>
          <w:szCs w:val="22"/>
          <w:lang w:val="en-GB"/>
        </w:rPr>
        <w:t>primary care givers</w:t>
      </w:r>
      <w:r w:rsidR="0080178F">
        <w:rPr>
          <w:rFonts w:ascii="Arial" w:eastAsia="Arial" w:hAnsi="Arial" w:cs="Arial"/>
          <w:sz w:val="22"/>
          <w:szCs w:val="22"/>
          <w:lang w:val="en-GB"/>
        </w:rPr>
        <w:t>)</w:t>
      </w:r>
      <w:r w:rsidR="0080178F" w:rsidRPr="0080178F">
        <w:rPr>
          <w:rFonts w:ascii="Arial" w:eastAsia="Arial" w:hAnsi="Arial" w:cs="Arial"/>
          <w:sz w:val="22"/>
          <w:szCs w:val="22"/>
          <w:lang w:val="en-GB"/>
        </w:rPr>
        <w:t xml:space="preserve"> of persons with disabilities in the exercise of their right to employment to prevent negative effects on their relatives with disabilities.</w:t>
      </w:r>
    </w:p>
    <w:p w14:paraId="47B2B4D6" w14:textId="77777777" w:rsidR="00521D4F" w:rsidRDefault="00521D4F">
      <w:pPr>
        <w:spacing w:line="276" w:lineRule="auto"/>
        <w:rPr>
          <w:rFonts w:ascii="Arial" w:hAnsi="Arial" w:cs="Arial"/>
          <w:b/>
          <w:bCs/>
        </w:rPr>
      </w:pPr>
      <w:r>
        <w:rPr>
          <w:rFonts w:ascii="Arial" w:hAnsi="Arial" w:cs="Arial"/>
          <w:b/>
          <w:bCs/>
        </w:rPr>
        <w:br w:type="page"/>
      </w:r>
    </w:p>
    <w:p w14:paraId="2AE4FBE9" w14:textId="3CA6024A" w:rsidR="00316FB5" w:rsidRDefault="0012272E" w:rsidP="004C3B4E">
      <w:pPr>
        <w:rPr>
          <w:rFonts w:ascii="Arial" w:hAnsi="Arial" w:cs="Arial"/>
          <w:b/>
          <w:bCs/>
        </w:rPr>
      </w:pPr>
      <w:r w:rsidRPr="00EE4B9E">
        <w:rPr>
          <w:rFonts w:ascii="Arial" w:hAnsi="Arial" w:cs="Arial"/>
          <w:b/>
          <w:bCs/>
        </w:rPr>
        <w:t>International Disability Alliance (IDA)</w:t>
      </w:r>
    </w:p>
    <w:p w14:paraId="289E5B92" w14:textId="77777777" w:rsidR="004C3B4E" w:rsidRPr="004C3B4E" w:rsidRDefault="004C3B4E" w:rsidP="004C3B4E">
      <w:pPr>
        <w:rPr>
          <w:rFonts w:ascii="Arial" w:hAnsi="Arial" w:cs="Arial"/>
          <w:b/>
          <w:bCs/>
        </w:rPr>
      </w:pPr>
    </w:p>
    <w:p w14:paraId="4B852040" w14:textId="23486204" w:rsidR="0012272E" w:rsidRPr="00EE4B9E" w:rsidRDefault="0012272E" w:rsidP="0085597C">
      <w:pPr>
        <w:tabs>
          <w:tab w:val="left" w:pos="426"/>
        </w:tabs>
        <w:spacing w:after="240"/>
        <w:jc w:val="both"/>
        <w:rPr>
          <w:rFonts w:ascii="Arial" w:hAnsi="Arial" w:cs="Arial"/>
        </w:rPr>
      </w:pPr>
      <w:r w:rsidRPr="00EE4B9E">
        <w:rPr>
          <w:rFonts w:ascii="Arial" w:hAnsi="Arial" w:cs="Arial"/>
        </w:rPr>
        <w:t xml:space="preserve">The International Disability Alliance (IDA) is a unique, international network of eight global and six regional organisations of persons with disabilities (OPDs). Each IDA member represents a large number of national OPDs, covering the whole range of disability constituencies. IDA thus represents the collective global voice of persons with disabilities counting among the more than 1 billion persons with disabilities worldwide, the world’s largest –and most frequently overlooked– minority group. IDA’s mission is to advance the human rights of persons with disabilities as a united voice of OPDs utilising the Convention on the Rights of Persons with Disabilities (CRPD) and other human rights instruments. </w:t>
      </w:r>
    </w:p>
    <w:p w14:paraId="4D330EFE" w14:textId="77777777" w:rsidR="00F32259" w:rsidRPr="00EE4B9E" w:rsidRDefault="00F32259" w:rsidP="0085597C">
      <w:pPr>
        <w:tabs>
          <w:tab w:val="left" w:pos="426"/>
        </w:tabs>
        <w:spacing w:after="240"/>
        <w:rPr>
          <w:rFonts w:ascii="Arial" w:hAnsi="Arial" w:cs="Arial"/>
        </w:rPr>
      </w:pPr>
      <w:r w:rsidRPr="00EE4B9E">
        <w:rPr>
          <w:rFonts w:ascii="Arial" w:hAnsi="Arial" w:cs="Arial"/>
        </w:rPr>
        <w:t xml:space="preserve">For further information, please contact: </w:t>
      </w:r>
      <w:hyperlink r:id="rId9" w:history="1">
        <w:r w:rsidRPr="00EE4B9E">
          <w:rPr>
            <w:rStyle w:val="Hyperlink"/>
            <w:rFonts w:ascii="Arial" w:hAnsi="Arial" w:cs="Arial"/>
          </w:rPr>
          <w:t>jiperezbello@ida-secretariat.org</w:t>
        </w:r>
      </w:hyperlink>
    </w:p>
    <w:p w14:paraId="3AD2F4A6" w14:textId="77777777" w:rsidR="00F32259" w:rsidRPr="00EE4B9E" w:rsidRDefault="00F32259" w:rsidP="0085597C">
      <w:pPr>
        <w:tabs>
          <w:tab w:val="left" w:pos="426"/>
        </w:tabs>
        <w:spacing w:after="240"/>
        <w:jc w:val="both"/>
        <w:rPr>
          <w:rFonts w:ascii="Arial" w:hAnsi="Arial" w:cs="Arial"/>
        </w:rPr>
      </w:pPr>
      <w:r w:rsidRPr="00EE4B9E">
        <w:rPr>
          <w:rFonts w:ascii="Arial" w:hAnsi="Arial" w:cs="Arial"/>
        </w:rPr>
        <w:t>International Disability Alliance</w:t>
      </w:r>
    </w:p>
    <w:p w14:paraId="4A005DFE" w14:textId="77777777" w:rsidR="00F32259" w:rsidRPr="00EE4B9E" w:rsidRDefault="00F32259" w:rsidP="0085597C">
      <w:pPr>
        <w:tabs>
          <w:tab w:val="left" w:pos="426"/>
        </w:tabs>
        <w:spacing w:after="240"/>
        <w:jc w:val="both"/>
        <w:rPr>
          <w:rFonts w:ascii="Arial" w:hAnsi="Arial" w:cs="Arial"/>
        </w:rPr>
      </w:pPr>
      <w:r w:rsidRPr="00EE4B9E">
        <w:rPr>
          <w:rFonts w:ascii="Arial" w:hAnsi="Arial" w:cs="Arial"/>
        </w:rPr>
        <w:t>150 Route de Ferney</w:t>
      </w:r>
    </w:p>
    <w:p w14:paraId="0B22C360" w14:textId="77777777" w:rsidR="00F32259" w:rsidRPr="00EE4B9E" w:rsidRDefault="00F32259" w:rsidP="0085597C">
      <w:pPr>
        <w:tabs>
          <w:tab w:val="left" w:pos="426"/>
        </w:tabs>
        <w:spacing w:after="240"/>
        <w:jc w:val="both"/>
        <w:rPr>
          <w:rFonts w:ascii="Arial" w:hAnsi="Arial" w:cs="Arial"/>
        </w:rPr>
      </w:pPr>
      <w:r w:rsidRPr="00EE4B9E">
        <w:rPr>
          <w:rFonts w:ascii="Arial" w:hAnsi="Arial" w:cs="Arial"/>
        </w:rPr>
        <w:t>CH-1211 Genève 2</w:t>
      </w:r>
    </w:p>
    <w:p w14:paraId="4FADF525" w14:textId="77777777" w:rsidR="00F32259" w:rsidRPr="00EE4B9E" w:rsidRDefault="00182DC9" w:rsidP="0085597C">
      <w:pPr>
        <w:tabs>
          <w:tab w:val="left" w:pos="426"/>
        </w:tabs>
        <w:spacing w:after="240"/>
        <w:jc w:val="both"/>
        <w:rPr>
          <w:rFonts w:ascii="Arial" w:hAnsi="Arial" w:cs="Arial"/>
        </w:rPr>
      </w:pPr>
      <w:hyperlink r:id="rId10" w:history="1">
        <w:r w:rsidR="00F32259" w:rsidRPr="00EE4B9E">
          <w:rPr>
            <w:rStyle w:val="Hyperlink"/>
            <w:rFonts w:ascii="Arial" w:hAnsi="Arial" w:cs="Arial"/>
          </w:rPr>
          <w:t>www.internationaldisabilityalliance.org</w:t>
        </w:r>
      </w:hyperlink>
    </w:p>
    <w:p w14:paraId="5FA259EA" w14:textId="77777777" w:rsidR="00F32259" w:rsidRPr="00EE4B9E" w:rsidRDefault="00F32259" w:rsidP="0085597C">
      <w:pPr>
        <w:tabs>
          <w:tab w:val="left" w:pos="426"/>
        </w:tabs>
        <w:spacing w:after="240"/>
        <w:jc w:val="both"/>
        <w:rPr>
          <w:rFonts w:ascii="Arial" w:hAnsi="Arial" w:cs="Arial"/>
        </w:rPr>
      </w:pPr>
    </w:p>
    <w:p w14:paraId="72605F2A" w14:textId="77777777" w:rsidR="00B422DD" w:rsidRPr="00EE4B9E" w:rsidRDefault="00B422DD" w:rsidP="0085597C">
      <w:pPr>
        <w:tabs>
          <w:tab w:val="left" w:pos="426"/>
        </w:tabs>
        <w:spacing w:after="240"/>
        <w:rPr>
          <w:rFonts w:ascii="Arial" w:hAnsi="Arial" w:cs="Arial"/>
        </w:rPr>
      </w:pPr>
    </w:p>
    <w:p w14:paraId="762FC371" w14:textId="12E437D4" w:rsidR="000A3C97" w:rsidRPr="00316FB5" w:rsidRDefault="000A3C97" w:rsidP="0085597C">
      <w:pPr>
        <w:tabs>
          <w:tab w:val="left" w:pos="426"/>
        </w:tabs>
        <w:spacing w:after="240"/>
        <w:rPr>
          <w:rFonts w:ascii="Arial" w:hAnsi="Arial" w:cs="Arial"/>
          <w:lang w:val="es-ES"/>
        </w:rPr>
      </w:pPr>
      <w:r w:rsidRPr="00EE4B9E">
        <w:rPr>
          <w:rFonts w:ascii="Arial" w:hAnsi="Arial" w:cs="Arial"/>
        </w:rPr>
        <w:br w:type="page"/>
      </w:r>
      <w:r w:rsidR="00316FB5">
        <w:rPr>
          <w:rFonts w:ascii="Arial" w:hAnsi="Arial" w:cs="Arial"/>
          <w:lang w:val="es-ES"/>
        </w:rPr>
        <w:t>References:</w:t>
      </w:r>
    </w:p>
    <w:sectPr w:rsidR="000A3C97" w:rsidRPr="00316FB5" w:rsidSect="00A34806">
      <w:footerReference w:type="even" r:id="rId11"/>
      <w:footerReference w:type="default" r:id="rId12"/>
      <w:endnotePr>
        <w:numFmt w:val="decimal"/>
      </w:endnotePr>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B07E" w14:textId="77777777" w:rsidR="005979C6" w:rsidRDefault="005979C6" w:rsidP="00A34806">
      <w:r>
        <w:separator/>
      </w:r>
    </w:p>
  </w:endnote>
  <w:endnote w:type="continuationSeparator" w:id="0">
    <w:p w14:paraId="3658F30D" w14:textId="77777777" w:rsidR="005979C6" w:rsidRDefault="005979C6" w:rsidP="00A34806">
      <w:r>
        <w:continuationSeparator/>
      </w:r>
    </w:p>
  </w:endnote>
  <w:endnote w:id="1">
    <w:p w14:paraId="5AB45502" w14:textId="6A60DE0E" w:rsidR="00F15A42" w:rsidRDefault="00F15A42" w:rsidP="005A6F71">
      <w:pPr>
        <w:pStyle w:val="EndnoteText"/>
        <w:jc w:val="both"/>
        <w:rPr>
          <w:sz w:val="18"/>
          <w:szCs w:val="18"/>
          <w:lang w:val="en-US"/>
        </w:rPr>
      </w:pPr>
      <w:r w:rsidRPr="005A6F71">
        <w:rPr>
          <w:rStyle w:val="EndnoteReference"/>
          <w:sz w:val="18"/>
          <w:szCs w:val="18"/>
        </w:rPr>
        <w:endnoteRef/>
      </w:r>
      <w:r w:rsidRPr="005A6F71">
        <w:rPr>
          <w:sz w:val="18"/>
          <w:szCs w:val="18"/>
        </w:rPr>
        <w:t xml:space="preserve"> </w:t>
      </w:r>
      <w:r w:rsidRPr="005A6F71">
        <w:rPr>
          <w:sz w:val="18"/>
          <w:szCs w:val="18"/>
          <w:lang w:val="en-US"/>
        </w:rPr>
        <w:t xml:space="preserve">See </w:t>
      </w:r>
      <w:r w:rsidRPr="005A6F71">
        <w:rPr>
          <w:sz w:val="18"/>
          <w:szCs w:val="18"/>
        </w:rPr>
        <w:t xml:space="preserve">IDA´s submission for the Day of General Discussion on Article 27 of the CRPD (Work and Employment), </w:t>
      </w:r>
      <w:r w:rsidRPr="00A24990">
        <w:rPr>
          <w:sz w:val="18"/>
          <w:szCs w:val="18"/>
        </w:rPr>
        <w:t>March 2021</w:t>
      </w:r>
      <w:r w:rsidRPr="005A6F71">
        <w:rPr>
          <w:sz w:val="18"/>
          <w:szCs w:val="18"/>
        </w:rPr>
        <w:t>, Section II: “</w:t>
      </w:r>
      <w:bookmarkStart w:id="4" w:name="_Toc66452311"/>
      <w:r w:rsidRPr="005A6F71">
        <w:rPr>
          <w:sz w:val="18"/>
          <w:szCs w:val="18"/>
          <w:lang/>
        </w:rPr>
        <w:t>Overview on the employment of persons with disabilities: Exclusion from employment due to existing barriers</w:t>
      </w:r>
      <w:bookmarkEnd w:id="4"/>
      <w:r w:rsidRPr="005A6F71">
        <w:rPr>
          <w:sz w:val="18"/>
          <w:szCs w:val="18"/>
          <w:lang w:val="en-US"/>
        </w:rPr>
        <w:t>”</w:t>
      </w:r>
    </w:p>
    <w:p w14:paraId="2133BC38" w14:textId="77777777" w:rsidR="00F15A42" w:rsidRPr="005A6F71" w:rsidRDefault="00F15A42" w:rsidP="005A6F71">
      <w:pPr>
        <w:pStyle w:val="EndnoteText"/>
        <w:jc w:val="both"/>
        <w:rPr>
          <w:sz w:val="18"/>
          <w:szCs w:val="18"/>
          <w:lang w:val="en-US"/>
        </w:rPr>
      </w:pPr>
    </w:p>
  </w:endnote>
  <w:endnote w:id="2">
    <w:p w14:paraId="5E445F33" w14:textId="6EF0CFFF" w:rsidR="00F15A42" w:rsidRDefault="00F15A42">
      <w:pPr>
        <w:pStyle w:val="EndnoteText"/>
        <w:rPr>
          <w:lang/>
        </w:rPr>
      </w:pPr>
      <w:r>
        <w:rPr>
          <w:rStyle w:val="EndnoteReference"/>
        </w:rPr>
        <w:endnoteRef/>
      </w:r>
      <w:r>
        <w:t xml:space="preserve"> </w:t>
      </w:r>
      <w:r w:rsidRPr="00F15A42">
        <w:rPr>
          <w:lang/>
        </w:rPr>
        <w:t xml:space="preserve">The draft was released on 9 November 2021 with the deadline for responses by the 6 December 2021, </w:t>
      </w:r>
      <w:r w:rsidRPr="00F15A42">
        <w:rPr>
          <w:b/>
          <w:bCs/>
          <w:lang/>
        </w:rPr>
        <w:t>a four-week timeframe</w:t>
      </w:r>
      <w:r w:rsidRPr="00F15A42">
        <w:rPr>
          <w:lang/>
        </w:rPr>
        <w:t>.</w:t>
      </w:r>
    </w:p>
    <w:p w14:paraId="27686113" w14:textId="77777777" w:rsidR="00F15A42" w:rsidRPr="00F15A42" w:rsidRDefault="00F15A42">
      <w:pPr>
        <w:pStyle w:val="EndnoteText"/>
      </w:pPr>
    </w:p>
  </w:endnote>
  <w:endnote w:id="3">
    <w:p w14:paraId="6A4C636F" w14:textId="75F057CE" w:rsidR="00F15A42" w:rsidRDefault="00F15A42" w:rsidP="005A6F71">
      <w:pPr>
        <w:pStyle w:val="EndnoteText"/>
        <w:jc w:val="both"/>
        <w:rPr>
          <w:sz w:val="18"/>
          <w:szCs w:val="18"/>
          <w:lang/>
        </w:rPr>
      </w:pPr>
      <w:r w:rsidRPr="005A6F71">
        <w:rPr>
          <w:rStyle w:val="EndnoteReference"/>
          <w:sz w:val="18"/>
          <w:szCs w:val="18"/>
        </w:rPr>
        <w:endnoteRef/>
      </w:r>
      <w:r w:rsidRPr="005A6F71">
        <w:rPr>
          <w:sz w:val="18"/>
          <w:szCs w:val="18"/>
        </w:rPr>
        <w:t xml:space="preserve"> </w:t>
      </w:r>
      <w:r w:rsidRPr="005A6F71">
        <w:rPr>
          <w:sz w:val="18"/>
          <w:szCs w:val="18"/>
          <w:lang/>
        </w:rPr>
        <w:t>There is no reference to it on the CRPD Committee methods of work</w:t>
      </w:r>
      <w:r w:rsidRPr="005A6F71">
        <w:rPr>
          <w:sz w:val="18"/>
          <w:szCs w:val="18"/>
          <w:lang w:val="en-US"/>
        </w:rPr>
        <w:t>.</w:t>
      </w:r>
      <w:r w:rsidRPr="005A6F71">
        <w:rPr>
          <w:sz w:val="18"/>
          <w:szCs w:val="18"/>
          <w:lang/>
        </w:rPr>
        <w:t xml:space="preserve"> </w:t>
      </w:r>
      <w:r w:rsidRPr="005A6F71">
        <w:rPr>
          <w:sz w:val="18"/>
          <w:szCs w:val="18"/>
          <w:lang w:val="en-US"/>
        </w:rPr>
        <w:t>In May 2015, the Treaty Bodies Chairpersons meeting consider the a note on</w:t>
      </w:r>
      <w:r w:rsidRPr="00CD14F8">
        <w:rPr>
          <w:sz w:val="18"/>
          <w:szCs w:val="18"/>
          <w:lang/>
        </w:rPr>
        <w:t> </w:t>
      </w:r>
      <w:hyperlink r:id="rId1" w:tgtFrame="_blank" w:history="1">
        <w:r w:rsidRPr="005A6F71">
          <w:rPr>
            <w:rStyle w:val="Hyperlink"/>
            <w:sz w:val="18"/>
            <w:szCs w:val="18"/>
            <w:lang/>
          </w:rPr>
          <w:t>Consultation process for the elaboration of treaty body general comments</w:t>
        </w:r>
      </w:hyperlink>
      <w:r w:rsidRPr="005A6F71">
        <w:rPr>
          <w:sz w:val="18"/>
          <w:szCs w:val="18"/>
        </w:rPr>
        <w:t xml:space="preserve">, which included no reference to a determined timeframe </w:t>
      </w:r>
      <w:r w:rsidRPr="00CD14F8">
        <w:rPr>
          <w:sz w:val="18"/>
          <w:szCs w:val="18"/>
          <w:lang/>
        </w:rPr>
        <w:t xml:space="preserve">(para. 12 could have done it but it </w:t>
      </w:r>
      <w:r w:rsidRPr="005A6F71">
        <w:rPr>
          <w:sz w:val="18"/>
          <w:szCs w:val="18"/>
          <w:lang w:val="en-US"/>
        </w:rPr>
        <w:t>did</w:t>
      </w:r>
      <w:r w:rsidRPr="00CD14F8">
        <w:rPr>
          <w:sz w:val="18"/>
          <w:szCs w:val="18"/>
          <w:lang/>
        </w:rPr>
        <w:t xml:space="preserve"> not). </w:t>
      </w:r>
    </w:p>
    <w:p w14:paraId="206572C6" w14:textId="77777777" w:rsidR="00F15A42" w:rsidRPr="005A6F71" w:rsidRDefault="00F15A42" w:rsidP="005A6F71">
      <w:pPr>
        <w:pStyle w:val="EndnoteText"/>
        <w:jc w:val="both"/>
        <w:rPr>
          <w:color w:val="0000FF" w:themeColor="hyperlink"/>
          <w:sz w:val="18"/>
          <w:szCs w:val="18"/>
          <w:u w:val="single"/>
          <w:lang w:val="en-US"/>
        </w:rPr>
      </w:pPr>
    </w:p>
  </w:endnote>
  <w:endnote w:id="4">
    <w:p w14:paraId="25A90AD6" w14:textId="79FF40F7" w:rsidR="00F15A42" w:rsidRPr="005A6F71" w:rsidRDefault="00F15A42" w:rsidP="005A6F71">
      <w:pPr>
        <w:pStyle w:val="EndnoteText"/>
        <w:jc w:val="both"/>
        <w:rPr>
          <w:sz w:val="18"/>
          <w:szCs w:val="18"/>
          <w:lang w:val="en-US"/>
        </w:rPr>
      </w:pPr>
      <w:r w:rsidRPr="005A6F71">
        <w:rPr>
          <w:rStyle w:val="EndnoteReference"/>
          <w:sz w:val="18"/>
          <w:szCs w:val="18"/>
        </w:rPr>
        <w:endnoteRef/>
      </w:r>
      <w:r w:rsidRPr="005A6F71">
        <w:rPr>
          <w:sz w:val="18"/>
          <w:szCs w:val="18"/>
        </w:rPr>
        <w:t xml:space="preserve"> </w:t>
      </w:r>
      <w:r w:rsidRPr="005A6F71">
        <w:rPr>
          <w:sz w:val="18"/>
          <w:szCs w:val="18"/>
          <w:lang w:val="en-US"/>
        </w:rPr>
        <w:t xml:space="preserve">See </w:t>
      </w:r>
      <w:r w:rsidRPr="005A6F71">
        <w:rPr>
          <w:sz w:val="18"/>
          <w:szCs w:val="18"/>
          <w:lang/>
        </w:rPr>
        <w:t>Audit of the activities, performance and results of staff support provided to the human rights treaty body system by the Office of the United Nations High Commissioner for Human Rights</w:t>
      </w:r>
      <w:r w:rsidRPr="005A6F71">
        <w:rPr>
          <w:sz w:val="18"/>
          <w:szCs w:val="18"/>
          <w:lang w:val="en-US"/>
        </w:rPr>
        <w:t xml:space="preserve">, </w:t>
      </w:r>
      <w:r w:rsidRPr="005A6F71">
        <w:rPr>
          <w:sz w:val="18"/>
          <w:szCs w:val="18"/>
          <w:lang/>
        </w:rPr>
        <w:t>Report of the Office of Internal Oversight Services</w:t>
      </w:r>
      <w:r w:rsidRPr="005A6F71">
        <w:rPr>
          <w:sz w:val="18"/>
          <w:szCs w:val="18"/>
          <w:lang w:val="en-US"/>
        </w:rPr>
        <w:t xml:space="preserve">, </w:t>
      </w:r>
      <w:r w:rsidRPr="005A6F71">
        <w:rPr>
          <w:sz w:val="18"/>
          <w:szCs w:val="18"/>
          <w:lang/>
        </w:rPr>
        <w:t>A/76/197</w:t>
      </w:r>
      <w:r w:rsidRPr="005A6F71">
        <w:rPr>
          <w:sz w:val="18"/>
          <w:szCs w:val="18"/>
          <w:lang w:val="en-US"/>
        </w:rPr>
        <w:t>, August 17, 2021.</w:t>
      </w:r>
    </w:p>
  </w:endnote>
  <w:endnote w:id="5">
    <w:p w14:paraId="05AE6356" w14:textId="4A0B667A" w:rsidR="00F15A42" w:rsidRPr="00314635" w:rsidRDefault="00F15A42" w:rsidP="00D113BE">
      <w:pPr>
        <w:pStyle w:val="EndnoteText"/>
        <w:spacing w:after="120"/>
        <w:jc w:val="both"/>
      </w:pPr>
      <w:r w:rsidRPr="00314635">
        <w:rPr>
          <w:rStyle w:val="EndnoteReference"/>
        </w:rPr>
        <w:endnoteRef/>
      </w:r>
      <w:r w:rsidRPr="00314635">
        <w:t xml:space="preserve"> Some trade unions have been pioneers in their efforts to include some workers with disabilities and their concerns. See ILO (2017), </w:t>
      </w:r>
      <w:r w:rsidRPr="00314635">
        <w:rPr>
          <w:i/>
          <w:iCs/>
        </w:rPr>
        <w:t xml:space="preserve">Trade Union action on Disability and Decent Work: A Global Overview </w:t>
      </w:r>
      <w:r w:rsidRPr="00314635">
        <w:t xml:space="preserve"> </w:t>
      </w:r>
    </w:p>
  </w:endnote>
  <w:endnote w:id="6">
    <w:p w14:paraId="556A8A2F" w14:textId="61E99083" w:rsidR="00F15A42" w:rsidRPr="00314635" w:rsidRDefault="00F15A42" w:rsidP="00D113BE">
      <w:pPr>
        <w:pStyle w:val="EndnoteText"/>
        <w:spacing w:after="120"/>
        <w:jc w:val="both"/>
      </w:pPr>
      <w:r w:rsidRPr="00314635">
        <w:rPr>
          <w:rStyle w:val="EndnoteReference"/>
        </w:rPr>
        <w:endnoteRef/>
      </w:r>
      <w:r w:rsidRPr="00314635">
        <w:rPr>
          <w:lang w:val="en-US"/>
        </w:rPr>
        <w:t xml:space="preserve"> IDA also notes and appreciates references to consultation in para. 48 on affirmative actions, para. 63 on obligation to protect, para. 73 on employment strategy, 101(g)(II) around sheltered workshops, 101(h)(II) on capacity building and awareness raising, all of which remain specific to their sections.</w:t>
      </w:r>
    </w:p>
  </w:endnote>
  <w:endnote w:id="7">
    <w:p w14:paraId="2C92F8F1" w14:textId="489D9BC9" w:rsidR="00F15A42" w:rsidRPr="008C3F0A" w:rsidRDefault="00F15A42" w:rsidP="00D113BE">
      <w:pPr>
        <w:pStyle w:val="EndnoteText"/>
        <w:spacing w:after="120"/>
        <w:jc w:val="both"/>
        <w:rPr>
          <w:lang w:val="en-US"/>
        </w:rPr>
      </w:pPr>
      <w:r w:rsidRPr="00314635">
        <w:rPr>
          <w:rStyle w:val="EndnoteReference"/>
        </w:rPr>
        <w:endnoteRef/>
      </w:r>
      <w:r w:rsidRPr="00314635">
        <w:rPr>
          <w:lang w:val="en-US"/>
        </w:rPr>
        <w:t xml:space="preserve"> </w:t>
      </w:r>
      <w:r w:rsidRPr="00314635">
        <w:rPr>
          <w:i/>
          <w:iCs/>
        </w:rPr>
        <w:t>Report of the Special Rapporteur on the rights of persons with disabilities</w:t>
      </w:r>
      <w:r w:rsidRPr="00314635">
        <w:t xml:space="preserve"> (17 December 2019). </w:t>
      </w:r>
      <w:r w:rsidRPr="008C3F0A">
        <w:rPr>
          <w:lang w:val="en-US"/>
        </w:rPr>
        <w:t xml:space="preserve">A.HRC/43/41. </w:t>
      </w:r>
      <w:hyperlink r:id="rId2" w:history="1">
        <w:r w:rsidRPr="008C3F0A">
          <w:rPr>
            <w:rStyle w:val="Hyperlink"/>
            <w:lang w:val="en-US"/>
          </w:rPr>
          <w:t>https://undocs.org/en/A/HRC/43/41</w:t>
        </w:r>
      </w:hyperlink>
    </w:p>
  </w:endnote>
  <w:endnote w:id="8">
    <w:p w14:paraId="5442C70E" w14:textId="4A3AB0CE" w:rsidR="00F15A42" w:rsidRPr="00314635" w:rsidRDefault="00F15A42" w:rsidP="00D113BE">
      <w:pPr>
        <w:pStyle w:val="EndnoteText"/>
        <w:spacing w:after="120"/>
        <w:jc w:val="both"/>
        <w:rPr>
          <w:lang w:val="en-US"/>
        </w:rPr>
      </w:pPr>
      <w:r w:rsidRPr="00314635">
        <w:rPr>
          <w:rStyle w:val="EndnoteReference"/>
        </w:rPr>
        <w:endnoteRef/>
      </w:r>
      <w:r w:rsidRPr="00314635">
        <w:rPr>
          <w:lang w:val="en-US"/>
        </w:rPr>
        <w:t xml:space="preserve"> For now, the only employment related references are brief and by the end of the paragraph have to do with “</w:t>
      </w:r>
      <w:r w:rsidRPr="00314635">
        <w:rPr>
          <w:lang/>
        </w:rPr>
        <w:t>segregated employment</w:t>
      </w:r>
      <w:r w:rsidRPr="00314635">
        <w:rPr>
          <w:lang w:val="en-US"/>
        </w:rPr>
        <w:t>”</w:t>
      </w:r>
      <w:r w:rsidRPr="00314635">
        <w:rPr>
          <w:lang/>
        </w:rPr>
        <w:t>,</w:t>
      </w:r>
      <w:r w:rsidRPr="00314635">
        <w:rPr>
          <w:lang w:val="en-US"/>
        </w:rPr>
        <w:t xml:space="preserve"> “</w:t>
      </w:r>
      <w:r w:rsidRPr="00314635">
        <w:rPr>
          <w:lang/>
        </w:rPr>
        <w:t>sheltered workshops</w:t>
      </w:r>
      <w:r w:rsidRPr="00314635">
        <w:rPr>
          <w:lang w:val="en-US"/>
        </w:rPr>
        <w:t>,”</w:t>
      </w:r>
      <w:r w:rsidRPr="00314635">
        <w:rPr>
          <w:lang/>
        </w:rPr>
        <w:t xml:space="preserve"> </w:t>
      </w:r>
      <w:r w:rsidRPr="00314635">
        <w:rPr>
          <w:lang w:val="en-US"/>
        </w:rPr>
        <w:t>and</w:t>
      </w:r>
      <w:r w:rsidRPr="00314635">
        <w:rPr>
          <w:lang/>
        </w:rPr>
        <w:t xml:space="preserve"> </w:t>
      </w:r>
      <w:r w:rsidRPr="00314635">
        <w:rPr>
          <w:lang w:val="en-US"/>
        </w:rPr>
        <w:t>“i</w:t>
      </w:r>
      <w:r w:rsidRPr="00314635">
        <w:rPr>
          <w:lang/>
        </w:rPr>
        <w:t>nvoluntary participation in the informal economy</w:t>
      </w:r>
      <w:r w:rsidRPr="00314635">
        <w:rPr>
          <w:lang w:val="en-US"/>
        </w:rPr>
        <w:t>,” as consequences of ableism.</w:t>
      </w:r>
    </w:p>
  </w:endnote>
  <w:endnote w:id="9">
    <w:p w14:paraId="72385E52" w14:textId="2EBA1D30" w:rsidR="00F15A42" w:rsidRPr="00314635" w:rsidRDefault="00F15A42" w:rsidP="00D113BE">
      <w:pPr>
        <w:pStyle w:val="EndnoteText"/>
        <w:spacing w:after="120"/>
        <w:jc w:val="both"/>
        <w:rPr>
          <w:lang w:val="en-US"/>
        </w:rPr>
      </w:pPr>
      <w:r w:rsidRPr="00314635">
        <w:rPr>
          <w:rStyle w:val="EndnoteReference"/>
        </w:rPr>
        <w:endnoteRef/>
      </w:r>
      <w:r w:rsidRPr="00314635">
        <w:rPr>
          <w:lang w:val="en-US"/>
        </w:rPr>
        <w:t xml:space="preserve"> Some elements do suggest consideration of the diversity, but it remains indirect. For instance, the examples provided in paras. 22 on reasonable accommodations actually related to the different constituencies among persons with disabilities.</w:t>
      </w:r>
    </w:p>
  </w:endnote>
  <w:endnote w:id="10">
    <w:p w14:paraId="33D1AEC9" w14:textId="02E643B1" w:rsidR="00F15A42" w:rsidRPr="008C3F0A" w:rsidRDefault="00F15A42" w:rsidP="00D113BE">
      <w:pPr>
        <w:pStyle w:val="EndnoteText"/>
        <w:spacing w:after="120"/>
        <w:jc w:val="both"/>
        <w:rPr>
          <w:lang w:val="en-US"/>
        </w:rPr>
      </w:pPr>
      <w:r w:rsidRPr="00314635">
        <w:rPr>
          <w:rStyle w:val="EndnoteReference"/>
        </w:rPr>
        <w:endnoteRef/>
      </w:r>
      <w:r w:rsidRPr="00314635">
        <w:rPr>
          <w:lang w:val="en-US"/>
        </w:rPr>
        <w:t xml:space="preserve"> CRPD Committee, general comment no. 7, para. </w:t>
      </w:r>
      <w:r w:rsidRPr="008C3F0A">
        <w:rPr>
          <w:lang w:val="en-US"/>
        </w:rPr>
        <w:t>12(d).</w:t>
      </w:r>
    </w:p>
  </w:endnote>
  <w:endnote w:id="11">
    <w:p w14:paraId="10C5D223" w14:textId="3E894719" w:rsidR="00F15A42" w:rsidRPr="00314635" w:rsidRDefault="00F15A42" w:rsidP="00D113BE">
      <w:pPr>
        <w:pStyle w:val="EndnoteText"/>
        <w:spacing w:after="120"/>
        <w:jc w:val="both"/>
        <w:rPr>
          <w:lang w:val="en-US"/>
        </w:rPr>
      </w:pPr>
      <w:r w:rsidRPr="00314635">
        <w:rPr>
          <w:rStyle w:val="EndnoteReference"/>
        </w:rPr>
        <w:endnoteRef/>
      </w:r>
      <w:r w:rsidRPr="00314635">
        <w:rPr>
          <w:lang w:val="en-US"/>
        </w:rPr>
        <w:t xml:space="preserve"> Ensuring reasonable accommodation in the area employment to relatives of persons with disabilities </w:t>
      </w:r>
      <w:r w:rsidRPr="00D113BE">
        <w:rPr>
          <w:lang w:val="en-US"/>
        </w:rPr>
        <w:t>(see section H below)</w:t>
      </w:r>
      <w:r w:rsidRPr="00314635">
        <w:rPr>
          <w:lang w:val="en-US"/>
        </w:rPr>
        <w:t xml:space="preserve"> could be used as a means of supporting those relatives in this supportive and empowering role. </w:t>
      </w:r>
    </w:p>
  </w:endnote>
  <w:endnote w:id="12">
    <w:p w14:paraId="056A5305" w14:textId="77777777" w:rsidR="00F15A42" w:rsidRPr="008C3F0A" w:rsidRDefault="00F15A42" w:rsidP="00D113BE">
      <w:pPr>
        <w:pStyle w:val="EndnoteText"/>
        <w:spacing w:after="120"/>
        <w:jc w:val="both"/>
        <w:rPr>
          <w:lang w:val="en-US"/>
        </w:rPr>
      </w:pPr>
      <w:r w:rsidRPr="00314635">
        <w:rPr>
          <w:rStyle w:val="EndnoteReference"/>
        </w:rPr>
        <w:endnoteRef/>
      </w:r>
      <w:r w:rsidRPr="00314635">
        <w:rPr>
          <w:lang w:val="es-ES"/>
        </w:rPr>
        <w:t xml:space="preserve"> </w:t>
      </w:r>
      <w:hyperlink r:id="rId3" w:history="1">
        <w:r w:rsidRPr="00314635">
          <w:rPr>
            <w:rStyle w:val="Hyperlink"/>
            <w:lang w:val="es-ES"/>
          </w:rPr>
          <w:t>CRPD/C/JOR/CO/1</w:t>
        </w:r>
      </w:hyperlink>
      <w:r w:rsidRPr="00314635">
        <w:rPr>
          <w:lang w:val="es-ES"/>
        </w:rPr>
        <w:t xml:space="preserve">, para. </w:t>
      </w:r>
      <w:r w:rsidRPr="008C3F0A">
        <w:rPr>
          <w:lang w:val="en-US"/>
        </w:rPr>
        <w:t>50(a).</w:t>
      </w:r>
    </w:p>
  </w:endnote>
  <w:endnote w:id="13">
    <w:p w14:paraId="5AFFAC93" w14:textId="77777777" w:rsidR="00F15A42" w:rsidRPr="00314635" w:rsidRDefault="00F15A42" w:rsidP="00D113BE">
      <w:pPr>
        <w:pStyle w:val="EndnoteText"/>
        <w:spacing w:after="120"/>
        <w:jc w:val="both"/>
      </w:pPr>
      <w:r w:rsidRPr="00314635">
        <w:rPr>
          <w:rStyle w:val="EndnoteReference"/>
        </w:rPr>
        <w:endnoteRef/>
      </w:r>
      <w:r w:rsidRPr="008C3F0A">
        <w:rPr>
          <w:lang w:val="en-US"/>
        </w:rPr>
        <w:t xml:space="preserve"> </w:t>
      </w:r>
      <w:hyperlink r:id="rId4" w:history="1">
        <w:r w:rsidRPr="008C3F0A">
          <w:rPr>
            <w:rStyle w:val="Hyperlink"/>
            <w:lang w:val="en-US"/>
          </w:rPr>
          <w:t>CRPD/C/MLT/CO/1</w:t>
        </w:r>
      </w:hyperlink>
      <w:r w:rsidRPr="008C3F0A">
        <w:rPr>
          <w:lang w:val="en-US"/>
        </w:rPr>
        <w:t xml:space="preserve">, para. </w:t>
      </w:r>
      <w:r w:rsidRPr="00314635">
        <w:t xml:space="preserve">40(c).     </w:t>
      </w:r>
    </w:p>
  </w:endnote>
  <w:endnote w:id="14">
    <w:p w14:paraId="1D8C615D" w14:textId="77777777" w:rsidR="00F15A42" w:rsidRPr="00314635" w:rsidRDefault="00F15A42" w:rsidP="00D113BE">
      <w:pPr>
        <w:pStyle w:val="EndnoteText"/>
        <w:spacing w:after="120"/>
        <w:jc w:val="both"/>
      </w:pPr>
      <w:r w:rsidRPr="00314635">
        <w:rPr>
          <w:rStyle w:val="EndnoteReference"/>
        </w:rPr>
        <w:endnoteRef/>
      </w:r>
      <w:r w:rsidRPr="00314635">
        <w:t xml:space="preserve"> ILO defines the essential functions of the job as “the fundamental job duties or requirements of a particular job, [which] cannot be eliminated or substantially modified without changing the nature of the job.” See ILO. (2016). </w:t>
      </w:r>
      <w:r w:rsidRPr="00314635">
        <w:rPr>
          <w:i/>
          <w:iCs/>
        </w:rPr>
        <w:t>Promoting diversity and inclusion through workplace adjustments. A practical guide</w:t>
      </w:r>
      <w:r w:rsidRPr="00314635">
        <w:t xml:space="preserve"> </w:t>
      </w:r>
    </w:p>
  </w:endnote>
  <w:endnote w:id="15">
    <w:p w14:paraId="2D7FFE15" w14:textId="77777777" w:rsidR="00F15A42" w:rsidRPr="00314635" w:rsidRDefault="00F15A42" w:rsidP="00D113BE">
      <w:pPr>
        <w:pStyle w:val="EndnoteText"/>
        <w:spacing w:after="120"/>
        <w:jc w:val="both"/>
      </w:pPr>
      <w:r w:rsidRPr="00314635">
        <w:rPr>
          <w:rStyle w:val="EndnoteReference"/>
        </w:rPr>
        <w:endnoteRef/>
      </w:r>
      <w:r w:rsidRPr="00314635">
        <w:t xml:space="preserve"> See OHCHR, SDG-CRPD Resource Package, SDG 8 (2020). Decent Work and Economic Growth, p. 40.</w:t>
      </w:r>
    </w:p>
  </w:endnote>
  <w:endnote w:id="16">
    <w:p w14:paraId="2243488B" w14:textId="77777777" w:rsidR="00F15A42" w:rsidRPr="00314635" w:rsidRDefault="00F15A42" w:rsidP="00D113BE">
      <w:pPr>
        <w:pStyle w:val="EndnoteText"/>
        <w:spacing w:after="120"/>
        <w:jc w:val="both"/>
      </w:pPr>
      <w:r w:rsidRPr="00314635">
        <w:rPr>
          <w:rStyle w:val="EndnoteReference"/>
        </w:rPr>
        <w:endnoteRef/>
      </w:r>
      <w:r w:rsidRPr="00314635">
        <w:t xml:space="preserve"> See OHCHR, SDG-CRPD Resource Package, SDG 8(2020).  Decent Work and Economic Growth, p. 39.</w:t>
      </w:r>
    </w:p>
  </w:endnote>
  <w:endnote w:id="17">
    <w:p w14:paraId="46ADEBBF" w14:textId="562BB5A9" w:rsidR="00F15A42" w:rsidRPr="00314635" w:rsidRDefault="00F15A42" w:rsidP="00D113BE">
      <w:pPr>
        <w:pStyle w:val="EndnoteText"/>
        <w:spacing w:after="120"/>
        <w:rPr>
          <w:lang w:val="en-US"/>
        </w:rPr>
      </w:pPr>
      <w:r w:rsidRPr="00314635">
        <w:rPr>
          <w:rStyle w:val="EndnoteReference"/>
        </w:rPr>
        <w:endnoteRef/>
      </w:r>
      <w:r w:rsidRPr="00314635">
        <w:rPr>
          <w:lang w:val="en-US"/>
        </w:rPr>
        <w:t xml:space="preserve"> This proposed approach is similar tot he one employed by the CRPD Committee to describe the conceptual interaction between “reasonable accommodation” and “accessibility”, since general comemtn 2 on article 9 of the CRPD</w:t>
      </w:r>
    </w:p>
  </w:endnote>
  <w:endnote w:id="18">
    <w:p w14:paraId="0A5B7CBC" w14:textId="77777777" w:rsidR="00F15A42" w:rsidRPr="00314635" w:rsidRDefault="00F15A42" w:rsidP="00D113BE">
      <w:pPr>
        <w:pStyle w:val="EndnoteText"/>
        <w:spacing w:after="120"/>
        <w:jc w:val="both"/>
      </w:pPr>
      <w:r w:rsidRPr="00314635">
        <w:rPr>
          <w:rStyle w:val="EndnoteReference"/>
        </w:rPr>
        <w:endnoteRef/>
      </w:r>
      <w:r w:rsidRPr="00314635">
        <w:t xml:space="preserve"> ILO (2019). </w:t>
      </w:r>
      <w:r w:rsidRPr="00314635">
        <w:rPr>
          <w:i/>
          <w:iCs/>
        </w:rPr>
        <w:t>Promoting Employment Opportunities for People with Disabilities: Quota Schemes</w:t>
      </w:r>
      <w:r w:rsidRPr="00314635">
        <w:t xml:space="preserve">, Vol. 2 </w:t>
      </w:r>
    </w:p>
  </w:endnote>
  <w:endnote w:id="19">
    <w:p w14:paraId="510B3C81" w14:textId="77777777" w:rsidR="00F15A42" w:rsidRPr="005A6F71" w:rsidRDefault="00F15A42" w:rsidP="00B60F5B">
      <w:pPr>
        <w:pStyle w:val="EndnoteText"/>
        <w:jc w:val="both"/>
        <w:rPr>
          <w:sz w:val="18"/>
          <w:szCs w:val="18"/>
        </w:rPr>
      </w:pPr>
      <w:r w:rsidRPr="005A6F71">
        <w:rPr>
          <w:rStyle w:val="EndnoteReference"/>
          <w:sz w:val="18"/>
          <w:szCs w:val="18"/>
        </w:rPr>
        <w:endnoteRef/>
      </w:r>
      <w:r w:rsidRPr="005A6F71">
        <w:rPr>
          <w:sz w:val="18"/>
          <w:szCs w:val="18"/>
        </w:rPr>
        <w:t xml:space="preserve"> See IDA´s submission for the Day of General Discussion on Article 27 of the CRPD (Work and Employment). </w:t>
      </w:r>
      <w:r w:rsidRPr="00466B6D">
        <w:rPr>
          <w:sz w:val="18"/>
          <w:szCs w:val="18"/>
        </w:rPr>
        <w:t>March 2021</w:t>
      </w:r>
      <w:r w:rsidRPr="005A6F71">
        <w:rPr>
          <w:sz w:val="18"/>
          <w:szCs w:val="18"/>
        </w:rPr>
        <w:t>, section IV-D “Discrimination to employees associated with persons with disabilities: reasonable accommodation by association to prevent negative impacts on the rights of persons with disabilities.”</w:t>
      </w:r>
    </w:p>
    <w:p w14:paraId="371CFEF9" w14:textId="77777777" w:rsidR="00F15A42" w:rsidRPr="005A6F71" w:rsidRDefault="00F15A42" w:rsidP="00B60F5B">
      <w:pPr>
        <w:pStyle w:val="EndnoteText"/>
        <w:jc w:val="both"/>
        <w:rPr>
          <w:sz w:val="18"/>
          <w:szCs w:val="18"/>
        </w:rPr>
      </w:pPr>
    </w:p>
  </w:endnote>
  <w:endnote w:id="20">
    <w:p w14:paraId="079B9A03" w14:textId="77777777" w:rsidR="002C35F3" w:rsidRPr="00314635" w:rsidRDefault="002C35F3" w:rsidP="00D113BE">
      <w:pPr>
        <w:pStyle w:val="EndnoteText"/>
        <w:spacing w:after="120"/>
        <w:jc w:val="both"/>
        <w:rPr>
          <w:lang w:val="en-US"/>
        </w:rPr>
      </w:pPr>
      <w:r w:rsidRPr="00314635">
        <w:rPr>
          <w:rStyle w:val="EndnoteReference"/>
        </w:rPr>
        <w:endnoteRef/>
      </w:r>
      <w:r w:rsidRPr="00314635">
        <w:rPr>
          <w:lang w:val="es-ES"/>
        </w:rPr>
        <w:t xml:space="preserve"> </w:t>
      </w:r>
      <w:hyperlink r:id="rId5" w:history="1">
        <w:r w:rsidRPr="00314635">
          <w:rPr>
            <w:rStyle w:val="Hyperlink"/>
            <w:bCs/>
            <w:lang w:val="es-ES"/>
          </w:rPr>
          <w:t>CRPD/C/EU/CO/1</w:t>
        </w:r>
      </w:hyperlink>
      <w:r w:rsidRPr="00314635">
        <w:rPr>
          <w:lang w:val="es-ES"/>
        </w:rPr>
        <w:t xml:space="preserve">, para. </w:t>
      </w:r>
      <w:r w:rsidRPr="00314635">
        <w:rPr>
          <w:lang w:val="en-US"/>
        </w:rPr>
        <w:t>79. (Under Article 5 of the CRPD).</w:t>
      </w:r>
    </w:p>
  </w:endnote>
  <w:endnote w:id="21">
    <w:p w14:paraId="77700E86" w14:textId="77777777" w:rsidR="002C35F3" w:rsidRPr="00314635" w:rsidRDefault="002C35F3" w:rsidP="00D113BE">
      <w:pPr>
        <w:pStyle w:val="EndnoteText"/>
        <w:spacing w:after="120"/>
        <w:jc w:val="both"/>
      </w:pPr>
      <w:r w:rsidRPr="00314635">
        <w:rPr>
          <w:rStyle w:val="EndnoteReference"/>
        </w:rPr>
        <w:endnoteRef/>
      </w:r>
      <w:r w:rsidRPr="00314635">
        <w:t xml:space="preserve"> </w:t>
      </w:r>
      <w:hyperlink r:id="rId6">
        <w:r w:rsidRPr="00314635">
          <w:rPr>
            <w:rStyle w:val="Hyperlink"/>
          </w:rPr>
          <w:t>A/HRC/34/26</w:t>
        </w:r>
      </w:hyperlink>
      <w:r w:rsidRPr="00314635">
        <w:t>, para. 25. The case cited by OHCHR in footnote 19 of its Thematic Study pertains to the Californian</w:t>
      </w:r>
      <w:hyperlink r:id="rId7">
        <w:r w:rsidRPr="00314635">
          <w:rPr>
            <w:rStyle w:val="Hyperlink"/>
            <w:i/>
          </w:rPr>
          <w:t xml:space="preserve"> </w:t>
        </w:r>
      </w:hyperlink>
      <w:hyperlink r:id="rId8">
        <w:r w:rsidRPr="00314635">
          <w:rPr>
            <w:rStyle w:val="Hyperlink"/>
            <w:i/>
          </w:rPr>
          <w:t>Fair Employment and Housing Act</w:t>
        </w:r>
      </w:hyperlink>
      <w:r w:rsidRPr="00314635">
        <w:t xml:space="preserve"> (Government Code, Title 2, Division 3, Part 2.8), which by then included the duty to provide reasonable accommodation, and in which the concept of disability includes associates to persons with disabilities (§ 12926, subd. (o))</w:t>
      </w:r>
    </w:p>
  </w:endnote>
  <w:endnote w:id="22">
    <w:p w14:paraId="20EA15AE" w14:textId="77777777" w:rsidR="002C35F3" w:rsidRPr="00314635" w:rsidRDefault="002C35F3" w:rsidP="00D113BE">
      <w:pPr>
        <w:pStyle w:val="EndnoteText"/>
        <w:spacing w:after="120"/>
        <w:jc w:val="both"/>
      </w:pPr>
      <w:r w:rsidRPr="00314635">
        <w:rPr>
          <w:rStyle w:val="EndnoteReference"/>
        </w:rPr>
        <w:endnoteRef/>
      </w:r>
      <w:r w:rsidRPr="00314635">
        <w:t xml:space="preserve"> (not only “parents with children with disabilities” as mentioned in the outline).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238319"/>
      <w:docPartObj>
        <w:docPartGallery w:val="Page Numbers (Bottom of Page)"/>
        <w:docPartUnique/>
      </w:docPartObj>
    </w:sdtPr>
    <w:sdtEndPr>
      <w:rPr>
        <w:rStyle w:val="PageNumber"/>
      </w:rPr>
    </w:sdtEndPr>
    <w:sdtContent>
      <w:p w14:paraId="451C18EA" w14:textId="77777777" w:rsidR="00094EB3" w:rsidRDefault="00094EB3" w:rsidP="00CE01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49775" w14:textId="77777777" w:rsidR="00094EB3" w:rsidRDefault="00094EB3" w:rsidP="00094EB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15996442"/>
      <w:docPartObj>
        <w:docPartGallery w:val="Page Numbers (Bottom of Page)"/>
        <w:docPartUnique/>
      </w:docPartObj>
    </w:sdtPr>
    <w:sdtEndPr>
      <w:rPr>
        <w:rStyle w:val="PageNumber"/>
      </w:rPr>
    </w:sdtEndPr>
    <w:sdtContent>
      <w:p w14:paraId="1E3ABEE0" w14:textId="368295EF" w:rsidR="00094EB3" w:rsidRDefault="00094EB3" w:rsidP="00CE01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2DC9">
          <w:rPr>
            <w:rStyle w:val="PageNumber"/>
            <w:noProof/>
          </w:rPr>
          <w:t>3</w:t>
        </w:r>
        <w:r>
          <w:rPr>
            <w:rStyle w:val="PageNumber"/>
          </w:rPr>
          <w:fldChar w:fldCharType="end"/>
        </w:r>
      </w:p>
    </w:sdtContent>
  </w:sdt>
  <w:p w14:paraId="4EB95318" w14:textId="77777777" w:rsidR="00094EB3" w:rsidRDefault="00094EB3" w:rsidP="00094EB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AE166" w14:textId="77777777" w:rsidR="005979C6" w:rsidRDefault="005979C6" w:rsidP="00A34806">
      <w:r>
        <w:separator/>
      </w:r>
    </w:p>
  </w:footnote>
  <w:footnote w:type="continuationSeparator" w:id="0">
    <w:p w14:paraId="25EF08E5" w14:textId="77777777" w:rsidR="005979C6" w:rsidRDefault="005979C6" w:rsidP="00A348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766A"/>
    <w:multiLevelType w:val="hybridMultilevel"/>
    <w:tmpl w:val="194AA74E"/>
    <w:lvl w:ilvl="0" w:tplc="05D66448">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0959BA"/>
    <w:multiLevelType w:val="hybridMultilevel"/>
    <w:tmpl w:val="F870A178"/>
    <w:lvl w:ilvl="0" w:tplc="1C08CCAA">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E501A3"/>
    <w:multiLevelType w:val="hybridMultilevel"/>
    <w:tmpl w:val="9788BA24"/>
    <w:lvl w:ilvl="0" w:tplc="62AAADA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7U0NDA1MjIxNDJT0lEKTi0uzszPAykwrgUAeAmJWCwAAAA="/>
  </w:docVars>
  <w:rsids>
    <w:rsidRoot w:val="00B422DD"/>
    <w:rsid w:val="000023DD"/>
    <w:rsid w:val="0000576D"/>
    <w:rsid w:val="0000601D"/>
    <w:rsid w:val="0001119B"/>
    <w:rsid w:val="00011E4E"/>
    <w:rsid w:val="000123D1"/>
    <w:rsid w:val="00012DB2"/>
    <w:rsid w:val="00017A94"/>
    <w:rsid w:val="000208EC"/>
    <w:rsid w:val="000209E1"/>
    <w:rsid w:val="0002396F"/>
    <w:rsid w:val="00026B03"/>
    <w:rsid w:val="00027263"/>
    <w:rsid w:val="00027F14"/>
    <w:rsid w:val="00030C7A"/>
    <w:rsid w:val="00033522"/>
    <w:rsid w:val="00034B9D"/>
    <w:rsid w:val="00036791"/>
    <w:rsid w:val="000367A4"/>
    <w:rsid w:val="00036883"/>
    <w:rsid w:val="0004095B"/>
    <w:rsid w:val="00040BBA"/>
    <w:rsid w:val="00046772"/>
    <w:rsid w:val="00046C2A"/>
    <w:rsid w:val="00047873"/>
    <w:rsid w:val="00054285"/>
    <w:rsid w:val="00054849"/>
    <w:rsid w:val="000554B0"/>
    <w:rsid w:val="00056740"/>
    <w:rsid w:val="000568B6"/>
    <w:rsid w:val="0006104D"/>
    <w:rsid w:val="000619C4"/>
    <w:rsid w:val="00067F8A"/>
    <w:rsid w:val="000708B3"/>
    <w:rsid w:val="0007473C"/>
    <w:rsid w:val="00077C00"/>
    <w:rsid w:val="00080098"/>
    <w:rsid w:val="00082559"/>
    <w:rsid w:val="000838C7"/>
    <w:rsid w:val="0008409F"/>
    <w:rsid w:val="0008522E"/>
    <w:rsid w:val="00085AA0"/>
    <w:rsid w:val="000872BF"/>
    <w:rsid w:val="0009042B"/>
    <w:rsid w:val="00094EB3"/>
    <w:rsid w:val="000A02A2"/>
    <w:rsid w:val="000A16DD"/>
    <w:rsid w:val="000A229C"/>
    <w:rsid w:val="000A26AA"/>
    <w:rsid w:val="000A3C97"/>
    <w:rsid w:val="000A54EC"/>
    <w:rsid w:val="000A571B"/>
    <w:rsid w:val="000A605D"/>
    <w:rsid w:val="000B2065"/>
    <w:rsid w:val="000B2544"/>
    <w:rsid w:val="000B33AF"/>
    <w:rsid w:val="000B4C46"/>
    <w:rsid w:val="000B78F6"/>
    <w:rsid w:val="000C7C84"/>
    <w:rsid w:val="000D064E"/>
    <w:rsid w:val="000D10BF"/>
    <w:rsid w:val="000D2E3D"/>
    <w:rsid w:val="000D4B46"/>
    <w:rsid w:val="000D4D03"/>
    <w:rsid w:val="000D5444"/>
    <w:rsid w:val="000D5928"/>
    <w:rsid w:val="000D6B37"/>
    <w:rsid w:val="000D74B8"/>
    <w:rsid w:val="000E16DE"/>
    <w:rsid w:val="000E2180"/>
    <w:rsid w:val="000E25BD"/>
    <w:rsid w:val="000E4C70"/>
    <w:rsid w:val="000F024A"/>
    <w:rsid w:val="000F1D42"/>
    <w:rsid w:val="000F32CE"/>
    <w:rsid w:val="000F494F"/>
    <w:rsid w:val="000F49ED"/>
    <w:rsid w:val="000F56F5"/>
    <w:rsid w:val="000F5B60"/>
    <w:rsid w:val="000F66E8"/>
    <w:rsid w:val="000F6FD5"/>
    <w:rsid w:val="000F73A2"/>
    <w:rsid w:val="000F7B96"/>
    <w:rsid w:val="00100901"/>
    <w:rsid w:val="001017A0"/>
    <w:rsid w:val="0010266D"/>
    <w:rsid w:val="001028FD"/>
    <w:rsid w:val="00103D41"/>
    <w:rsid w:val="00104B40"/>
    <w:rsid w:val="001050A9"/>
    <w:rsid w:val="001100C7"/>
    <w:rsid w:val="00112D6B"/>
    <w:rsid w:val="00113FE3"/>
    <w:rsid w:val="001153DD"/>
    <w:rsid w:val="00120A08"/>
    <w:rsid w:val="001218EA"/>
    <w:rsid w:val="0012272E"/>
    <w:rsid w:val="0012301F"/>
    <w:rsid w:val="00124017"/>
    <w:rsid w:val="001247F3"/>
    <w:rsid w:val="00127311"/>
    <w:rsid w:val="001301B5"/>
    <w:rsid w:val="00131598"/>
    <w:rsid w:val="001315ED"/>
    <w:rsid w:val="001356BE"/>
    <w:rsid w:val="00137BFC"/>
    <w:rsid w:val="001417AB"/>
    <w:rsid w:val="0014246F"/>
    <w:rsid w:val="0014262D"/>
    <w:rsid w:val="00142FC1"/>
    <w:rsid w:val="0014341B"/>
    <w:rsid w:val="00145C3C"/>
    <w:rsid w:val="00145E73"/>
    <w:rsid w:val="0016088E"/>
    <w:rsid w:val="00161838"/>
    <w:rsid w:val="00161AA4"/>
    <w:rsid w:val="00164189"/>
    <w:rsid w:val="00166301"/>
    <w:rsid w:val="0016652C"/>
    <w:rsid w:val="0017137F"/>
    <w:rsid w:val="00171E71"/>
    <w:rsid w:val="00172C02"/>
    <w:rsid w:val="0017335C"/>
    <w:rsid w:val="00173361"/>
    <w:rsid w:val="00173AEC"/>
    <w:rsid w:val="0017413F"/>
    <w:rsid w:val="00174EAA"/>
    <w:rsid w:val="00174ECF"/>
    <w:rsid w:val="00176002"/>
    <w:rsid w:val="00176810"/>
    <w:rsid w:val="00177A41"/>
    <w:rsid w:val="00181575"/>
    <w:rsid w:val="00182A47"/>
    <w:rsid w:val="00182DC9"/>
    <w:rsid w:val="0018333D"/>
    <w:rsid w:val="0018356A"/>
    <w:rsid w:val="00185C21"/>
    <w:rsid w:val="001912DF"/>
    <w:rsid w:val="00195370"/>
    <w:rsid w:val="001960BB"/>
    <w:rsid w:val="001A06AE"/>
    <w:rsid w:val="001A26F7"/>
    <w:rsid w:val="001A2DD5"/>
    <w:rsid w:val="001A35C2"/>
    <w:rsid w:val="001A3D34"/>
    <w:rsid w:val="001A4561"/>
    <w:rsid w:val="001A562C"/>
    <w:rsid w:val="001B1F3A"/>
    <w:rsid w:val="001B2FEA"/>
    <w:rsid w:val="001B3CDF"/>
    <w:rsid w:val="001B3EDB"/>
    <w:rsid w:val="001B4670"/>
    <w:rsid w:val="001B4F26"/>
    <w:rsid w:val="001B555D"/>
    <w:rsid w:val="001B584A"/>
    <w:rsid w:val="001B6231"/>
    <w:rsid w:val="001C6947"/>
    <w:rsid w:val="001D29E2"/>
    <w:rsid w:val="001D5C23"/>
    <w:rsid w:val="001D63FE"/>
    <w:rsid w:val="001E0402"/>
    <w:rsid w:val="001E0EAE"/>
    <w:rsid w:val="001E2889"/>
    <w:rsid w:val="001E402B"/>
    <w:rsid w:val="001E4503"/>
    <w:rsid w:val="001E480F"/>
    <w:rsid w:val="001E6F48"/>
    <w:rsid w:val="001E7A70"/>
    <w:rsid w:val="001F02DA"/>
    <w:rsid w:val="001F2798"/>
    <w:rsid w:val="001F2F9D"/>
    <w:rsid w:val="001F4DB1"/>
    <w:rsid w:val="001F623C"/>
    <w:rsid w:val="001F63B9"/>
    <w:rsid w:val="001F754D"/>
    <w:rsid w:val="00201644"/>
    <w:rsid w:val="00201D57"/>
    <w:rsid w:val="00202F72"/>
    <w:rsid w:val="00203329"/>
    <w:rsid w:val="002045E7"/>
    <w:rsid w:val="00205438"/>
    <w:rsid w:val="00206332"/>
    <w:rsid w:val="0020672D"/>
    <w:rsid w:val="00206F4C"/>
    <w:rsid w:val="00211019"/>
    <w:rsid w:val="00212FCF"/>
    <w:rsid w:val="00213B51"/>
    <w:rsid w:val="00214D68"/>
    <w:rsid w:val="00215BF9"/>
    <w:rsid w:val="00217313"/>
    <w:rsid w:val="00217751"/>
    <w:rsid w:val="002232E0"/>
    <w:rsid w:val="00223B0E"/>
    <w:rsid w:val="002246C4"/>
    <w:rsid w:val="00224769"/>
    <w:rsid w:val="002248D1"/>
    <w:rsid w:val="00225177"/>
    <w:rsid w:val="00226C27"/>
    <w:rsid w:val="0022797C"/>
    <w:rsid w:val="00230D91"/>
    <w:rsid w:val="002314E6"/>
    <w:rsid w:val="00232084"/>
    <w:rsid w:val="0023348F"/>
    <w:rsid w:val="002348A0"/>
    <w:rsid w:val="00234FD4"/>
    <w:rsid w:val="00235A54"/>
    <w:rsid w:val="00235CC7"/>
    <w:rsid w:val="00240792"/>
    <w:rsid w:val="00240DF5"/>
    <w:rsid w:val="00242C61"/>
    <w:rsid w:val="00242F3B"/>
    <w:rsid w:val="00243FFF"/>
    <w:rsid w:val="002442D0"/>
    <w:rsid w:val="002450AD"/>
    <w:rsid w:val="00245755"/>
    <w:rsid w:val="00247F7B"/>
    <w:rsid w:val="002515B3"/>
    <w:rsid w:val="00254F37"/>
    <w:rsid w:val="00257044"/>
    <w:rsid w:val="00257A2B"/>
    <w:rsid w:val="00260E96"/>
    <w:rsid w:val="00263D2F"/>
    <w:rsid w:val="00267240"/>
    <w:rsid w:val="00267D02"/>
    <w:rsid w:val="0027435D"/>
    <w:rsid w:val="002748A4"/>
    <w:rsid w:val="00274A51"/>
    <w:rsid w:val="00275141"/>
    <w:rsid w:val="00281ECB"/>
    <w:rsid w:val="00283DD1"/>
    <w:rsid w:val="002903FD"/>
    <w:rsid w:val="002908B3"/>
    <w:rsid w:val="00290F7F"/>
    <w:rsid w:val="00291659"/>
    <w:rsid w:val="00293313"/>
    <w:rsid w:val="002937C5"/>
    <w:rsid w:val="00294569"/>
    <w:rsid w:val="00296BCC"/>
    <w:rsid w:val="002A051A"/>
    <w:rsid w:val="002A2CE3"/>
    <w:rsid w:val="002A3325"/>
    <w:rsid w:val="002A3CAC"/>
    <w:rsid w:val="002A598A"/>
    <w:rsid w:val="002A5F17"/>
    <w:rsid w:val="002B073E"/>
    <w:rsid w:val="002B0B91"/>
    <w:rsid w:val="002B0F8E"/>
    <w:rsid w:val="002B0FE2"/>
    <w:rsid w:val="002B10AB"/>
    <w:rsid w:val="002B23A3"/>
    <w:rsid w:val="002B3276"/>
    <w:rsid w:val="002B33FC"/>
    <w:rsid w:val="002B4303"/>
    <w:rsid w:val="002B503F"/>
    <w:rsid w:val="002B732F"/>
    <w:rsid w:val="002B7A4D"/>
    <w:rsid w:val="002B7B84"/>
    <w:rsid w:val="002C00B7"/>
    <w:rsid w:val="002C0CEB"/>
    <w:rsid w:val="002C12A5"/>
    <w:rsid w:val="002C35F3"/>
    <w:rsid w:val="002C38D1"/>
    <w:rsid w:val="002C3D91"/>
    <w:rsid w:val="002C418E"/>
    <w:rsid w:val="002C4A53"/>
    <w:rsid w:val="002C53BC"/>
    <w:rsid w:val="002D0E22"/>
    <w:rsid w:val="002D4590"/>
    <w:rsid w:val="002D4D51"/>
    <w:rsid w:val="002D4DC9"/>
    <w:rsid w:val="002D6657"/>
    <w:rsid w:val="002E1630"/>
    <w:rsid w:val="002E2D23"/>
    <w:rsid w:val="002E2DE4"/>
    <w:rsid w:val="002E3A46"/>
    <w:rsid w:val="002E5A61"/>
    <w:rsid w:val="002E63D3"/>
    <w:rsid w:val="002E6540"/>
    <w:rsid w:val="002E7729"/>
    <w:rsid w:val="002F276A"/>
    <w:rsid w:val="002F2B7E"/>
    <w:rsid w:val="002F3342"/>
    <w:rsid w:val="002F3868"/>
    <w:rsid w:val="002F7345"/>
    <w:rsid w:val="003006DF"/>
    <w:rsid w:val="003010F1"/>
    <w:rsid w:val="00306F68"/>
    <w:rsid w:val="00310174"/>
    <w:rsid w:val="00310805"/>
    <w:rsid w:val="003119D4"/>
    <w:rsid w:val="00314635"/>
    <w:rsid w:val="0031463A"/>
    <w:rsid w:val="00315214"/>
    <w:rsid w:val="00315296"/>
    <w:rsid w:val="00315E37"/>
    <w:rsid w:val="00316FB5"/>
    <w:rsid w:val="00320185"/>
    <w:rsid w:val="0032044F"/>
    <w:rsid w:val="003222A4"/>
    <w:rsid w:val="003223A7"/>
    <w:rsid w:val="003230D7"/>
    <w:rsid w:val="003238C3"/>
    <w:rsid w:val="00323A87"/>
    <w:rsid w:val="003248C4"/>
    <w:rsid w:val="00324A83"/>
    <w:rsid w:val="00326E8B"/>
    <w:rsid w:val="0032712C"/>
    <w:rsid w:val="003303D6"/>
    <w:rsid w:val="00331797"/>
    <w:rsid w:val="00331A71"/>
    <w:rsid w:val="00331D53"/>
    <w:rsid w:val="003322AC"/>
    <w:rsid w:val="00332C6A"/>
    <w:rsid w:val="0033326F"/>
    <w:rsid w:val="00333C0E"/>
    <w:rsid w:val="00336600"/>
    <w:rsid w:val="00336670"/>
    <w:rsid w:val="0033681C"/>
    <w:rsid w:val="00341D21"/>
    <w:rsid w:val="00342F2C"/>
    <w:rsid w:val="00344E9C"/>
    <w:rsid w:val="0034680E"/>
    <w:rsid w:val="003519AA"/>
    <w:rsid w:val="00352E79"/>
    <w:rsid w:val="003565B5"/>
    <w:rsid w:val="00357C94"/>
    <w:rsid w:val="00360335"/>
    <w:rsid w:val="00360A4B"/>
    <w:rsid w:val="003624CA"/>
    <w:rsid w:val="0036396E"/>
    <w:rsid w:val="00363E00"/>
    <w:rsid w:val="00364049"/>
    <w:rsid w:val="00364D16"/>
    <w:rsid w:val="00366414"/>
    <w:rsid w:val="00367B47"/>
    <w:rsid w:val="00371041"/>
    <w:rsid w:val="00372D51"/>
    <w:rsid w:val="00372E88"/>
    <w:rsid w:val="0037308E"/>
    <w:rsid w:val="003738BF"/>
    <w:rsid w:val="00373B1D"/>
    <w:rsid w:val="0037491B"/>
    <w:rsid w:val="00374C98"/>
    <w:rsid w:val="00374DB3"/>
    <w:rsid w:val="00375DBB"/>
    <w:rsid w:val="00377D47"/>
    <w:rsid w:val="00380A2F"/>
    <w:rsid w:val="003862E5"/>
    <w:rsid w:val="003917DC"/>
    <w:rsid w:val="00393644"/>
    <w:rsid w:val="003937C9"/>
    <w:rsid w:val="00393BDA"/>
    <w:rsid w:val="003945C5"/>
    <w:rsid w:val="00394F07"/>
    <w:rsid w:val="003960D4"/>
    <w:rsid w:val="0039653E"/>
    <w:rsid w:val="00396BFE"/>
    <w:rsid w:val="003A0178"/>
    <w:rsid w:val="003A33C7"/>
    <w:rsid w:val="003A396D"/>
    <w:rsid w:val="003A5A9E"/>
    <w:rsid w:val="003A5B5B"/>
    <w:rsid w:val="003A5FD1"/>
    <w:rsid w:val="003A70B7"/>
    <w:rsid w:val="003B0CD1"/>
    <w:rsid w:val="003B1660"/>
    <w:rsid w:val="003B16F8"/>
    <w:rsid w:val="003B23D5"/>
    <w:rsid w:val="003B2A20"/>
    <w:rsid w:val="003B2F60"/>
    <w:rsid w:val="003B4FDE"/>
    <w:rsid w:val="003B7F20"/>
    <w:rsid w:val="003C0096"/>
    <w:rsid w:val="003C2EF3"/>
    <w:rsid w:val="003C4E8F"/>
    <w:rsid w:val="003C614D"/>
    <w:rsid w:val="003C675E"/>
    <w:rsid w:val="003C6D7C"/>
    <w:rsid w:val="003C7389"/>
    <w:rsid w:val="003D221C"/>
    <w:rsid w:val="003D25FD"/>
    <w:rsid w:val="003D29D7"/>
    <w:rsid w:val="003D4B09"/>
    <w:rsid w:val="003D5E39"/>
    <w:rsid w:val="003E05D9"/>
    <w:rsid w:val="003E131B"/>
    <w:rsid w:val="003E240B"/>
    <w:rsid w:val="003E3445"/>
    <w:rsid w:val="003E69B0"/>
    <w:rsid w:val="003E7F9E"/>
    <w:rsid w:val="003F0BD4"/>
    <w:rsid w:val="003F23A3"/>
    <w:rsid w:val="003F2EEB"/>
    <w:rsid w:val="00400456"/>
    <w:rsid w:val="00401BB1"/>
    <w:rsid w:val="00402DE4"/>
    <w:rsid w:val="00403641"/>
    <w:rsid w:val="00405464"/>
    <w:rsid w:val="00405FAC"/>
    <w:rsid w:val="00410D97"/>
    <w:rsid w:val="00412337"/>
    <w:rsid w:val="0041297E"/>
    <w:rsid w:val="004135E9"/>
    <w:rsid w:val="004141FC"/>
    <w:rsid w:val="004200FE"/>
    <w:rsid w:val="004210CF"/>
    <w:rsid w:val="004215A9"/>
    <w:rsid w:val="00421AB8"/>
    <w:rsid w:val="00422893"/>
    <w:rsid w:val="00423678"/>
    <w:rsid w:val="00425097"/>
    <w:rsid w:val="004250C7"/>
    <w:rsid w:val="00425637"/>
    <w:rsid w:val="00425B19"/>
    <w:rsid w:val="00426435"/>
    <w:rsid w:val="0043146D"/>
    <w:rsid w:val="00431F71"/>
    <w:rsid w:val="00436382"/>
    <w:rsid w:val="004424AC"/>
    <w:rsid w:val="004434E3"/>
    <w:rsid w:val="00446C52"/>
    <w:rsid w:val="0045017A"/>
    <w:rsid w:val="00451411"/>
    <w:rsid w:val="00456CD4"/>
    <w:rsid w:val="00461502"/>
    <w:rsid w:val="00466AB8"/>
    <w:rsid w:val="00466B6D"/>
    <w:rsid w:val="00472461"/>
    <w:rsid w:val="0047247F"/>
    <w:rsid w:val="0047357A"/>
    <w:rsid w:val="00474470"/>
    <w:rsid w:val="00474B44"/>
    <w:rsid w:val="004765B4"/>
    <w:rsid w:val="00481B09"/>
    <w:rsid w:val="004820B0"/>
    <w:rsid w:val="00482E7F"/>
    <w:rsid w:val="00490622"/>
    <w:rsid w:val="00491209"/>
    <w:rsid w:val="004919D2"/>
    <w:rsid w:val="00492A85"/>
    <w:rsid w:val="00493200"/>
    <w:rsid w:val="0049610C"/>
    <w:rsid w:val="00497964"/>
    <w:rsid w:val="004A0939"/>
    <w:rsid w:val="004A3378"/>
    <w:rsid w:val="004A44BE"/>
    <w:rsid w:val="004A4D5D"/>
    <w:rsid w:val="004A5260"/>
    <w:rsid w:val="004A567A"/>
    <w:rsid w:val="004A5D23"/>
    <w:rsid w:val="004A5F42"/>
    <w:rsid w:val="004A6CAA"/>
    <w:rsid w:val="004A7EED"/>
    <w:rsid w:val="004B12E3"/>
    <w:rsid w:val="004B22B9"/>
    <w:rsid w:val="004B4B9F"/>
    <w:rsid w:val="004B4C09"/>
    <w:rsid w:val="004B5A4B"/>
    <w:rsid w:val="004B5B72"/>
    <w:rsid w:val="004B650D"/>
    <w:rsid w:val="004B6C5F"/>
    <w:rsid w:val="004C0421"/>
    <w:rsid w:val="004C0F21"/>
    <w:rsid w:val="004C1F18"/>
    <w:rsid w:val="004C3B4E"/>
    <w:rsid w:val="004C6182"/>
    <w:rsid w:val="004C67D5"/>
    <w:rsid w:val="004C6F1E"/>
    <w:rsid w:val="004C6F6D"/>
    <w:rsid w:val="004D12A0"/>
    <w:rsid w:val="004D42D2"/>
    <w:rsid w:val="004D4DD2"/>
    <w:rsid w:val="004D6837"/>
    <w:rsid w:val="004E306B"/>
    <w:rsid w:val="004E4D0F"/>
    <w:rsid w:val="004E5004"/>
    <w:rsid w:val="004E645E"/>
    <w:rsid w:val="004E6C92"/>
    <w:rsid w:val="004E71EA"/>
    <w:rsid w:val="004F0167"/>
    <w:rsid w:val="004F2DB0"/>
    <w:rsid w:val="004F2ED2"/>
    <w:rsid w:val="004F60D3"/>
    <w:rsid w:val="00501596"/>
    <w:rsid w:val="005033A0"/>
    <w:rsid w:val="0050345A"/>
    <w:rsid w:val="0050346D"/>
    <w:rsid w:val="00505B19"/>
    <w:rsid w:val="00510AA5"/>
    <w:rsid w:val="00510FE3"/>
    <w:rsid w:val="00512397"/>
    <w:rsid w:val="00512C23"/>
    <w:rsid w:val="00513BAD"/>
    <w:rsid w:val="005155BD"/>
    <w:rsid w:val="00515B2C"/>
    <w:rsid w:val="00521BBC"/>
    <w:rsid w:val="00521D4F"/>
    <w:rsid w:val="00522D2C"/>
    <w:rsid w:val="005268B9"/>
    <w:rsid w:val="00527D94"/>
    <w:rsid w:val="005301C9"/>
    <w:rsid w:val="005301D2"/>
    <w:rsid w:val="0053149D"/>
    <w:rsid w:val="005317E4"/>
    <w:rsid w:val="00532AB2"/>
    <w:rsid w:val="00533592"/>
    <w:rsid w:val="00533D58"/>
    <w:rsid w:val="005340A5"/>
    <w:rsid w:val="00535FF7"/>
    <w:rsid w:val="0053702B"/>
    <w:rsid w:val="0053714B"/>
    <w:rsid w:val="00537B2A"/>
    <w:rsid w:val="005402E2"/>
    <w:rsid w:val="005407FC"/>
    <w:rsid w:val="005422F8"/>
    <w:rsid w:val="00546900"/>
    <w:rsid w:val="00547271"/>
    <w:rsid w:val="005479EF"/>
    <w:rsid w:val="00551A7E"/>
    <w:rsid w:val="005527ED"/>
    <w:rsid w:val="0055405F"/>
    <w:rsid w:val="00555122"/>
    <w:rsid w:val="005557EB"/>
    <w:rsid w:val="00556214"/>
    <w:rsid w:val="0056042A"/>
    <w:rsid w:val="00561413"/>
    <w:rsid w:val="005619DA"/>
    <w:rsid w:val="00561C89"/>
    <w:rsid w:val="00563531"/>
    <w:rsid w:val="00563547"/>
    <w:rsid w:val="00565A12"/>
    <w:rsid w:val="005671DD"/>
    <w:rsid w:val="00567D5B"/>
    <w:rsid w:val="005716B5"/>
    <w:rsid w:val="00575772"/>
    <w:rsid w:val="005759AD"/>
    <w:rsid w:val="00575CF2"/>
    <w:rsid w:val="00581BB5"/>
    <w:rsid w:val="00583266"/>
    <w:rsid w:val="005941C6"/>
    <w:rsid w:val="00594629"/>
    <w:rsid w:val="00594CAD"/>
    <w:rsid w:val="00595176"/>
    <w:rsid w:val="005979C6"/>
    <w:rsid w:val="005A2824"/>
    <w:rsid w:val="005A3AF0"/>
    <w:rsid w:val="005A3C46"/>
    <w:rsid w:val="005A53A0"/>
    <w:rsid w:val="005A5F97"/>
    <w:rsid w:val="005A61C5"/>
    <w:rsid w:val="005A6727"/>
    <w:rsid w:val="005A6F71"/>
    <w:rsid w:val="005A713B"/>
    <w:rsid w:val="005A7CCD"/>
    <w:rsid w:val="005B5B2C"/>
    <w:rsid w:val="005B6720"/>
    <w:rsid w:val="005B6BF1"/>
    <w:rsid w:val="005B765B"/>
    <w:rsid w:val="005C2D6A"/>
    <w:rsid w:val="005C3513"/>
    <w:rsid w:val="005C3A16"/>
    <w:rsid w:val="005C6B4C"/>
    <w:rsid w:val="005C767C"/>
    <w:rsid w:val="005C7757"/>
    <w:rsid w:val="005C7CA9"/>
    <w:rsid w:val="005D0039"/>
    <w:rsid w:val="005D1399"/>
    <w:rsid w:val="005D4CD6"/>
    <w:rsid w:val="005D5213"/>
    <w:rsid w:val="005D5D96"/>
    <w:rsid w:val="005E1B80"/>
    <w:rsid w:val="005E3768"/>
    <w:rsid w:val="005E4C0C"/>
    <w:rsid w:val="005E5250"/>
    <w:rsid w:val="005E5A8E"/>
    <w:rsid w:val="005E617B"/>
    <w:rsid w:val="005E756B"/>
    <w:rsid w:val="005F110C"/>
    <w:rsid w:val="005F2F09"/>
    <w:rsid w:val="005F458E"/>
    <w:rsid w:val="005F47FB"/>
    <w:rsid w:val="005F7C26"/>
    <w:rsid w:val="006001B4"/>
    <w:rsid w:val="0060207E"/>
    <w:rsid w:val="006028A3"/>
    <w:rsid w:val="00603A59"/>
    <w:rsid w:val="00605981"/>
    <w:rsid w:val="00605ECA"/>
    <w:rsid w:val="00607BE6"/>
    <w:rsid w:val="006103ED"/>
    <w:rsid w:val="00610A28"/>
    <w:rsid w:val="00611FCB"/>
    <w:rsid w:val="006130EC"/>
    <w:rsid w:val="00613A07"/>
    <w:rsid w:val="006161FD"/>
    <w:rsid w:val="00621B81"/>
    <w:rsid w:val="00623084"/>
    <w:rsid w:val="006237D6"/>
    <w:rsid w:val="0062430C"/>
    <w:rsid w:val="00624477"/>
    <w:rsid w:val="00624E4C"/>
    <w:rsid w:val="00627722"/>
    <w:rsid w:val="00630BF5"/>
    <w:rsid w:val="006317DC"/>
    <w:rsid w:val="00633EA0"/>
    <w:rsid w:val="006340F8"/>
    <w:rsid w:val="006345E6"/>
    <w:rsid w:val="00635D92"/>
    <w:rsid w:val="00643C51"/>
    <w:rsid w:val="00644658"/>
    <w:rsid w:val="006449EA"/>
    <w:rsid w:val="00645249"/>
    <w:rsid w:val="00645BF4"/>
    <w:rsid w:val="00646196"/>
    <w:rsid w:val="00652C5D"/>
    <w:rsid w:val="00655F69"/>
    <w:rsid w:val="00656688"/>
    <w:rsid w:val="006603E1"/>
    <w:rsid w:val="0066088B"/>
    <w:rsid w:val="00661939"/>
    <w:rsid w:val="006624E5"/>
    <w:rsid w:val="00664636"/>
    <w:rsid w:val="00665212"/>
    <w:rsid w:val="00666781"/>
    <w:rsid w:val="0066735B"/>
    <w:rsid w:val="00671C8D"/>
    <w:rsid w:val="00677472"/>
    <w:rsid w:val="006803D2"/>
    <w:rsid w:val="006816F7"/>
    <w:rsid w:val="00683B49"/>
    <w:rsid w:val="00683F86"/>
    <w:rsid w:val="00690D7B"/>
    <w:rsid w:val="00694C50"/>
    <w:rsid w:val="00694E74"/>
    <w:rsid w:val="00696508"/>
    <w:rsid w:val="006A0F8E"/>
    <w:rsid w:val="006A137F"/>
    <w:rsid w:val="006A209A"/>
    <w:rsid w:val="006A4CCD"/>
    <w:rsid w:val="006A50F9"/>
    <w:rsid w:val="006A530F"/>
    <w:rsid w:val="006A74D6"/>
    <w:rsid w:val="006B0F4E"/>
    <w:rsid w:val="006B36F3"/>
    <w:rsid w:val="006B46E0"/>
    <w:rsid w:val="006B4C09"/>
    <w:rsid w:val="006B5937"/>
    <w:rsid w:val="006B68BF"/>
    <w:rsid w:val="006B7D7F"/>
    <w:rsid w:val="006C2C2D"/>
    <w:rsid w:val="006C3043"/>
    <w:rsid w:val="006C4755"/>
    <w:rsid w:val="006C5380"/>
    <w:rsid w:val="006D0410"/>
    <w:rsid w:val="006D36D8"/>
    <w:rsid w:val="006D46A2"/>
    <w:rsid w:val="006D5D26"/>
    <w:rsid w:val="006D7592"/>
    <w:rsid w:val="006E264D"/>
    <w:rsid w:val="006E5049"/>
    <w:rsid w:val="006E59BA"/>
    <w:rsid w:val="006E5E0F"/>
    <w:rsid w:val="006E751C"/>
    <w:rsid w:val="006F11D3"/>
    <w:rsid w:val="006F11FA"/>
    <w:rsid w:val="006F23AD"/>
    <w:rsid w:val="006F4942"/>
    <w:rsid w:val="006F4F01"/>
    <w:rsid w:val="006F5BDD"/>
    <w:rsid w:val="00700AC5"/>
    <w:rsid w:val="007024A3"/>
    <w:rsid w:val="00703E60"/>
    <w:rsid w:val="00706A8E"/>
    <w:rsid w:val="00707C5A"/>
    <w:rsid w:val="00712307"/>
    <w:rsid w:val="007147DA"/>
    <w:rsid w:val="00714B6F"/>
    <w:rsid w:val="00714C0D"/>
    <w:rsid w:val="007155DB"/>
    <w:rsid w:val="0072025B"/>
    <w:rsid w:val="007205AD"/>
    <w:rsid w:val="0072317D"/>
    <w:rsid w:val="00724B30"/>
    <w:rsid w:val="00724D60"/>
    <w:rsid w:val="00725BE3"/>
    <w:rsid w:val="00726E35"/>
    <w:rsid w:val="007324F1"/>
    <w:rsid w:val="00732532"/>
    <w:rsid w:val="007335C3"/>
    <w:rsid w:val="00733EE3"/>
    <w:rsid w:val="00734B4D"/>
    <w:rsid w:val="00737FD2"/>
    <w:rsid w:val="00740BC4"/>
    <w:rsid w:val="00743BCD"/>
    <w:rsid w:val="007442C3"/>
    <w:rsid w:val="0074543E"/>
    <w:rsid w:val="007474C9"/>
    <w:rsid w:val="0075015D"/>
    <w:rsid w:val="00756FEA"/>
    <w:rsid w:val="007618CD"/>
    <w:rsid w:val="00762FC4"/>
    <w:rsid w:val="0076309B"/>
    <w:rsid w:val="0076347D"/>
    <w:rsid w:val="00763F37"/>
    <w:rsid w:val="00764A19"/>
    <w:rsid w:val="00766BB9"/>
    <w:rsid w:val="0077190D"/>
    <w:rsid w:val="007749F7"/>
    <w:rsid w:val="00774F5A"/>
    <w:rsid w:val="0077539E"/>
    <w:rsid w:val="007754DA"/>
    <w:rsid w:val="00776884"/>
    <w:rsid w:val="0077708F"/>
    <w:rsid w:val="00780391"/>
    <w:rsid w:val="00780FDD"/>
    <w:rsid w:val="007824E6"/>
    <w:rsid w:val="00791256"/>
    <w:rsid w:val="007912B2"/>
    <w:rsid w:val="0079157C"/>
    <w:rsid w:val="007923EE"/>
    <w:rsid w:val="0079240B"/>
    <w:rsid w:val="007926A9"/>
    <w:rsid w:val="00792C62"/>
    <w:rsid w:val="007932ED"/>
    <w:rsid w:val="007959BF"/>
    <w:rsid w:val="0079682B"/>
    <w:rsid w:val="0079703B"/>
    <w:rsid w:val="00797966"/>
    <w:rsid w:val="007A0380"/>
    <w:rsid w:val="007A1434"/>
    <w:rsid w:val="007A2BA2"/>
    <w:rsid w:val="007A2BE7"/>
    <w:rsid w:val="007A59B4"/>
    <w:rsid w:val="007A7AE6"/>
    <w:rsid w:val="007B0795"/>
    <w:rsid w:val="007B1CB2"/>
    <w:rsid w:val="007B7289"/>
    <w:rsid w:val="007C125C"/>
    <w:rsid w:val="007C137A"/>
    <w:rsid w:val="007C1942"/>
    <w:rsid w:val="007C22A5"/>
    <w:rsid w:val="007C351E"/>
    <w:rsid w:val="007C4465"/>
    <w:rsid w:val="007C4766"/>
    <w:rsid w:val="007C7329"/>
    <w:rsid w:val="007D1481"/>
    <w:rsid w:val="007D15D1"/>
    <w:rsid w:val="007D2CE8"/>
    <w:rsid w:val="007D48AF"/>
    <w:rsid w:val="007D6EDF"/>
    <w:rsid w:val="007E1113"/>
    <w:rsid w:val="007E1B83"/>
    <w:rsid w:val="007E1C95"/>
    <w:rsid w:val="007E2F51"/>
    <w:rsid w:val="007E43FA"/>
    <w:rsid w:val="007E4411"/>
    <w:rsid w:val="007E5005"/>
    <w:rsid w:val="007E5BF8"/>
    <w:rsid w:val="007E6152"/>
    <w:rsid w:val="007E74E5"/>
    <w:rsid w:val="007F3B0C"/>
    <w:rsid w:val="007F3D8D"/>
    <w:rsid w:val="007F4677"/>
    <w:rsid w:val="007F51D5"/>
    <w:rsid w:val="007F574E"/>
    <w:rsid w:val="007F7701"/>
    <w:rsid w:val="0080178F"/>
    <w:rsid w:val="008020A6"/>
    <w:rsid w:val="00803B10"/>
    <w:rsid w:val="008043EA"/>
    <w:rsid w:val="00805575"/>
    <w:rsid w:val="00805D8C"/>
    <w:rsid w:val="00805E1A"/>
    <w:rsid w:val="00807439"/>
    <w:rsid w:val="00811220"/>
    <w:rsid w:val="00812956"/>
    <w:rsid w:val="00814083"/>
    <w:rsid w:val="00814C83"/>
    <w:rsid w:val="0081515E"/>
    <w:rsid w:val="008151B0"/>
    <w:rsid w:val="008157B7"/>
    <w:rsid w:val="00816DBA"/>
    <w:rsid w:val="00822565"/>
    <w:rsid w:val="008227FA"/>
    <w:rsid w:val="00822C9A"/>
    <w:rsid w:val="00830E86"/>
    <w:rsid w:val="00834356"/>
    <w:rsid w:val="0083495A"/>
    <w:rsid w:val="008363D8"/>
    <w:rsid w:val="008408D5"/>
    <w:rsid w:val="00841B3D"/>
    <w:rsid w:val="008444F1"/>
    <w:rsid w:val="0084491F"/>
    <w:rsid w:val="00844C0C"/>
    <w:rsid w:val="00845F2B"/>
    <w:rsid w:val="00846588"/>
    <w:rsid w:val="008476F6"/>
    <w:rsid w:val="00850279"/>
    <w:rsid w:val="00851FEA"/>
    <w:rsid w:val="0085232F"/>
    <w:rsid w:val="00852A60"/>
    <w:rsid w:val="00853023"/>
    <w:rsid w:val="00853451"/>
    <w:rsid w:val="00854FB1"/>
    <w:rsid w:val="0085548B"/>
    <w:rsid w:val="0085597C"/>
    <w:rsid w:val="008606A1"/>
    <w:rsid w:val="00860934"/>
    <w:rsid w:val="00861056"/>
    <w:rsid w:val="00861D29"/>
    <w:rsid w:val="00865DF2"/>
    <w:rsid w:val="00865F7E"/>
    <w:rsid w:val="00866EAC"/>
    <w:rsid w:val="0087166A"/>
    <w:rsid w:val="00872146"/>
    <w:rsid w:val="00872428"/>
    <w:rsid w:val="008726F6"/>
    <w:rsid w:val="008740DD"/>
    <w:rsid w:val="008741D8"/>
    <w:rsid w:val="00874D7E"/>
    <w:rsid w:val="00876BA5"/>
    <w:rsid w:val="008803E5"/>
    <w:rsid w:val="00880B78"/>
    <w:rsid w:val="008810DC"/>
    <w:rsid w:val="008818DF"/>
    <w:rsid w:val="00882229"/>
    <w:rsid w:val="0088315F"/>
    <w:rsid w:val="008836BB"/>
    <w:rsid w:val="00884A61"/>
    <w:rsid w:val="00885304"/>
    <w:rsid w:val="00885BA4"/>
    <w:rsid w:val="00885CE7"/>
    <w:rsid w:val="00885F09"/>
    <w:rsid w:val="00886969"/>
    <w:rsid w:val="00887DB3"/>
    <w:rsid w:val="00887DC1"/>
    <w:rsid w:val="0089181B"/>
    <w:rsid w:val="00893BAB"/>
    <w:rsid w:val="00893C3D"/>
    <w:rsid w:val="00895CC6"/>
    <w:rsid w:val="0089700A"/>
    <w:rsid w:val="008A06E3"/>
    <w:rsid w:val="008A233B"/>
    <w:rsid w:val="008A3F1B"/>
    <w:rsid w:val="008A4E4C"/>
    <w:rsid w:val="008A54AD"/>
    <w:rsid w:val="008A5717"/>
    <w:rsid w:val="008A7798"/>
    <w:rsid w:val="008B1577"/>
    <w:rsid w:val="008B1A0B"/>
    <w:rsid w:val="008B1E92"/>
    <w:rsid w:val="008B2AC5"/>
    <w:rsid w:val="008B581C"/>
    <w:rsid w:val="008B5B71"/>
    <w:rsid w:val="008C0FD3"/>
    <w:rsid w:val="008C1AE5"/>
    <w:rsid w:val="008C28B8"/>
    <w:rsid w:val="008C2B54"/>
    <w:rsid w:val="008C2C91"/>
    <w:rsid w:val="008C2F78"/>
    <w:rsid w:val="008C3F0A"/>
    <w:rsid w:val="008C46E1"/>
    <w:rsid w:val="008D0CA9"/>
    <w:rsid w:val="008D27C5"/>
    <w:rsid w:val="008D3091"/>
    <w:rsid w:val="008D4082"/>
    <w:rsid w:val="008E11C2"/>
    <w:rsid w:val="008E11CF"/>
    <w:rsid w:val="008E3120"/>
    <w:rsid w:val="008E43FE"/>
    <w:rsid w:val="008F2974"/>
    <w:rsid w:val="008F2DB8"/>
    <w:rsid w:val="008F3D3E"/>
    <w:rsid w:val="00903067"/>
    <w:rsid w:val="00904877"/>
    <w:rsid w:val="00905466"/>
    <w:rsid w:val="0090795F"/>
    <w:rsid w:val="00907BBE"/>
    <w:rsid w:val="00914FEF"/>
    <w:rsid w:val="00920BAC"/>
    <w:rsid w:val="0092209C"/>
    <w:rsid w:val="00922B6C"/>
    <w:rsid w:val="00922F9C"/>
    <w:rsid w:val="00924251"/>
    <w:rsid w:val="0092720B"/>
    <w:rsid w:val="00927226"/>
    <w:rsid w:val="0092739A"/>
    <w:rsid w:val="00927F7D"/>
    <w:rsid w:val="00930552"/>
    <w:rsid w:val="00930DF0"/>
    <w:rsid w:val="00932506"/>
    <w:rsid w:val="00934B34"/>
    <w:rsid w:val="00936FF4"/>
    <w:rsid w:val="00937463"/>
    <w:rsid w:val="0093754C"/>
    <w:rsid w:val="009375A7"/>
    <w:rsid w:val="00937DC2"/>
    <w:rsid w:val="00941841"/>
    <w:rsid w:val="00944870"/>
    <w:rsid w:val="009449E0"/>
    <w:rsid w:val="00944CCC"/>
    <w:rsid w:val="0094526D"/>
    <w:rsid w:val="00946C58"/>
    <w:rsid w:val="0095180E"/>
    <w:rsid w:val="00951D55"/>
    <w:rsid w:val="00952CED"/>
    <w:rsid w:val="00952D15"/>
    <w:rsid w:val="00954DF7"/>
    <w:rsid w:val="00954EC6"/>
    <w:rsid w:val="009559D5"/>
    <w:rsid w:val="00956F8F"/>
    <w:rsid w:val="00957275"/>
    <w:rsid w:val="00957AB3"/>
    <w:rsid w:val="00960167"/>
    <w:rsid w:val="009604A8"/>
    <w:rsid w:val="00961864"/>
    <w:rsid w:val="00961BF8"/>
    <w:rsid w:val="0096208B"/>
    <w:rsid w:val="009643CC"/>
    <w:rsid w:val="00964656"/>
    <w:rsid w:val="00964EC4"/>
    <w:rsid w:val="00965B2E"/>
    <w:rsid w:val="00973AA0"/>
    <w:rsid w:val="009754D7"/>
    <w:rsid w:val="00983ACF"/>
    <w:rsid w:val="009852CB"/>
    <w:rsid w:val="00986B08"/>
    <w:rsid w:val="00986F83"/>
    <w:rsid w:val="00987047"/>
    <w:rsid w:val="00993514"/>
    <w:rsid w:val="00995481"/>
    <w:rsid w:val="00995DD8"/>
    <w:rsid w:val="00997FCA"/>
    <w:rsid w:val="009A18F8"/>
    <w:rsid w:val="009A3506"/>
    <w:rsid w:val="009A3C38"/>
    <w:rsid w:val="009A4818"/>
    <w:rsid w:val="009A5774"/>
    <w:rsid w:val="009A5C18"/>
    <w:rsid w:val="009A5DEC"/>
    <w:rsid w:val="009A6C9F"/>
    <w:rsid w:val="009A7ED7"/>
    <w:rsid w:val="009B0241"/>
    <w:rsid w:val="009B0F9F"/>
    <w:rsid w:val="009B369C"/>
    <w:rsid w:val="009C243F"/>
    <w:rsid w:val="009C261D"/>
    <w:rsid w:val="009C2CE4"/>
    <w:rsid w:val="009C393C"/>
    <w:rsid w:val="009D2F28"/>
    <w:rsid w:val="009D2FCD"/>
    <w:rsid w:val="009D3CDD"/>
    <w:rsid w:val="009D7593"/>
    <w:rsid w:val="009E25C8"/>
    <w:rsid w:val="009E2791"/>
    <w:rsid w:val="009E400F"/>
    <w:rsid w:val="009E5A1B"/>
    <w:rsid w:val="009F2E76"/>
    <w:rsid w:val="009F4D3F"/>
    <w:rsid w:val="009F6727"/>
    <w:rsid w:val="009F68C1"/>
    <w:rsid w:val="009F7D52"/>
    <w:rsid w:val="00A01458"/>
    <w:rsid w:val="00A02745"/>
    <w:rsid w:val="00A0551D"/>
    <w:rsid w:val="00A06037"/>
    <w:rsid w:val="00A063CC"/>
    <w:rsid w:val="00A0722E"/>
    <w:rsid w:val="00A0767C"/>
    <w:rsid w:val="00A10A87"/>
    <w:rsid w:val="00A111DF"/>
    <w:rsid w:val="00A123F7"/>
    <w:rsid w:val="00A14744"/>
    <w:rsid w:val="00A1491C"/>
    <w:rsid w:val="00A14B13"/>
    <w:rsid w:val="00A14E52"/>
    <w:rsid w:val="00A23659"/>
    <w:rsid w:val="00A24990"/>
    <w:rsid w:val="00A25AA0"/>
    <w:rsid w:val="00A25DEC"/>
    <w:rsid w:val="00A2702F"/>
    <w:rsid w:val="00A302DA"/>
    <w:rsid w:val="00A314ED"/>
    <w:rsid w:val="00A31DF0"/>
    <w:rsid w:val="00A320CE"/>
    <w:rsid w:val="00A33252"/>
    <w:rsid w:val="00A34806"/>
    <w:rsid w:val="00A34EC1"/>
    <w:rsid w:val="00A362EC"/>
    <w:rsid w:val="00A36B44"/>
    <w:rsid w:val="00A43EC4"/>
    <w:rsid w:val="00A4562B"/>
    <w:rsid w:val="00A461B9"/>
    <w:rsid w:val="00A53D55"/>
    <w:rsid w:val="00A55574"/>
    <w:rsid w:val="00A60563"/>
    <w:rsid w:val="00A62239"/>
    <w:rsid w:val="00A64150"/>
    <w:rsid w:val="00A66240"/>
    <w:rsid w:val="00A67DF2"/>
    <w:rsid w:val="00A71C0A"/>
    <w:rsid w:val="00A72059"/>
    <w:rsid w:val="00A77B00"/>
    <w:rsid w:val="00A82BEA"/>
    <w:rsid w:val="00A856E8"/>
    <w:rsid w:val="00A90979"/>
    <w:rsid w:val="00A93DCD"/>
    <w:rsid w:val="00A942AA"/>
    <w:rsid w:val="00AA40EA"/>
    <w:rsid w:val="00AA60F6"/>
    <w:rsid w:val="00AA70E6"/>
    <w:rsid w:val="00AB142C"/>
    <w:rsid w:val="00AB1594"/>
    <w:rsid w:val="00AB18A9"/>
    <w:rsid w:val="00AB2372"/>
    <w:rsid w:val="00AB2564"/>
    <w:rsid w:val="00AB32ED"/>
    <w:rsid w:val="00AB359E"/>
    <w:rsid w:val="00AB49DD"/>
    <w:rsid w:val="00AB5163"/>
    <w:rsid w:val="00AB74CA"/>
    <w:rsid w:val="00AB7E30"/>
    <w:rsid w:val="00AB7FB3"/>
    <w:rsid w:val="00AC15F8"/>
    <w:rsid w:val="00AC3054"/>
    <w:rsid w:val="00AC484A"/>
    <w:rsid w:val="00AC4A9C"/>
    <w:rsid w:val="00AD004A"/>
    <w:rsid w:val="00AD2BBC"/>
    <w:rsid w:val="00AD5977"/>
    <w:rsid w:val="00AD7A91"/>
    <w:rsid w:val="00AE3FBD"/>
    <w:rsid w:val="00AE429C"/>
    <w:rsid w:val="00AE52E1"/>
    <w:rsid w:val="00AE7432"/>
    <w:rsid w:val="00AE7B4C"/>
    <w:rsid w:val="00AF2F78"/>
    <w:rsid w:val="00AF5221"/>
    <w:rsid w:val="00AF6B25"/>
    <w:rsid w:val="00B03482"/>
    <w:rsid w:val="00B054D0"/>
    <w:rsid w:val="00B0575A"/>
    <w:rsid w:val="00B05D63"/>
    <w:rsid w:val="00B06627"/>
    <w:rsid w:val="00B07131"/>
    <w:rsid w:val="00B07714"/>
    <w:rsid w:val="00B12AE0"/>
    <w:rsid w:val="00B13EC9"/>
    <w:rsid w:val="00B17F3A"/>
    <w:rsid w:val="00B20DC5"/>
    <w:rsid w:val="00B2315A"/>
    <w:rsid w:val="00B2508F"/>
    <w:rsid w:val="00B26530"/>
    <w:rsid w:val="00B272D1"/>
    <w:rsid w:val="00B27885"/>
    <w:rsid w:val="00B30425"/>
    <w:rsid w:val="00B30CA5"/>
    <w:rsid w:val="00B31BF9"/>
    <w:rsid w:val="00B320E5"/>
    <w:rsid w:val="00B320FA"/>
    <w:rsid w:val="00B33857"/>
    <w:rsid w:val="00B35017"/>
    <w:rsid w:val="00B35F01"/>
    <w:rsid w:val="00B411B6"/>
    <w:rsid w:val="00B4175E"/>
    <w:rsid w:val="00B422DD"/>
    <w:rsid w:val="00B428BC"/>
    <w:rsid w:val="00B42BC4"/>
    <w:rsid w:val="00B43FBE"/>
    <w:rsid w:val="00B443EF"/>
    <w:rsid w:val="00B44B09"/>
    <w:rsid w:val="00B476B7"/>
    <w:rsid w:val="00B50A07"/>
    <w:rsid w:val="00B50F85"/>
    <w:rsid w:val="00B5190B"/>
    <w:rsid w:val="00B52106"/>
    <w:rsid w:val="00B53FEA"/>
    <w:rsid w:val="00B54512"/>
    <w:rsid w:val="00B54976"/>
    <w:rsid w:val="00B55674"/>
    <w:rsid w:val="00B6009F"/>
    <w:rsid w:val="00B60F5B"/>
    <w:rsid w:val="00B60FF5"/>
    <w:rsid w:val="00B626E9"/>
    <w:rsid w:val="00B62AFB"/>
    <w:rsid w:val="00B643D1"/>
    <w:rsid w:val="00B67094"/>
    <w:rsid w:val="00B67DAA"/>
    <w:rsid w:val="00B716CC"/>
    <w:rsid w:val="00B73BA2"/>
    <w:rsid w:val="00B74D16"/>
    <w:rsid w:val="00B753C4"/>
    <w:rsid w:val="00B75967"/>
    <w:rsid w:val="00B76294"/>
    <w:rsid w:val="00B77007"/>
    <w:rsid w:val="00B82ADB"/>
    <w:rsid w:val="00B83ABF"/>
    <w:rsid w:val="00B86708"/>
    <w:rsid w:val="00B876A5"/>
    <w:rsid w:val="00B87903"/>
    <w:rsid w:val="00B90C94"/>
    <w:rsid w:val="00B90E71"/>
    <w:rsid w:val="00B922A6"/>
    <w:rsid w:val="00B93788"/>
    <w:rsid w:val="00B948B2"/>
    <w:rsid w:val="00B954C1"/>
    <w:rsid w:val="00B969A4"/>
    <w:rsid w:val="00B97F57"/>
    <w:rsid w:val="00BA1A8F"/>
    <w:rsid w:val="00BA2DCB"/>
    <w:rsid w:val="00BA2E18"/>
    <w:rsid w:val="00BA48B1"/>
    <w:rsid w:val="00BA65B2"/>
    <w:rsid w:val="00BA7B9E"/>
    <w:rsid w:val="00BB00D4"/>
    <w:rsid w:val="00BB055B"/>
    <w:rsid w:val="00BB1BA4"/>
    <w:rsid w:val="00BB3D25"/>
    <w:rsid w:val="00BB7D25"/>
    <w:rsid w:val="00BC1B47"/>
    <w:rsid w:val="00BC2EA5"/>
    <w:rsid w:val="00BC3E0E"/>
    <w:rsid w:val="00BC43B8"/>
    <w:rsid w:val="00BC4468"/>
    <w:rsid w:val="00BC49BE"/>
    <w:rsid w:val="00BC7549"/>
    <w:rsid w:val="00BD0025"/>
    <w:rsid w:val="00BD03FE"/>
    <w:rsid w:val="00BD19EC"/>
    <w:rsid w:val="00BD20B3"/>
    <w:rsid w:val="00BD24AD"/>
    <w:rsid w:val="00BD598C"/>
    <w:rsid w:val="00BD5A77"/>
    <w:rsid w:val="00BD64C2"/>
    <w:rsid w:val="00BE0CD5"/>
    <w:rsid w:val="00BE2512"/>
    <w:rsid w:val="00BE586E"/>
    <w:rsid w:val="00BF019C"/>
    <w:rsid w:val="00BF0836"/>
    <w:rsid w:val="00C01506"/>
    <w:rsid w:val="00C01685"/>
    <w:rsid w:val="00C019CA"/>
    <w:rsid w:val="00C02061"/>
    <w:rsid w:val="00C020FC"/>
    <w:rsid w:val="00C02800"/>
    <w:rsid w:val="00C04722"/>
    <w:rsid w:val="00C056E0"/>
    <w:rsid w:val="00C106ED"/>
    <w:rsid w:val="00C11687"/>
    <w:rsid w:val="00C1175A"/>
    <w:rsid w:val="00C121D5"/>
    <w:rsid w:val="00C12358"/>
    <w:rsid w:val="00C13EF4"/>
    <w:rsid w:val="00C16705"/>
    <w:rsid w:val="00C20EEE"/>
    <w:rsid w:val="00C220C0"/>
    <w:rsid w:val="00C22D82"/>
    <w:rsid w:val="00C23380"/>
    <w:rsid w:val="00C2372A"/>
    <w:rsid w:val="00C23EAD"/>
    <w:rsid w:val="00C24066"/>
    <w:rsid w:val="00C24361"/>
    <w:rsid w:val="00C27369"/>
    <w:rsid w:val="00C273CA"/>
    <w:rsid w:val="00C27B03"/>
    <w:rsid w:val="00C27C77"/>
    <w:rsid w:val="00C27DC5"/>
    <w:rsid w:val="00C30970"/>
    <w:rsid w:val="00C315C0"/>
    <w:rsid w:val="00C31F31"/>
    <w:rsid w:val="00C32B21"/>
    <w:rsid w:val="00C34340"/>
    <w:rsid w:val="00C345EF"/>
    <w:rsid w:val="00C35040"/>
    <w:rsid w:val="00C36E96"/>
    <w:rsid w:val="00C4195D"/>
    <w:rsid w:val="00C41A83"/>
    <w:rsid w:val="00C42192"/>
    <w:rsid w:val="00C464E6"/>
    <w:rsid w:val="00C50301"/>
    <w:rsid w:val="00C52144"/>
    <w:rsid w:val="00C53F52"/>
    <w:rsid w:val="00C54DEE"/>
    <w:rsid w:val="00C55E74"/>
    <w:rsid w:val="00C56847"/>
    <w:rsid w:val="00C56C57"/>
    <w:rsid w:val="00C574EA"/>
    <w:rsid w:val="00C610C7"/>
    <w:rsid w:val="00C62821"/>
    <w:rsid w:val="00C673EF"/>
    <w:rsid w:val="00C71B32"/>
    <w:rsid w:val="00C733E1"/>
    <w:rsid w:val="00C73423"/>
    <w:rsid w:val="00C74661"/>
    <w:rsid w:val="00C74959"/>
    <w:rsid w:val="00C74C7E"/>
    <w:rsid w:val="00C7701F"/>
    <w:rsid w:val="00C803F0"/>
    <w:rsid w:val="00C80C5E"/>
    <w:rsid w:val="00C81972"/>
    <w:rsid w:val="00C83834"/>
    <w:rsid w:val="00C85A72"/>
    <w:rsid w:val="00C86D55"/>
    <w:rsid w:val="00C90E4F"/>
    <w:rsid w:val="00C915C3"/>
    <w:rsid w:val="00C96796"/>
    <w:rsid w:val="00CA177B"/>
    <w:rsid w:val="00CA45C3"/>
    <w:rsid w:val="00CA4BD1"/>
    <w:rsid w:val="00CA5411"/>
    <w:rsid w:val="00CA5E1F"/>
    <w:rsid w:val="00CB0F26"/>
    <w:rsid w:val="00CB22C0"/>
    <w:rsid w:val="00CB2EAC"/>
    <w:rsid w:val="00CB38B9"/>
    <w:rsid w:val="00CB428E"/>
    <w:rsid w:val="00CB496C"/>
    <w:rsid w:val="00CB552F"/>
    <w:rsid w:val="00CB690D"/>
    <w:rsid w:val="00CB6FDC"/>
    <w:rsid w:val="00CB7808"/>
    <w:rsid w:val="00CC08A1"/>
    <w:rsid w:val="00CC107E"/>
    <w:rsid w:val="00CC3F63"/>
    <w:rsid w:val="00CC7040"/>
    <w:rsid w:val="00CC76EF"/>
    <w:rsid w:val="00CD04C5"/>
    <w:rsid w:val="00CD14F8"/>
    <w:rsid w:val="00CD2DD9"/>
    <w:rsid w:val="00CE01AF"/>
    <w:rsid w:val="00CE1E0D"/>
    <w:rsid w:val="00CE2386"/>
    <w:rsid w:val="00CE3E4F"/>
    <w:rsid w:val="00CE439D"/>
    <w:rsid w:val="00CE47DB"/>
    <w:rsid w:val="00CF0635"/>
    <w:rsid w:val="00CF38BA"/>
    <w:rsid w:val="00CF513A"/>
    <w:rsid w:val="00CF6184"/>
    <w:rsid w:val="00CF700D"/>
    <w:rsid w:val="00D01198"/>
    <w:rsid w:val="00D012F0"/>
    <w:rsid w:val="00D0286D"/>
    <w:rsid w:val="00D03A61"/>
    <w:rsid w:val="00D04B29"/>
    <w:rsid w:val="00D056C6"/>
    <w:rsid w:val="00D06195"/>
    <w:rsid w:val="00D0725E"/>
    <w:rsid w:val="00D07303"/>
    <w:rsid w:val="00D10D79"/>
    <w:rsid w:val="00D113BE"/>
    <w:rsid w:val="00D12C0B"/>
    <w:rsid w:val="00D130F3"/>
    <w:rsid w:val="00D1389D"/>
    <w:rsid w:val="00D13A25"/>
    <w:rsid w:val="00D16166"/>
    <w:rsid w:val="00D1776B"/>
    <w:rsid w:val="00D17790"/>
    <w:rsid w:val="00D17C3C"/>
    <w:rsid w:val="00D17D9E"/>
    <w:rsid w:val="00D201A3"/>
    <w:rsid w:val="00D21D9E"/>
    <w:rsid w:val="00D21FF8"/>
    <w:rsid w:val="00D223EC"/>
    <w:rsid w:val="00D30724"/>
    <w:rsid w:val="00D30CBB"/>
    <w:rsid w:val="00D30E66"/>
    <w:rsid w:val="00D329A9"/>
    <w:rsid w:val="00D32D69"/>
    <w:rsid w:val="00D333CA"/>
    <w:rsid w:val="00D35068"/>
    <w:rsid w:val="00D368AA"/>
    <w:rsid w:val="00D40513"/>
    <w:rsid w:val="00D40C83"/>
    <w:rsid w:val="00D41724"/>
    <w:rsid w:val="00D435A5"/>
    <w:rsid w:val="00D44EEE"/>
    <w:rsid w:val="00D4561F"/>
    <w:rsid w:val="00D45AF8"/>
    <w:rsid w:val="00D46B68"/>
    <w:rsid w:val="00D50955"/>
    <w:rsid w:val="00D53FE5"/>
    <w:rsid w:val="00D5459E"/>
    <w:rsid w:val="00D57767"/>
    <w:rsid w:val="00D6209A"/>
    <w:rsid w:val="00D630FC"/>
    <w:rsid w:val="00D642F8"/>
    <w:rsid w:val="00D646A9"/>
    <w:rsid w:val="00D718E6"/>
    <w:rsid w:val="00D71A3A"/>
    <w:rsid w:val="00D71F6D"/>
    <w:rsid w:val="00D7266F"/>
    <w:rsid w:val="00D72E4B"/>
    <w:rsid w:val="00D74B81"/>
    <w:rsid w:val="00D75BA2"/>
    <w:rsid w:val="00D760E4"/>
    <w:rsid w:val="00D80565"/>
    <w:rsid w:val="00D80FD8"/>
    <w:rsid w:val="00D81A29"/>
    <w:rsid w:val="00D84273"/>
    <w:rsid w:val="00D84427"/>
    <w:rsid w:val="00D8654B"/>
    <w:rsid w:val="00D86A9A"/>
    <w:rsid w:val="00D87EAB"/>
    <w:rsid w:val="00D90068"/>
    <w:rsid w:val="00D94646"/>
    <w:rsid w:val="00DA1738"/>
    <w:rsid w:val="00DA1AE4"/>
    <w:rsid w:val="00DA30ED"/>
    <w:rsid w:val="00DA5A97"/>
    <w:rsid w:val="00DA625C"/>
    <w:rsid w:val="00DA7F18"/>
    <w:rsid w:val="00DB043D"/>
    <w:rsid w:val="00DB13AE"/>
    <w:rsid w:val="00DB4202"/>
    <w:rsid w:val="00DB63E9"/>
    <w:rsid w:val="00DC24BC"/>
    <w:rsid w:val="00DC7828"/>
    <w:rsid w:val="00DD08AB"/>
    <w:rsid w:val="00DD3A56"/>
    <w:rsid w:val="00DD59DD"/>
    <w:rsid w:val="00DE0DE4"/>
    <w:rsid w:val="00DE1D85"/>
    <w:rsid w:val="00DE2946"/>
    <w:rsid w:val="00DE6948"/>
    <w:rsid w:val="00DE6F08"/>
    <w:rsid w:val="00DE7014"/>
    <w:rsid w:val="00DE7159"/>
    <w:rsid w:val="00DE7A6F"/>
    <w:rsid w:val="00DF0EDF"/>
    <w:rsid w:val="00DF1786"/>
    <w:rsid w:val="00DF3A45"/>
    <w:rsid w:val="00DF3CA4"/>
    <w:rsid w:val="00DF5B40"/>
    <w:rsid w:val="00DF5D3A"/>
    <w:rsid w:val="00DF5E26"/>
    <w:rsid w:val="00DF6309"/>
    <w:rsid w:val="00DF6720"/>
    <w:rsid w:val="00DF6957"/>
    <w:rsid w:val="00DF7268"/>
    <w:rsid w:val="00DF72C7"/>
    <w:rsid w:val="00E0010D"/>
    <w:rsid w:val="00E00685"/>
    <w:rsid w:val="00E020D3"/>
    <w:rsid w:val="00E024EB"/>
    <w:rsid w:val="00E02BA7"/>
    <w:rsid w:val="00E03473"/>
    <w:rsid w:val="00E06C23"/>
    <w:rsid w:val="00E104F3"/>
    <w:rsid w:val="00E155F5"/>
    <w:rsid w:val="00E203EA"/>
    <w:rsid w:val="00E2121B"/>
    <w:rsid w:val="00E213B2"/>
    <w:rsid w:val="00E23DFF"/>
    <w:rsid w:val="00E23FCD"/>
    <w:rsid w:val="00E24D92"/>
    <w:rsid w:val="00E25AEE"/>
    <w:rsid w:val="00E2634F"/>
    <w:rsid w:val="00E26C2F"/>
    <w:rsid w:val="00E31DF2"/>
    <w:rsid w:val="00E34099"/>
    <w:rsid w:val="00E3673D"/>
    <w:rsid w:val="00E37046"/>
    <w:rsid w:val="00E37FAA"/>
    <w:rsid w:val="00E4057F"/>
    <w:rsid w:val="00E43308"/>
    <w:rsid w:val="00E433C5"/>
    <w:rsid w:val="00E439B8"/>
    <w:rsid w:val="00E446BA"/>
    <w:rsid w:val="00E44F73"/>
    <w:rsid w:val="00E4568D"/>
    <w:rsid w:val="00E502BB"/>
    <w:rsid w:val="00E50856"/>
    <w:rsid w:val="00E50ACB"/>
    <w:rsid w:val="00E536C9"/>
    <w:rsid w:val="00E55725"/>
    <w:rsid w:val="00E61421"/>
    <w:rsid w:val="00E63CEB"/>
    <w:rsid w:val="00E6469C"/>
    <w:rsid w:val="00E66FBD"/>
    <w:rsid w:val="00E67944"/>
    <w:rsid w:val="00E70404"/>
    <w:rsid w:val="00E705D9"/>
    <w:rsid w:val="00E71EB4"/>
    <w:rsid w:val="00E72B9F"/>
    <w:rsid w:val="00E75E44"/>
    <w:rsid w:val="00E76AEC"/>
    <w:rsid w:val="00E76B1E"/>
    <w:rsid w:val="00E82023"/>
    <w:rsid w:val="00E82810"/>
    <w:rsid w:val="00E868AB"/>
    <w:rsid w:val="00E91105"/>
    <w:rsid w:val="00E912F8"/>
    <w:rsid w:val="00E91676"/>
    <w:rsid w:val="00E93934"/>
    <w:rsid w:val="00E945BE"/>
    <w:rsid w:val="00E94EB2"/>
    <w:rsid w:val="00E95D49"/>
    <w:rsid w:val="00E95F15"/>
    <w:rsid w:val="00E9608F"/>
    <w:rsid w:val="00E96D69"/>
    <w:rsid w:val="00EA0DC5"/>
    <w:rsid w:val="00EA17ED"/>
    <w:rsid w:val="00EA1B8E"/>
    <w:rsid w:val="00EA248A"/>
    <w:rsid w:val="00EA2690"/>
    <w:rsid w:val="00EA4000"/>
    <w:rsid w:val="00EA63DA"/>
    <w:rsid w:val="00EA7626"/>
    <w:rsid w:val="00EA7A5E"/>
    <w:rsid w:val="00EB0299"/>
    <w:rsid w:val="00EB0875"/>
    <w:rsid w:val="00EB1192"/>
    <w:rsid w:val="00EB12E7"/>
    <w:rsid w:val="00EB1A7C"/>
    <w:rsid w:val="00EB1DE1"/>
    <w:rsid w:val="00EB61F2"/>
    <w:rsid w:val="00EB64E3"/>
    <w:rsid w:val="00EB680E"/>
    <w:rsid w:val="00EC056F"/>
    <w:rsid w:val="00EC13D7"/>
    <w:rsid w:val="00EC2CAD"/>
    <w:rsid w:val="00EC3228"/>
    <w:rsid w:val="00EC3288"/>
    <w:rsid w:val="00EC3533"/>
    <w:rsid w:val="00EC52B9"/>
    <w:rsid w:val="00EC6D06"/>
    <w:rsid w:val="00EC7BCE"/>
    <w:rsid w:val="00ED1A14"/>
    <w:rsid w:val="00ED1BC6"/>
    <w:rsid w:val="00ED1BD9"/>
    <w:rsid w:val="00ED1E86"/>
    <w:rsid w:val="00ED3164"/>
    <w:rsid w:val="00ED3E9C"/>
    <w:rsid w:val="00ED5FD4"/>
    <w:rsid w:val="00ED61E3"/>
    <w:rsid w:val="00ED79BB"/>
    <w:rsid w:val="00EE0A9C"/>
    <w:rsid w:val="00EE203A"/>
    <w:rsid w:val="00EE2BBE"/>
    <w:rsid w:val="00EE4022"/>
    <w:rsid w:val="00EE4B9E"/>
    <w:rsid w:val="00EE5216"/>
    <w:rsid w:val="00EE68ED"/>
    <w:rsid w:val="00EF0D7A"/>
    <w:rsid w:val="00EF1010"/>
    <w:rsid w:val="00EF16F0"/>
    <w:rsid w:val="00EF41E2"/>
    <w:rsid w:val="00EF6DA2"/>
    <w:rsid w:val="00F00605"/>
    <w:rsid w:val="00F0298C"/>
    <w:rsid w:val="00F0366D"/>
    <w:rsid w:val="00F047C5"/>
    <w:rsid w:val="00F04B92"/>
    <w:rsid w:val="00F05842"/>
    <w:rsid w:val="00F10909"/>
    <w:rsid w:val="00F10F36"/>
    <w:rsid w:val="00F12C5A"/>
    <w:rsid w:val="00F13495"/>
    <w:rsid w:val="00F13E9F"/>
    <w:rsid w:val="00F15A42"/>
    <w:rsid w:val="00F16ABF"/>
    <w:rsid w:val="00F16D70"/>
    <w:rsid w:val="00F205D1"/>
    <w:rsid w:val="00F20B45"/>
    <w:rsid w:val="00F20B8B"/>
    <w:rsid w:val="00F221B2"/>
    <w:rsid w:val="00F23F1C"/>
    <w:rsid w:val="00F243A9"/>
    <w:rsid w:val="00F2454E"/>
    <w:rsid w:val="00F2648E"/>
    <w:rsid w:val="00F27310"/>
    <w:rsid w:val="00F27B33"/>
    <w:rsid w:val="00F3018C"/>
    <w:rsid w:val="00F31988"/>
    <w:rsid w:val="00F32259"/>
    <w:rsid w:val="00F3275F"/>
    <w:rsid w:val="00F358A7"/>
    <w:rsid w:val="00F408AC"/>
    <w:rsid w:val="00F438BD"/>
    <w:rsid w:val="00F442F5"/>
    <w:rsid w:val="00F44F34"/>
    <w:rsid w:val="00F45387"/>
    <w:rsid w:val="00F45E68"/>
    <w:rsid w:val="00F474F7"/>
    <w:rsid w:val="00F51EE7"/>
    <w:rsid w:val="00F535B2"/>
    <w:rsid w:val="00F55ADC"/>
    <w:rsid w:val="00F5620E"/>
    <w:rsid w:val="00F567E4"/>
    <w:rsid w:val="00F57DB3"/>
    <w:rsid w:val="00F601CD"/>
    <w:rsid w:val="00F6386E"/>
    <w:rsid w:val="00F63CC4"/>
    <w:rsid w:val="00F64DF1"/>
    <w:rsid w:val="00F676E2"/>
    <w:rsid w:val="00F717EA"/>
    <w:rsid w:val="00F7321F"/>
    <w:rsid w:val="00F73FD6"/>
    <w:rsid w:val="00F74501"/>
    <w:rsid w:val="00F748E4"/>
    <w:rsid w:val="00F753D6"/>
    <w:rsid w:val="00F75A63"/>
    <w:rsid w:val="00F80289"/>
    <w:rsid w:val="00F80EB3"/>
    <w:rsid w:val="00F810AA"/>
    <w:rsid w:val="00F819FD"/>
    <w:rsid w:val="00F849EF"/>
    <w:rsid w:val="00F85109"/>
    <w:rsid w:val="00F9053C"/>
    <w:rsid w:val="00F9151C"/>
    <w:rsid w:val="00F934E4"/>
    <w:rsid w:val="00F96EE0"/>
    <w:rsid w:val="00F972BA"/>
    <w:rsid w:val="00F97CD0"/>
    <w:rsid w:val="00FA13B3"/>
    <w:rsid w:val="00FA5FF8"/>
    <w:rsid w:val="00FB4FFC"/>
    <w:rsid w:val="00FB5D82"/>
    <w:rsid w:val="00FB6D7C"/>
    <w:rsid w:val="00FB76BE"/>
    <w:rsid w:val="00FC2D6A"/>
    <w:rsid w:val="00FC3BD4"/>
    <w:rsid w:val="00FC506B"/>
    <w:rsid w:val="00FC5965"/>
    <w:rsid w:val="00FC5E3A"/>
    <w:rsid w:val="00FC650A"/>
    <w:rsid w:val="00FC6768"/>
    <w:rsid w:val="00FC6A03"/>
    <w:rsid w:val="00FD0060"/>
    <w:rsid w:val="00FD1751"/>
    <w:rsid w:val="00FD4A77"/>
    <w:rsid w:val="00FD75FD"/>
    <w:rsid w:val="00FD7BC2"/>
    <w:rsid w:val="00FE2F2D"/>
    <w:rsid w:val="00FE4EFD"/>
    <w:rsid w:val="00FE5CD2"/>
    <w:rsid w:val="00FE6F7E"/>
    <w:rsid w:val="00FE74A4"/>
    <w:rsid w:val="00FE7564"/>
    <w:rsid w:val="00FE7C67"/>
    <w:rsid w:val="00FF0E87"/>
    <w:rsid w:val="00FF1B4F"/>
    <w:rsid w:val="00FF1F1B"/>
    <w:rsid w:val="00FF3C46"/>
    <w:rsid w:val="00FF3E5E"/>
    <w:rsid w:val="00FF495A"/>
    <w:rsid w:val="00FF5124"/>
    <w:rsid w:val="00FF5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65C30"/>
  <w15:docId w15:val="{4F16887B-6891-0E4C-8F43-DF551664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32F"/>
    <w:pPr>
      <w:spacing w:line="240" w:lineRule="auto"/>
    </w:pPr>
    <w:rPr>
      <w:rFonts w:ascii="Times New Roman" w:eastAsia="Times New Roman" w:hAnsi="Times New Roman" w:cs="Times New Roman"/>
      <w:sz w:val="24"/>
      <w:szCs w:val="24"/>
      <w:lang/>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GB"/>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n-GB"/>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GB"/>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GB"/>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GB"/>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GB"/>
    </w:rPr>
  </w:style>
  <w:style w:type="paragraph" w:styleId="Heading7">
    <w:name w:val="heading 7"/>
    <w:basedOn w:val="Normal"/>
    <w:next w:val="Normal"/>
    <w:link w:val="Heading7Char"/>
    <w:uiPriority w:val="9"/>
    <w:semiHidden/>
    <w:unhideWhenUsed/>
    <w:qFormat/>
    <w:rsid w:val="00A34806"/>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n-GB"/>
    </w:rPr>
  </w:style>
  <w:style w:type="paragraph" w:styleId="Heading8">
    <w:name w:val="heading 8"/>
    <w:basedOn w:val="Normal"/>
    <w:next w:val="Normal"/>
    <w:link w:val="Heading8Char"/>
    <w:uiPriority w:val="9"/>
    <w:semiHidden/>
    <w:unhideWhenUsed/>
    <w:qFormat/>
    <w:rsid w:val="00A34806"/>
    <w:pPr>
      <w:keepNext/>
      <w:keepLines/>
      <w:spacing w:before="40" w:line="276"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A34806"/>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GB"/>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GB"/>
    </w:rPr>
  </w:style>
  <w:style w:type="paragraph" w:styleId="Header">
    <w:name w:val="header"/>
    <w:basedOn w:val="Normal"/>
    <w:link w:val="HeaderChar"/>
    <w:uiPriority w:val="99"/>
    <w:unhideWhenUsed/>
    <w:rsid w:val="00A34806"/>
    <w:pPr>
      <w:tabs>
        <w:tab w:val="center" w:pos="4513"/>
        <w:tab w:val="right" w:pos="9026"/>
      </w:tabs>
    </w:pPr>
    <w:rPr>
      <w:rFonts w:ascii="Arial" w:eastAsia="Arial" w:hAnsi="Arial" w:cs="Arial"/>
      <w:sz w:val="22"/>
      <w:szCs w:val="22"/>
      <w:lang w:val="en-GB"/>
    </w:rPr>
  </w:style>
  <w:style w:type="character" w:customStyle="1" w:styleId="HeaderChar">
    <w:name w:val="Header Char"/>
    <w:basedOn w:val="DefaultParagraphFont"/>
    <w:link w:val="Header"/>
    <w:uiPriority w:val="99"/>
    <w:rsid w:val="00A34806"/>
  </w:style>
  <w:style w:type="paragraph" w:styleId="Footer">
    <w:name w:val="footer"/>
    <w:basedOn w:val="Normal"/>
    <w:link w:val="FooterChar"/>
    <w:uiPriority w:val="99"/>
    <w:unhideWhenUsed/>
    <w:rsid w:val="00A34806"/>
    <w:pPr>
      <w:tabs>
        <w:tab w:val="center" w:pos="4513"/>
        <w:tab w:val="right" w:pos="9026"/>
      </w:tabs>
    </w:pPr>
    <w:rPr>
      <w:rFonts w:ascii="Arial" w:eastAsia="Arial" w:hAnsi="Arial" w:cs="Arial"/>
      <w:sz w:val="22"/>
      <w:szCs w:val="22"/>
      <w:lang w:val="en-GB"/>
    </w:rPr>
  </w:style>
  <w:style w:type="character" w:customStyle="1" w:styleId="FooterChar">
    <w:name w:val="Footer Char"/>
    <w:basedOn w:val="DefaultParagraphFont"/>
    <w:link w:val="Footer"/>
    <w:uiPriority w:val="99"/>
    <w:rsid w:val="00A34806"/>
  </w:style>
  <w:style w:type="paragraph" w:styleId="ListParagraph">
    <w:name w:val="List Paragraph"/>
    <w:basedOn w:val="Normal"/>
    <w:uiPriority w:val="1"/>
    <w:qFormat/>
    <w:rsid w:val="00A34806"/>
    <w:pPr>
      <w:spacing w:line="276" w:lineRule="auto"/>
      <w:ind w:left="720"/>
      <w:contextualSpacing/>
    </w:pPr>
    <w:rPr>
      <w:rFonts w:ascii="Arial" w:eastAsia="Arial" w:hAnsi="Arial" w:cs="Arial"/>
      <w:sz w:val="22"/>
      <w:szCs w:val="22"/>
      <w:lang w:val="en-GB"/>
    </w:rPr>
  </w:style>
  <w:style w:type="character" w:customStyle="1" w:styleId="Heading7Char">
    <w:name w:val="Heading 7 Char"/>
    <w:basedOn w:val="DefaultParagraphFont"/>
    <w:link w:val="Heading7"/>
    <w:uiPriority w:val="9"/>
    <w:semiHidden/>
    <w:rsid w:val="00A3480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48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4806"/>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E480F"/>
    <w:rPr>
      <w:rFonts w:ascii="Arial" w:eastAsia="Arial" w:hAnsi="Arial" w:cs="Arial"/>
      <w:sz w:val="20"/>
      <w:szCs w:val="20"/>
      <w:lang w:val="en-GB"/>
    </w:rPr>
  </w:style>
  <w:style w:type="character" w:customStyle="1" w:styleId="FootnoteTextChar">
    <w:name w:val="Footnote Text Char"/>
    <w:basedOn w:val="DefaultParagraphFont"/>
    <w:link w:val="FootnoteText"/>
    <w:uiPriority w:val="99"/>
    <w:rsid w:val="001E480F"/>
    <w:rPr>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unhideWhenUsed/>
    <w:rsid w:val="001E480F"/>
    <w:rPr>
      <w:vertAlign w:val="superscript"/>
    </w:rPr>
  </w:style>
  <w:style w:type="paragraph" w:styleId="NormalWeb">
    <w:name w:val="Normal (Web)"/>
    <w:basedOn w:val="Normal"/>
    <w:uiPriority w:val="99"/>
    <w:unhideWhenUsed/>
    <w:rsid w:val="00986B08"/>
    <w:pPr>
      <w:spacing w:before="100" w:beforeAutospacing="1" w:after="100" w:afterAutospacing="1"/>
    </w:pPr>
    <w:rPr>
      <w:lang w:val="en-GB"/>
    </w:rPr>
  </w:style>
  <w:style w:type="paragraph" w:styleId="Index1">
    <w:name w:val="index 1"/>
    <w:basedOn w:val="Normal"/>
    <w:next w:val="Normal"/>
    <w:autoRedefine/>
    <w:uiPriority w:val="99"/>
    <w:unhideWhenUsed/>
    <w:rsid w:val="00707C5A"/>
    <w:pPr>
      <w:spacing w:line="276" w:lineRule="auto"/>
      <w:ind w:left="220" w:hanging="220"/>
    </w:pPr>
    <w:rPr>
      <w:rFonts w:asciiTheme="minorHAnsi" w:eastAsia="Arial" w:hAnsiTheme="minorHAnsi" w:cs="Arial"/>
      <w:sz w:val="18"/>
      <w:szCs w:val="18"/>
      <w:lang w:val="en-GB"/>
    </w:rPr>
  </w:style>
  <w:style w:type="paragraph" w:styleId="Index2">
    <w:name w:val="index 2"/>
    <w:basedOn w:val="Normal"/>
    <w:next w:val="Normal"/>
    <w:autoRedefine/>
    <w:uiPriority w:val="99"/>
    <w:unhideWhenUsed/>
    <w:rsid w:val="00707C5A"/>
    <w:pPr>
      <w:spacing w:line="276" w:lineRule="auto"/>
      <w:ind w:left="440" w:hanging="220"/>
    </w:pPr>
    <w:rPr>
      <w:rFonts w:asciiTheme="minorHAnsi" w:eastAsia="Arial" w:hAnsiTheme="minorHAnsi" w:cs="Arial"/>
      <w:sz w:val="18"/>
      <w:szCs w:val="18"/>
      <w:lang w:val="en-GB"/>
    </w:rPr>
  </w:style>
  <w:style w:type="paragraph" w:styleId="Index3">
    <w:name w:val="index 3"/>
    <w:basedOn w:val="Normal"/>
    <w:next w:val="Normal"/>
    <w:autoRedefine/>
    <w:uiPriority w:val="99"/>
    <w:unhideWhenUsed/>
    <w:rsid w:val="00707C5A"/>
    <w:pPr>
      <w:spacing w:line="276" w:lineRule="auto"/>
      <w:ind w:left="660" w:hanging="220"/>
    </w:pPr>
    <w:rPr>
      <w:rFonts w:asciiTheme="minorHAnsi" w:eastAsia="Arial" w:hAnsiTheme="minorHAnsi" w:cs="Arial"/>
      <w:sz w:val="18"/>
      <w:szCs w:val="18"/>
      <w:lang w:val="en-GB"/>
    </w:rPr>
  </w:style>
  <w:style w:type="paragraph" w:styleId="Index4">
    <w:name w:val="index 4"/>
    <w:basedOn w:val="Normal"/>
    <w:next w:val="Normal"/>
    <w:autoRedefine/>
    <w:uiPriority w:val="99"/>
    <w:unhideWhenUsed/>
    <w:rsid w:val="00707C5A"/>
    <w:pPr>
      <w:spacing w:line="276" w:lineRule="auto"/>
      <w:ind w:left="880" w:hanging="220"/>
    </w:pPr>
    <w:rPr>
      <w:rFonts w:asciiTheme="minorHAnsi" w:eastAsia="Arial" w:hAnsiTheme="minorHAnsi" w:cs="Arial"/>
      <w:sz w:val="18"/>
      <w:szCs w:val="18"/>
      <w:lang w:val="en-GB"/>
    </w:rPr>
  </w:style>
  <w:style w:type="paragraph" w:styleId="Index5">
    <w:name w:val="index 5"/>
    <w:basedOn w:val="Normal"/>
    <w:next w:val="Normal"/>
    <w:autoRedefine/>
    <w:uiPriority w:val="99"/>
    <w:unhideWhenUsed/>
    <w:rsid w:val="00707C5A"/>
    <w:pPr>
      <w:spacing w:line="276" w:lineRule="auto"/>
      <w:ind w:left="1100" w:hanging="220"/>
    </w:pPr>
    <w:rPr>
      <w:rFonts w:asciiTheme="minorHAnsi" w:eastAsia="Arial" w:hAnsiTheme="minorHAnsi" w:cs="Arial"/>
      <w:sz w:val="18"/>
      <w:szCs w:val="18"/>
      <w:lang w:val="en-GB"/>
    </w:rPr>
  </w:style>
  <w:style w:type="paragraph" w:styleId="Index6">
    <w:name w:val="index 6"/>
    <w:basedOn w:val="Normal"/>
    <w:next w:val="Normal"/>
    <w:autoRedefine/>
    <w:uiPriority w:val="99"/>
    <w:unhideWhenUsed/>
    <w:rsid w:val="00707C5A"/>
    <w:pPr>
      <w:spacing w:line="276" w:lineRule="auto"/>
      <w:ind w:left="1320" w:hanging="220"/>
    </w:pPr>
    <w:rPr>
      <w:rFonts w:asciiTheme="minorHAnsi" w:eastAsia="Arial" w:hAnsiTheme="minorHAnsi" w:cs="Arial"/>
      <w:sz w:val="18"/>
      <w:szCs w:val="18"/>
      <w:lang w:val="en-GB"/>
    </w:rPr>
  </w:style>
  <w:style w:type="paragraph" w:styleId="Index7">
    <w:name w:val="index 7"/>
    <w:basedOn w:val="Normal"/>
    <w:next w:val="Normal"/>
    <w:autoRedefine/>
    <w:uiPriority w:val="99"/>
    <w:unhideWhenUsed/>
    <w:rsid w:val="00707C5A"/>
    <w:pPr>
      <w:spacing w:line="276" w:lineRule="auto"/>
      <w:ind w:left="1540" w:hanging="220"/>
    </w:pPr>
    <w:rPr>
      <w:rFonts w:asciiTheme="minorHAnsi" w:eastAsia="Arial" w:hAnsiTheme="minorHAnsi" w:cs="Arial"/>
      <w:sz w:val="18"/>
      <w:szCs w:val="18"/>
      <w:lang w:val="en-GB"/>
    </w:rPr>
  </w:style>
  <w:style w:type="paragraph" w:styleId="Index8">
    <w:name w:val="index 8"/>
    <w:basedOn w:val="Normal"/>
    <w:next w:val="Normal"/>
    <w:autoRedefine/>
    <w:uiPriority w:val="99"/>
    <w:unhideWhenUsed/>
    <w:rsid w:val="00707C5A"/>
    <w:pPr>
      <w:spacing w:line="276" w:lineRule="auto"/>
      <w:ind w:left="1760" w:hanging="220"/>
    </w:pPr>
    <w:rPr>
      <w:rFonts w:asciiTheme="minorHAnsi" w:eastAsia="Arial" w:hAnsiTheme="minorHAnsi" w:cs="Arial"/>
      <w:sz w:val="18"/>
      <w:szCs w:val="18"/>
      <w:lang w:val="en-GB"/>
    </w:rPr>
  </w:style>
  <w:style w:type="paragraph" w:styleId="Index9">
    <w:name w:val="index 9"/>
    <w:basedOn w:val="Normal"/>
    <w:next w:val="Normal"/>
    <w:autoRedefine/>
    <w:uiPriority w:val="99"/>
    <w:unhideWhenUsed/>
    <w:rsid w:val="00707C5A"/>
    <w:pPr>
      <w:spacing w:line="276" w:lineRule="auto"/>
      <w:ind w:left="1980" w:hanging="220"/>
    </w:pPr>
    <w:rPr>
      <w:rFonts w:asciiTheme="minorHAnsi" w:eastAsia="Arial" w:hAnsiTheme="minorHAnsi" w:cs="Arial"/>
      <w:sz w:val="18"/>
      <w:szCs w:val="18"/>
      <w:lang w:val="en-GB"/>
    </w:rPr>
  </w:style>
  <w:style w:type="paragraph" w:styleId="IndexHeading">
    <w:name w:val="index heading"/>
    <w:basedOn w:val="Normal"/>
    <w:next w:val="Index1"/>
    <w:uiPriority w:val="99"/>
    <w:unhideWhenUsed/>
    <w:rsid w:val="00707C5A"/>
    <w:pPr>
      <w:spacing w:before="240" w:after="120" w:line="276" w:lineRule="auto"/>
      <w:jc w:val="center"/>
    </w:pPr>
    <w:rPr>
      <w:rFonts w:asciiTheme="minorHAnsi" w:eastAsia="Arial" w:hAnsiTheme="minorHAnsi" w:cs="Arial"/>
      <w:b/>
      <w:bCs/>
      <w:sz w:val="26"/>
      <w:szCs w:val="26"/>
      <w:lang w:val="en-GB"/>
    </w:rPr>
  </w:style>
  <w:style w:type="paragraph" w:styleId="TOC1">
    <w:name w:val="toc 1"/>
    <w:basedOn w:val="Normal"/>
    <w:next w:val="Normal"/>
    <w:autoRedefine/>
    <w:uiPriority w:val="39"/>
    <w:unhideWhenUsed/>
    <w:rsid w:val="00707C5A"/>
    <w:pPr>
      <w:spacing w:before="120" w:line="276" w:lineRule="auto"/>
    </w:pPr>
    <w:rPr>
      <w:rFonts w:asciiTheme="minorHAnsi" w:eastAsia="Arial" w:hAnsiTheme="minorHAnsi" w:cs="Arial"/>
      <w:b/>
      <w:bCs/>
      <w:i/>
      <w:iCs/>
      <w:lang w:val="en-GB"/>
    </w:rPr>
  </w:style>
  <w:style w:type="paragraph" w:styleId="TOC2">
    <w:name w:val="toc 2"/>
    <w:basedOn w:val="Normal"/>
    <w:next w:val="Normal"/>
    <w:autoRedefine/>
    <w:uiPriority w:val="39"/>
    <w:unhideWhenUsed/>
    <w:rsid w:val="00707C5A"/>
    <w:pPr>
      <w:spacing w:before="120" w:line="276" w:lineRule="auto"/>
      <w:ind w:left="220"/>
    </w:pPr>
    <w:rPr>
      <w:rFonts w:asciiTheme="minorHAnsi" w:eastAsia="Arial" w:hAnsiTheme="minorHAnsi" w:cs="Arial"/>
      <w:b/>
      <w:bCs/>
      <w:sz w:val="22"/>
      <w:szCs w:val="22"/>
      <w:lang w:val="en-GB"/>
    </w:rPr>
  </w:style>
  <w:style w:type="paragraph" w:styleId="TOC3">
    <w:name w:val="toc 3"/>
    <w:basedOn w:val="Normal"/>
    <w:next w:val="Normal"/>
    <w:autoRedefine/>
    <w:uiPriority w:val="39"/>
    <w:unhideWhenUsed/>
    <w:rsid w:val="00707C5A"/>
    <w:pPr>
      <w:spacing w:line="276" w:lineRule="auto"/>
      <w:ind w:left="440"/>
    </w:pPr>
    <w:rPr>
      <w:rFonts w:asciiTheme="minorHAnsi" w:eastAsia="Arial" w:hAnsiTheme="minorHAnsi" w:cs="Arial"/>
      <w:sz w:val="20"/>
      <w:szCs w:val="20"/>
      <w:lang w:val="en-GB"/>
    </w:rPr>
  </w:style>
  <w:style w:type="paragraph" w:styleId="TOC4">
    <w:name w:val="toc 4"/>
    <w:basedOn w:val="Normal"/>
    <w:next w:val="Normal"/>
    <w:autoRedefine/>
    <w:uiPriority w:val="39"/>
    <w:unhideWhenUsed/>
    <w:rsid w:val="00707C5A"/>
    <w:pPr>
      <w:spacing w:line="276" w:lineRule="auto"/>
      <w:ind w:left="660"/>
    </w:pPr>
    <w:rPr>
      <w:rFonts w:asciiTheme="minorHAnsi" w:eastAsia="Arial" w:hAnsiTheme="minorHAnsi" w:cs="Arial"/>
      <w:sz w:val="20"/>
      <w:szCs w:val="20"/>
      <w:lang w:val="en-GB"/>
    </w:rPr>
  </w:style>
  <w:style w:type="paragraph" w:styleId="TOC5">
    <w:name w:val="toc 5"/>
    <w:basedOn w:val="Normal"/>
    <w:next w:val="Normal"/>
    <w:autoRedefine/>
    <w:uiPriority w:val="39"/>
    <w:unhideWhenUsed/>
    <w:rsid w:val="00707C5A"/>
    <w:pPr>
      <w:spacing w:line="276" w:lineRule="auto"/>
      <w:ind w:left="880"/>
    </w:pPr>
    <w:rPr>
      <w:rFonts w:asciiTheme="minorHAnsi" w:eastAsia="Arial" w:hAnsiTheme="minorHAnsi" w:cs="Arial"/>
      <w:sz w:val="20"/>
      <w:szCs w:val="20"/>
      <w:lang w:val="en-GB"/>
    </w:rPr>
  </w:style>
  <w:style w:type="paragraph" w:styleId="TOC6">
    <w:name w:val="toc 6"/>
    <w:basedOn w:val="Normal"/>
    <w:next w:val="Normal"/>
    <w:autoRedefine/>
    <w:uiPriority w:val="39"/>
    <w:unhideWhenUsed/>
    <w:rsid w:val="00707C5A"/>
    <w:pPr>
      <w:spacing w:line="276" w:lineRule="auto"/>
      <w:ind w:left="1100"/>
    </w:pPr>
    <w:rPr>
      <w:rFonts w:asciiTheme="minorHAnsi" w:eastAsia="Arial" w:hAnsiTheme="minorHAnsi" w:cs="Arial"/>
      <w:sz w:val="20"/>
      <w:szCs w:val="20"/>
      <w:lang w:val="en-GB"/>
    </w:rPr>
  </w:style>
  <w:style w:type="paragraph" w:styleId="TOC7">
    <w:name w:val="toc 7"/>
    <w:basedOn w:val="Normal"/>
    <w:next w:val="Normal"/>
    <w:autoRedefine/>
    <w:uiPriority w:val="39"/>
    <w:unhideWhenUsed/>
    <w:rsid w:val="00707C5A"/>
    <w:pPr>
      <w:spacing w:line="276" w:lineRule="auto"/>
      <w:ind w:left="1320"/>
    </w:pPr>
    <w:rPr>
      <w:rFonts w:asciiTheme="minorHAnsi" w:eastAsia="Arial" w:hAnsiTheme="minorHAnsi" w:cs="Arial"/>
      <w:sz w:val="20"/>
      <w:szCs w:val="20"/>
      <w:lang w:val="en-GB"/>
    </w:rPr>
  </w:style>
  <w:style w:type="paragraph" w:styleId="TOC8">
    <w:name w:val="toc 8"/>
    <w:basedOn w:val="Normal"/>
    <w:next w:val="Normal"/>
    <w:autoRedefine/>
    <w:uiPriority w:val="39"/>
    <w:unhideWhenUsed/>
    <w:rsid w:val="00707C5A"/>
    <w:pPr>
      <w:spacing w:line="276" w:lineRule="auto"/>
      <w:ind w:left="1540"/>
    </w:pPr>
    <w:rPr>
      <w:rFonts w:asciiTheme="minorHAnsi" w:eastAsia="Arial" w:hAnsiTheme="minorHAnsi" w:cs="Arial"/>
      <w:sz w:val="20"/>
      <w:szCs w:val="20"/>
      <w:lang w:val="en-GB"/>
    </w:rPr>
  </w:style>
  <w:style w:type="paragraph" w:styleId="TOC9">
    <w:name w:val="toc 9"/>
    <w:basedOn w:val="Normal"/>
    <w:next w:val="Normal"/>
    <w:autoRedefine/>
    <w:uiPriority w:val="39"/>
    <w:unhideWhenUsed/>
    <w:rsid w:val="00707C5A"/>
    <w:pPr>
      <w:spacing w:line="276" w:lineRule="auto"/>
      <w:ind w:left="1760"/>
    </w:pPr>
    <w:rPr>
      <w:rFonts w:asciiTheme="minorHAnsi" w:eastAsia="Arial" w:hAnsiTheme="minorHAnsi" w:cs="Arial"/>
      <w:sz w:val="20"/>
      <w:szCs w:val="20"/>
      <w:lang w:val="en-GB"/>
    </w:rPr>
  </w:style>
  <w:style w:type="character" w:styleId="Hyperlink">
    <w:name w:val="Hyperlink"/>
    <w:basedOn w:val="DefaultParagraphFont"/>
    <w:uiPriority w:val="99"/>
    <w:unhideWhenUsed/>
    <w:rsid w:val="00707C5A"/>
    <w:rPr>
      <w:color w:val="0000FF" w:themeColor="hyperlink"/>
      <w:u w:val="single"/>
    </w:rPr>
  </w:style>
  <w:style w:type="character" w:customStyle="1" w:styleId="UnresolvedMention1">
    <w:name w:val="Unresolved Mention1"/>
    <w:basedOn w:val="DefaultParagraphFont"/>
    <w:uiPriority w:val="99"/>
    <w:semiHidden/>
    <w:unhideWhenUsed/>
    <w:rsid w:val="00914FEF"/>
    <w:rPr>
      <w:color w:val="605E5C"/>
      <w:shd w:val="clear" w:color="auto" w:fill="E1DFDD"/>
    </w:rPr>
  </w:style>
  <w:style w:type="character" w:styleId="CommentReference">
    <w:name w:val="annotation reference"/>
    <w:basedOn w:val="DefaultParagraphFont"/>
    <w:uiPriority w:val="99"/>
    <w:unhideWhenUsed/>
    <w:rsid w:val="002232E0"/>
    <w:rPr>
      <w:sz w:val="16"/>
      <w:szCs w:val="16"/>
    </w:rPr>
  </w:style>
  <w:style w:type="paragraph" w:styleId="CommentText">
    <w:name w:val="annotation text"/>
    <w:basedOn w:val="Normal"/>
    <w:link w:val="CommentTextChar"/>
    <w:uiPriority w:val="99"/>
    <w:unhideWhenUsed/>
    <w:rsid w:val="002232E0"/>
    <w:rPr>
      <w:rFonts w:ascii="Arial" w:eastAsia="Arial" w:hAnsi="Arial" w:cs="Arial"/>
      <w:sz w:val="20"/>
      <w:szCs w:val="20"/>
      <w:lang w:val="en-GB"/>
    </w:rPr>
  </w:style>
  <w:style w:type="character" w:customStyle="1" w:styleId="CommentTextChar">
    <w:name w:val="Comment Text Char"/>
    <w:basedOn w:val="DefaultParagraphFont"/>
    <w:link w:val="CommentText"/>
    <w:uiPriority w:val="99"/>
    <w:rsid w:val="002232E0"/>
    <w:rPr>
      <w:sz w:val="20"/>
      <w:szCs w:val="20"/>
    </w:rPr>
  </w:style>
  <w:style w:type="paragraph" w:styleId="CommentSubject">
    <w:name w:val="annotation subject"/>
    <w:basedOn w:val="CommentText"/>
    <w:next w:val="CommentText"/>
    <w:link w:val="CommentSubjectChar"/>
    <w:uiPriority w:val="99"/>
    <w:semiHidden/>
    <w:unhideWhenUsed/>
    <w:rsid w:val="002232E0"/>
    <w:rPr>
      <w:b/>
      <w:bCs/>
    </w:rPr>
  </w:style>
  <w:style w:type="character" w:customStyle="1" w:styleId="CommentSubjectChar">
    <w:name w:val="Comment Subject Char"/>
    <w:basedOn w:val="CommentTextChar"/>
    <w:link w:val="CommentSubject"/>
    <w:uiPriority w:val="99"/>
    <w:semiHidden/>
    <w:rsid w:val="002232E0"/>
    <w:rPr>
      <w:b/>
      <w:bCs/>
      <w:sz w:val="20"/>
      <w:szCs w:val="20"/>
    </w:rPr>
  </w:style>
  <w:style w:type="paragraph" w:styleId="BalloonText">
    <w:name w:val="Balloon Text"/>
    <w:basedOn w:val="Normal"/>
    <w:link w:val="BalloonTextChar"/>
    <w:uiPriority w:val="99"/>
    <w:semiHidden/>
    <w:unhideWhenUsed/>
    <w:rsid w:val="00655F69"/>
    <w:rPr>
      <w:rFonts w:ascii="Segoe UI" w:eastAsia="Arial" w:hAnsi="Segoe UI" w:cs="Segoe UI"/>
      <w:sz w:val="18"/>
      <w:szCs w:val="18"/>
      <w:lang w:val="en-GB"/>
    </w:rPr>
  </w:style>
  <w:style w:type="character" w:customStyle="1" w:styleId="BalloonTextChar">
    <w:name w:val="Balloon Text Char"/>
    <w:basedOn w:val="DefaultParagraphFont"/>
    <w:link w:val="BalloonText"/>
    <w:uiPriority w:val="99"/>
    <w:semiHidden/>
    <w:rsid w:val="00655F69"/>
    <w:rPr>
      <w:rFonts w:ascii="Segoe UI" w:hAnsi="Segoe UI" w:cs="Segoe UI"/>
      <w:sz w:val="18"/>
      <w:szCs w:val="18"/>
    </w:rPr>
  </w:style>
  <w:style w:type="paragraph" w:styleId="EndnoteText">
    <w:name w:val="endnote text"/>
    <w:basedOn w:val="Normal"/>
    <w:link w:val="EndnoteTextChar"/>
    <w:uiPriority w:val="99"/>
    <w:unhideWhenUsed/>
    <w:rsid w:val="00F13495"/>
    <w:rPr>
      <w:rFonts w:ascii="Arial" w:eastAsia="Arial" w:hAnsi="Arial" w:cs="Arial"/>
      <w:sz w:val="20"/>
      <w:szCs w:val="20"/>
      <w:lang w:val="en-GB"/>
    </w:rPr>
  </w:style>
  <w:style w:type="character" w:customStyle="1" w:styleId="EndnoteTextChar">
    <w:name w:val="Endnote Text Char"/>
    <w:basedOn w:val="DefaultParagraphFont"/>
    <w:link w:val="EndnoteText"/>
    <w:uiPriority w:val="99"/>
    <w:rsid w:val="00F13495"/>
    <w:rPr>
      <w:sz w:val="20"/>
      <w:szCs w:val="20"/>
    </w:rPr>
  </w:style>
  <w:style w:type="character" w:styleId="EndnoteReference">
    <w:name w:val="endnote reference"/>
    <w:basedOn w:val="DefaultParagraphFont"/>
    <w:uiPriority w:val="99"/>
    <w:semiHidden/>
    <w:unhideWhenUsed/>
    <w:rsid w:val="00F13495"/>
    <w:rPr>
      <w:vertAlign w:val="superscript"/>
    </w:rPr>
  </w:style>
  <w:style w:type="character" w:customStyle="1" w:styleId="UnresolvedMention2">
    <w:name w:val="Unresolved Mention2"/>
    <w:basedOn w:val="DefaultParagraphFont"/>
    <w:uiPriority w:val="99"/>
    <w:semiHidden/>
    <w:unhideWhenUsed/>
    <w:rsid w:val="0077708F"/>
    <w:rPr>
      <w:color w:val="605E5C"/>
      <w:shd w:val="clear" w:color="auto" w:fill="E1DFDD"/>
    </w:rPr>
  </w:style>
  <w:style w:type="character" w:styleId="PageNumber">
    <w:name w:val="page number"/>
    <w:basedOn w:val="DefaultParagraphFont"/>
    <w:uiPriority w:val="99"/>
    <w:semiHidden/>
    <w:unhideWhenUsed/>
    <w:rsid w:val="00094EB3"/>
  </w:style>
  <w:style w:type="character" w:customStyle="1" w:styleId="UnresolvedMention3">
    <w:name w:val="Unresolved Mention3"/>
    <w:basedOn w:val="DefaultParagraphFont"/>
    <w:uiPriority w:val="99"/>
    <w:semiHidden/>
    <w:unhideWhenUsed/>
    <w:rsid w:val="00F748E4"/>
    <w:rPr>
      <w:color w:val="605E5C"/>
      <w:shd w:val="clear" w:color="auto" w:fill="E1DFDD"/>
    </w:rPr>
  </w:style>
  <w:style w:type="character" w:styleId="Emphasis">
    <w:name w:val="Emphasis"/>
    <w:basedOn w:val="DefaultParagraphFont"/>
    <w:uiPriority w:val="20"/>
    <w:qFormat/>
    <w:rsid w:val="005A7CCD"/>
    <w:rPr>
      <w:i/>
      <w:iCs/>
    </w:rPr>
  </w:style>
  <w:style w:type="paragraph" w:styleId="Revision">
    <w:name w:val="Revision"/>
    <w:hidden/>
    <w:uiPriority w:val="99"/>
    <w:semiHidden/>
    <w:rsid w:val="00B90E71"/>
    <w:pPr>
      <w:spacing w:line="240" w:lineRule="auto"/>
    </w:pPr>
  </w:style>
  <w:style w:type="character" w:styleId="FollowedHyperlink">
    <w:name w:val="FollowedHyperlink"/>
    <w:basedOn w:val="DefaultParagraphFont"/>
    <w:uiPriority w:val="99"/>
    <w:semiHidden/>
    <w:unhideWhenUsed/>
    <w:rsid w:val="00145E73"/>
    <w:rPr>
      <w:color w:val="800080" w:themeColor="followedHyperlink"/>
      <w:u w:val="single"/>
    </w:rPr>
  </w:style>
  <w:style w:type="character" w:customStyle="1" w:styleId="UnresolvedMention">
    <w:name w:val="Unresolved Mention"/>
    <w:basedOn w:val="DefaultParagraphFont"/>
    <w:uiPriority w:val="99"/>
    <w:semiHidden/>
    <w:unhideWhenUsed/>
    <w:rsid w:val="00CD14F8"/>
    <w:rPr>
      <w:color w:val="605E5C"/>
      <w:shd w:val="clear" w:color="auto" w:fill="E1DFDD"/>
    </w:rPr>
  </w:style>
  <w:style w:type="paragraph" w:customStyle="1" w:styleId="3">
    <w:name w:val="3"/>
    <w:basedOn w:val="Heading3"/>
    <w:next w:val="Normal"/>
    <w:qFormat/>
    <w:rsid w:val="0054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40812">
      <w:bodyDiv w:val="1"/>
      <w:marLeft w:val="0"/>
      <w:marRight w:val="0"/>
      <w:marTop w:val="0"/>
      <w:marBottom w:val="0"/>
      <w:divBdr>
        <w:top w:val="none" w:sz="0" w:space="0" w:color="auto"/>
        <w:left w:val="none" w:sz="0" w:space="0" w:color="auto"/>
        <w:bottom w:val="none" w:sz="0" w:space="0" w:color="auto"/>
        <w:right w:val="none" w:sz="0" w:space="0" w:color="auto"/>
      </w:divBdr>
    </w:div>
    <w:div w:id="113447919">
      <w:bodyDiv w:val="1"/>
      <w:marLeft w:val="0"/>
      <w:marRight w:val="0"/>
      <w:marTop w:val="0"/>
      <w:marBottom w:val="0"/>
      <w:divBdr>
        <w:top w:val="none" w:sz="0" w:space="0" w:color="auto"/>
        <w:left w:val="none" w:sz="0" w:space="0" w:color="auto"/>
        <w:bottom w:val="none" w:sz="0" w:space="0" w:color="auto"/>
        <w:right w:val="none" w:sz="0" w:space="0" w:color="auto"/>
      </w:divBdr>
    </w:div>
    <w:div w:id="135681553">
      <w:bodyDiv w:val="1"/>
      <w:marLeft w:val="0"/>
      <w:marRight w:val="0"/>
      <w:marTop w:val="0"/>
      <w:marBottom w:val="0"/>
      <w:divBdr>
        <w:top w:val="none" w:sz="0" w:space="0" w:color="auto"/>
        <w:left w:val="none" w:sz="0" w:space="0" w:color="auto"/>
        <w:bottom w:val="none" w:sz="0" w:space="0" w:color="auto"/>
        <w:right w:val="none" w:sz="0" w:space="0" w:color="auto"/>
      </w:divBdr>
    </w:div>
    <w:div w:id="141779599">
      <w:bodyDiv w:val="1"/>
      <w:marLeft w:val="0"/>
      <w:marRight w:val="0"/>
      <w:marTop w:val="0"/>
      <w:marBottom w:val="0"/>
      <w:divBdr>
        <w:top w:val="none" w:sz="0" w:space="0" w:color="auto"/>
        <w:left w:val="none" w:sz="0" w:space="0" w:color="auto"/>
        <w:bottom w:val="none" w:sz="0" w:space="0" w:color="auto"/>
        <w:right w:val="none" w:sz="0" w:space="0" w:color="auto"/>
      </w:divBdr>
      <w:divsChild>
        <w:div w:id="1947034508">
          <w:marLeft w:val="0"/>
          <w:marRight w:val="0"/>
          <w:marTop w:val="0"/>
          <w:marBottom w:val="0"/>
          <w:divBdr>
            <w:top w:val="none" w:sz="0" w:space="0" w:color="auto"/>
            <w:left w:val="none" w:sz="0" w:space="0" w:color="auto"/>
            <w:bottom w:val="none" w:sz="0" w:space="0" w:color="auto"/>
            <w:right w:val="none" w:sz="0" w:space="0" w:color="auto"/>
          </w:divBdr>
          <w:divsChild>
            <w:div w:id="1760053670">
              <w:marLeft w:val="0"/>
              <w:marRight w:val="0"/>
              <w:marTop w:val="0"/>
              <w:marBottom w:val="0"/>
              <w:divBdr>
                <w:top w:val="none" w:sz="0" w:space="0" w:color="auto"/>
                <w:left w:val="none" w:sz="0" w:space="0" w:color="auto"/>
                <w:bottom w:val="none" w:sz="0" w:space="0" w:color="auto"/>
                <w:right w:val="none" w:sz="0" w:space="0" w:color="auto"/>
              </w:divBdr>
              <w:divsChild>
                <w:div w:id="9927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3843">
      <w:bodyDiv w:val="1"/>
      <w:marLeft w:val="0"/>
      <w:marRight w:val="0"/>
      <w:marTop w:val="0"/>
      <w:marBottom w:val="0"/>
      <w:divBdr>
        <w:top w:val="none" w:sz="0" w:space="0" w:color="auto"/>
        <w:left w:val="none" w:sz="0" w:space="0" w:color="auto"/>
        <w:bottom w:val="none" w:sz="0" w:space="0" w:color="auto"/>
        <w:right w:val="none" w:sz="0" w:space="0" w:color="auto"/>
      </w:divBdr>
    </w:div>
    <w:div w:id="179513837">
      <w:bodyDiv w:val="1"/>
      <w:marLeft w:val="0"/>
      <w:marRight w:val="0"/>
      <w:marTop w:val="0"/>
      <w:marBottom w:val="0"/>
      <w:divBdr>
        <w:top w:val="none" w:sz="0" w:space="0" w:color="auto"/>
        <w:left w:val="none" w:sz="0" w:space="0" w:color="auto"/>
        <w:bottom w:val="none" w:sz="0" w:space="0" w:color="auto"/>
        <w:right w:val="none" w:sz="0" w:space="0" w:color="auto"/>
      </w:divBdr>
      <w:divsChild>
        <w:div w:id="1548831579">
          <w:marLeft w:val="0"/>
          <w:marRight w:val="0"/>
          <w:marTop w:val="0"/>
          <w:marBottom w:val="0"/>
          <w:divBdr>
            <w:top w:val="none" w:sz="0" w:space="0" w:color="auto"/>
            <w:left w:val="none" w:sz="0" w:space="0" w:color="auto"/>
            <w:bottom w:val="none" w:sz="0" w:space="0" w:color="auto"/>
            <w:right w:val="none" w:sz="0" w:space="0" w:color="auto"/>
          </w:divBdr>
          <w:divsChild>
            <w:div w:id="1826895371">
              <w:marLeft w:val="0"/>
              <w:marRight w:val="0"/>
              <w:marTop w:val="0"/>
              <w:marBottom w:val="0"/>
              <w:divBdr>
                <w:top w:val="none" w:sz="0" w:space="0" w:color="auto"/>
                <w:left w:val="none" w:sz="0" w:space="0" w:color="auto"/>
                <w:bottom w:val="none" w:sz="0" w:space="0" w:color="auto"/>
                <w:right w:val="none" w:sz="0" w:space="0" w:color="auto"/>
              </w:divBdr>
              <w:divsChild>
                <w:div w:id="23142869">
                  <w:marLeft w:val="0"/>
                  <w:marRight w:val="0"/>
                  <w:marTop w:val="0"/>
                  <w:marBottom w:val="0"/>
                  <w:divBdr>
                    <w:top w:val="none" w:sz="0" w:space="0" w:color="auto"/>
                    <w:left w:val="none" w:sz="0" w:space="0" w:color="auto"/>
                    <w:bottom w:val="none" w:sz="0" w:space="0" w:color="auto"/>
                    <w:right w:val="none" w:sz="0" w:space="0" w:color="auto"/>
                  </w:divBdr>
                  <w:divsChild>
                    <w:div w:id="565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8080">
      <w:bodyDiv w:val="1"/>
      <w:marLeft w:val="0"/>
      <w:marRight w:val="0"/>
      <w:marTop w:val="0"/>
      <w:marBottom w:val="0"/>
      <w:divBdr>
        <w:top w:val="none" w:sz="0" w:space="0" w:color="auto"/>
        <w:left w:val="none" w:sz="0" w:space="0" w:color="auto"/>
        <w:bottom w:val="none" w:sz="0" w:space="0" w:color="auto"/>
        <w:right w:val="none" w:sz="0" w:space="0" w:color="auto"/>
      </w:divBdr>
    </w:div>
    <w:div w:id="225384693">
      <w:bodyDiv w:val="1"/>
      <w:marLeft w:val="0"/>
      <w:marRight w:val="0"/>
      <w:marTop w:val="0"/>
      <w:marBottom w:val="0"/>
      <w:divBdr>
        <w:top w:val="none" w:sz="0" w:space="0" w:color="auto"/>
        <w:left w:val="none" w:sz="0" w:space="0" w:color="auto"/>
        <w:bottom w:val="none" w:sz="0" w:space="0" w:color="auto"/>
        <w:right w:val="none" w:sz="0" w:space="0" w:color="auto"/>
      </w:divBdr>
    </w:div>
    <w:div w:id="243995009">
      <w:bodyDiv w:val="1"/>
      <w:marLeft w:val="0"/>
      <w:marRight w:val="0"/>
      <w:marTop w:val="0"/>
      <w:marBottom w:val="0"/>
      <w:divBdr>
        <w:top w:val="none" w:sz="0" w:space="0" w:color="auto"/>
        <w:left w:val="none" w:sz="0" w:space="0" w:color="auto"/>
        <w:bottom w:val="none" w:sz="0" w:space="0" w:color="auto"/>
        <w:right w:val="none" w:sz="0" w:space="0" w:color="auto"/>
      </w:divBdr>
      <w:divsChild>
        <w:div w:id="154998779">
          <w:marLeft w:val="0"/>
          <w:marRight w:val="0"/>
          <w:marTop w:val="0"/>
          <w:marBottom w:val="0"/>
          <w:divBdr>
            <w:top w:val="none" w:sz="0" w:space="0" w:color="auto"/>
            <w:left w:val="none" w:sz="0" w:space="0" w:color="auto"/>
            <w:bottom w:val="none" w:sz="0" w:space="0" w:color="auto"/>
            <w:right w:val="none" w:sz="0" w:space="0" w:color="auto"/>
          </w:divBdr>
        </w:div>
        <w:div w:id="830289462">
          <w:marLeft w:val="0"/>
          <w:marRight w:val="0"/>
          <w:marTop w:val="0"/>
          <w:marBottom w:val="0"/>
          <w:divBdr>
            <w:top w:val="none" w:sz="0" w:space="0" w:color="auto"/>
            <w:left w:val="none" w:sz="0" w:space="0" w:color="auto"/>
            <w:bottom w:val="none" w:sz="0" w:space="0" w:color="auto"/>
            <w:right w:val="none" w:sz="0" w:space="0" w:color="auto"/>
          </w:divBdr>
        </w:div>
        <w:div w:id="1307933021">
          <w:marLeft w:val="0"/>
          <w:marRight w:val="0"/>
          <w:marTop w:val="0"/>
          <w:marBottom w:val="0"/>
          <w:divBdr>
            <w:top w:val="none" w:sz="0" w:space="0" w:color="auto"/>
            <w:left w:val="none" w:sz="0" w:space="0" w:color="auto"/>
            <w:bottom w:val="none" w:sz="0" w:space="0" w:color="auto"/>
            <w:right w:val="none" w:sz="0" w:space="0" w:color="auto"/>
          </w:divBdr>
        </w:div>
      </w:divsChild>
    </w:div>
    <w:div w:id="271785632">
      <w:bodyDiv w:val="1"/>
      <w:marLeft w:val="0"/>
      <w:marRight w:val="0"/>
      <w:marTop w:val="0"/>
      <w:marBottom w:val="0"/>
      <w:divBdr>
        <w:top w:val="none" w:sz="0" w:space="0" w:color="auto"/>
        <w:left w:val="none" w:sz="0" w:space="0" w:color="auto"/>
        <w:bottom w:val="none" w:sz="0" w:space="0" w:color="auto"/>
        <w:right w:val="none" w:sz="0" w:space="0" w:color="auto"/>
      </w:divBdr>
      <w:divsChild>
        <w:div w:id="752315733">
          <w:marLeft w:val="0"/>
          <w:marRight w:val="0"/>
          <w:marTop w:val="0"/>
          <w:marBottom w:val="0"/>
          <w:divBdr>
            <w:top w:val="none" w:sz="0" w:space="0" w:color="auto"/>
            <w:left w:val="none" w:sz="0" w:space="0" w:color="auto"/>
            <w:bottom w:val="none" w:sz="0" w:space="0" w:color="auto"/>
            <w:right w:val="none" w:sz="0" w:space="0" w:color="auto"/>
          </w:divBdr>
          <w:divsChild>
            <w:div w:id="449278345">
              <w:marLeft w:val="0"/>
              <w:marRight w:val="0"/>
              <w:marTop w:val="0"/>
              <w:marBottom w:val="0"/>
              <w:divBdr>
                <w:top w:val="none" w:sz="0" w:space="0" w:color="auto"/>
                <w:left w:val="none" w:sz="0" w:space="0" w:color="auto"/>
                <w:bottom w:val="none" w:sz="0" w:space="0" w:color="auto"/>
                <w:right w:val="none" w:sz="0" w:space="0" w:color="auto"/>
              </w:divBdr>
              <w:divsChild>
                <w:div w:id="6856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9805">
      <w:bodyDiv w:val="1"/>
      <w:marLeft w:val="0"/>
      <w:marRight w:val="0"/>
      <w:marTop w:val="0"/>
      <w:marBottom w:val="0"/>
      <w:divBdr>
        <w:top w:val="none" w:sz="0" w:space="0" w:color="auto"/>
        <w:left w:val="none" w:sz="0" w:space="0" w:color="auto"/>
        <w:bottom w:val="none" w:sz="0" w:space="0" w:color="auto"/>
        <w:right w:val="none" w:sz="0" w:space="0" w:color="auto"/>
      </w:divBdr>
      <w:divsChild>
        <w:div w:id="2108385081">
          <w:marLeft w:val="0"/>
          <w:marRight w:val="0"/>
          <w:marTop w:val="0"/>
          <w:marBottom w:val="0"/>
          <w:divBdr>
            <w:top w:val="none" w:sz="0" w:space="0" w:color="auto"/>
            <w:left w:val="none" w:sz="0" w:space="0" w:color="auto"/>
            <w:bottom w:val="none" w:sz="0" w:space="0" w:color="auto"/>
            <w:right w:val="none" w:sz="0" w:space="0" w:color="auto"/>
          </w:divBdr>
          <w:divsChild>
            <w:div w:id="1976523896">
              <w:marLeft w:val="0"/>
              <w:marRight w:val="0"/>
              <w:marTop w:val="0"/>
              <w:marBottom w:val="0"/>
              <w:divBdr>
                <w:top w:val="none" w:sz="0" w:space="0" w:color="auto"/>
                <w:left w:val="none" w:sz="0" w:space="0" w:color="auto"/>
                <w:bottom w:val="none" w:sz="0" w:space="0" w:color="auto"/>
                <w:right w:val="none" w:sz="0" w:space="0" w:color="auto"/>
              </w:divBdr>
              <w:divsChild>
                <w:div w:id="1748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35239">
      <w:bodyDiv w:val="1"/>
      <w:marLeft w:val="0"/>
      <w:marRight w:val="0"/>
      <w:marTop w:val="0"/>
      <w:marBottom w:val="0"/>
      <w:divBdr>
        <w:top w:val="none" w:sz="0" w:space="0" w:color="auto"/>
        <w:left w:val="none" w:sz="0" w:space="0" w:color="auto"/>
        <w:bottom w:val="none" w:sz="0" w:space="0" w:color="auto"/>
        <w:right w:val="none" w:sz="0" w:space="0" w:color="auto"/>
      </w:divBdr>
      <w:divsChild>
        <w:div w:id="23137885">
          <w:marLeft w:val="0"/>
          <w:marRight w:val="0"/>
          <w:marTop w:val="0"/>
          <w:marBottom w:val="0"/>
          <w:divBdr>
            <w:top w:val="none" w:sz="0" w:space="0" w:color="auto"/>
            <w:left w:val="none" w:sz="0" w:space="0" w:color="auto"/>
            <w:bottom w:val="none" w:sz="0" w:space="0" w:color="auto"/>
            <w:right w:val="none" w:sz="0" w:space="0" w:color="auto"/>
          </w:divBdr>
          <w:divsChild>
            <w:div w:id="1365059683">
              <w:marLeft w:val="0"/>
              <w:marRight w:val="0"/>
              <w:marTop w:val="0"/>
              <w:marBottom w:val="0"/>
              <w:divBdr>
                <w:top w:val="none" w:sz="0" w:space="0" w:color="auto"/>
                <w:left w:val="none" w:sz="0" w:space="0" w:color="auto"/>
                <w:bottom w:val="none" w:sz="0" w:space="0" w:color="auto"/>
                <w:right w:val="none" w:sz="0" w:space="0" w:color="auto"/>
              </w:divBdr>
              <w:divsChild>
                <w:div w:id="939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71818">
      <w:bodyDiv w:val="1"/>
      <w:marLeft w:val="0"/>
      <w:marRight w:val="0"/>
      <w:marTop w:val="0"/>
      <w:marBottom w:val="0"/>
      <w:divBdr>
        <w:top w:val="none" w:sz="0" w:space="0" w:color="auto"/>
        <w:left w:val="none" w:sz="0" w:space="0" w:color="auto"/>
        <w:bottom w:val="none" w:sz="0" w:space="0" w:color="auto"/>
        <w:right w:val="none" w:sz="0" w:space="0" w:color="auto"/>
      </w:divBdr>
      <w:divsChild>
        <w:div w:id="934674523">
          <w:marLeft w:val="0"/>
          <w:marRight w:val="0"/>
          <w:marTop w:val="0"/>
          <w:marBottom w:val="0"/>
          <w:divBdr>
            <w:top w:val="none" w:sz="0" w:space="0" w:color="auto"/>
            <w:left w:val="none" w:sz="0" w:space="0" w:color="auto"/>
            <w:bottom w:val="none" w:sz="0" w:space="0" w:color="auto"/>
            <w:right w:val="none" w:sz="0" w:space="0" w:color="auto"/>
          </w:divBdr>
          <w:divsChild>
            <w:div w:id="1248227938">
              <w:marLeft w:val="0"/>
              <w:marRight w:val="0"/>
              <w:marTop w:val="0"/>
              <w:marBottom w:val="0"/>
              <w:divBdr>
                <w:top w:val="none" w:sz="0" w:space="0" w:color="auto"/>
                <w:left w:val="none" w:sz="0" w:space="0" w:color="auto"/>
                <w:bottom w:val="none" w:sz="0" w:space="0" w:color="auto"/>
                <w:right w:val="none" w:sz="0" w:space="0" w:color="auto"/>
              </w:divBdr>
              <w:divsChild>
                <w:div w:id="13312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8607">
      <w:bodyDiv w:val="1"/>
      <w:marLeft w:val="0"/>
      <w:marRight w:val="0"/>
      <w:marTop w:val="0"/>
      <w:marBottom w:val="0"/>
      <w:divBdr>
        <w:top w:val="none" w:sz="0" w:space="0" w:color="auto"/>
        <w:left w:val="none" w:sz="0" w:space="0" w:color="auto"/>
        <w:bottom w:val="none" w:sz="0" w:space="0" w:color="auto"/>
        <w:right w:val="none" w:sz="0" w:space="0" w:color="auto"/>
      </w:divBdr>
      <w:divsChild>
        <w:div w:id="1175919789">
          <w:marLeft w:val="0"/>
          <w:marRight w:val="0"/>
          <w:marTop w:val="0"/>
          <w:marBottom w:val="0"/>
          <w:divBdr>
            <w:top w:val="none" w:sz="0" w:space="0" w:color="auto"/>
            <w:left w:val="none" w:sz="0" w:space="0" w:color="auto"/>
            <w:bottom w:val="none" w:sz="0" w:space="0" w:color="auto"/>
            <w:right w:val="none" w:sz="0" w:space="0" w:color="auto"/>
          </w:divBdr>
          <w:divsChild>
            <w:div w:id="1917587185">
              <w:marLeft w:val="0"/>
              <w:marRight w:val="0"/>
              <w:marTop w:val="0"/>
              <w:marBottom w:val="0"/>
              <w:divBdr>
                <w:top w:val="none" w:sz="0" w:space="0" w:color="auto"/>
                <w:left w:val="none" w:sz="0" w:space="0" w:color="auto"/>
                <w:bottom w:val="none" w:sz="0" w:space="0" w:color="auto"/>
                <w:right w:val="none" w:sz="0" w:space="0" w:color="auto"/>
              </w:divBdr>
              <w:divsChild>
                <w:div w:id="10500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58630">
      <w:bodyDiv w:val="1"/>
      <w:marLeft w:val="0"/>
      <w:marRight w:val="0"/>
      <w:marTop w:val="0"/>
      <w:marBottom w:val="0"/>
      <w:divBdr>
        <w:top w:val="none" w:sz="0" w:space="0" w:color="auto"/>
        <w:left w:val="none" w:sz="0" w:space="0" w:color="auto"/>
        <w:bottom w:val="none" w:sz="0" w:space="0" w:color="auto"/>
        <w:right w:val="none" w:sz="0" w:space="0" w:color="auto"/>
      </w:divBdr>
      <w:divsChild>
        <w:div w:id="1559972833">
          <w:marLeft w:val="0"/>
          <w:marRight w:val="0"/>
          <w:marTop w:val="0"/>
          <w:marBottom w:val="0"/>
          <w:divBdr>
            <w:top w:val="none" w:sz="0" w:space="0" w:color="auto"/>
            <w:left w:val="none" w:sz="0" w:space="0" w:color="auto"/>
            <w:bottom w:val="none" w:sz="0" w:space="0" w:color="auto"/>
            <w:right w:val="none" w:sz="0" w:space="0" w:color="auto"/>
          </w:divBdr>
          <w:divsChild>
            <w:div w:id="371806883">
              <w:marLeft w:val="0"/>
              <w:marRight w:val="0"/>
              <w:marTop w:val="0"/>
              <w:marBottom w:val="0"/>
              <w:divBdr>
                <w:top w:val="none" w:sz="0" w:space="0" w:color="auto"/>
                <w:left w:val="none" w:sz="0" w:space="0" w:color="auto"/>
                <w:bottom w:val="none" w:sz="0" w:space="0" w:color="auto"/>
                <w:right w:val="none" w:sz="0" w:space="0" w:color="auto"/>
              </w:divBdr>
              <w:divsChild>
                <w:div w:id="1439520558">
                  <w:marLeft w:val="0"/>
                  <w:marRight w:val="0"/>
                  <w:marTop w:val="0"/>
                  <w:marBottom w:val="0"/>
                  <w:divBdr>
                    <w:top w:val="none" w:sz="0" w:space="0" w:color="auto"/>
                    <w:left w:val="none" w:sz="0" w:space="0" w:color="auto"/>
                    <w:bottom w:val="none" w:sz="0" w:space="0" w:color="auto"/>
                    <w:right w:val="none" w:sz="0" w:space="0" w:color="auto"/>
                  </w:divBdr>
                  <w:divsChild>
                    <w:div w:id="13693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1757">
      <w:bodyDiv w:val="1"/>
      <w:marLeft w:val="0"/>
      <w:marRight w:val="0"/>
      <w:marTop w:val="0"/>
      <w:marBottom w:val="0"/>
      <w:divBdr>
        <w:top w:val="none" w:sz="0" w:space="0" w:color="auto"/>
        <w:left w:val="none" w:sz="0" w:space="0" w:color="auto"/>
        <w:bottom w:val="none" w:sz="0" w:space="0" w:color="auto"/>
        <w:right w:val="none" w:sz="0" w:space="0" w:color="auto"/>
      </w:divBdr>
    </w:div>
    <w:div w:id="661080741">
      <w:bodyDiv w:val="1"/>
      <w:marLeft w:val="0"/>
      <w:marRight w:val="0"/>
      <w:marTop w:val="0"/>
      <w:marBottom w:val="0"/>
      <w:divBdr>
        <w:top w:val="none" w:sz="0" w:space="0" w:color="auto"/>
        <w:left w:val="none" w:sz="0" w:space="0" w:color="auto"/>
        <w:bottom w:val="none" w:sz="0" w:space="0" w:color="auto"/>
        <w:right w:val="none" w:sz="0" w:space="0" w:color="auto"/>
      </w:divBdr>
      <w:divsChild>
        <w:div w:id="13578504">
          <w:marLeft w:val="0"/>
          <w:marRight w:val="0"/>
          <w:marTop w:val="0"/>
          <w:marBottom w:val="0"/>
          <w:divBdr>
            <w:top w:val="none" w:sz="0" w:space="0" w:color="auto"/>
            <w:left w:val="none" w:sz="0" w:space="0" w:color="auto"/>
            <w:bottom w:val="none" w:sz="0" w:space="0" w:color="auto"/>
            <w:right w:val="none" w:sz="0" w:space="0" w:color="auto"/>
          </w:divBdr>
        </w:div>
        <w:div w:id="725103613">
          <w:marLeft w:val="0"/>
          <w:marRight w:val="0"/>
          <w:marTop w:val="0"/>
          <w:marBottom w:val="0"/>
          <w:divBdr>
            <w:top w:val="none" w:sz="0" w:space="0" w:color="auto"/>
            <w:left w:val="none" w:sz="0" w:space="0" w:color="auto"/>
            <w:bottom w:val="none" w:sz="0" w:space="0" w:color="auto"/>
            <w:right w:val="none" w:sz="0" w:space="0" w:color="auto"/>
          </w:divBdr>
        </w:div>
        <w:div w:id="871116240">
          <w:marLeft w:val="0"/>
          <w:marRight w:val="0"/>
          <w:marTop w:val="0"/>
          <w:marBottom w:val="0"/>
          <w:divBdr>
            <w:top w:val="none" w:sz="0" w:space="0" w:color="auto"/>
            <w:left w:val="none" w:sz="0" w:space="0" w:color="auto"/>
            <w:bottom w:val="none" w:sz="0" w:space="0" w:color="auto"/>
            <w:right w:val="none" w:sz="0" w:space="0" w:color="auto"/>
          </w:divBdr>
        </w:div>
      </w:divsChild>
    </w:div>
    <w:div w:id="705256114">
      <w:bodyDiv w:val="1"/>
      <w:marLeft w:val="0"/>
      <w:marRight w:val="0"/>
      <w:marTop w:val="0"/>
      <w:marBottom w:val="0"/>
      <w:divBdr>
        <w:top w:val="none" w:sz="0" w:space="0" w:color="auto"/>
        <w:left w:val="none" w:sz="0" w:space="0" w:color="auto"/>
        <w:bottom w:val="none" w:sz="0" w:space="0" w:color="auto"/>
        <w:right w:val="none" w:sz="0" w:space="0" w:color="auto"/>
      </w:divBdr>
      <w:divsChild>
        <w:div w:id="430322225">
          <w:marLeft w:val="0"/>
          <w:marRight w:val="0"/>
          <w:marTop w:val="0"/>
          <w:marBottom w:val="0"/>
          <w:divBdr>
            <w:top w:val="none" w:sz="0" w:space="0" w:color="auto"/>
            <w:left w:val="none" w:sz="0" w:space="0" w:color="auto"/>
            <w:bottom w:val="none" w:sz="0" w:space="0" w:color="auto"/>
            <w:right w:val="none" w:sz="0" w:space="0" w:color="auto"/>
          </w:divBdr>
          <w:divsChild>
            <w:div w:id="556354396">
              <w:marLeft w:val="0"/>
              <w:marRight w:val="0"/>
              <w:marTop w:val="0"/>
              <w:marBottom w:val="0"/>
              <w:divBdr>
                <w:top w:val="none" w:sz="0" w:space="0" w:color="auto"/>
                <w:left w:val="none" w:sz="0" w:space="0" w:color="auto"/>
                <w:bottom w:val="none" w:sz="0" w:space="0" w:color="auto"/>
                <w:right w:val="none" w:sz="0" w:space="0" w:color="auto"/>
              </w:divBdr>
              <w:divsChild>
                <w:div w:id="10694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96552">
      <w:bodyDiv w:val="1"/>
      <w:marLeft w:val="0"/>
      <w:marRight w:val="0"/>
      <w:marTop w:val="0"/>
      <w:marBottom w:val="0"/>
      <w:divBdr>
        <w:top w:val="none" w:sz="0" w:space="0" w:color="auto"/>
        <w:left w:val="none" w:sz="0" w:space="0" w:color="auto"/>
        <w:bottom w:val="none" w:sz="0" w:space="0" w:color="auto"/>
        <w:right w:val="none" w:sz="0" w:space="0" w:color="auto"/>
      </w:divBdr>
      <w:divsChild>
        <w:div w:id="547452013">
          <w:marLeft w:val="0"/>
          <w:marRight w:val="0"/>
          <w:marTop w:val="0"/>
          <w:marBottom w:val="0"/>
          <w:divBdr>
            <w:top w:val="none" w:sz="0" w:space="0" w:color="auto"/>
            <w:left w:val="none" w:sz="0" w:space="0" w:color="auto"/>
            <w:bottom w:val="none" w:sz="0" w:space="0" w:color="auto"/>
            <w:right w:val="none" w:sz="0" w:space="0" w:color="auto"/>
          </w:divBdr>
          <w:divsChild>
            <w:div w:id="1893734476">
              <w:marLeft w:val="0"/>
              <w:marRight w:val="0"/>
              <w:marTop w:val="0"/>
              <w:marBottom w:val="0"/>
              <w:divBdr>
                <w:top w:val="none" w:sz="0" w:space="0" w:color="auto"/>
                <w:left w:val="none" w:sz="0" w:space="0" w:color="auto"/>
                <w:bottom w:val="none" w:sz="0" w:space="0" w:color="auto"/>
                <w:right w:val="none" w:sz="0" w:space="0" w:color="auto"/>
              </w:divBdr>
              <w:divsChild>
                <w:div w:id="9063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4271">
      <w:bodyDiv w:val="1"/>
      <w:marLeft w:val="0"/>
      <w:marRight w:val="0"/>
      <w:marTop w:val="0"/>
      <w:marBottom w:val="0"/>
      <w:divBdr>
        <w:top w:val="none" w:sz="0" w:space="0" w:color="auto"/>
        <w:left w:val="none" w:sz="0" w:space="0" w:color="auto"/>
        <w:bottom w:val="none" w:sz="0" w:space="0" w:color="auto"/>
        <w:right w:val="none" w:sz="0" w:space="0" w:color="auto"/>
      </w:divBdr>
      <w:divsChild>
        <w:div w:id="1069309396">
          <w:marLeft w:val="0"/>
          <w:marRight w:val="0"/>
          <w:marTop w:val="0"/>
          <w:marBottom w:val="0"/>
          <w:divBdr>
            <w:top w:val="none" w:sz="0" w:space="0" w:color="auto"/>
            <w:left w:val="none" w:sz="0" w:space="0" w:color="auto"/>
            <w:bottom w:val="none" w:sz="0" w:space="0" w:color="auto"/>
            <w:right w:val="none" w:sz="0" w:space="0" w:color="auto"/>
          </w:divBdr>
          <w:divsChild>
            <w:div w:id="470756310">
              <w:marLeft w:val="0"/>
              <w:marRight w:val="0"/>
              <w:marTop w:val="0"/>
              <w:marBottom w:val="0"/>
              <w:divBdr>
                <w:top w:val="none" w:sz="0" w:space="0" w:color="auto"/>
                <w:left w:val="none" w:sz="0" w:space="0" w:color="auto"/>
                <w:bottom w:val="none" w:sz="0" w:space="0" w:color="auto"/>
                <w:right w:val="none" w:sz="0" w:space="0" w:color="auto"/>
              </w:divBdr>
              <w:divsChild>
                <w:div w:id="31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61624">
      <w:bodyDiv w:val="1"/>
      <w:marLeft w:val="0"/>
      <w:marRight w:val="0"/>
      <w:marTop w:val="0"/>
      <w:marBottom w:val="0"/>
      <w:divBdr>
        <w:top w:val="none" w:sz="0" w:space="0" w:color="auto"/>
        <w:left w:val="none" w:sz="0" w:space="0" w:color="auto"/>
        <w:bottom w:val="none" w:sz="0" w:space="0" w:color="auto"/>
        <w:right w:val="none" w:sz="0" w:space="0" w:color="auto"/>
      </w:divBdr>
      <w:divsChild>
        <w:div w:id="1278371408">
          <w:marLeft w:val="0"/>
          <w:marRight w:val="0"/>
          <w:marTop w:val="0"/>
          <w:marBottom w:val="0"/>
          <w:divBdr>
            <w:top w:val="none" w:sz="0" w:space="0" w:color="auto"/>
            <w:left w:val="none" w:sz="0" w:space="0" w:color="auto"/>
            <w:bottom w:val="none" w:sz="0" w:space="0" w:color="auto"/>
            <w:right w:val="none" w:sz="0" w:space="0" w:color="auto"/>
          </w:divBdr>
          <w:divsChild>
            <w:div w:id="1828862588">
              <w:marLeft w:val="0"/>
              <w:marRight w:val="0"/>
              <w:marTop w:val="0"/>
              <w:marBottom w:val="0"/>
              <w:divBdr>
                <w:top w:val="none" w:sz="0" w:space="0" w:color="auto"/>
                <w:left w:val="none" w:sz="0" w:space="0" w:color="auto"/>
                <w:bottom w:val="none" w:sz="0" w:space="0" w:color="auto"/>
                <w:right w:val="none" w:sz="0" w:space="0" w:color="auto"/>
              </w:divBdr>
              <w:divsChild>
                <w:div w:id="17665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0090">
      <w:bodyDiv w:val="1"/>
      <w:marLeft w:val="0"/>
      <w:marRight w:val="0"/>
      <w:marTop w:val="0"/>
      <w:marBottom w:val="0"/>
      <w:divBdr>
        <w:top w:val="none" w:sz="0" w:space="0" w:color="auto"/>
        <w:left w:val="none" w:sz="0" w:space="0" w:color="auto"/>
        <w:bottom w:val="none" w:sz="0" w:space="0" w:color="auto"/>
        <w:right w:val="none" w:sz="0" w:space="0" w:color="auto"/>
      </w:divBdr>
    </w:div>
    <w:div w:id="977300624">
      <w:bodyDiv w:val="1"/>
      <w:marLeft w:val="0"/>
      <w:marRight w:val="0"/>
      <w:marTop w:val="0"/>
      <w:marBottom w:val="0"/>
      <w:divBdr>
        <w:top w:val="none" w:sz="0" w:space="0" w:color="auto"/>
        <w:left w:val="none" w:sz="0" w:space="0" w:color="auto"/>
        <w:bottom w:val="none" w:sz="0" w:space="0" w:color="auto"/>
        <w:right w:val="none" w:sz="0" w:space="0" w:color="auto"/>
      </w:divBdr>
      <w:divsChild>
        <w:div w:id="84965129">
          <w:marLeft w:val="0"/>
          <w:marRight w:val="0"/>
          <w:marTop w:val="0"/>
          <w:marBottom w:val="0"/>
          <w:divBdr>
            <w:top w:val="none" w:sz="0" w:space="0" w:color="auto"/>
            <w:left w:val="none" w:sz="0" w:space="0" w:color="auto"/>
            <w:bottom w:val="none" w:sz="0" w:space="0" w:color="auto"/>
            <w:right w:val="none" w:sz="0" w:space="0" w:color="auto"/>
          </w:divBdr>
          <w:divsChild>
            <w:div w:id="954824886">
              <w:marLeft w:val="0"/>
              <w:marRight w:val="0"/>
              <w:marTop w:val="0"/>
              <w:marBottom w:val="0"/>
              <w:divBdr>
                <w:top w:val="none" w:sz="0" w:space="0" w:color="auto"/>
                <w:left w:val="none" w:sz="0" w:space="0" w:color="auto"/>
                <w:bottom w:val="none" w:sz="0" w:space="0" w:color="auto"/>
                <w:right w:val="none" w:sz="0" w:space="0" w:color="auto"/>
              </w:divBdr>
              <w:divsChild>
                <w:div w:id="10194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320">
      <w:bodyDiv w:val="1"/>
      <w:marLeft w:val="0"/>
      <w:marRight w:val="0"/>
      <w:marTop w:val="0"/>
      <w:marBottom w:val="0"/>
      <w:divBdr>
        <w:top w:val="none" w:sz="0" w:space="0" w:color="auto"/>
        <w:left w:val="none" w:sz="0" w:space="0" w:color="auto"/>
        <w:bottom w:val="none" w:sz="0" w:space="0" w:color="auto"/>
        <w:right w:val="none" w:sz="0" w:space="0" w:color="auto"/>
      </w:divBdr>
      <w:divsChild>
        <w:div w:id="838159507">
          <w:marLeft w:val="0"/>
          <w:marRight w:val="0"/>
          <w:marTop w:val="0"/>
          <w:marBottom w:val="0"/>
          <w:divBdr>
            <w:top w:val="none" w:sz="0" w:space="0" w:color="auto"/>
            <w:left w:val="none" w:sz="0" w:space="0" w:color="auto"/>
            <w:bottom w:val="none" w:sz="0" w:space="0" w:color="auto"/>
            <w:right w:val="none" w:sz="0" w:space="0" w:color="auto"/>
          </w:divBdr>
          <w:divsChild>
            <w:div w:id="553780736">
              <w:marLeft w:val="0"/>
              <w:marRight w:val="0"/>
              <w:marTop w:val="0"/>
              <w:marBottom w:val="0"/>
              <w:divBdr>
                <w:top w:val="none" w:sz="0" w:space="0" w:color="auto"/>
                <w:left w:val="none" w:sz="0" w:space="0" w:color="auto"/>
                <w:bottom w:val="none" w:sz="0" w:space="0" w:color="auto"/>
                <w:right w:val="none" w:sz="0" w:space="0" w:color="auto"/>
              </w:divBdr>
              <w:divsChild>
                <w:div w:id="9239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5751">
      <w:bodyDiv w:val="1"/>
      <w:marLeft w:val="0"/>
      <w:marRight w:val="0"/>
      <w:marTop w:val="0"/>
      <w:marBottom w:val="0"/>
      <w:divBdr>
        <w:top w:val="none" w:sz="0" w:space="0" w:color="auto"/>
        <w:left w:val="none" w:sz="0" w:space="0" w:color="auto"/>
        <w:bottom w:val="none" w:sz="0" w:space="0" w:color="auto"/>
        <w:right w:val="none" w:sz="0" w:space="0" w:color="auto"/>
      </w:divBdr>
      <w:divsChild>
        <w:div w:id="1864201259">
          <w:marLeft w:val="0"/>
          <w:marRight w:val="0"/>
          <w:marTop w:val="0"/>
          <w:marBottom w:val="0"/>
          <w:divBdr>
            <w:top w:val="none" w:sz="0" w:space="0" w:color="auto"/>
            <w:left w:val="none" w:sz="0" w:space="0" w:color="auto"/>
            <w:bottom w:val="none" w:sz="0" w:space="0" w:color="auto"/>
            <w:right w:val="none" w:sz="0" w:space="0" w:color="auto"/>
          </w:divBdr>
          <w:divsChild>
            <w:div w:id="1353075016">
              <w:marLeft w:val="0"/>
              <w:marRight w:val="0"/>
              <w:marTop w:val="0"/>
              <w:marBottom w:val="0"/>
              <w:divBdr>
                <w:top w:val="none" w:sz="0" w:space="0" w:color="auto"/>
                <w:left w:val="none" w:sz="0" w:space="0" w:color="auto"/>
                <w:bottom w:val="none" w:sz="0" w:space="0" w:color="auto"/>
                <w:right w:val="none" w:sz="0" w:space="0" w:color="auto"/>
              </w:divBdr>
              <w:divsChild>
                <w:div w:id="52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6527">
      <w:bodyDiv w:val="1"/>
      <w:marLeft w:val="0"/>
      <w:marRight w:val="0"/>
      <w:marTop w:val="0"/>
      <w:marBottom w:val="0"/>
      <w:divBdr>
        <w:top w:val="none" w:sz="0" w:space="0" w:color="auto"/>
        <w:left w:val="none" w:sz="0" w:space="0" w:color="auto"/>
        <w:bottom w:val="none" w:sz="0" w:space="0" w:color="auto"/>
        <w:right w:val="none" w:sz="0" w:space="0" w:color="auto"/>
      </w:divBdr>
    </w:div>
    <w:div w:id="1100881329">
      <w:bodyDiv w:val="1"/>
      <w:marLeft w:val="0"/>
      <w:marRight w:val="0"/>
      <w:marTop w:val="0"/>
      <w:marBottom w:val="0"/>
      <w:divBdr>
        <w:top w:val="none" w:sz="0" w:space="0" w:color="auto"/>
        <w:left w:val="none" w:sz="0" w:space="0" w:color="auto"/>
        <w:bottom w:val="none" w:sz="0" w:space="0" w:color="auto"/>
        <w:right w:val="none" w:sz="0" w:space="0" w:color="auto"/>
      </w:divBdr>
      <w:divsChild>
        <w:div w:id="488715273">
          <w:marLeft w:val="0"/>
          <w:marRight w:val="0"/>
          <w:marTop w:val="0"/>
          <w:marBottom w:val="0"/>
          <w:divBdr>
            <w:top w:val="none" w:sz="0" w:space="0" w:color="auto"/>
            <w:left w:val="none" w:sz="0" w:space="0" w:color="auto"/>
            <w:bottom w:val="none" w:sz="0" w:space="0" w:color="auto"/>
            <w:right w:val="none" w:sz="0" w:space="0" w:color="auto"/>
          </w:divBdr>
          <w:divsChild>
            <w:div w:id="1544753848">
              <w:marLeft w:val="0"/>
              <w:marRight w:val="0"/>
              <w:marTop w:val="0"/>
              <w:marBottom w:val="0"/>
              <w:divBdr>
                <w:top w:val="none" w:sz="0" w:space="0" w:color="auto"/>
                <w:left w:val="none" w:sz="0" w:space="0" w:color="auto"/>
                <w:bottom w:val="none" w:sz="0" w:space="0" w:color="auto"/>
                <w:right w:val="none" w:sz="0" w:space="0" w:color="auto"/>
              </w:divBdr>
              <w:divsChild>
                <w:div w:id="17677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01011">
      <w:bodyDiv w:val="1"/>
      <w:marLeft w:val="0"/>
      <w:marRight w:val="0"/>
      <w:marTop w:val="0"/>
      <w:marBottom w:val="0"/>
      <w:divBdr>
        <w:top w:val="none" w:sz="0" w:space="0" w:color="auto"/>
        <w:left w:val="none" w:sz="0" w:space="0" w:color="auto"/>
        <w:bottom w:val="none" w:sz="0" w:space="0" w:color="auto"/>
        <w:right w:val="none" w:sz="0" w:space="0" w:color="auto"/>
      </w:divBdr>
      <w:divsChild>
        <w:div w:id="1474255850">
          <w:marLeft w:val="0"/>
          <w:marRight w:val="0"/>
          <w:marTop w:val="0"/>
          <w:marBottom w:val="0"/>
          <w:divBdr>
            <w:top w:val="none" w:sz="0" w:space="0" w:color="auto"/>
            <w:left w:val="none" w:sz="0" w:space="0" w:color="auto"/>
            <w:bottom w:val="none" w:sz="0" w:space="0" w:color="auto"/>
            <w:right w:val="none" w:sz="0" w:space="0" w:color="auto"/>
          </w:divBdr>
          <w:divsChild>
            <w:div w:id="2039888115">
              <w:marLeft w:val="0"/>
              <w:marRight w:val="0"/>
              <w:marTop w:val="0"/>
              <w:marBottom w:val="0"/>
              <w:divBdr>
                <w:top w:val="none" w:sz="0" w:space="0" w:color="auto"/>
                <w:left w:val="none" w:sz="0" w:space="0" w:color="auto"/>
                <w:bottom w:val="none" w:sz="0" w:space="0" w:color="auto"/>
                <w:right w:val="none" w:sz="0" w:space="0" w:color="auto"/>
              </w:divBdr>
              <w:divsChild>
                <w:div w:id="17662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8871">
      <w:bodyDiv w:val="1"/>
      <w:marLeft w:val="0"/>
      <w:marRight w:val="0"/>
      <w:marTop w:val="0"/>
      <w:marBottom w:val="0"/>
      <w:divBdr>
        <w:top w:val="none" w:sz="0" w:space="0" w:color="auto"/>
        <w:left w:val="none" w:sz="0" w:space="0" w:color="auto"/>
        <w:bottom w:val="none" w:sz="0" w:space="0" w:color="auto"/>
        <w:right w:val="none" w:sz="0" w:space="0" w:color="auto"/>
      </w:divBdr>
      <w:divsChild>
        <w:div w:id="575626942">
          <w:marLeft w:val="0"/>
          <w:marRight w:val="0"/>
          <w:marTop w:val="0"/>
          <w:marBottom w:val="0"/>
          <w:divBdr>
            <w:top w:val="none" w:sz="0" w:space="0" w:color="auto"/>
            <w:left w:val="none" w:sz="0" w:space="0" w:color="auto"/>
            <w:bottom w:val="none" w:sz="0" w:space="0" w:color="auto"/>
            <w:right w:val="none" w:sz="0" w:space="0" w:color="auto"/>
          </w:divBdr>
          <w:divsChild>
            <w:div w:id="402800425">
              <w:marLeft w:val="0"/>
              <w:marRight w:val="0"/>
              <w:marTop w:val="0"/>
              <w:marBottom w:val="0"/>
              <w:divBdr>
                <w:top w:val="none" w:sz="0" w:space="0" w:color="auto"/>
                <w:left w:val="none" w:sz="0" w:space="0" w:color="auto"/>
                <w:bottom w:val="none" w:sz="0" w:space="0" w:color="auto"/>
                <w:right w:val="none" w:sz="0" w:space="0" w:color="auto"/>
              </w:divBdr>
              <w:divsChild>
                <w:div w:id="9916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1480">
      <w:bodyDiv w:val="1"/>
      <w:marLeft w:val="0"/>
      <w:marRight w:val="0"/>
      <w:marTop w:val="0"/>
      <w:marBottom w:val="0"/>
      <w:divBdr>
        <w:top w:val="none" w:sz="0" w:space="0" w:color="auto"/>
        <w:left w:val="none" w:sz="0" w:space="0" w:color="auto"/>
        <w:bottom w:val="none" w:sz="0" w:space="0" w:color="auto"/>
        <w:right w:val="none" w:sz="0" w:space="0" w:color="auto"/>
      </w:divBdr>
      <w:divsChild>
        <w:div w:id="25569458">
          <w:marLeft w:val="0"/>
          <w:marRight w:val="0"/>
          <w:marTop w:val="0"/>
          <w:marBottom w:val="0"/>
          <w:divBdr>
            <w:top w:val="none" w:sz="0" w:space="0" w:color="auto"/>
            <w:left w:val="none" w:sz="0" w:space="0" w:color="auto"/>
            <w:bottom w:val="none" w:sz="0" w:space="0" w:color="auto"/>
            <w:right w:val="none" w:sz="0" w:space="0" w:color="auto"/>
          </w:divBdr>
          <w:divsChild>
            <w:div w:id="700476687">
              <w:marLeft w:val="0"/>
              <w:marRight w:val="0"/>
              <w:marTop w:val="0"/>
              <w:marBottom w:val="0"/>
              <w:divBdr>
                <w:top w:val="none" w:sz="0" w:space="0" w:color="auto"/>
                <w:left w:val="none" w:sz="0" w:space="0" w:color="auto"/>
                <w:bottom w:val="none" w:sz="0" w:space="0" w:color="auto"/>
                <w:right w:val="none" w:sz="0" w:space="0" w:color="auto"/>
              </w:divBdr>
              <w:divsChild>
                <w:div w:id="18265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17853">
      <w:bodyDiv w:val="1"/>
      <w:marLeft w:val="0"/>
      <w:marRight w:val="0"/>
      <w:marTop w:val="0"/>
      <w:marBottom w:val="0"/>
      <w:divBdr>
        <w:top w:val="none" w:sz="0" w:space="0" w:color="auto"/>
        <w:left w:val="none" w:sz="0" w:space="0" w:color="auto"/>
        <w:bottom w:val="none" w:sz="0" w:space="0" w:color="auto"/>
        <w:right w:val="none" w:sz="0" w:space="0" w:color="auto"/>
      </w:divBdr>
      <w:divsChild>
        <w:div w:id="1914657476">
          <w:marLeft w:val="0"/>
          <w:marRight w:val="0"/>
          <w:marTop w:val="0"/>
          <w:marBottom w:val="0"/>
          <w:divBdr>
            <w:top w:val="none" w:sz="0" w:space="0" w:color="auto"/>
            <w:left w:val="none" w:sz="0" w:space="0" w:color="auto"/>
            <w:bottom w:val="none" w:sz="0" w:space="0" w:color="auto"/>
            <w:right w:val="none" w:sz="0" w:space="0" w:color="auto"/>
          </w:divBdr>
          <w:divsChild>
            <w:div w:id="786775754">
              <w:marLeft w:val="0"/>
              <w:marRight w:val="0"/>
              <w:marTop w:val="0"/>
              <w:marBottom w:val="0"/>
              <w:divBdr>
                <w:top w:val="none" w:sz="0" w:space="0" w:color="auto"/>
                <w:left w:val="none" w:sz="0" w:space="0" w:color="auto"/>
                <w:bottom w:val="none" w:sz="0" w:space="0" w:color="auto"/>
                <w:right w:val="none" w:sz="0" w:space="0" w:color="auto"/>
              </w:divBdr>
              <w:divsChild>
                <w:div w:id="4688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95511">
      <w:bodyDiv w:val="1"/>
      <w:marLeft w:val="0"/>
      <w:marRight w:val="0"/>
      <w:marTop w:val="0"/>
      <w:marBottom w:val="0"/>
      <w:divBdr>
        <w:top w:val="none" w:sz="0" w:space="0" w:color="auto"/>
        <w:left w:val="none" w:sz="0" w:space="0" w:color="auto"/>
        <w:bottom w:val="none" w:sz="0" w:space="0" w:color="auto"/>
        <w:right w:val="none" w:sz="0" w:space="0" w:color="auto"/>
      </w:divBdr>
      <w:divsChild>
        <w:div w:id="201333910">
          <w:marLeft w:val="0"/>
          <w:marRight w:val="0"/>
          <w:marTop w:val="0"/>
          <w:marBottom w:val="0"/>
          <w:divBdr>
            <w:top w:val="none" w:sz="0" w:space="0" w:color="auto"/>
            <w:left w:val="none" w:sz="0" w:space="0" w:color="auto"/>
            <w:bottom w:val="none" w:sz="0" w:space="0" w:color="auto"/>
            <w:right w:val="none" w:sz="0" w:space="0" w:color="auto"/>
          </w:divBdr>
          <w:divsChild>
            <w:div w:id="84884715">
              <w:marLeft w:val="0"/>
              <w:marRight w:val="0"/>
              <w:marTop w:val="0"/>
              <w:marBottom w:val="0"/>
              <w:divBdr>
                <w:top w:val="none" w:sz="0" w:space="0" w:color="auto"/>
                <w:left w:val="none" w:sz="0" w:space="0" w:color="auto"/>
                <w:bottom w:val="none" w:sz="0" w:space="0" w:color="auto"/>
                <w:right w:val="none" w:sz="0" w:space="0" w:color="auto"/>
              </w:divBdr>
              <w:divsChild>
                <w:div w:id="8143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8498">
      <w:bodyDiv w:val="1"/>
      <w:marLeft w:val="0"/>
      <w:marRight w:val="0"/>
      <w:marTop w:val="0"/>
      <w:marBottom w:val="0"/>
      <w:divBdr>
        <w:top w:val="none" w:sz="0" w:space="0" w:color="auto"/>
        <w:left w:val="none" w:sz="0" w:space="0" w:color="auto"/>
        <w:bottom w:val="none" w:sz="0" w:space="0" w:color="auto"/>
        <w:right w:val="none" w:sz="0" w:space="0" w:color="auto"/>
      </w:divBdr>
    </w:div>
    <w:div w:id="1247036170">
      <w:bodyDiv w:val="1"/>
      <w:marLeft w:val="0"/>
      <w:marRight w:val="0"/>
      <w:marTop w:val="0"/>
      <w:marBottom w:val="0"/>
      <w:divBdr>
        <w:top w:val="none" w:sz="0" w:space="0" w:color="auto"/>
        <w:left w:val="none" w:sz="0" w:space="0" w:color="auto"/>
        <w:bottom w:val="none" w:sz="0" w:space="0" w:color="auto"/>
        <w:right w:val="none" w:sz="0" w:space="0" w:color="auto"/>
      </w:divBdr>
    </w:div>
    <w:div w:id="1258438058">
      <w:bodyDiv w:val="1"/>
      <w:marLeft w:val="0"/>
      <w:marRight w:val="0"/>
      <w:marTop w:val="0"/>
      <w:marBottom w:val="0"/>
      <w:divBdr>
        <w:top w:val="none" w:sz="0" w:space="0" w:color="auto"/>
        <w:left w:val="none" w:sz="0" w:space="0" w:color="auto"/>
        <w:bottom w:val="none" w:sz="0" w:space="0" w:color="auto"/>
        <w:right w:val="none" w:sz="0" w:space="0" w:color="auto"/>
      </w:divBdr>
      <w:divsChild>
        <w:div w:id="1887982513">
          <w:marLeft w:val="0"/>
          <w:marRight w:val="0"/>
          <w:marTop w:val="0"/>
          <w:marBottom w:val="0"/>
          <w:divBdr>
            <w:top w:val="none" w:sz="0" w:space="0" w:color="auto"/>
            <w:left w:val="none" w:sz="0" w:space="0" w:color="auto"/>
            <w:bottom w:val="none" w:sz="0" w:space="0" w:color="auto"/>
            <w:right w:val="none" w:sz="0" w:space="0" w:color="auto"/>
          </w:divBdr>
          <w:divsChild>
            <w:div w:id="258876738">
              <w:marLeft w:val="0"/>
              <w:marRight w:val="0"/>
              <w:marTop w:val="0"/>
              <w:marBottom w:val="0"/>
              <w:divBdr>
                <w:top w:val="none" w:sz="0" w:space="0" w:color="auto"/>
                <w:left w:val="none" w:sz="0" w:space="0" w:color="auto"/>
                <w:bottom w:val="none" w:sz="0" w:space="0" w:color="auto"/>
                <w:right w:val="none" w:sz="0" w:space="0" w:color="auto"/>
              </w:divBdr>
              <w:divsChild>
                <w:div w:id="185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9060">
      <w:bodyDiv w:val="1"/>
      <w:marLeft w:val="0"/>
      <w:marRight w:val="0"/>
      <w:marTop w:val="0"/>
      <w:marBottom w:val="0"/>
      <w:divBdr>
        <w:top w:val="none" w:sz="0" w:space="0" w:color="auto"/>
        <w:left w:val="none" w:sz="0" w:space="0" w:color="auto"/>
        <w:bottom w:val="none" w:sz="0" w:space="0" w:color="auto"/>
        <w:right w:val="none" w:sz="0" w:space="0" w:color="auto"/>
      </w:divBdr>
      <w:divsChild>
        <w:div w:id="1833137989">
          <w:marLeft w:val="0"/>
          <w:marRight w:val="0"/>
          <w:marTop w:val="0"/>
          <w:marBottom w:val="0"/>
          <w:divBdr>
            <w:top w:val="none" w:sz="0" w:space="0" w:color="auto"/>
            <w:left w:val="none" w:sz="0" w:space="0" w:color="auto"/>
            <w:bottom w:val="none" w:sz="0" w:space="0" w:color="auto"/>
            <w:right w:val="none" w:sz="0" w:space="0" w:color="auto"/>
          </w:divBdr>
          <w:divsChild>
            <w:div w:id="988172079">
              <w:marLeft w:val="0"/>
              <w:marRight w:val="0"/>
              <w:marTop w:val="0"/>
              <w:marBottom w:val="0"/>
              <w:divBdr>
                <w:top w:val="none" w:sz="0" w:space="0" w:color="auto"/>
                <w:left w:val="none" w:sz="0" w:space="0" w:color="auto"/>
                <w:bottom w:val="none" w:sz="0" w:space="0" w:color="auto"/>
                <w:right w:val="none" w:sz="0" w:space="0" w:color="auto"/>
              </w:divBdr>
              <w:divsChild>
                <w:div w:id="963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1395">
      <w:bodyDiv w:val="1"/>
      <w:marLeft w:val="0"/>
      <w:marRight w:val="0"/>
      <w:marTop w:val="0"/>
      <w:marBottom w:val="0"/>
      <w:divBdr>
        <w:top w:val="none" w:sz="0" w:space="0" w:color="auto"/>
        <w:left w:val="none" w:sz="0" w:space="0" w:color="auto"/>
        <w:bottom w:val="none" w:sz="0" w:space="0" w:color="auto"/>
        <w:right w:val="none" w:sz="0" w:space="0" w:color="auto"/>
      </w:divBdr>
      <w:divsChild>
        <w:div w:id="1302542819">
          <w:marLeft w:val="0"/>
          <w:marRight w:val="0"/>
          <w:marTop w:val="0"/>
          <w:marBottom w:val="0"/>
          <w:divBdr>
            <w:top w:val="none" w:sz="0" w:space="0" w:color="auto"/>
            <w:left w:val="none" w:sz="0" w:space="0" w:color="auto"/>
            <w:bottom w:val="none" w:sz="0" w:space="0" w:color="auto"/>
            <w:right w:val="none" w:sz="0" w:space="0" w:color="auto"/>
          </w:divBdr>
          <w:divsChild>
            <w:div w:id="758448190">
              <w:marLeft w:val="0"/>
              <w:marRight w:val="0"/>
              <w:marTop w:val="0"/>
              <w:marBottom w:val="0"/>
              <w:divBdr>
                <w:top w:val="none" w:sz="0" w:space="0" w:color="auto"/>
                <w:left w:val="none" w:sz="0" w:space="0" w:color="auto"/>
                <w:bottom w:val="none" w:sz="0" w:space="0" w:color="auto"/>
                <w:right w:val="none" w:sz="0" w:space="0" w:color="auto"/>
              </w:divBdr>
              <w:divsChild>
                <w:div w:id="1459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7113">
      <w:bodyDiv w:val="1"/>
      <w:marLeft w:val="0"/>
      <w:marRight w:val="0"/>
      <w:marTop w:val="0"/>
      <w:marBottom w:val="0"/>
      <w:divBdr>
        <w:top w:val="none" w:sz="0" w:space="0" w:color="auto"/>
        <w:left w:val="none" w:sz="0" w:space="0" w:color="auto"/>
        <w:bottom w:val="none" w:sz="0" w:space="0" w:color="auto"/>
        <w:right w:val="none" w:sz="0" w:space="0" w:color="auto"/>
      </w:divBdr>
      <w:divsChild>
        <w:div w:id="1857763414">
          <w:marLeft w:val="0"/>
          <w:marRight w:val="0"/>
          <w:marTop w:val="0"/>
          <w:marBottom w:val="0"/>
          <w:divBdr>
            <w:top w:val="none" w:sz="0" w:space="0" w:color="auto"/>
            <w:left w:val="none" w:sz="0" w:space="0" w:color="auto"/>
            <w:bottom w:val="none" w:sz="0" w:space="0" w:color="auto"/>
            <w:right w:val="none" w:sz="0" w:space="0" w:color="auto"/>
          </w:divBdr>
          <w:divsChild>
            <w:div w:id="439378150">
              <w:marLeft w:val="0"/>
              <w:marRight w:val="0"/>
              <w:marTop w:val="0"/>
              <w:marBottom w:val="0"/>
              <w:divBdr>
                <w:top w:val="none" w:sz="0" w:space="0" w:color="auto"/>
                <w:left w:val="none" w:sz="0" w:space="0" w:color="auto"/>
                <w:bottom w:val="none" w:sz="0" w:space="0" w:color="auto"/>
                <w:right w:val="none" w:sz="0" w:space="0" w:color="auto"/>
              </w:divBdr>
              <w:divsChild>
                <w:div w:id="13657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28600">
      <w:bodyDiv w:val="1"/>
      <w:marLeft w:val="0"/>
      <w:marRight w:val="0"/>
      <w:marTop w:val="0"/>
      <w:marBottom w:val="0"/>
      <w:divBdr>
        <w:top w:val="none" w:sz="0" w:space="0" w:color="auto"/>
        <w:left w:val="none" w:sz="0" w:space="0" w:color="auto"/>
        <w:bottom w:val="none" w:sz="0" w:space="0" w:color="auto"/>
        <w:right w:val="none" w:sz="0" w:space="0" w:color="auto"/>
      </w:divBdr>
      <w:divsChild>
        <w:div w:id="779691663">
          <w:marLeft w:val="0"/>
          <w:marRight w:val="0"/>
          <w:marTop w:val="0"/>
          <w:marBottom w:val="0"/>
          <w:divBdr>
            <w:top w:val="none" w:sz="0" w:space="0" w:color="auto"/>
            <w:left w:val="none" w:sz="0" w:space="0" w:color="auto"/>
            <w:bottom w:val="none" w:sz="0" w:space="0" w:color="auto"/>
            <w:right w:val="none" w:sz="0" w:space="0" w:color="auto"/>
          </w:divBdr>
        </w:div>
        <w:div w:id="1684286380">
          <w:marLeft w:val="0"/>
          <w:marRight w:val="0"/>
          <w:marTop w:val="0"/>
          <w:marBottom w:val="0"/>
          <w:divBdr>
            <w:top w:val="none" w:sz="0" w:space="0" w:color="auto"/>
            <w:left w:val="none" w:sz="0" w:space="0" w:color="auto"/>
            <w:bottom w:val="none" w:sz="0" w:space="0" w:color="auto"/>
            <w:right w:val="none" w:sz="0" w:space="0" w:color="auto"/>
          </w:divBdr>
        </w:div>
        <w:div w:id="2008243454">
          <w:marLeft w:val="0"/>
          <w:marRight w:val="0"/>
          <w:marTop w:val="0"/>
          <w:marBottom w:val="0"/>
          <w:divBdr>
            <w:top w:val="none" w:sz="0" w:space="0" w:color="auto"/>
            <w:left w:val="none" w:sz="0" w:space="0" w:color="auto"/>
            <w:bottom w:val="none" w:sz="0" w:space="0" w:color="auto"/>
            <w:right w:val="none" w:sz="0" w:space="0" w:color="auto"/>
          </w:divBdr>
        </w:div>
      </w:divsChild>
    </w:div>
    <w:div w:id="1363240059">
      <w:bodyDiv w:val="1"/>
      <w:marLeft w:val="0"/>
      <w:marRight w:val="0"/>
      <w:marTop w:val="0"/>
      <w:marBottom w:val="0"/>
      <w:divBdr>
        <w:top w:val="none" w:sz="0" w:space="0" w:color="auto"/>
        <w:left w:val="none" w:sz="0" w:space="0" w:color="auto"/>
        <w:bottom w:val="none" w:sz="0" w:space="0" w:color="auto"/>
        <w:right w:val="none" w:sz="0" w:space="0" w:color="auto"/>
      </w:divBdr>
      <w:divsChild>
        <w:div w:id="1412503399">
          <w:marLeft w:val="0"/>
          <w:marRight w:val="0"/>
          <w:marTop w:val="0"/>
          <w:marBottom w:val="0"/>
          <w:divBdr>
            <w:top w:val="none" w:sz="0" w:space="0" w:color="auto"/>
            <w:left w:val="none" w:sz="0" w:space="0" w:color="auto"/>
            <w:bottom w:val="none" w:sz="0" w:space="0" w:color="auto"/>
            <w:right w:val="none" w:sz="0" w:space="0" w:color="auto"/>
          </w:divBdr>
          <w:divsChild>
            <w:div w:id="1802532090">
              <w:marLeft w:val="0"/>
              <w:marRight w:val="0"/>
              <w:marTop w:val="0"/>
              <w:marBottom w:val="0"/>
              <w:divBdr>
                <w:top w:val="none" w:sz="0" w:space="0" w:color="auto"/>
                <w:left w:val="none" w:sz="0" w:space="0" w:color="auto"/>
                <w:bottom w:val="none" w:sz="0" w:space="0" w:color="auto"/>
                <w:right w:val="none" w:sz="0" w:space="0" w:color="auto"/>
              </w:divBdr>
              <w:divsChild>
                <w:div w:id="20953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7094">
      <w:bodyDiv w:val="1"/>
      <w:marLeft w:val="0"/>
      <w:marRight w:val="0"/>
      <w:marTop w:val="0"/>
      <w:marBottom w:val="0"/>
      <w:divBdr>
        <w:top w:val="none" w:sz="0" w:space="0" w:color="auto"/>
        <w:left w:val="none" w:sz="0" w:space="0" w:color="auto"/>
        <w:bottom w:val="none" w:sz="0" w:space="0" w:color="auto"/>
        <w:right w:val="none" w:sz="0" w:space="0" w:color="auto"/>
      </w:divBdr>
      <w:divsChild>
        <w:div w:id="972906291">
          <w:marLeft w:val="0"/>
          <w:marRight w:val="0"/>
          <w:marTop w:val="0"/>
          <w:marBottom w:val="0"/>
          <w:divBdr>
            <w:top w:val="none" w:sz="0" w:space="0" w:color="auto"/>
            <w:left w:val="none" w:sz="0" w:space="0" w:color="auto"/>
            <w:bottom w:val="none" w:sz="0" w:space="0" w:color="auto"/>
            <w:right w:val="none" w:sz="0" w:space="0" w:color="auto"/>
          </w:divBdr>
          <w:divsChild>
            <w:div w:id="1718167132">
              <w:marLeft w:val="0"/>
              <w:marRight w:val="0"/>
              <w:marTop w:val="0"/>
              <w:marBottom w:val="0"/>
              <w:divBdr>
                <w:top w:val="none" w:sz="0" w:space="0" w:color="auto"/>
                <w:left w:val="none" w:sz="0" w:space="0" w:color="auto"/>
                <w:bottom w:val="none" w:sz="0" w:space="0" w:color="auto"/>
                <w:right w:val="none" w:sz="0" w:space="0" w:color="auto"/>
              </w:divBdr>
              <w:divsChild>
                <w:div w:id="20874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7860">
      <w:bodyDiv w:val="1"/>
      <w:marLeft w:val="0"/>
      <w:marRight w:val="0"/>
      <w:marTop w:val="0"/>
      <w:marBottom w:val="0"/>
      <w:divBdr>
        <w:top w:val="none" w:sz="0" w:space="0" w:color="auto"/>
        <w:left w:val="none" w:sz="0" w:space="0" w:color="auto"/>
        <w:bottom w:val="none" w:sz="0" w:space="0" w:color="auto"/>
        <w:right w:val="none" w:sz="0" w:space="0" w:color="auto"/>
      </w:divBdr>
      <w:divsChild>
        <w:div w:id="1230844500">
          <w:marLeft w:val="0"/>
          <w:marRight w:val="0"/>
          <w:marTop w:val="0"/>
          <w:marBottom w:val="0"/>
          <w:divBdr>
            <w:top w:val="none" w:sz="0" w:space="0" w:color="auto"/>
            <w:left w:val="none" w:sz="0" w:space="0" w:color="auto"/>
            <w:bottom w:val="none" w:sz="0" w:space="0" w:color="auto"/>
            <w:right w:val="none" w:sz="0" w:space="0" w:color="auto"/>
          </w:divBdr>
          <w:divsChild>
            <w:div w:id="337661656">
              <w:marLeft w:val="0"/>
              <w:marRight w:val="0"/>
              <w:marTop w:val="0"/>
              <w:marBottom w:val="0"/>
              <w:divBdr>
                <w:top w:val="none" w:sz="0" w:space="0" w:color="auto"/>
                <w:left w:val="none" w:sz="0" w:space="0" w:color="auto"/>
                <w:bottom w:val="none" w:sz="0" w:space="0" w:color="auto"/>
                <w:right w:val="none" w:sz="0" w:space="0" w:color="auto"/>
              </w:divBdr>
              <w:divsChild>
                <w:div w:id="739328255">
                  <w:marLeft w:val="0"/>
                  <w:marRight w:val="0"/>
                  <w:marTop w:val="0"/>
                  <w:marBottom w:val="0"/>
                  <w:divBdr>
                    <w:top w:val="none" w:sz="0" w:space="0" w:color="auto"/>
                    <w:left w:val="none" w:sz="0" w:space="0" w:color="auto"/>
                    <w:bottom w:val="none" w:sz="0" w:space="0" w:color="auto"/>
                    <w:right w:val="none" w:sz="0" w:space="0" w:color="auto"/>
                  </w:divBdr>
                  <w:divsChild>
                    <w:div w:id="7570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935">
      <w:bodyDiv w:val="1"/>
      <w:marLeft w:val="0"/>
      <w:marRight w:val="0"/>
      <w:marTop w:val="0"/>
      <w:marBottom w:val="0"/>
      <w:divBdr>
        <w:top w:val="none" w:sz="0" w:space="0" w:color="auto"/>
        <w:left w:val="none" w:sz="0" w:space="0" w:color="auto"/>
        <w:bottom w:val="none" w:sz="0" w:space="0" w:color="auto"/>
        <w:right w:val="none" w:sz="0" w:space="0" w:color="auto"/>
      </w:divBdr>
      <w:divsChild>
        <w:div w:id="701323409">
          <w:marLeft w:val="0"/>
          <w:marRight w:val="0"/>
          <w:marTop w:val="0"/>
          <w:marBottom w:val="0"/>
          <w:divBdr>
            <w:top w:val="none" w:sz="0" w:space="0" w:color="auto"/>
            <w:left w:val="none" w:sz="0" w:space="0" w:color="auto"/>
            <w:bottom w:val="none" w:sz="0" w:space="0" w:color="auto"/>
            <w:right w:val="none" w:sz="0" w:space="0" w:color="auto"/>
          </w:divBdr>
          <w:divsChild>
            <w:div w:id="684333599">
              <w:marLeft w:val="0"/>
              <w:marRight w:val="0"/>
              <w:marTop w:val="0"/>
              <w:marBottom w:val="0"/>
              <w:divBdr>
                <w:top w:val="none" w:sz="0" w:space="0" w:color="auto"/>
                <w:left w:val="none" w:sz="0" w:space="0" w:color="auto"/>
                <w:bottom w:val="none" w:sz="0" w:space="0" w:color="auto"/>
                <w:right w:val="none" w:sz="0" w:space="0" w:color="auto"/>
              </w:divBdr>
              <w:divsChild>
                <w:div w:id="3878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5196">
      <w:bodyDiv w:val="1"/>
      <w:marLeft w:val="0"/>
      <w:marRight w:val="0"/>
      <w:marTop w:val="0"/>
      <w:marBottom w:val="0"/>
      <w:divBdr>
        <w:top w:val="none" w:sz="0" w:space="0" w:color="auto"/>
        <w:left w:val="none" w:sz="0" w:space="0" w:color="auto"/>
        <w:bottom w:val="none" w:sz="0" w:space="0" w:color="auto"/>
        <w:right w:val="none" w:sz="0" w:space="0" w:color="auto"/>
      </w:divBdr>
      <w:divsChild>
        <w:div w:id="1561596544">
          <w:marLeft w:val="0"/>
          <w:marRight w:val="0"/>
          <w:marTop w:val="0"/>
          <w:marBottom w:val="0"/>
          <w:divBdr>
            <w:top w:val="none" w:sz="0" w:space="0" w:color="auto"/>
            <w:left w:val="none" w:sz="0" w:space="0" w:color="auto"/>
            <w:bottom w:val="none" w:sz="0" w:space="0" w:color="auto"/>
            <w:right w:val="none" w:sz="0" w:space="0" w:color="auto"/>
          </w:divBdr>
          <w:divsChild>
            <w:div w:id="1231040394">
              <w:marLeft w:val="0"/>
              <w:marRight w:val="0"/>
              <w:marTop w:val="0"/>
              <w:marBottom w:val="0"/>
              <w:divBdr>
                <w:top w:val="none" w:sz="0" w:space="0" w:color="auto"/>
                <w:left w:val="none" w:sz="0" w:space="0" w:color="auto"/>
                <w:bottom w:val="none" w:sz="0" w:space="0" w:color="auto"/>
                <w:right w:val="none" w:sz="0" w:space="0" w:color="auto"/>
              </w:divBdr>
              <w:divsChild>
                <w:div w:id="5284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0892">
      <w:bodyDiv w:val="1"/>
      <w:marLeft w:val="0"/>
      <w:marRight w:val="0"/>
      <w:marTop w:val="0"/>
      <w:marBottom w:val="0"/>
      <w:divBdr>
        <w:top w:val="none" w:sz="0" w:space="0" w:color="auto"/>
        <w:left w:val="none" w:sz="0" w:space="0" w:color="auto"/>
        <w:bottom w:val="none" w:sz="0" w:space="0" w:color="auto"/>
        <w:right w:val="none" w:sz="0" w:space="0" w:color="auto"/>
      </w:divBdr>
      <w:divsChild>
        <w:div w:id="1717849479">
          <w:marLeft w:val="0"/>
          <w:marRight w:val="0"/>
          <w:marTop w:val="0"/>
          <w:marBottom w:val="0"/>
          <w:divBdr>
            <w:top w:val="none" w:sz="0" w:space="0" w:color="auto"/>
            <w:left w:val="none" w:sz="0" w:space="0" w:color="auto"/>
            <w:bottom w:val="none" w:sz="0" w:space="0" w:color="auto"/>
            <w:right w:val="none" w:sz="0" w:space="0" w:color="auto"/>
          </w:divBdr>
          <w:divsChild>
            <w:div w:id="693771158">
              <w:marLeft w:val="0"/>
              <w:marRight w:val="0"/>
              <w:marTop w:val="0"/>
              <w:marBottom w:val="0"/>
              <w:divBdr>
                <w:top w:val="none" w:sz="0" w:space="0" w:color="auto"/>
                <w:left w:val="none" w:sz="0" w:space="0" w:color="auto"/>
                <w:bottom w:val="none" w:sz="0" w:space="0" w:color="auto"/>
                <w:right w:val="none" w:sz="0" w:space="0" w:color="auto"/>
              </w:divBdr>
              <w:divsChild>
                <w:div w:id="313879400">
                  <w:marLeft w:val="0"/>
                  <w:marRight w:val="0"/>
                  <w:marTop w:val="0"/>
                  <w:marBottom w:val="0"/>
                  <w:divBdr>
                    <w:top w:val="none" w:sz="0" w:space="0" w:color="auto"/>
                    <w:left w:val="none" w:sz="0" w:space="0" w:color="auto"/>
                    <w:bottom w:val="none" w:sz="0" w:space="0" w:color="auto"/>
                    <w:right w:val="none" w:sz="0" w:space="0" w:color="auto"/>
                  </w:divBdr>
                  <w:divsChild>
                    <w:div w:id="12608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745056">
      <w:bodyDiv w:val="1"/>
      <w:marLeft w:val="0"/>
      <w:marRight w:val="0"/>
      <w:marTop w:val="0"/>
      <w:marBottom w:val="0"/>
      <w:divBdr>
        <w:top w:val="none" w:sz="0" w:space="0" w:color="auto"/>
        <w:left w:val="none" w:sz="0" w:space="0" w:color="auto"/>
        <w:bottom w:val="none" w:sz="0" w:space="0" w:color="auto"/>
        <w:right w:val="none" w:sz="0" w:space="0" w:color="auto"/>
      </w:divBdr>
      <w:divsChild>
        <w:div w:id="4868527">
          <w:marLeft w:val="0"/>
          <w:marRight w:val="0"/>
          <w:marTop w:val="0"/>
          <w:marBottom w:val="0"/>
          <w:divBdr>
            <w:top w:val="none" w:sz="0" w:space="0" w:color="auto"/>
            <w:left w:val="none" w:sz="0" w:space="0" w:color="auto"/>
            <w:bottom w:val="none" w:sz="0" w:space="0" w:color="auto"/>
            <w:right w:val="none" w:sz="0" w:space="0" w:color="auto"/>
          </w:divBdr>
          <w:divsChild>
            <w:div w:id="1521705270">
              <w:marLeft w:val="0"/>
              <w:marRight w:val="0"/>
              <w:marTop w:val="0"/>
              <w:marBottom w:val="0"/>
              <w:divBdr>
                <w:top w:val="none" w:sz="0" w:space="0" w:color="auto"/>
                <w:left w:val="none" w:sz="0" w:space="0" w:color="auto"/>
                <w:bottom w:val="none" w:sz="0" w:space="0" w:color="auto"/>
                <w:right w:val="none" w:sz="0" w:space="0" w:color="auto"/>
              </w:divBdr>
              <w:divsChild>
                <w:div w:id="7574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5770">
      <w:bodyDiv w:val="1"/>
      <w:marLeft w:val="0"/>
      <w:marRight w:val="0"/>
      <w:marTop w:val="0"/>
      <w:marBottom w:val="0"/>
      <w:divBdr>
        <w:top w:val="none" w:sz="0" w:space="0" w:color="auto"/>
        <w:left w:val="none" w:sz="0" w:space="0" w:color="auto"/>
        <w:bottom w:val="none" w:sz="0" w:space="0" w:color="auto"/>
        <w:right w:val="none" w:sz="0" w:space="0" w:color="auto"/>
      </w:divBdr>
      <w:divsChild>
        <w:div w:id="1174413663">
          <w:marLeft w:val="0"/>
          <w:marRight w:val="0"/>
          <w:marTop w:val="0"/>
          <w:marBottom w:val="0"/>
          <w:divBdr>
            <w:top w:val="none" w:sz="0" w:space="0" w:color="auto"/>
            <w:left w:val="none" w:sz="0" w:space="0" w:color="auto"/>
            <w:bottom w:val="none" w:sz="0" w:space="0" w:color="auto"/>
            <w:right w:val="none" w:sz="0" w:space="0" w:color="auto"/>
          </w:divBdr>
          <w:divsChild>
            <w:div w:id="81875982">
              <w:marLeft w:val="0"/>
              <w:marRight w:val="0"/>
              <w:marTop w:val="0"/>
              <w:marBottom w:val="0"/>
              <w:divBdr>
                <w:top w:val="none" w:sz="0" w:space="0" w:color="auto"/>
                <w:left w:val="none" w:sz="0" w:space="0" w:color="auto"/>
                <w:bottom w:val="none" w:sz="0" w:space="0" w:color="auto"/>
                <w:right w:val="none" w:sz="0" w:space="0" w:color="auto"/>
              </w:divBdr>
              <w:divsChild>
                <w:div w:id="18662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2650">
      <w:bodyDiv w:val="1"/>
      <w:marLeft w:val="0"/>
      <w:marRight w:val="0"/>
      <w:marTop w:val="0"/>
      <w:marBottom w:val="0"/>
      <w:divBdr>
        <w:top w:val="none" w:sz="0" w:space="0" w:color="auto"/>
        <w:left w:val="none" w:sz="0" w:space="0" w:color="auto"/>
        <w:bottom w:val="none" w:sz="0" w:space="0" w:color="auto"/>
        <w:right w:val="none" w:sz="0" w:space="0" w:color="auto"/>
      </w:divBdr>
      <w:divsChild>
        <w:div w:id="470750048">
          <w:marLeft w:val="0"/>
          <w:marRight w:val="0"/>
          <w:marTop w:val="0"/>
          <w:marBottom w:val="0"/>
          <w:divBdr>
            <w:top w:val="none" w:sz="0" w:space="0" w:color="auto"/>
            <w:left w:val="none" w:sz="0" w:space="0" w:color="auto"/>
            <w:bottom w:val="none" w:sz="0" w:space="0" w:color="auto"/>
            <w:right w:val="none" w:sz="0" w:space="0" w:color="auto"/>
          </w:divBdr>
          <w:divsChild>
            <w:div w:id="1959528649">
              <w:marLeft w:val="0"/>
              <w:marRight w:val="0"/>
              <w:marTop w:val="0"/>
              <w:marBottom w:val="0"/>
              <w:divBdr>
                <w:top w:val="none" w:sz="0" w:space="0" w:color="auto"/>
                <w:left w:val="none" w:sz="0" w:space="0" w:color="auto"/>
                <w:bottom w:val="none" w:sz="0" w:space="0" w:color="auto"/>
                <w:right w:val="none" w:sz="0" w:space="0" w:color="auto"/>
              </w:divBdr>
              <w:divsChild>
                <w:div w:id="3611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09546">
      <w:bodyDiv w:val="1"/>
      <w:marLeft w:val="0"/>
      <w:marRight w:val="0"/>
      <w:marTop w:val="0"/>
      <w:marBottom w:val="0"/>
      <w:divBdr>
        <w:top w:val="none" w:sz="0" w:space="0" w:color="auto"/>
        <w:left w:val="none" w:sz="0" w:space="0" w:color="auto"/>
        <w:bottom w:val="none" w:sz="0" w:space="0" w:color="auto"/>
        <w:right w:val="none" w:sz="0" w:space="0" w:color="auto"/>
      </w:divBdr>
      <w:divsChild>
        <w:div w:id="1297025441">
          <w:marLeft w:val="0"/>
          <w:marRight w:val="0"/>
          <w:marTop w:val="0"/>
          <w:marBottom w:val="0"/>
          <w:divBdr>
            <w:top w:val="none" w:sz="0" w:space="0" w:color="auto"/>
            <w:left w:val="none" w:sz="0" w:space="0" w:color="auto"/>
            <w:bottom w:val="none" w:sz="0" w:space="0" w:color="auto"/>
            <w:right w:val="none" w:sz="0" w:space="0" w:color="auto"/>
          </w:divBdr>
          <w:divsChild>
            <w:div w:id="2075422116">
              <w:marLeft w:val="0"/>
              <w:marRight w:val="0"/>
              <w:marTop w:val="0"/>
              <w:marBottom w:val="0"/>
              <w:divBdr>
                <w:top w:val="none" w:sz="0" w:space="0" w:color="auto"/>
                <w:left w:val="none" w:sz="0" w:space="0" w:color="auto"/>
                <w:bottom w:val="none" w:sz="0" w:space="0" w:color="auto"/>
                <w:right w:val="none" w:sz="0" w:space="0" w:color="auto"/>
              </w:divBdr>
              <w:divsChild>
                <w:div w:id="10136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4338">
      <w:bodyDiv w:val="1"/>
      <w:marLeft w:val="0"/>
      <w:marRight w:val="0"/>
      <w:marTop w:val="0"/>
      <w:marBottom w:val="0"/>
      <w:divBdr>
        <w:top w:val="none" w:sz="0" w:space="0" w:color="auto"/>
        <w:left w:val="none" w:sz="0" w:space="0" w:color="auto"/>
        <w:bottom w:val="none" w:sz="0" w:space="0" w:color="auto"/>
        <w:right w:val="none" w:sz="0" w:space="0" w:color="auto"/>
      </w:divBdr>
    </w:div>
    <w:div w:id="1701665011">
      <w:bodyDiv w:val="1"/>
      <w:marLeft w:val="0"/>
      <w:marRight w:val="0"/>
      <w:marTop w:val="0"/>
      <w:marBottom w:val="0"/>
      <w:divBdr>
        <w:top w:val="none" w:sz="0" w:space="0" w:color="auto"/>
        <w:left w:val="none" w:sz="0" w:space="0" w:color="auto"/>
        <w:bottom w:val="none" w:sz="0" w:space="0" w:color="auto"/>
        <w:right w:val="none" w:sz="0" w:space="0" w:color="auto"/>
      </w:divBdr>
    </w:div>
    <w:div w:id="1726681132">
      <w:bodyDiv w:val="1"/>
      <w:marLeft w:val="0"/>
      <w:marRight w:val="0"/>
      <w:marTop w:val="0"/>
      <w:marBottom w:val="0"/>
      <w:divBdr>
        <w:top w:val="none" w:sz="0" w:space="0" w:color="auto"/>
        <w:left w:val="none" w:sz="0" w:space="0" w:color="auto"/>
        <w:bottom w:val="none" w:sz="0" w:space="0" w:color="auto"/>
        <w:right w:val="none" w:sz="0" w:space="0" w:color="auto"/>
      </w:divBdr>
    </w:div>
    <w:div w:id="1752577022">
      <w:bodyDiv w:val="1"/>
      <w:marLeft w:val="0"/>
      <w:marRight w:val="0"/>
      <w:marTop w:val="0"/>
      <w:marBottom w:val="0"/>
      <w:divBdr>
        <w:top w:val="none" w:sz="0" w:space="0" w:color="auto"/>
        <w:left w:val="none" w:sz="0" w:space="0" w:color="auto"/>
        <w:bottom w:val="none" w:sz="0" w:space="0" w:color="auto"/>
        <w:right w:val="none" w:sz="0" w:space="0" w:color="auto"/>
      </w:divBdr>
      <w:divsChild>
        <w:div w:id="775098258">
          <w:marLeft w:val="0"/>
          <w:marRight w:val="0"/>
          <w:marTop w:val="0"/>
          <w:marBottom w:val="0"/>
          <w:divBdr>
            <w:top w:val="none" w:sz="0" w:space="0" w:color="auto"/>
            <w:left w:val="none" w:sz="0" w:space="0" w:color="auto"/>
            <w:bottom w:val="none" w:sz="0" w:space="0" w:color="auto"/>
            <w:right w:val="none" w:sz="0" w:space="0" w:color="auto"/>
          </w:divBdr>
          <w:divsChild>
            <w:div w:id="104424022">
              <w:marLeft w:val="0"/>
              <w:marRight w:val="0"/>
              <w:marTop w:val="0"/>
              <w:marBottom w:val="0"/>
              <w:divBdr>
                <w:top w:val="none" w:sz="0" w:space="0" w:color="auto"/>
                <w:left w:val="none" w:sz="0" w:space="0" w:color="auto"/>
                <w:bottom w:val="none" w:sz="0" w:space="0" w:color="auto"/>
                <w:right w:val="none" w:sz="0" w:space="0" w:color="auto"/>
              </w:divBdr>
              <w:divsChild>
                <w:div w:id="13757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8034">
      <w:bodyDiv w:val="1"/>
      <w:marLeft w:val="0"/>
      <w:marRight w:val="0"/>
      <w:marTop w:val="0"/>
      <w:marBottom w:val="0"/>
      <w:divBdr>
        <w:top w:val="none" w:sz="0" w:space="0" w:color="auto"/>
        <w:left w:val="none" w:sz="0" w:space="0" w:color="auto"/>
        <w:bottom w:val="none" w:sz="0" w:space="0" w:color="auto"/>
        <w:right w:val="none" w:sz="0" w:space="0" w:color="auto"/>
      </w:divBdr>
      <w:divsChild>
        <w:div w:id="488059854">
          <w:marLeft w:val="0"/>
          <w:marRight w:val="0"/>
          <w:marTop w:val="0"/>
          <w:marBottom w:val="0"/>
          <w:divBdr>
            <w:top w:val="none" w:sz="0" w:space="0" w:color="auto"/>
            <w:left w:val="none" w:sz="0" w:space="0" w:color="auto"/>
            <w:bottom w:val="none" w:sz="0" w:space="0" w:color="auto"/>
            <w:right w:val="none" w:sz="0" w:space="0" w:color="auto"/>
          </w:divBdr>
          <w:divsChild>
            <w:div w:id="1386441763">
              <w:marLeft w:val="0"/>
              <w:marRight w:val="0"/>
              <w:marTop w:val="0"/>
              <w:marBottom w:val="0"/>
              <w:divBdr>
                <w:top w:val="none" w:sz="0" w:space="0" w:color="auto"/>
                <w:left w:val="none" w:sz="0" w:space="0" w:color="auto"/>
                <w:bottom w:val="none" w:sz="0" w:space="0" w:color="auto"/>
                <w:right w:val="none" w:sz="0" w:space="0" w:color="auto"/>
              </w:divBdr>
              <w:divsChild>
                <w:div w:id="7441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5337">
      <w:bodyDiv w:val="1"/>
      <w:marLeft w:val="0"/>
      <w:marRight w:val="0"/>
      <w:marTop w:val="0"/>
      <w:marBottom w:val="0"/>
      <w:divBdr>
        <w:top w:val="none" w:sz="0" w:space="0" w:color="auto"/>
        <w:left w:val="none" w:sz="0" w:space="0" w:color="auto"/>
        <w:bottom w:val="none" w:sz="0" w:space="0" w:color="auto"/>
        <w:right w:val="none" w:sz="0" w:space="0" w:color="auto"/>
      </w:divBdr>
      <w:divsChild>
        <w:div w:id="223100262">
          <w:marLeft w:val="0"/>
          <w:marRight w:val="0"/>
          <w:marTop w:val="0"/>
          <w:marBottom w:val="0"/>
          <w:divBdr>
            <w:top w:val="none" w:sz="0" w:space="0" w:color="auto"/>
            <w:left w:val="none" w:sz="0" w:space="0" w:color="auto"/>
            <w:bottom w:val="none" w:sz="0" w:space="0" w:color="auto"/>
            <w:right w:val="none" w:sz="0" w:space="0" w:color="auto"/>
          </w:divBdr>
        </w:div>
        <w:div w:id="34015212">
          <w:marLeft w:val="0"/>
          <w:marRight w:val="0"/>
          <w:marTop w:val="0"/>
          <w:marBottom w:val="0"/>
          <w:divBdr>
            <w:top w:val="none" w:sz="0" w:space="0" w:color="auto"/>
            <w:left w:val="none" w:sz="0" w:space="0" w:color="auto"/>
            <w:bottom w:val="none" w:sz="0" w:space="0" w:color="auto"/>
            <w:right w:val="none" w:sz="0" w:space="0" w:color="auto"/>
          </w:divBdr>
        </w:div>
        <w:div w:id="1767653761">
          <w:marLeft w:val="0"/>
          <w:marRight w:val="0"/>
          <w:marTop w:val="0"/>
          <w:marBottom w:val="0"/>
          <w:divBdr>
            <w:top w:val="none" w:sz="0" w:space="0" w:color="auto"/>
            <w:left w:val="none" w:sz="0" w:space="0" w:color="auto"/>
            <w:bottom w:val="none" w:sz="0" w:space="0" w:color="auto"/>
            <w:right w:val="none" w:sz="0" w:space="0" w:color="auto"/>
          </w:divBdr>
        </w:div>
        <w:div w:id="81608235">
          <w:marLeft w:val="0"/>
          <w:marRight w:val="0"/>
          <w:marTop w:val="0"/>
          <w:marBottom w:val="0"/>
          <w:divBdr>
            <w:top w:val="none" w:sz="0" w:space="0" w:color="auto"/>
            <w:left w:val="none" w:sz="0" w:space="0" w:color="auto"/>
            <w:bottom w:val="none" w:sz="0" w:space="0" w:color="auto"/>
            <w:right w:val="none" w:sz="0" w:space="0" w:color="auto"/>
          </w:divBdr>
        </w:div>
        <w:div w:id="156846171">
          <w:marLeft w:val="0"/>
          <w:marRight w:val="0"/>
          <w:marTop w:val="0"/>
          <w:marBottom w:val="0"/>
          <w:divBdr>
            <w:top w:val="none" w:sz="0" w:space="0" w:color="auto"/>
            <w:left w:val="none" w:sz="0" w:space="0" w:color="auto"/>
            <w:bottom w:val="none" w:sz="0" w:space="0" w:color="auto"/>
            <w:right w:val="none" w:sz="0" w:space="0" w:color="auto"/>
          </w:divBdr>
        </w:div>
      </w:divsChild>
    </w:div>
    <w:div w:id="1816331161">
      <w:bodyDiv w:val="1"/>
      <w:marLeft w:val="0"/>
      <w:marRight w:val="0"/>
      <w:marTop w:val="0"/>
      <w:marBottom w:val="0"/>
      <w:divBdr>
        <w:top w:val="none" w:sz="0" w:space="0" w:color="auto"/>
        <w:left w:val="none" w:sz="0" w:space="0" w:color="auto"/>
        <w:bottom w:val="none" w:sz="0" w:space="0" w:color="auto"/>
        <w:right w:val="none" w:sz="0" w:space="0" w:color="auto"/>
      </w:divBdr>
      <w:divsChild>
        <w:div w:id="1717847638">
          <w:marLeft w:val="0"/>
          <w:marRight w:val="0"/>
          <w:marTop w:val="0"/>
          <w:marBottom w:val="0"/>
          <w:divBdr>
            <w:top w:val="none" w:sz="0" w:space="0" w:color="auto"/>
            <w:left w:val="none" w:sz="0" w:space="0" w:color="auto"/>
            <w:bottom w:val="none" w:sz="0" w:space="0" w:color="auto"/>
            <w:right w:val="none" w:sz="0" w:space="0" w:color="auto"/>
          </w:divBdr>
          <w:divsChild>
            <w:div w:id="759791447">
              <w:marLeft w:val="0"/>
              <w:marRight w:val="0"/>
              <w:marTop w:val="0"/>
              <w:marBottom w:val="0"/>
              <w:divBdr>
                <w:top w:val="none" w:sz="0" w:space="0" w:color="auto"/>
                <w:left w:val="none" w:sz="0" w:space="0" w:color="auto"/>
                <w:bottom w:val="none" w:sz="0" w:space="0" w:color="auto"/>
                <w:right w:val="none" w:sz="0" w:space="0" w:color="auto"/>
              </w:divBdr>
              <w:divsChild>
                <w:div w:id="13822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5215">
      <w:bodyDiv w:val="1"/>
      <w:marLeft w:val="0"/>
      <w:marRight w:val="0"/>
      <w:marTop w:val="0"/>
      <w:marBottom w:val="0"/>
      <w:divBdr>
        <w:top w:val="none" w:sz="0" w:space="0" w:color="auto"/>
        <w:left w:val="none" w:sz="0" w:space="0" w:color="auto"/>
        <w:bottom w:val="none" w:sz="0" w:space="0" w:color="auto"/>
        <w:right w:val="none" w:sz="0" w:space="0" w:color="auto"/>
      </w:divBdr>
      <w:divsChild>
        <w:div w:id="2029214742">
          <w:marLeft w:val="0"/>
          <w:marRight w:val="0"/>
          <w:marTop w:val="0"/>
          <w:marBottom w:val="0"/>
          <w:divBdr>
            <w:top w:val="none" w:sz="0" w:space="0" w:color="auto"/>
            <w:left w:val="none" w:sz="0" w:space="0" w:color="auto"/>
            <w:bottom w:val="none" w:sz="0" w:space="0" w:color="auto"/>
            <w:right w:val="none" w:sz="0" w:space="0" w:color="auto"/>
          </w:divBdr>
          <w:divsChild>
            <w:div w:id="522746451">
              <w:marLeft w:val="0"/>
              <w:marRight w:val="0"/>
              <w:marTop w:val="0"/>
              <w:marBottom w:val="0"/>
              <w:divBdr>
                <w:top w:val="none" w:sz="0" w:space="0" w:color="auto"/>
                <w:left w:val="none" w:sz="0" w:space="0" w:color="auto"/>
                <w:bottom w:val="none" w:sz="0" w:space="0" w:color="auto"/>
                <w:right w:val="none" w:sz="0" w:space="0" w:color="auto"/>
              </w:divBdr>
              <w:divsChild>
                <w:div w:id="2539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16117">
      <w:bodyDiv w:val="1"/>
      <w:marLeft w:val="0"/>
      <w:marRight w:val="0"/>
      <w:marTop w:val="0"/>
      <w:marBottom w:val="0"/>
      <w:divBdr>
        <w:top w:val="none" w:sz="0" w:space="0" w:color="auto"/>
        <w:left w:val="none" w:sz="0" w:space="0" w:color="auto"/>
        <w:bottom w:val="none" w:sz="0" w:space="0" w:color="auto"/>
        <w:right w:val="none" w:sz="0" w:space="0" w:color="auto"/>
      </w:divBdr>
      <w:divsChild>
        <w:div w:id="143013995">
          <w:marLeft w:val="0"/>
          <w:marRight w:val="0"/>
          <w:marTop w:val="0"/>
          <w:marBottom w:val="0"/>
          <w:divBdr>
            <w:top w:val="none" w:sz="0" w:space="0" w:color="auto"/>
            <w:left w:val="none" w:sz="0" w:space="0" w:color="auto"/>
            <w:bottom w:val="none" w:sz="0" w:space="0" w:color="auto"/>
            <w:right w:val="none" w:sz="0" w:space="0" w:color="auto"/>
          </w:divBdr>
          <w:divsChild>
            <w:div w:id="330833552">
              <w:marLeft w:val="0"/>
              <w:marRight w:val="0"/>
              <w:marTop w:val="0"/>
              <w:marBottom w:val="0"/>
              <w:divBdr>
                <w:top w:val="none" w:sz="0" w:space="0" w:color="auto"/>
                <w:left w:val="none" w:sz="0" w:space="0" w:color="auto"/>
                <w:bottom w:val="none" w:sz="0" w:space="0" w:color="auto"/>
                <w:right w:val="none" w:sz="0" w:space="0" w:color="auto"/>
              </w:divBdr>
              <w:divsChild>
                <w:div w:id="2853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21342">
      <w:bodyDiv w:val="1"/>
      <w:marLeft w:val="0"/>
      <w:marRight w:val="0"/>
      <w:marTop w:val="0"/>
      <w:marBottom w:val="0"/>
      <w:divBdr>
        <w:top w:val="none" w:sz="0" w:space="0" w:color="auto"/>
        <w:left w:val="none" w:sz="0" w:space="0" w:color="auto"/>
        <w:bottom w:val="none" w:sz="0" w:space="0" w:color="auto"/>
        <w:right w:val="none" w:sz="0" w:space="0" w:color="auto"/>
      </w:divBdr>
      <w:divsChild>
        <w:div w:id="1398744039">
          <w:marLeft w:val="0"/>
          <w:marRight w:val="0"/>
          <w:marTop w:val="0"/>
          <w:marBottom w:val="0"/>
          <w:divBdr>
            <w:top w:val="none" w:sz="0" w:space="0" w:color="auto"/>
            <w:left w:val="none" w:sz="0" w:space="0" w:color="auto"/>
            <w:bottom w:val="none" w:sz="0" w:space="0" w:color="auto"/>
            <w:right w:val="none" w:sz="0" w:space="0" w:color="auto"/>
          </w:divBdr>
          <w:divsChild>
            <w:div w:id="1036540413">
              <w:marLeft w:val="0"/>
              <w:marRight w:val="0"/>
              <w:marTop w:val="0"/>
              <w:marBottom w:val="0"/>
              <w:divBdr>
                <w:top w:val="none" w:sz="0" w:space="0" w:color="auto"/>
                <w:left w:val="none" w:sz="0" w:space="0" w:color="auto"/>
                <w:bottom w:val="none" w:sz="0" w:space="0" w:color="auto"/>
                <w:right w:val="none" w:sz="0" w:space="0" w:color="auto"/>
              </w:divBdr>
              <w:divsChild>
                <w:div w:id="540095813">
                  <w:marLeft w:val="0"/>
                  <w:marRight w:val="0"/>
                  <w:marTop w:val="0"/>
                  <w:marBottom w:val="0"/>
                  <w:divBdr>
                    <w:top w:val="none" w:sz="0" w:space="0" w:color="auto"/>
                    <w:left w:val="none" w:sz="0" w:space="0" w:color="auto"/>
                    <w:bottom w:val="none" w:sz="0" w:space="0" w:color="auto"/>
                    <w:right w:val="none" w:sz="0" w:space="0" w:color="auto"/>
                  </w:divBdr>
                  <w:divsChild>
                    <w:div w:id="10969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28678">
      <w:bodyDiv w:val="1"/>
      <w:marLeft w:val="0"/>
      <w:marRight w:val="0"/>
      <w:marTop w:val="0"/>
      <w:marBottom w:val="0"/>
      <w:divBdr>
        <w:top w:val="none" w:sz="0" w:space="0" w:color="auto"/>
        <w:left w:val="none" w:sz="0" w:space="0" w:color="auto"/>
        <w:bottom w:val="none" w:sz="0" w:space="0" w:color="auto"/>
        <w:right w:val="none" w:sz="0" w:space="0" w:color="auto"/>
      </w:divBdr>
    </w:div>
    <w:div w:id="1865090553">
      <w:bodyDiv w:val="1"/>
      <w:marLeft w:val="0"/>
      <w:marRight w:val="0"/>
      <w:marTop w:val="0"/>
      <w:marBottom w:val="0"/>
      <w:divBdr>
        <w:top w:val="none" w:sz="0" w:space="0" w:color="auto"/>
        <w:left w:val="none" w:sz="0" w:space="0" w:color="auto"/>
        <w:bottom w:val="none" w:sz="0" w:space="0" w:color="auto"/>
        <w:right w:val="none" w:sz="0" w:space="0" w:color="auto"/>
      </w:divBdr>
      <w:divsChild>
        <w:div w:id="1299529125">
          <w:marLeft w:val="0"/>
          <w:marRight w:val="0"/>
          <w:marTop w:val="0"/>
          <w:marBottom w:val="0"/>
          <w:divBdr>
            <w:top w:val="none" w:sz="0" w:space="0" w:color="auto"/>
            <w:left w:val="none" w:sz="0" w:space="0" w:color="auto"/>
            <w:bottom w:val="none" w:sz="0" w:space="0" w:color="auto"/>
            <w:right w:val="none" w:sz="0" w:space="0" w:color="auto"/>
          </w:divBdr>
          <w:divsChild>
            <w:div w:id="102313846">
              <w:marLeft w:val="0"/>
              <w:marRight w:val="0"/>
              <w:marTop w:val="0"/>
              <w:marBottom w:val="0"/>
              <w:divBdr>
                <w:top w:val="none" w:sz="0" w:space="0" w:color="auto"/>
                <w:left w:val="none" w:sz="0" w:space="0" w:color="auto"/>
                <w:bottom w:val="none" w:sz="0" w:space="0" w:color="auto"/>
                <w:right w:val="none" w:sz="0" w:space="0" w:color="auto"/>
              </w:divBdr>
              <w:divsChild>
                <w:div w:id="55142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2847">
      <w:bodyDiv w:val="1"/>
      <w:marLeft w:val="0"/>
      <w:marRight w:val="0"/>
      <w:marTop w:val="0"/>
      <w:marBottom w:val="0"/>
      <w:divBdr>
        <w:top w:val="none" w:sz="0" w:space="0" w:color="auto"/>
        <w:left w:val="none" w:sz="0" w:space="0" w:color="auto"/>
        <w:bottom w:val="none" w:sz="0" w:space="0" w:color="auto"/>
        <w:right w:val="none" w:sz="0" w:space="0" w:color="auto"/>
      </w:divBdr>
    </w:div>
    <w:div w:id="2041323546">
      <w:bodyDiv w:val="1"/>
      <w:marLeft w:val="0"/>
      <w:marRight w:val="0"/>
      <w:marTop w:val="0"/>
      <w:marBottom w:val="0"/>
      <w:divBdr>
        <w:top w:val="none" w:sz="0" w:space="0" w:color="auto"/>
        <w:left w:val="none" w:sz="0" w:space="0" w:color="auto"/>
        <w:bottom w:val="none" w:sz="0" w:space="0" w:color="auto"/>
        <w:right w:val="none" w:sz="0" w:space="0" w:color="auto"/>
      </w:divBdr>
      <w:divsChild>
        <w:div w:id="1220507753">
          <w:marLeft w:val="0"/>
          <w:marRight w:val="0"/>
          <w:marTop w:val="0"/>
          <w:marBottom w:val="0"/>
          <w:divBdr>
            <w:top w:val="none" w:sz="0" w:space="0" w:color="auto"/>
            <w:left w:val="none" w:sz="0" w:space="0" w:color="auto"/>
            <w:bottom w:val="none" w:sz="0" w:space="0" w:color="auto"/>
            <w:right w:val="none" w:sz="0" w:space="0" w:color="auto"/>
          </w:divBdr>
        </w:div>
      </w:divsChild>
    </w:div>
    <w:div w:id="2136362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internationaldisabilityalliance.org" TargetMode="External"/><Relationship Id="rId4" Type="http://schemas.openxmlformats.org/officeDocument/2006/relationships/settings" Target="settings.xml"/><Relationship Id="rId9" Type="http://schemas.openxmlformats.org/officeDocument/2006/relationships/hyperlink" Target="mailto:jiperezbello@ida-secretariat.org"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dfeh.ca.gov/legal-records-and-reports/laws-and-regulations/" TargetMode="External"/><Relationship Id="rId3" Type="http://schemas.openxmlformats.org/officeDocument/2006/relationships/hyperlink" Target="https://undocs.org/CRPD/C/JOR/CO/1" TargetMode="External"/><Relationship Id="rId7" Type="http://schemas.openxmlformats.org/officeDocument/2006/relationships/hyperlink" Target="https://www.dfeh.ca.gov/legal-records-and-reports/laws-and-regulations/" TargetMode="External"/><Relationship Id="rId2" Type="http://schemas.openxmlformats.org/officeDocument/2006/relationships/hyperlink" Target="https://undocs.org/en/A/HRC/43/41" TargetMode="External"/><Relationship Id="rId1" Type="http://schemas.openxmlformats.org/officeDocument/2006/relationships/hyperlink" Target="https://docstore.ohchr.org/SelfServices/FilesHandler.ashx?enc=FhOD6sgqgzAhFXD9F%2feKaHS27qvpChe6dsIpF%2fUJwxmJwfgGGOr%2fbf7jK7sxI41pjj9TIcWUqZ8jhWTJrO77F1YC4kPqUwGClg%2bBeAkUyhywTwboZhhKi6vAjR021YQl" TargetMode="External"/><Relationship Id="rId6" Type="http://schemas.openxmlformats.org/officeDocument/2006/relationships/hyperlink" Target="http://ap.ohchr.org/documents/dpage_e.aspx?si=A/HRC/34/26" TargetMode="External"/><Relationship Id="rId5" Type="http://schemas.openxmlformats.org/officeDocument/2006/relationships/hyperlink" Target="http://tbinternet.ohchr.org/_layouts/treatybodyexternal/Download.aspx?symbolno=CRPD%2fC%2fEU%2fCO%2f1&amp;Lang=en" TargetMode="External"/><Relationship Id="rId4" Type="http://schemas.openxmlformats.org/officeDocument/2006/relationships/hyperlink" Target="https://undocs.org/en/CRPD/C/MLT/C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116CA2-6DC3-4D8B-B4E5-229A3F67F4F3}">
  <ds:schemaRefs>
    <ds:schemaRef ds:uri="http://schemas.openxmlformats.org/officeDocument/2006/bibliography"/>
  </ds:schemaRefs>
</ds:datastoreItem>
</file>

<file path=customXml/itemProps2.xml><?xml version="1.0" encoding="utf-8"?>
<ds:datastoreItem xmlns:ds="http://schemas.openxmlformats.org/officeDocument/2006/customXml" ds:itemID="{DDDDD229-0627-4929-A78E-84DED7F0B217}"/>
</file>

<file path=customXml/itemProps3.xml><?xml version="1.0" encoding="utf-8"?>
<ds:datastoreItem xmlns:ds="http://schemas.openxmlformats.org/officeDocument/2006/customXml" ds:itemID="{4DA39561-6757-44D5-B0BB-BA721B3CA755}"/>
</file>

<file path=customXml/itemProps4.xml><?xml version="1.0" encoding="utf-8"?>
<ds:datastoreItem xmlns:ds="http://schemas.openxmlformats.org/officeDocument/2006/customXml" ds:itemID="{DE60601B-F0EA-4482-BEA4-A98349A9FBF3}"/>
</file>

<file path=docProps/app.xml><?xml version="1.0" encoding="utf-8"?>
<Properties xmlns="http://schemas.openxmlformats.org/officeDocument/2006/extended-properties" xmlns:vt="http://schemas.openxmlformats.org/officeDocument/2006/docPropsVTypes">
  <Template>Normal.dotm</Template>
  <TotalTime>0</TotalTime>
  <Pages>15</Pages>
  <Words>4519</Words>
  <Characters>26891</Characters>
  <Application>Microsoft Office Word</Application>
  <DocSecurity>4</DocSecurity>
  <Lines>224</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IDA-JIPB</dc:creator>
  <cp:keywords/>
  <dc:description/>
  <cp:lastModifiedBy>ISKAKOVA Janna</cp:lastModifiedBy>
  <cp:revision>2</cp:revision>
  <cp:lastPrinted>2021-08-23T11:29:00Z</cp:lastPrinted>
  <dcterms:created xsi:type="dcterms:W3CDTF">2021-12-14T07:36:00Z</dcterms:created>
  <dcterms:modified xsi:type="dcterms:W3CDTF">2021-12-14T07:36:00Z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