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29970" w14:textId="3688039E" w:rsidR="00405286" w:rsidRPr="00BB22A6" w:rsidRDefault="00405286" w:rsidP="00581E8E">
      <w:pPr>
        <w:jc w:val="center"/>
        <w:rPr>
          <w:rFonts w:ascii="Calibri" w:hAnsi="Calibri"/>
          <w:b/>
          <w:sz w:val="28"/>
          <w:szCs w:val="28"/>
          <w:lang w:val="en-GB"/>
        </w:rPr>
      </w:pPr>
      <w:bookmarkStart w:id="0" w:name="_GoBack"/>
      <w:bookmarkEnd w:id="0"/>
      <w:r w:rsidRPr="00BB22A6">
        <w:rPr>
          <w:rFonts w:ascii="Calibri" w:hAnsi="Calibri"/>
          <w:b/>
          <w:sz w:val="28"/>
          <w:szCs w:val="28"/>
          <w:lang w:val="en-GB"/>
        </w:rPr>
        <w:t>Mental Health Europe</w:t>
      </w:r>
      <w:r w:rsidR="003D7FFD" w:rsidRPr="00BB22A6">
        <w:rPr>
          <w:rFonts w:ascii="Calibri" w:hAnsi="Calibri"/>
          <w:b/>
          <w:sz w:val="28"/>
          <w:szCs w:val="28"/>
          <w:lang w:val="en-GB"/>
        </w:rPr>
        <w:t>’s submission to the draft General Comment on article 27 on the right of persons with disabilities to work and employment</w:t>
      </w:r>
    </w:p>
    <w:p w14:paraId="1AFF9C4B" w14:textId="5B1B9F31" w:rsidR="003D7FFD" w:rsidRDefault="003D7FFD" w:rsidP="00581E8E">
      <w:pPr>
        <w:jc w:val="center"/>
        <w:rPr>
          <w:rFonts w:ascii="Calibri" w:hAnsi="Calibri"/>
          <w:b/>
          <w:lang w:val="en-GB"/>
        </w:rPr>
      </w:pPr>
    </w:p>
    <w:p w14:paraId="4DB7129C" w14:textId="384AD1C9" w:rsidR="003D7FFD" w:rsidRPr="003D7FFD" w:rsidRDefault="003D7FFD" w:rsidP="00581E8E">
      <w:pPr>
        <w:jc w:val="center"/>
        <w:rPr>
          <w:rFonts w:ascii="Calibri" w:hAnsi="Calibri"/>
          <w:b/>
        </w:rPr>
      </w:pPr>
      <w:r>
        <w:rPr>
          <w:rFonts w:ascii="Calibri" w:hAnsi="Calibri"/>
          <w:b/>
          <w:lang w:val="en-GB"/>
        </w:rPr>
        <w:t>06 December 2021</w:t>
      </w:r>
    </w:p>
    <w:p w14:paraId="549E6D94" w14:textId="77777777" w:rsidR="00581E8E" w:rsidRPr="00982F04" w:rsidRDefault="00581E8E" w:rsidP="00581E8E">
      <w:pPr>
        <w:jc w:val="center"/>
        <w:rPr>
          <w:rFonts w:ascii="Calibri" w:hAnsi="Calibri"/>
          <w:lang w:val="en-GB"/>
        </w:rPr>
      </w:pPr>
    </w:p>
    <w:p w14:paraId="3321DC06" w14:textId="77777777" w:rsidR="00405286" w:rsidRPr="00982F04" w:rsidRDefault="00405286">
      <w:pPr>
        <w:rPr>
          <w:rFonts w:ascii="Calibri" w:hAnsi="Calibri"/>
          <w:lang w:val="en-GB"/>
        </w:rPr>
      </w:pPr>
    </w:p>
    <w:p w14:paraId="12105DD0" w14:textId="23324AAE" w:rsidR="001A0B03" w:rsidRPr="00982F04" w:rsidRDefault="00572332" w:rsidP="00EE74A6">
      <w:pPr>
        <w:spacing w:line="276" w:lineRule="auto"/>
        <w:jc w:val="both"/>
        <w:rPr>
          <w:rFonts w:ascii="Calibri" w:hAnsi="Calibri"/>
          <w:i/>
          <w:u w:val="single"/>
          <w:lang w:val="en-GB"/>
        </w:rPr>
      </w:pPr>
      <w:r w:rsidRPr="00982F04">
        <w:rPr>
          <w:rFonts w:ascii="Calibri" w:hAnsi="Calibri"/>
          <w:i/>
          <w:u w:val="single"/>
          <w:lang w:val="en-GB"/>
        </w:rPr>
        <w:t>About Mental Health Europe</w:t>
      </w:r>
    </w:p>
    <w:p w14:paraId="65A1BF37" w14:textId="77777777" w:rsidR="004B6D40" w:rsidRPr="00982F04" w:rsidRDefault="004B6D40" w:rsidP="00EE74A6">
      <w:pPr>
        <w:spacing w:line="276" w:lineRule="auto"/>
        <w:jc w:val="both"/>
        <w:rPr>
          <w:rFonts w:ascii="Calibri" w:hAnsi="Calibri"/>
          <w:lang w:val="en-GB"/>
        </w:rPr>
      </w:pPr>
    </w:p>
    <w:p w14:paraId="3267AEB5" w14:textId="3925B5D2" w:rsidR="00C00201" w:rsidRDefault="00892E76" w:rsidP="00EE74A6">
      <w:pPr>
        <w:spacing w:line="276" w:lineRule="auto"/>
        <w:jc w:val="both"/>
        <w:rPr>
          <w:rFonts w:ascii="Calibri" w:hAnsi="Calibri"/>
          <w:lang w:val="en-GB"/>
        </w:rPr>
      </w:pPr>
      <w:hyperlink r:id="rId8" w:history="1">
        <w:r w:rsidR="001A0B03" w:rsidRPr="00982F04">
          <w:rPr>
            <w:rStyle w:val="Hyperlink"/>
            <w:rFonts w:ascii="Calibri" w:hAnsi="Calibri"/>
            <w:lang w:val="en-GB"/>
          </w:rPr>
          <w:t>Mental Health Europe</w:t>
        </w:r>
      </w:hyperlink>
      <w:r w:rsidR="001A0B03" w:rsidRPr="00982F04">
        <w:rPr>
          <w:rFonts w:ascii="Calibri" w:hAnsi="Calibri"/>
          <w:lang w:val="en-GB"/>
        </w:rPr>
        <w:t xml:space="preserve"> (MHE) is the largest independent European non-governmental network working in the field of mental health. We are committed to the promotion of positive mental health, the prevention of mental distress and improvement of care. We advocate for social inclusion and the protection of the rights of (ex)users of mental health services, persons with psychosocial disabilities, their families and carers. We also raise awareness to end mental health stigma and discrimination. For a better understanding of the essence of our work, check our </w:t>
      </w:r>
      <w:hyperlink r:id="rId9" w:history="1">
        <w:r w:rsidR="001A0B03" w:rsidRPr="00982F04">
          <w:rPr>
            <w:rStyle w:val="Hyperlink"/>
            <w:rFonts w:ascii="Calibri" w:hAnsi="Calibri"/>
            <w:lang w:val="en-GB"/>
          </w:rPr>
          <w:t>Mental Health Europe explained</w:t>
        </w:r>
      </w:hyperlink>
      <w:r w:rsidR="001A0B03" w:rsidRPr="00982F04">
        <w:rPr>
          <w:rFonts w:ascii="Calibri" w:hAnsi="Calibri"/>
          <w:lang w:val="en-GB"/>
        </w:rPr>
        <w:t xml:space="preserve"> page and </w:t>
      </w:r>
      <w:hyperlink r:id="rId10" w:history="1">
        <w:r w:rsidR="001A0B03" w:rsidRPr="00982F04">
          <w:rPr>
            <w:rStyle w:val="Hyperlink"/>
            <w:rFonts w:ascii="Calibri" w:hAnsi="Calibri"/>
            <w:lang w:val="en-GB"/>
          </w:rPr>
          <w:t>our introductory video</w:t>
        </w:r>
      </w:hyperlink>
      <w:r w:rsidR="001A0B03" w:rsidRPr="00982F04">
        <w:rPr>
          <w:rFonts w:ascii="Calibri" w:hAnsi="Calibri"/>
          <w:lang w:val="en-GB"/>
        </w:rPr>
        <w:t>.</w:t>
      </w:r>
    </w:p>
    <w:p w14:paraId="76BD0809" w14:textId="4CEA3DCD" w:rsidR="000E63D9" w:rsidRDefault="000E63D9" w:rsidP="00EE74A6">
      <w:pPr>
        <w:spacing w:line="276" w:lineRule="auto"/>
        <w:jc w:val="both"/>
        <w:rPr>
          <w:rFonts w:ascii="Calibri" w:hAnsi="Calibri"/>
          <w:lang w:val="en-GB"/>
        </w:rPr>
      </w:pPr>
    </w:p>
    <w:p w14:paraId="5151B71D" w14:textId="3AF3FA04" w:rsidR="000E63D9" w:rsidRPr="00982F04" w:rsidRDefault="000E63D9" w:rsidP="00EE74A6">
      <w:pPr>
        <w:spacing w:line="276" w:lineRule="auto"/>
        <w:jc w:val="both"/>
        <w:rPr>
          <w:rFonts w:ascii="Calibri" w:hAnsi="Calibri"/>
          <w:lang w:val="en-GB"/>
        </w:rPr>
      </w:pPr>
      <w:r>
        <w:rPr>
          <w:rFonts w:ascii="Calibri" w:hAnsi="Calibri"/>
          <w:lang w:val="en-GB"/>
        </w:rPr>
        <w:t>MHE would like to propose the following changes to the draft General Comment on article 27:</w:t>
      </w:r>
    </w:p>
    <w:p w14:paraId="5B67C48F" w14:textId="77777777" w:rsidR="001A0B03" w:rsidRPr="00982F04" w:rsidRDefault="001A0B03" w:rsidP="00EE74A6">
      <w:pPr>
        <w:spacing w:line="276" w:lineRule="auto"/>
        <w:jc w:val="both"/>
        <w:rPr>
          <w:rFonts w:ascii="Calibri" w:hAnsi="Calibri"/>
          <w:lang w:val="en-GB"/>
        </w:rPr>
      </w:pPr>
    </w:p>
    <w:p w14:paraId="5B71DB0C" w14:textId="7DB115EC" w:rsidR="004B6D40" w:rsidRPr="00234226" w:rsidRDefault="005203EB" w:rsidP="00EE74A6">
      <w:pPr>
        <w:spacing w:line="276" w:lineRule="auto"/>
        <w:jc w:val="both"/>
        <w:rPr>
          <w:rFonts w:ascii="Calibri" w:hAnsi="Calibri"/>
          <w:i/>
          <w:iCs/>
          <w:u w:val="single"/>
          <w:lang w:val="en-GB"/>
        </w:rPr>
      </w:pPr>
      <w:r w:rsidRPr="00234226">
        <w:rPr>
          <w:rFonts w:ascii="Calibri" w:hAnsi="Calibri"/>
          <w:i/>
          <w:iCs/>
          <w:u w:val="single"/>
          <w:lang w:val="en-GB"/>
        </w:rPr>
        <w:t>Paragraph 13</w:t>
      </w:r>
    </w:p>
    <w:p w14:paraId="0DA300D0" w14:textId="4162EBA0" w:rsidR="005203EB" w:rsidRDefault="005203EB" w:rsidP="00EE74A6">
      <w:pPr>
        <w:spacing w:line="276" w:lineRule="auto"/>
        <w:jc w:val="both"/>
        <w:rPr>
          <w:rFonts w:ascii="Calibri" w:hAnsi="Calibri"/>
          <w:lang w:val="en-GB"/>
        </w:rPr>
      </w:pPr>
    </w:p>
    <w:p w14:paraId="0AF63E95" w14:textId="4FF65146" w:rsidR="005203EB" w:rsidRDefault="005203EB" w:rsidP="00EE74A6">
      <w:pPr>
        <w:spacing w:line="276" w:lineRule="auto"/>
        <w:jc w:val="both"/>
        <w:rPr>
          <w:rFonts w:ascii="Calibri" w:hAnsi="Calibri"/>
          <w:lang w:val="en-GB"/>
        </w:rPr>
      </w:pPr>
      <w:r>
        <w:rPr>
          <w:rFonts w:ascii="Calibri" w:hAnsi="Calibri"/>
          <w:lang w:val="en-GB"/>
        </w:rPr>
        <w:t>MHE would like to propose the following changes to the text to correct typos</w:t>
      </w:r>
      <w:r w:rsidR="006774B1">
        <w:rPr>
          <w:rFonts w:ascii="Calibri" w:hAnsi="Calibri"/>
          <w:lang w:val="en-GB"/>
        </w:rPr>
        <w:t>.</w:t>
      </w:r>
    </w:p>
    <w:p w14:paraId="398E50ED" w14:textId="18365EAA" w:rsidR="005203EB" w:rsidRDefault="005203EB" w:rsidP="00EE74A6">
      <w:pPr>
        <w:spacing w:line="276" w:lineRule="auto"/>
        <w:jc w:val="both"/>
        <w:rPr>
          <w:rFonts w:ascii="Calibri" w:hAnsi="Calibri"/>
          <w:lang w:val="en-GB"/>
        </w:rPr>
      </w:pPr>
    </w:p>
    <w:tbl>
      <w:tblPr>
        <w:tblStyle w:val="TableGrid"/>
        <w:tblW w:w="0" w:type="auto"/>
        <w:tblLook w:val="04A0" w:firstRow="1" w:lastRow="0" w:firstColumn="1" w:lastColumn="0" w:noHBand="0" w:noVBand="1"/>
      </w:tblPr>
      <w:tblGrid>
        <w:gridCol w:w="4811"/>
        <w:gridCol w:w="4811"/>
      </w:tblGrid>
      <w:tr w:rsidR="005203EB" w14:paraId="662BD7FD" w14:textId="77777777" w:rsidTr="005203EB">
        <w:tc>
          <w:tcPr>
            <w:tcW w:w="4924" w:type="dxa"/>
          </w:tcPr>
          <w:p w14:paraId="3C47ABA7" w14:textId="53080B94" w:rsidR="005203EB" w:rsidRDefault="005203EB" w:rsidP="00234226">
            <w:pPr>
              <w:spacing w:line="276" w:lineRule="auto"/>
              <w:jc w:val="center"/>
              <w:rPr>
                <w:rFonts w:ascii="Calibri" w:hAnsi="Calibri"/>
                <w:lang w:val="en-GB"/>
              </w:rPr>
            </w:pPr>
            <w:r>
              <w:rPr>
                <w:rFonts w:ascii="Calibri" w:hAnsi="Calibri"/>
                <w:lang w:val="en-GB"/>
              </w:rPr>
              <w:t>Draft text</w:t>
            </w:r>
          </w:p>
        </w:tc>
        <w:tc>
          <w:tcPr>
            <w:tcW w:w="4924" w:type="dxa"/>
          </w:tcPr>
          <w:p w14:paraId="2490E848" w14:textId="4BBE5C14" w:rsidR="005203EB" w:rsidRDefault="005203EB" w:rsidP="00234226">
            <w:pPr>
              <w:spacing w:line="276" w:lineRule="auto"/>
              <w:jc w:val="center"/>
              <w:rPr>
                <w:rFonts w:ascii="Calibri" w:hAnsi="Calibri"/>
                <w:lang w:val="en-GB"/>
              </w:rPr>
            </w:pPr>
            <w:r>
              <w:rPr>
                <w:rFonts w:ascii="Calibri" w:hAnsi="Calibri"/>
                <w:lang w:val="en-GB"/>
              </w:rPr>
              <w:t>MHE’s proposed changes</w:t>
            </w:r>
          </w:p>
        </w:tc>
      </w:tr>
      <w:tr w:rsidR="005203EB" w14:paraId="2BFD6972" w14:textId="77777777" w:rsidTr="005203EB">
        <w:tc>
          <w:tcPr>
            <w:tcW w:w="4924" w:type="dxa"/>
          </w:tcPr>
          <w:p w14:paraId="3B09E9D7" w14:textId="7635D547" w:rsidR="005203EB" w:rsidRPr="005203EB" w:rsidRDefault="005203EB" w:rsidP="00EE74A6">
            <w:pPr>
              <w:spacing w:line="276" w:lineRule="auto"/>
              <w:jc w:val="both"/>
              <w:rPr>
                <w:rFonts w:ascii="Calibri" w:hAnsi="Calibri"/>
              </w:rPr>
            </w:pPr>
            <w:r w:rsidRPr="005203EB">
              <w:rPr>
                <w:rFonts w:ascii="Calibri" w:hAnsi="Calibri"/>
              </w:rPr>
              <w:t>The Convention recognises the right of persons with disabilities to work on an equal basis with others, including the opportunity to gain a living by freely chosen or accepted work in an open, inclusive and accessible labour market and work environment. The guarantees associated work and employment should be ensure throughout the employment cycle, which includes recruitment, hiring and employment, continuance of employment, training programmes, career advancement, searching and applying for work and exiting work.</w:t>
            </w:r>
          </w:p>
        </w:tc>
        <w:tc>
          <w:tcPr>
            <w:tcW w:w="4924" w:type="dxa"/>
          </w:tcPr>
          <w:p w14:paraId="065CAA49" w14:textId="52C3A09C" w:rsidR="005203EB" w:rsidRPr="005203EB" w:rsidRDefault="005203EB" w:rsidP="00EE74A6">
            <w:pPr>
              <w:spacing w:line="276" w:lineRule="auto"/>
              <w:jc w:val="both"/>
              <w:rPr>
                <w:rFonts w:ascii="Calibri" w:hAnsi="Calibri"/>
              </w:rPr>
            </w:pPr>
            <w:r w:rsidRPr="005203EB">
              <w:rPr>
                <w:rFonts w:ascii="Calibri" w:hAnsi="Calibri"/>
              </w:rPr>
              <w:t xml:space="preserve">The Convention recognises the right of persons with disabilities to work on an equal basis with others, including the opportunity to gain a living by freely chosen or accepted work in an open, inclusive and accessible labour market and work environment. The guarantees associated </w:t>
            </w:r>
            <w:r w:rsidRPr="005203EB">
              <w:rPr>
                <w:rFonts w:ascii="Calibri" w:hAnsi="Calibri"/>
                <w:b/>
                <w:bCs/>
                <w:i/>
                <w:iCs/>
              </w:rPr>
              <w:t>with</w:t>
            </w:r>
            <w:r w:rsidRPr="005203EB">
              <w:rPr>
                <w:rFonts w:ascii="Calibri" w:hAnsi="Calibri"/>
              </w:rPr>
              <w:t xml:space="preserve"> work and employment should be ensure</w:t>
            </w:r>
            <w:r w:rsidRPr="005203EB">
              <w:rPr>
                <w:rFonts w:ascii="Calibri" w:hAnsi="Calibri"/>
                <w:b/>
                <w:bCs/>
                <w:i/>
                <w:iCs/>
              </w:rPr>
              <w:t>d</w:t>
            </w:r>
            <w:r w:rsidRPr="005203EB">
              <w:rPr>
                <w:rFonts w:ascii="Calibri" w:hAnsi="Calibri"/>
              </w:rPr>
              <w:t xml:space="preserve"> throughout the employment cycle, which includes recruitment, hiring and employment, continuance of employment, training programmes, career advancement, searching and applying for work and exiting work.</w:t>
            </w:r>
          </w:p>
        </w:tc>
      </w:tr>
    </w:tbl>
    <w:p w14:paraId="408C9B79" w14:textId="6D354925" w:rsidR="00260A04" w:rsidRDefault="00260A04" w:rsidP="00EE74A6">
      <w:pPr>
        <w:spacing w:line="276" w:lineRule="auto"/>
        <w:jc w:val="both"/>
        <w:rPr>
          <w:rFonts w:ascii="Calibri" w:hAnsi="Calibri"/>
          <w:lang w:val="en-GB"/>
        </w:rPr>
      </w:pPr>
    </w:p>
    <w:p w14:paraId="52E31BFD" w14:textId="18418DA3" w:rsidR="00260A04" w:rsidRPr="00234226" w:rsidRDefault="00260A04" w:rsidP="00260A04">
      <w:pPr>
        <w:spacing w:line="276" w:lineRule="auto"/>
        <w:jc w:val="both"/>
        <w:rPr>
          <w:rFonts w:ascii="Calibri" w:hAnsi="Calibri"/>
          <w:i/>
          <w:iCs/>
          <w:u w:val="single"/>
          <w:lang w:val="en-GB"/>
        </w:rPr>
      </w:pPr>
      <w:r w:rsidRPr="00234226">
        <w:rPr>
          <w:rFonts w:ascii="Calibri" w:hAnsi="Calibri"/>
          <w:i/>
          <w:iCs/>
          <w:u w:val="single"/>
          <w:lang w:val="en-GB"/>
        </w:rPr>
        <w:t>Paragraph 1</w:t>
      </w:r>
      <w:r w:rsidR="006774B1">
        <w:rPr>
          <w:rFonts w:ascii="Calibri" w:hAnsi="Calibri"/>
          <w:i/>
          <w:iCs/>
          <w:u w:val="single"/>
          <w:lang w:val="en-GB"/>
        </w:rPr>
        <w:t>4</w:t>
      </w:r>
    </w:p>
    <w:p w14:paraId="6DB595F8" w14:textId="77777777" w:rsidR="00260A04" w:rsidRDefault="00260A04" w:rsidP="00260A04">
      <w:pPr>
        <w:spacing w:line="276" w:lineRule="auto"/>
        <w:jc w:val="both"/>
        <w:rPr>
          <w:rFonts w:ascii="Calibri" w:hAnsi="Calibri"/>
          <w:lang w:val="en-GB"/>
        </w:rPr>
      </w:pPr>
    </w:p>
    <w:p w14:paraId="6A473BDC" w14:textId="1AB3F232" w:rsidR="00260A04" w:rsidRDefault="00260A04" w:rsidP="00260A04">
      <w:pPr>
        <w:spacing w:line="276" w:lineRule="auto"/>
        <w:jc w:val="both"/>
        <w:rPr>
          <w:rFonts w:ascii="Calibri" w:hAnsi="Calibri"/>
          <w:lang w:val="en-GB"/>
        </w:rPr>
      </w:pPr>
      <w:r>
        <w:rPr>
          <w:rFonts w:ascii="Calibri" w:hAnsi="Calibri"/>
          <w:lang w:val="en-GB"/>
        </w:rPr>
        <w:t xml:space="preserve">MHE would like to propose the following </w:t>
      </w:r>
      <w:r w:rsidR="006774B1">
        <w:rPr>
          <w:rFonts w:ascii="Calibri" w:hAnsi="Calibri"/>
          <w:lang w:val="en-GB"/>
        </w:rPr>
        <w:t>edits</w:t>
      </w:r>
      <w:r>
        <w:rPr>
          <w:rFonts w:ascii="Calibri" w:hAnsi="Calibri"/>
          <w:lang w:val="en-GB"/>
        </w:rPr>
        <w:t xml:space="preserve"> to</w:t>
      </w:r>
      <w:r w:rsidR="006774B1">
        <w:rPr>
          <w:rFonts w:ascii="Calibri" w:hAnsi="Calibri"/>
          <w:lang w:val="en-GB"/>
        </w:rPr>
        <w:t xml:space="preserve"> have a broader overview of the obstacles faced by people with psychosocial disabilities.</w:t>
      </w:r>
    </w:p>
    <w:p w14:paraId="49D04EFF" w14:textId="77777777" w:rsidR="00260A04" w:rsidRDefault="00260A04" w:rsidP="00260A04">
      <w:pPr>
        <w:spacing w:line="276" w:lineRule="auto"/>
        <w:jc w:val="both"/>
        <w:rPr>
          <w:rFonts w:ascii="Calibri" w:hAnsi="Calibri"/>
          <w:lang w:val="en-GB"/>
        </w:rPr>
      </w:pPr>
    </w:p>
    <w:tbl>
      <w:tblPr>
        <w:tblStyle w:val="TableGrid"/>
        <w:tblW w:w="0" w:type="auto"/>
        <w:tblLook w:val="04A0" w:firstRow="1" w:lastRow="0" w:firstColumn="1" w:lastColumn="0" w:noHBand="0" w:noVBand="1"/>
      </w:tblPr>
      <w:tblGrid>
        <w:gridCol w:w="4811"/>
        <w:gridCol w:w="4811"/>
      </w:tblGrid>
      <w:tr w:rsidR="00260A04" w14:paraId="71335DEF" w14:textId="77777777" w:rsidTr="001B0467">
        <w:tc>
          <w:tcPr>
            <w:tcW w:w="4924" w:type="dxa"/>
          </w:tcPr>
          <w:p w14:paraId="577371F0" w14:textId="77777777" w:rsidR="00260A04" w:rsidRDefault="00260A04" w:rsidP="001B0467">
            <w:pPr>
              <w:spacing w:line="276" w:lineRule="auto"/>
              <w:jc w:val="center"/>
              <w:rPr>
                <w:rFonts w:ascii="Calibri" w:hAnsi="Calibri"/>
                <w:lang w:val="en-GB"/>
              </w:rPr>
            </w:pPr>
            <w:r>
              <w:rPr>
                <w:rFonts w:ascii="Calibri" w:hAnsi="Calibri"/>
                <w:lang w:val="en-GB"/>
              </w:rPr>
              <w:t>Draft text</w:t>
            </w:r>
          </w:p>
        </w:tc>
        <w:tc>
          <w:tcPr>
            <w:tcW w:w="4924" w:type="dxa"/>
          </w:tcPr>
          <w:p w14:paraId="02E6F436" w14:textId="77777777" w:rsidR="00260A04" w:rsidRDefault="00260A04" w:rsidP="001B0467">
            <w:pPr>
              <w:spacing w:line="276" w:lineRule="auto"/>
              <w:jc w:val="center"/>
              <w:rPr>
                <w:rFonts w:ascii="Calibri" w:hAnsi="Calibri"/>
                <w:lang w:val="en-GB"/>
              </w:rPr>
            </w:pPr>
            <w:r>
              <w:rPr>
                <w:rFonts w:ascii="Calibri" w:hAnsi="Calibri"/>
                <w:lang w:val="en-GB"/>
              </w:rPr>
              <w:t>MHE’s proposed changes</w:t>
            </w:r>
          </w:p>
        </w:tc>
      </w:tr>
      <w:tr w:rsidR="00260A04" w14:paraId="7BEFE0EE" w14:textId="77777777" w:rsidTr="001B0467">
        <w:tc>
          <w:tcPr>
            <w:tcW w:w="4924" w:type="dxa"/>
          </w:tcPr>
          <w:p w14:paraId="5AA77B02" w14:textId="63DE1819" w:rsidR="00260A04" w:rsidRPr="005203EB" w:rsidRDefault="00260A04" w:rsidP="001B0467">
            <w:pPr>
              <w:spacing w:line="276" w:lineRule="auto"/>
              <w:jc w:val="both"/>
              <w:rPr>
                <w:rFonts w:ascii="Calibri" w:hAnsi="Calibri"/>
              </w:rPr>
            </w:pPr>
            <w:r w:rsidRPr="00260A04">
              <w:rPr>
                <w:rFonts w:ascii="Calibri" w:hAnsi="Calibri"/>
              </w:rPr>
              <w:lastRenderedPageBreak/>
              <w:t>Despite some progress, access to the open labour market and segregation continue to be greatest challenges for persons with disabilities. Denial of reasonable accommodation, inaccessible workplaces and harassment pose further obstacles to employment in an open labour market and work environment leading to a false choice of employment in a closed workplace on the basis of disability.</w:t>
            </w:r>
            <w:r w:rsidR="00486A6D">
              <w:rPr>
                <w:rFonts w:ascii="Calibri" w:hAnsi="Calibri"/>
              </w:rPr>
              <w:t xml:space="preserve"> […]</w:t>
            </w:r>
          </w:p>
        </w:tc>
        <w:tc>
          <w:tcPr>
            <w:tcW w:w="4924" w:type="dxa"/>
          </w:tcPr>
          <w:p w14:paraId="6626DCC2" w14:textId="32756D20" w:rsidR="00260A04" w:rsidRPr="005203EB" w:rsidRDefault="00260A04" w:rsidP="001B0467">
            <w:pPr>
              <w:spacing w:line="276" w:lineRule="auto"/>
              <w:jc w:val="both"/>
              <w:rPr>
                <w:rFonts w:ascii="Calibri" w:hAnsi="Calibri"/>
              </w:rPr>
            </w:pPr>
            <w:r w:rsidRPr="00260A04">
              <w:rPr>
                <w:rFonts w:ascii="Calibri" w:hAnsi="Calibri"/>
              </w:rPr>
              <w:t xml:space="preserve">Despite some progress, access to the open labour market and segregation continue to be greatest challenges for persons with disabilities. Denial of reasonable accommodation, inaccessible workplaces </w:t>
            </w:r>
            <w:r w:rsidRPr="00260A04">
              <w:rPr>
                <w:rFonts w:ascii="Calibri" w:hAnsi="Calibri"/>
                <w:b/>
                <w:bCs/>
                <w:i/>
                <w:iCs/>
                <w:strike/>
              </w:rPr>
              <w:t>and</w:t>
            </w:r>
            <w:r w:rsidRPr="00260A04">
              <w:rPr>
                <w:rFonts w:ascii="Calibri" w:hAnsi="Calibri"/>
              </w:rPr>
              <w:t xml:space="preserve"> harassment</w:t>
            </w:r>
            <w:r>
              <w:rPr>
                <w:rFonts w:ascii="Calibri" w:hAnsi="Calibri"/>
                <w:b/>
                <w:bCs/>
                <w:i/>
                <w:iCs/>
              </w:rPr>
              <w:t>, stigma and discrimination</w:t>
            </w:r>
            <w:r w:rsidRPr="00260A04">
              <w:rPr>
                <w:rFonts w:ascii="Calibri" w:hAnsi="Calibri"/>
              </w:rPr>
              <w:t xml:space="preserve"> pose further obstacles to employment in an open labour market and work environment leading to a false choice of employment in a closed workplace on the basis of disability.</w:t>
            </w:r>
            <w:r w:rsidR="00486A6D">
              <w:rPr>
                <w:rFonts w:ascii="Calibri" w:hAnsi="Calibri"/>
              </w:rPr>
              <w:t xml:space="preserve"> […]</w:t>
            </w:r>
          </w:p>
        </w:tc>
      </w:tr>
    </w:tbl>
    <w:p w14:paraId="5EF14683" w14:textId="77777777" w:rsidR="00F341A2" w:rsidRDefault="00F341A2" w:rsidP="00F341A2">
      <w:pPr>
        <w:spacing w:line="276" w:lineRule="auto"/>
        <w:jc w:val="both"/>
        <w:rPr>
          <w:rFonts w:ascii="Calibri" w:hAnsi="Calibri"/>
          <w:lang w:val="en-GB"/>
        </w:rPr>
      </w:pPr>
    </w:p>
    <w:p w14:paraId="692B03E0" w14:textId="0F5D18C3" w:rsidR="00F341A2" w:rsidRPr="00234226" w:rsidRDefault="00F341A2" w:rsidP="00F341A2">
      <w:pPr>
        <w:spacing w:line="276" w:lineRule="auto"/>
        <w:jc w:val="both"/>
        <w:rPr>
          <w:rFonts w:ascii="Calibri" w:hAnsi="Calibri"/>
          <w:i/>
          <w:iCs/>
          <w:u w:val="single"/>
          <w:lang w:val="en-GB"/>
        </w:rPr>
      </w:pPr>
      <w:r w:rsidRPr="00234226">
        <w:rPr>
          <w:rFonts w:ascii="Calibri" w:hAnsi="Calibri"/>
          <w:i/>
          <w:iCs/>
          <w:u w:val="single"/>
          <w:lang w:val="en-GB"/>
        </w:rPr>
        <w:t xml:space="preserve">Paragraph </w:t>
      </w:r>
      <w:r w:rsidR="00486A6D">
        <w:rPr>
          <w:rFonts w:ascii="Calibri" w:hAnsi="Calibri"/>
          <w:i/>
          <w:iCs/>
          <w:u w:val="single"/>
          <w:lang w:val="en-GB"/>
        </w:rPr>
        <w:t>2</w:t>
      </w:r>
      <w:r>
        <w:rPr>
          <w:rFonts w:ascii="Calibri" w:hAnsi="Calibri"/>
          <w:i/>
          <w:iCs/>
          <w:u w:val="single"/>
          <w:lang w:val="en-GB"/>
        </w:rPr>
        <w:t>4</w:t>
      </w:r>
    </w:p>
    <w:p w14:paraId="3240A4FB" w14:textId="77777777" w:rsidR="00F341A2" w:rsidRDefault="00F341A2" w:rsidP="00F341A2">
      <w:pPr>
        <w:spacing w:line="276" w:lineRule="auto"/>
        <w:jc w:val="both"/>
        <w:rPr>
          <w:rFonts w:ascii="Calibri" w:hAnsi="Calibri"/>
          <w:lang w:val="en-GB"/>
        </w:rPr>
      </w:pPr>
    </w:p>
    <w:p w14:paraId="75060DA4" w14:textId="380C501E" w:rsidR="00F341A2" w:rsidRDefault="00F341A2" w:rsidP="00F341A2">
      <w:pPr>
        <w:spacing w:line="276" w:lineRule="auto"/>
        <w:jc w:val="both"/>
        <w:rPr>
          <w:rFonts w:ascii="Calibri" w:hAnsi="Calibri"/>
          <w:lang w:val="en-GB"/>
        </w:rPr>
      </w:pPr>
      <w:r>
        <w:rPr>
          <w:rFonts w:ascii="Calibri" w:hAnsi="Calibri"/>
          <w:lang w:val="en-GB"/>
        </w:rPr>
        <w:t>MHE would like to propose the following addition to have a broader overview of the possible grounds of discrimination</w:t>
      </w:r>
      <w:r w:rsidR="001C1B9F">
        <w:rPr>
          <w:rFonts w:ascii="Calibri" w:hAnsi="Calibri"/>
          <w:lang w:val="en-GB"/>
        </w:rPr>
        <w:t xml:space="preserve">. Persons with psychosocial disabilities might be required to disclose information on their past and current health status, which might </w:t>
      </w:r>
      <w:r w:rsidR="001C1B9F" w:rsidRPr="001C1B9F">
        <w:rPr>
          <w:rFonts w:ascii="Calibri" w:hAnsi="Calibri"/>
          <w:lang w:val="en-GB"/>
        </w:rPr>
        <w:t xml:space="preserve">not </w:t>
      </w:r>
      <w:r w:rsidR="001C1B9F">
        <w:rPr>
          <w:rFonts w:ascii="Calibri" w:hAnsi="Calibri"/>
          <w:lang w:val="en-GB"/>
        </w:rPr>
        <w:t xml:space="preserve">be </w:t>
      </w:r>
      <w:r w:rsidR="001C1B9F" w:rsidRPr="001C1B9F">
        <w:rPr>
          <w:rFonts w:ascii="Calibri" w:hAnsi="Calibri"/>
          <w:lang w:val="en-GB"/>
        </w:rPr>
        <w:t>directly related to performance</w:t>
      </w:r>
      <w:r w:rsidR="001C1B9F">
        <w:rPr>
          <w:rFonts w:ascii="Calibri" w:hAnsi="Calibri"/>
          <w:lang w:val="en-GB"/>
        </w:rPr>
        <w:t xml:space="preserve"> or job tasks, and this can amount to discrimination.</w:t>
      </w:r>
    </w:p>
    <w:p w14:paraId="04465254" w14:textId="77777777" w:rsidR="00F341A2" w:rsidRDefault="00F341A2" w:rsidP="00F341A2">
      <w:pPr>
        <w:spacing w:line="276" w:lineRule="auto"/>
        <w:jc w:val="both"/>
        <w:rPr>
          <w:rFonts w:ascii="Calibri" w:hAnsi="Calibri"/>
          <w:lang w:val="en-GB"/>
        </w:rPr>
      </w:pPr>
    </w:p>
    <w:tbl>
      <w:tblPr>
        <w:tblStyle w:val="TableGrid"/>
        <w:tblW w:w="0" w:type="auto"/>
        <w:tblLook w:val="04A0" w:firstRow="1" w:lastRow="0" w:firstColumn="1" w:lastColumn="0" w:noHBand="0" w:noVBand="1"/>
      </w:tblPr>
      <w:tblGrid>
        <w:gridCol w:w="4811"/>
        <w:gridCol w:w="4811"/>
      </w:tblGrid>
      <w:tr w:rsidR="00F341A2" w14:paraId="62B69466" w14:textId="77777777" w:rsidTr="004576FD">
        <w:tc>
          <w:tcPr>
            <w:tcW w:w="4924" w:type="dxa"/>
          </w:tcPr>
          <w:p w14:paraId="18D11CD6" w14:textId="77777777" w:rsidR="00F341A2" w:rsidRDefault="00F341A2" w:rsidP="004576FD">
            <w:pPr>
              <w:spacing w:line="276" w:lineRule="auto"/>
              <w:jc w:val="center"/>
              <w:rPr>
                <w:rFonts w:ascii="Calibri" w:hAnsi="Calibri"/>
                <w:lang w:val="en-GB"/>
              </w:rPr>
            </w:pPr>
            <w:r>
              <w:rPr>
                <w:rFonts w:ascii="Calibri" w:hAnsi="Calibri"/>
                <w:lang w:val="en-GB"/>
              </w:rPr>
              <w:t>Draft text</w:t>
            </w:r>
          </w:p>
        </w:tc>
        <w:tc>
          <w:tcPr>
            <w:tcW w:w="4924" w:type="dxa"/>
          </w:tcPr>
          <w:p w14:paraId="294BF9B0" w14:textId="77777777" w:rsidR="00F341A2" w:rsidRDefault="00F341A2" w:rsidP="004576FD">
            <w:pPr>
              <w:spacing w:line="276" w:lineRule="auto"/>
              <w:jc w:val="center"/>
              <w:rPr>
                <w:rFonts w:ascii="Calibri" w:hAnsi="Calibri"/>
                <w:lang w:val="en-GB"/>
              </w:rPr>
            </w:pPr>
            <w:r>
              <w:rPr>
                <w:rFonts w:ascii="Calibri" w:hAnsi="Calibri"/>
                <w:lang w:val="en-GB"/>
              </w:rPr>
              <w:t>MHE’s proposed changes</w:t>
            </w:r>
          </w:p>
        </w:tc>
      </w:tr>
      <w:tr w:rsidR="00F341A2" w14:paraId="5560D61D" w14:textId="77777777" w:rsidTr="004576FD">
        <w:tc>
          <w:tcPr>
            <w:tcW w:w="4924" w:type="dxa"/>
          </w:tcPr>
          <w:p w14:paraId="1168077E" w14:textId="07B8721F" w:rsidR="00F341A2" w:rsidRPr="005203EB" w:rsidRDefault="00486A6D" w:rsidP="004576FD">
            <w:pPr>
              <w:spacing w:line="276" w:lineRule="auto"/>
              <w:jc w:val="both"/>
              <w:rPr>
                <w:rFonts w:ascii="Calibri" w:hAnsi="Calibri"/>
              </w:rPr>
            </w:pPr>
            <w:r>
              <w:rPr>
                <w:rFonts w:ascii="Calibri" w:hAnsi="Calibri"/>
              </w:rPr>
              <w:t xml:space="preserve">[…] </w:t>
            </w:r>
            <w:r w:rsidR="00F341A2" w:rsidRPr="00F341A2">
              <w:rPr>
                <w:rFonts w:ascii="Calibri" w:hAnsi="Calibri"/>
              </w:rPr>
              <w:t>Intersectional discrimination recognizes that individuals do not experience discrimination as members of a homogenous group but, rather, as individuals with multidimensional layers of identities, statuses and life circumstances. These additional grounds include age, race, indigenous, national or social origin, refugee, migrant or asylum seeker status, political or other opinion, religion, sex, sexual orientation and gender identity.</w:t>
            </w:r>
          </w:p>
        </w:tc>
        <w:tc>
          <w:tcPr>
            <w:tcW w:w="4924" w:type="dxa"/>
          </w:tcPr>
          <w:p w14:paraId="5EF4189B" w14:textId="710F846F" w:rsidR="00F341A2" w:rsidRPr="005203EB" w:rsidRDefault="00486A6D" w:rsidP="004576FD">
            <w:pPr>
              <w:spacing w:line="276" w:lineRule="auto"/>
              <w:jc w:val="both"/>
              <w:rPr>
                <w:rFonts w:ascii="Calibri" w:hAnsi="Calibri"/>
              </w:rPr>
            </w:pPr>
            <w:r>
              <w:rPr>
                <w:rFonts w:ascii="Calibri" w:hAnsi="Calibri"/>
              </w:rPr>
              <w:t xml:space="preserve">[…] </w:t>
            </w:r>
            <w:r w:rsidR="00F341A2" w:rsidRPr="00F341A2">
              <w:rPr>
                <w:rFonts w:ascii="Calibri" w:hAnsi="Calibri"/>
              </w:rPr>
              <w:t>Intersectional discrimination recognizes that individuals do not experience discrimination as members of a homogenous group but, rather, as individuals with multidimensional layers of identities, statuses and life circumstances. These additional grounds include age, race, indigenous, national or social origin, refugee, migrant or asylum seeker status,</w:t>
            </w:r>
            <w:r w:rsidR="00F341A2">
              <w:rPr>
                <w:rFonts w:ascii="Calibri" w:hAnsi="Calibri"/>
              </w:rPr>
              <w:t xml:space="preserve"> </w:t>
            </w:r>
            <w:r w:rsidR="00F341A2">
              <w:rPr>
                <w:rFonts w:ascii="Calibri" w:hAnsi="Calibri"/>
                <w:b/>
                <w:bCs/>
              </w:rPr>
              <w:t>health status,</w:t>
            </w:r>
            <w:r w:rsidR="00F341A2" w:rsidRPr="00F341A2">
              <w:rPr>
                <w:rFonts w:ascii="Calibri" w:hAnsi="Calibri"/>
              </w:rPr>
              <w:t xml:space="preserve"> political or other opinion, religion, sex, sexual orientation and gender identity.</w:t>
            </w:r>
          </w:p>
        </w:tc>
      </w:tr>
    </w:tbl>
    <w:p w14:paraId="0F624A39" w14:textId="77777777" w:rsidR="00B75715" w:rsidRPr="00B75715" w:rsidRDefault="00B75715" w:rsidP="00B75715">
      <w:pPr>
        <w:spacing w:line="276" w:lineRule="auto"/>
        <w:jc w:val="both"/>
        <w:rPr>
          <w:rFonts w:ascii="Calibri" w:hAnsi="Calibri"/>
          <w:lang w:val="en-GB"/>
        </w:rPr>
      </w:pPr>
    </w:p>
    <w:p w14:paraId="0905F097" w14:textId="0F1CB10A" w:rsidR="00B75715" w:rsidRPr="00234226" w:rsidRDefault="00B75715" w:rsidP="00B75715">
      <w:pPr>
        <w:spacing w:line="276" w:lineRule="auto"/>
        <w:jc w:val="both"/>
        <w:rPr>
          <w:rFonts w:ascii="Calibri" w:hAnsi="Calibri"/>
          <w:i/>
          <w:iCs/>
          <w:u w:val="single"/>
          <w:lang w:val="en-GB"/>
        </w:rPr>
      </w:pPr>
      <w:r w:rsidRPr="00234226">
        <w:rPr>
          <w:rFonts w:ascii="Calibri" w:hAnsi="Calibri"/>
          <w:i/>
          <w:iCs/>
          <w:u w:val="single"/>
          <w:lang w:val="en-GB"/>
        </w:rPr>
        <w:t xml:space="preserve">Paragraph </w:t>
      </w:r>
      <w:r>
        <w:rPr>
          <w:rFonts w:ascii="Calibri" w:hAnsi="Calibri"/>
          <w:i/>
          <w:iCs/>
          <w:u w:val="single"/>
          <w:lang w:val="en-GB"/>
        </w:rPr>
        <w:t>32</w:t>
      </w:r>
    </w:p>
    <w:p w14:paraId="43EB8DFF" w14:textId="77777777" w:rsidR="00B75715" w:rsidRDefault="00B75715" w:rsidP="00B75715">
      <w:pPr>
        <w:spacing w:line="276" w:lineRule="auto"/>
        <w:jc w:val="both"/>
        <w:rPr>
          <w:rFonts w:ascii="Calibri" w:hAnsi="Calibri"/>
          <w:lang w:val="en-GB"/>
        </w:rPr>
      </w:pPr>
    </w:p>
    <w:p w14:paraId="3EB351DE" w14:textId="44E75BA4" w:rsidR="00B75715" w:rsidRDefault="00B75715" w:rsidP="00B75715">
      <w:pPr>
        <w:spacing w:line="276" w:lineRule="auto"/>
        <w:jc w:val="both"/>
        <w:rPr>
          <w:rFonts w:ascii="Calibri" w:hAnsi="Calibri"/>
          <w:lang w:val="en-GB"/>
        </w:rPr>
      </w:pPr>
      <w:r>
        <w:rPr>
          <w:rFonts w:ascii="Calibri" w:hAnsi="Calibri"/>
          <w:lang w:val="en-GB"/>
        </w:rPr>
        <w:t>MHE would like to propose the following addition to broaden the aim of occupational health policies as they should also prevent physical and psychosocial risks that might arise in the workplace.</w:t>
      </w:r>
    </w:p>
    <w:p w14:paraId="00589083" w14:textId="77777777" w:rsidR="00B75715" w:rsidRDefault="00B75715" w:rsidP="00B75715">
      <w:pPr>
        <w:spacing w:line="276" w:lineRule="auto"/>
        <w:jc w:val="both"/>
        <w:rPr>
          <w:rFonts w:ascii="Calibri" w:hAnsi="Calibri"/>
          <w:lang w:val="en-GB"/>
        </w:rPr>
      </w:pPr>
    </w:p>
    <w:tbl>
      <w:tblPr>
        <w:tblStyle w:val="TableGrid"/>
        <w:tblW w:w="0" w:type="auto"/>
        <w:tblLook w:val="04A0" w:firstRow="1" w:lastRow="0" w:firstColumn="1" w:lastColumn="0" w:noHBand="0" w:noVBand="1"/>
      </w:tblPr>
      <w:tblGrid>
        <w:gridCol w:w="4811"/>
        <w:gridCol w:w="4811"/>
      </w:tblGrid>
      <w:tr w:rsidR="00B75715" w14:paraId="35E1A904" w14:textId="77777777" w:rsidTr="004576FD">
        <w:tc>
          <w:tcPr>
            <w:tcW w:w="4924" w:type="dxa"/>
          </w:tcPr>
          <w:p w14:paraId="60ACA36A" w14:textId="77777777" w:rsidR="00B75715" w:rsidRDefault="00B75715" w:rsidP="004576FD">
            <w:pPr>
              <w:spacing w:line="276" w:lineRule="auto"/>
              <w:jc w:val="center"/>
              <w:rPr>
                <w:rFonts w:ascii="Calibri" w:hAnsi="Calibri"/>
                <w:lang w:val="en-GB"/>
              </w:rPr>
            </w:pPr>
            <w:r>
              <w:rPr>
                <w:rFonts w:ascii="Calibri" w:hAnsi="Calibri"/>
                <w:lang w:val="en-GB"/>
              </w:rPr>
              <w:t>Draft text</w:t>
            </w:r>
          </w:p>
        </w:tc>
        <w:tc>
          <w:tcPr>
            <w:tcW w:w="4924" w:type="dxa"/>
          </w:tcPr>
          <w:p w14:paraId="5A0611B1" w14:textId="77777777" w:rsidR="00B75715" w:rsidRDefault="00B75715" w:rsidP="004576FD">
            <w:pPr>
              <w:spacing w:line="276" w:lineRule="auto"/>
              <w:jc w:val="center"/>
              <w:rPr>
                <w:rFonts w:ascii="Calibri" w:hAnsi="Calibri"/>
                <w:lang w:val="en-GB"/>
              </w:rPr>
            </w:pPr>
            <w:r>
              <w:rPr>
                <w:rFonts w:ascii="Calibri" w:hAnsi="Calibri"/>
                <w:lang w:val="en-GB"/>
              </w:rPr>
              <w:t>MHE’s proposed changes</w:t>
            </w:r>
          </w:p>
        </w:tc>
      </w:tr>
      <w:tr w:rsidR="00B75715" w14:paraId="6969A8BB" w14:textId="77777777" w:rsidTr="004576FD">
        <w:tc>
          <w:tcPr>
            <w:tcW w:w="4924" w:type="dxa"/>
          </w:tcPr>
          <w:p w14:paraId="2D1DBFA4" w14:textId="04FF03F9" w:rsidR="00B75715" w:rsidRPr="005203EB" w:rsidRDefault="00B75715" w:rsidP="004576FD">
            <w:pPr>
              <w:spacing w:line="276" w:lineRule="auto"/>
              <w:jc w:val="both"/>
              <w:rPr>
                <w:rFonts w:ascii="Calibri" w:hAnsi="Calibri"/>
              </w:rPr>
            </w:pPr>
            <w:r w:rsidRPr="00B75715">
              <w:rPr>
                <w:rFonts w:ascii="Calibri" w:hAnsi="Calibri"/>
              </w:rPr>
              <w:t xml:space="preserve">The right to a safe and healthy work environment for workers with disabilities includes the development of a coherent national policy on occupational health in the working environment for persons with </w:t>
            </w:r>
            <w:r w:rsidRPr="00B75715">
              <w:rPr>
                <w:rFonts w:ascii="Calibri" w:hAnsi="Calibri"/>
              </w:rPr>
              <w:lastRenderedPageBreak/>
              <w:t>disabilities. The aim of the policy is to prevent accidents and injury arising out of, linked with, or occurring in the course of work.</w:t>
            </w:r>
            <w:r>
              <w:rPr>
                <w:rFonts w:ascii="Calibri" w:hAnsi="Calibri"/>
              </w:rPr>
              <w:t xml:space="preserve"> […]</w:t>
            </w:r>
          </w:p>
        </w:tc>
        <w:tc>
          <w:tcPr>
            <w:tcW w:w="4924" w:type="dxa"/>
          </w:tcPr>
          <w:p w14:paraId="694DD177" w14:textId="255F95D6" w:rsidR="00B75715" w:rsidRPr="005203EB" w:rsidRDefault="00B75715" w:rsidP="004576FD">
            <w:pPr>
              <w:spacing w:line="276" w:lineRule="auto"/>
              <w:jc w:val="both"/>
              <w:rPr>
                <w:rFonts w:ascii="Calibri" w:hAnsi="Calibri"/>
              </w:rPr>
            </w:pPr>
            <w:r w:rsidRPr="00B75715">
              <w:rPr>
                <w:rFonts w:ascii="Calibri" w:hAnsi="Calibri"/>
              </w:rPr>
              <w:lastRenderedPageBreak/>
              <w:t xml:space="preserve">The right to a safe and healthy work environment for workers with disabilities includes the development of a coherent national policy on occupational health in the working environment for persons with </w:t>
            </w:r>
            <w:r w:rsidRPr="00B75715">
              <w:rPr>
                <w:rFonts w:ascii="Calibri" w:hAnsi="Calibri"/>
              </w:rPr>
              <w:lastRenderedPageBreak/>
              <w:t>disabilities. The aim of the policy is to prevent accidents</w:t>
            </w:r>
            <w:r>
              <w:rPr>
                <w:rFonts w:ascii="Calibri" w:hAnsi="Calibri"/>
                <w:b/>
                <w:bCs/>
              </w:rPr>
              <w:t xml:space="preserve">, </w:t>
            </w:r>
            <w:r w:rsidR="001C1B9F">
              <w:rPr>
                <w:rFonts w:ascii="Calibri" w:hAnsi="Calibri"/>
                <w:b/>
                <w:bCs/>
              </w:rPr>
              <w:t xml:space="preserve">physical and psychosocial </w:t>
            </w:r>
            <w:r>
              <w:rPr>
                <w:rFonts w:ascii="Calibri" w:hAnsi="Calibri"/>
                <w:b/>
                <w:bCs/>
              </w:rPr>
              <w:t>risks</w:t>
            </w:r>
            <w:r w:rsidRPr="00B75715">
              <w:rPr>
                <w:rFonts w:ascii="Calibri" w:hAnsi="Calibri"/>
              </w:rPr>
              <w:t xml:space="preserve"> and injury arising out of, linked with, or occurring in the course of work.</w:t>
            </w:r>
            <w:r>
              <w:rPr>
                <w:rFonts w:ascii="Calibri" w:hAnsi="Calibri"/>
              </w:rPr>
              <w:t xml:space="preserve"> […]</w:t>
            </w:r>
          </w:p>
        </w:tc>
      </w:tr>
    </w:tbl>
    <w:p w14:paraId="157AFA5C" w14:textId="77777777" w:rsidR="00B75715" w:rsidRDefault="00B75715" w:rsidP="00B75715">
      <w:pPr>
        <w:spacing w:line="276" w:lineRule="auto"/>
        <w:jc w:val="both"/>
        <w:rPr>
          <w:rFonts w:ascii="Calibri" w:hAnsi="Calibri"/>
          <w:lang w:val="en-GB"/>
        </w:rPr>
      </w:pPr>
    </w:p>
    <w:p w14:paraId="7F02EE46" w14:textId="28B962EA" w:rsidR="00F341A2" w:rsidRDefault="00FF73EA" w:rsidP="00F341A2">
      <w:pPr>
        <w:spacing w:line="276" w:lineRule="auto"/>
        <w:jc w:val="both"/>
        <w:rPr>
          <w:rFonts w:ascii="Calibri" w:hAnsi="Calibri"/>
          <w:i/>
          <w:iCs/>
          <w:u w:val="single"/>
          <w:lang w:val="en-GB"/>
        </w:rPr>
      </w:pPr>
      <w:r>
        <w:rPr>
          <w:rFonts w:ascii="Calibri" w:hAnsi="Calibri"/>
          <w:i/>
          <w:iCs/>
          <w:u w:val="single"/>
          <w:lang w:val="en-GB"/>
        </w:rPr>
        <w:t>Additional paragraph to be added after paragraph 91</w:t>
      </w:r>
    </w:p>
    <w:p w14:paraId="6B147D94" w14:textId="0C22770D" w:rsidR="00FF73EA" w:rsidRDefault="00FF73EA" w:rsidP="00F341A2">
      <w:pPr>
        <w:spacing w:line="276" w:lineRule="auto"/>
        <w:jc w:val="both"/>
        <w:rPr>
          <w:rFonts w:ascii="Calibri" w:hAnsi="Calibri"/>
          <w:lang w:val="en-GB"/>
        </w:rPr>
      </w:pPr>
    </w:p>
    <w:p w14:paraId="213DF0EF" w14:textId="133E2BDB" w:rsidR="00FF73EA" w:rsidRPr="00FF73EA" w:rsidRDefault="00FF73EA" w:rsidP="00F341A2">
      <w:pPr>
        <w:spacing w:line="276" w:lineRule="auto"/>
        <w:jc w:val="both"/>
        <w:rPr>
          <w:rFonts w:ascii="Calibri" w:hAnsi="Calibri"/>
          <w:lang w:val="en-GB"/>
        </w:rPr>
      </w:pPr>
      <w:r>
        <w:rPr>
          <w:rFonts w:ascii="Calibri" w:hAnsi="Calibri"/>
          <w:lang w:val="en-GB"/>
        </w:rPr>
        <w:t>MHE would like to propose a new paragraph to the text, after paragraph 91.</w:t>
      </w:r>
    </w:p>
    <w:p w14:paraId="10E0769B" w14:textId="0E32C8CA" w:rsidR="00B366A1" w:rsidRDefault="00B366A1" w:rsidP="00EE74A6">
      <w:pPr>
        <w:spacing w:line="276" w:lineRule="auto"/>
        <w:jc w:val="both"/>
        <w:rPr>
          <w:rFonts w:ascii="Calibri" w:hAnsi="Calibri"/>
          <w:lang w:val="en-GB"/>
        </w:rPr>
      </w:pPr>
    </w:p>
    <w:tbl>
      <w:tblPr>
        <w:tblStyle w:val="TableGrid"/>
        <w:tblW w:w="0" w:type="auto"/>
        <w:tblLook w:val="04A0" w:firstRow="1" w:lastRow="0" w:firstColumn="1" w:lastColumn="0" w:noHBand="0" w:noVBand="1"/>
      </w:tblPr>
      <w:tblGrid>
        <w:gridCol w:w="4799"/>
        <w:gridCol w:w="4823"/>
      </w:tblGrid>
      <w:tr w:rsidR="00FF73EA" w14:paraId="6AEC5631" w14:textId="77777777" w:rsidTr="004576FD">
        <w:tc>
          <w:tcPr>
            <w:tcW w:w="4924" w:type="dxa"/>
          </w:tcPr>
          <w:p w14:paraId="13D549F9" w14:textId="77777777" w:rsidR="00FF73EA" w:rsidRDefault="00FF73EA" w:rsidP="004576FD">
            <w:pPr>
              <w:spacing w:line="276" w:lineRule="auto"/>
              <w:jc w:val="center"/>
              <w:rPr>
                <w:rFonts w:ascii="Calibri" w:hAnsi="Calibri"/>
                <w:lang w:val="en-GB"/>
              </w:rPr>
            </w:pPr>
            <w:r>
              <w:rPr>
                <w:rFonts w:ascii="Calibri" w:hAnsi="Calibri"/>
                <w:lang w:val="en-GB"/>
              </w:rPr>
              <w:t>Draft text</w:t>
            </w:r>
          </w:p>
        </w:tc>
        <w:tc>
          <w:tcPr>
            <w:tcW w:w="4924" w:type="dxa"/>
          </w:tcPr>
          <w:p w14:paraId="788394B2" w14:textId="2161A51B" w:rsidR="00FF73EA" w:rsidRDefault="00FF73EA" w:rsidP="004576FD">
            <w:pPr>
              <w:spacing w:line="276" w:lineRule="auto"/>
              <w:jc w:val="center"/>
              <w:rPr>
                <w:rFonts w:ascii="Calibri" w:hAnsi="Calibri"/>
                <w:lang w:val="en-GB"/>
              </w:rPr>
            </w:pPr>
            <w:r>
              <w:rPr>
                <w:rFonts w:ascii="Calibri" w:hAnsi="Calibri"/>
                <w:lang w:val="en-GB"/>
              </w:rPr>
              <w:t>MHE’s proposed addition</w:t>
            </w:r>
          </w:p>
        </w:tc>
      </w:tr>
      <w:tr w:rsidR="00FF73EA" w14:paraId="6C1CA183" w14:textId="77777777" w:rsidTr="004576FD">
        <w:tc>
          <w:tcPr>
            <w:tcW w:w="4924" w:type="dxa"/>
          </w:tcPr>
          <w:p w14:paraId="07B37470" w14:textId="5809B19C" w:rsidR="00FF73EA" w:rsidRPr="005203EB" w:rsidRDefault="00FF73EA" w:rsidP="004576FD">
            <w:pPr>
              <w:spacing w:line="276" w:lineRule="auto"/>
              <w:jc w:val="both"/>
              <w:rPr>
                <w:rFonts w:ascii="Calibri" w:hAnsi="Calibri"/>
              </w:rPr>
            </w:pPr>
            <w:r>
              <w:rPr>
                <w:rFonts w:ascii="Calibri" w:hAnsi="Calibri"/>
              </w:rPr>
              <w:t>---</w:t>
            </w:r>
          </w:p>
        </w:tc>
        <w:tc>
          <w:tcPr>
            <w:tcW w:w="4924" w:type="dxa"/>
          </w:tcPr>
          <w:p w14:paraId="0A86B00D" w14:textId="6CDDB889" w:rsidR="00FF73EA" w:rsidRPr="00FF73EA" w:rsidRDefault="00FF73EA" w:rsidP="004576FD">
            <w:pPr>
              <w:spacing w:line="276" w:lineRule="auto"/>
              <w:jc w:val="both"/>
              <w:rPr>
                <w:rFonts w:ascii="Calibri" w:hAnsi="Calibri"/>
                <w:b/>
                <w:bCs/>
              </w:rPr>
            </w:pPr>
            <w:r w:rsidRPr="00FF73EA">
              <w:rPr>
                <w:rFonts w:ascii="Calibri" w:hAnsi="Calibri"/>
                <w:b/>
                <w:bCs/>
              </w:rPr>
              <w:t>Article 25 on health – States Parties must ensure that employment takes place in a safe and healthy working environment that does not aggravate disability. They must also ensure that working conditions do not cause disability during the course of a working career. States parties should encourage public and private enterprises to be sensitive to and prevent psycosocial risks, harassment and violence, particularly gender-based violence, including in the cyber sphere.</w:t>
            </w:r>
          </w:p>
        </w:tc>
      </w:tr>
    </w:tbl>
    <w:p w14:paraId="4D4DB4DD" w14:textId="06EF85F1" w:rsidR="00B366A1" w:rsidRDefault="00B366A1" w:rsidP="00EE74A6">
      <w:pPr>
        <w:spacing w:line="276" w:lineRule="auto"/>
        <w:jc w:val="both"/>
        <w:rPr>
          <w:rFonts w:ascii="Calibri" w:hAnsi="Calibri"/>
        </w:rPr>
      </w:pPr>
    </w:p>
    <w:p w14:paraId="7387725F" w14:textId="77777777" w:rsidR="00822344" w:rsidRDefault="00822344" w:rsidP="00EE74A6">
      <w:pPr>
        <w:spacing w:line="276" w:lineRule="auto"/>
        <w:jc w:val="both"/>
        <w:rPr>
          <w:rFonts w:ascii="Calibri" w:hAnsi="Calibri"/>
        </w:rPr>
      </w:pPr>
    </w:p>
    <w:p w14:paraId="29C18FAA" w14:textId="50677EC4" w:rsidR="00513F6A" w:rsidRDefault="00B4073A" w:rsidP="00251F0C">
      <w:pPr>
        <w:spacing w:line="276" w:lineRule="auto"/>
        <w:jc w:val="both"/>
        <w:rPr>
          <w:rFonts w:ascii="Calibri" w:hAnsi="Calibri"/>
          <w:lang w:val="en-GB"/>
        </w:rPr>
      </w:pPr>
      <w:r>
        <w:rPr>
          <w:rFonts w:ascii="Calibri" w:hAnsi="Calibri"/>
        </w:rPr>
        <w:t>On a final note, MHE would like to propose a topic to be further addressed in the final text of the General Comment.</w:t>
      </w:r>
      <w:r w:rsidR="00822344">
        <w:rPr>
          <w:rFonts w:ascii="Calibri" w:hAnsi="Calibri"/>
        </w:rPr>
        <w:t xml:space="preserve"> A</w:t>
      </w:r>
      <w:r w:rsidR="008E707C" w:rsidRPr="00982F04">
        <w:rPr>
          <w:rFonts w:ascii="Calibri" w:hAnsi="Calibri"/>
          <w:lang w:val="en-GB"/>
        </w:rPr>
        <w:t xml:space="preserve"> barrier </w:t>
      </w:r>
      <w:r w:rsidR="00822344">
        <w:rPr>
          <w:rFonts w:ascii="Calibri" w:hAnsi="Calibri"/>
          <w:lang w:val="en-GB"/>
        </w:rPr>
        <w:t xml:space="preserve">that hampers </w:t>
      </w:r>
      <w:r w:rsidR="00822344" w:rsidRPr="00982F04">
        <w:rPr>
          <w:rFonts w:ascii="Calibri" w:hAnsi="Calibri"/>
          <w:lang w:val="en-GB"/>
        </w:rPr>
        <w:t xml:space="preserve">the full enjoyment of </w:t>
      </w:r>
      <w:r w:rsidR="00822344">
        <w:rPr>
          <w:rFonts w:ascii="Calibri" w:hAnsi="Calibri"/>
          <w:lang w:val="en-GB"/>
        </w:rPr>
        <w:t xml:space="preserve">the </w:t>
      </w:r>
      <w:r w:rsidR="00822344" w:rsidRPr="00982F04">
        <w:rPr>
          <w:rFonts w:ascii="Calibri" w:hAnsi="Calibri"/>
          <w:lang w:val="en-GB"/>
        </w:rPr>
        <w:t>right to work and employment</w:t>
      </w:r>
      <w:r w:rsidR="008E707C" w:rsidRPr="00982F04">
        <w:rPr>
          <w:rFonts w:ascii="Calibri" w:hAnsi="Calibri"/>
          <w:lang w:val="en-GB"/>
        </w:rPr>
        <w:t xml:space="preserve"> </w:t>
      </w:r>
      <w:r w:rsidR="00822344">
        <w:rPr>
          <w:rFonts w:ascii="Calibri" w:hAnsi="Calibri"/>
          <w:lang w:val="en-GB"/>
        </w:rPr>
        <w:t xml:space="preserve">for </w:t>
      </w:r>
      <w:r w:rsidR="008E707C" w:rsidRPr="00982F04">
        <w:rPr>
          <w:rFonts w:ascii="Calibri" w:hAnsi="Calibri"/>
          <w:lang w:val="en-GB"/>
        </w:rPr>
        <w:t>persons with</w:t>
      </w:r>
      <w:r w:rsidR="00822344">
        <w:rPr>
          <w:rFonts w:ascii="Calibri" w:hAnsi="Calibri"/>
          <w:lang w:val="en-GB"/>
        </w:rPr>
        <w:t xml:space="preserve"> disabilities, in particular persons with</w:t>
      </w:r>
      <w:r w:rsidR="008E707C" w:rsidRPr="00982F04">
        <w:rPr>
          <w:rFonts w:ascii="Calibri" w:hAnsi="Calibri"/>
          <w:lang w:val="en-GB"/>
        </w:rPr>
        <w:t xml:space="preserve"> psychosocial disabilities</w:t>
      </w:r>
      <w:r w:rsidR="00822344">
        <w:rPr>
          <w:rFonts w:ascii="Calibri" w:hAnsi="Calibri"/>
          <w:lang w:val="en-GB"/>
        </w:rPr>
        <w:t>,</w:t>
      </w:r>
      <w:r w:rsidR="008E707C" w:rsidRPr="00982F04">
        <w:rPr>
          <w:rFonts w:ascii="Calibri" w:hAnsi="Calibri"/>
          <w:lang w:val="en-GB"/>
        </w:rPr>
        <w:t xml:space="preserve"> </w:t>
      </w:r>
      <w:r w:rsidR="00822344">
        <w:rPr>
          <w:rFonts w:ascii="Calibri" w:hAnsi="Calibri"/>
          <w:lang w:val="en-GB"/>
        </w:rPr>
        <w:t>is</w:t>
      </w:r>
      <w:r w:rsidR="008E707C" w:rsidRPr="00982F04">
        <w:rPr>
          <w:rFonts w:ascii="Calibri" w:hAnsi="Calibri"/>
          <w:lang w:val="en-GB"/>
        </w:rPr>
        <w:t xml:space="preserve"> the </w:t>
      </w:r>
      <w:r w:rsidR="000935A9" w:rsidRPr="00943DE0">
        <w:rPr>
          <w:rFonts w:ascii="Calibri" w:hAnsi="Calibri"/>
          <w:b/>
          <w:bCs/>
          <w:lang w:val="en-GB"/>
        </w:rPr>
        <w:t>way</w:t>
      </w:r>
      <w:r w:rsidR="008E707C" w:rsidRPr="00943DE0">
        <w:rPr>
          <w:rFonts w:ascii="Calibri" w:hAnsi="Calibri"/>
          <w:b/>
          <w:bCs/>
          <w:lang w:val="en-GB"/>
        </w:rPr>
        <w:t xml:space="preserve"> </w:t>
      </w:r>
      <w:r w:rsidR="00822344" w:rsidRPr="00943DE0">
        <w:rPr>
          <w:rFonts w:ascii="Calibri" w:hAnsi="Calibri"/>
          <w:b/>
          <w:bCs/>
          <w:lang w:val="en-GB"/>
        </w:rPr>
        <w:t xml:space="preserve">in which </w:t>
      </w:r>
      <w:r w:rsidR="000935A9" w:rsidRPr="00943DE0">
        <w:rPr>
          <w:rFonts w:ascii="Calibri" w:hAnsi="Calibri"/>
          <w:b/>
          <w:bCs/>
          <w:lang w:val="en-GB"/>
        </w:rPr>
        <w:t xml:space="preserve">their </w:t>
      </w:r>
      <w:r w:rsidR="008E707C" w:rsidRPr="00943DE0">
        <w:rPr>
          <w:rFonts w:ascii="Calibri" w:hAnsi="Calibri"/>
          <w:b/>
          <w:bCs/>
          <w:lang w:val="en-GB"/>
        </w:rPr>
        <w:t xml:space="preserve">disability </w:t>
      </w:r>
      <w:r w:rsidR="000935A9" w:rsidRPr="00943DE0">
        <w:rPr>
          <w:rFonts w:ascii="Calibri" w:hAnsi="Calibri"/>
          <w:b/>
          <w:bCs/>
          <w:lang w:val="en-GB"/>
        </w:rPr>
        <w:t xml:space="preserve">is recognised </w:t>
      </w:r>
      <w:r w:rsidR="00B62F40" w:rsidRPr="00943DE0">
        <w:rPr>
          <w:rFonts w:ascii="Calibri" w:hAnsi="Calibri"/>
          <w:b/>
          <w:bCs/>
          <w:lang w:val="en-GB"/>
        </w:rPr>
        <w:t xml:space="preserve">and assessed </w:t>
      </w:r>
      <w:r w:rsidR="000935A9" w:rsidRPr="00943DE0">
        <w:rPr>
          <w:rFonts w:ascii="Calibri" w:hAnsi="Calibri"/>
          <w:b/>
          <w:bCs/>
          <w:lang w:val="en-GB"/>
        </w:rPr>
        <w:t>in national legislation</w:t>
      </w:r>
      <w:r w:rsidR="008E707C" w:rsidRPr="00982F04">
        <w:rPr>
          <w:rFonts w:ascii="Calibri" w:hAnsi="Calibri"/>
          <w:lang w:val="en-GB"/>
        </w:rPr>
        <w:t>.</w:t>
      </w:r>
      <w:r w:rsidR="00CF6615" w:rsidRPr="00982F04">
        <w:rPr>
          <w:rFonts w:ascii="Calibri" w:hAnsi="Calibri"/>
          <w:lang w:val="en-GB"/>
        </w:rPr>
        <w:t xml:space="preserve"> Definition</w:t>
      </w:r>
      <w:r w:rsidR="00265D48" w:rsidRPr="00982F04">
        <w:rPr>
          <w:rFonts w:ascii="Calibri" w:hAnsi="Calibri"/>
          <w:lang w:val="en-GB"/>
        </w:rPr>
        <w:t>s</w:t>
      </w:r>
      <w:r w:rsidR="00CF6615" w:rsidRPr="00982F04">
        <w:rPr>
          <w:rFonts w:ascii="Calibri" w:hAnsi="Calibri"/>
          <w:lang w:val="en-GB"/>
        </w:rPr>
        <w:t xml:space="preserve"> of psychosocial disabilities rema</w:t>
      </w:r>
      <w:r w:rsidR="00DD4B3D" w:rsidRPr="00982F04">
        <w:rPr>
          <w:rFonts w:ascii="Calibri" w:hAnsi="Calibri"/>
          <w:lang w:val="en-GB"/>
        </w:rPr>
        <w:t>in n</w:t>
      </w:r>
      <w:r w:rsidR="002208A6" w:rsidRPr="00982F04">
        <w:rPr>
          <w:rFonts w:ascii="Calibri" w:hAnsi="Calibri"/>
          <w:lang w:val="en-GB"/>
        </w:rPr>
        <w:t xml:space="preserve">arrow, </w:t>
      </w:r>
      <w:r w:rsidR="00DD4B3D" w:rsidRPr="00982F04">
        <w:rPr>
          <w:rFonts w:ascii="Calibri" w:hAnsi="Calibri"/>
          <w:lang w:val="en-GB"/>
        </w:rPr>
        <w:t>over-medicalised</w:t>
      </w:r>
      <w:r w:rsidR="002208A6" w:rsidRPr="00982F04">
        <w:rPr>
          <w:rFonts w:ascii="Calibri" w:hAnsi="Calibri"/>
          <w:lang w:val="en-GB"/>
        </w:rPr>
        <w:t xml:space="preserve"> or non-existent. </w:t>
      </w:r>
      <w:r w:rsidR="004515C1" w:rsidRPr="00982F04">
        <w:rPr>
          <w:rFonts w:ascii="Calibri" w:hAnsi="Calibri"/>
          <w:lang w:val="en-GB"/>
        </w:rPr>
        <w:t>The continuous prevale</w:t>
      </w:r>
      <w:r w:rsidR="004050BC" w:rsidRPr="00982F04">
        <w:rPr>
          <w:rFonts w:ascii="Calibri" w:hAnsi="Calibri"/>
          <w:lang w:val="en-GB"/>
        </w:rPr>
        <w:t xml:space="preserve">nce of the bio-medical model </w:t>
      </w:r>
      <w:r w:rsidR="001113B7" w:rsidRPr="00982F04">
        <w:rPr>
          <w:rFonts w:ascii="Calibri" w:hAnsi="Calibri"/>
          <w:lang w:val="en-GB"/>
        </w:rPr>
        <w:t>frame</w:t>
      </w:r>
      <w:r w:rsidR="004050BC" w:rsidRPr="00982F04">
        <w:rPr>
          <w:rFonts w:ascii="Calibri" w:hAnsi="Calibri"/>
          <w:lang w:val="en-GB"/>
        </w:rPr>
        <w:t>s</w:t>
      </w:r>
      <w:r w:rsidR="001113B7" w:rsidRPr="00982F04">
        <w:rPr>
          <w:rFonts w:ascii="Calibri" w:hAnsi="Calibri"/>
          <w:lang w:val="en-GB"/>
        </w:rPr>
        <w:t xml:space="preserve"> and </w:t>
      </w:r>
      <w:r w:rsidR="004050BC" w:rsidRPr="00982F04">
        <w:rPr>
          <w:rFonts w:ascii="Calibri" w:hAnsi="Calibri"/>
          <w:lang w:val="en-GB"/>
        </w:rPr>
        <w:t>interprets</w:t>
      </w:r>
      <w:r w:rsidR="001113B7" w:rsidRPr="00982F04">
        <w:rPr>
          <w:rFonts w:ascii="Calibri" w:hAnsi="Calibri"/>
          <w:lang w:val="en-GB"/>
        </w:rPr>
        <w:t xml:space="preserve"> </w:t>
      </w:r>
      <w:r w:rsidR="00B37AEE" w:rsidRPr="00982F04">
        <w:rPr>
          <w:rFonts w:ascii="Calibri" w:hAnsi="Calibri"/>
          <w:lang w:val="en-GB"/>
        </w:rPr>
        <w:t>mental impairments</w:t>
      </w:r>
      <w:r w:rsidR="00AC73F0" w:rsidRPr="00982F04">
        <w:rPr>
          <w:rFonts w:ascii="Calibri" w:hAnsi="Calibri"/>
          <w:lang w:val="en-GB"/>
        </w:rPr>
        <w:t xml:space="preserve"> as a series of symptoms to cure </w:t>
      </w:r>
      <w:r w:rsidR="00B37AEE" w:rsidRPr="00982F04">
        <w:rPr>
          <w:rFonts w:ascii="Calibri" w:hAnsi="Calibri"/>
          <w:lang w:val="en-GB"/>
        </w:rPr>
        <w:t xml:space="preserve">and psychosocial disability as an illness to </w:t>
      </w:r>
      <w:r w:rsidR="004050BC" w:rsidRPr="00982F04">
        <w:rPr>
          <w:rFonts w:ascii="Calibri" w:hAnsi="Calibri"/>
          <w:lang w:val="en-GB"/>
        </w:rPr>
        <w:t xml:space="preserve">treat. This approach hinders the understanding of mental </w:t>
      </w:r>
      <w:r w:rsidR="00825776">
        <w:rPr>
          <w:rFonts w:ascii="Calibri" w:hAnsi="Calibri"/>
          <w:lang w:val="en-GB"/>
        </w:rPr>
        <w:t>health</w:t>
      </w:r>
      <w:r w:rsidR="004050BC" w:rsidRPr="00982F04">
        <w:rPr>
          <w:rFonts w:ascii="Calibri" w:hAnsi="Calibri"/>
          <w:lang w:val="en-GB"/>
        </w:rPr>
        <w:t xml:space="preserve"> as a wide spect</w:t>
      </w:r>
      <w:r w:rsidR="004B6D40" w:rsidRPr="00982F04">
        <w:rPr>
          <w:rFonts w:ascii="Calibri" w:hAnsi="Calibri"/>
          <w:lang w:val="en-GB"/>
        </w:rPr>
        <w:t>rum of experiences and feelings</w:t>
      </w:r>
      <w:r w:rsidR="00825776">
        <w:rPr>
          <w:rFonts w:ascii="Calibri" w:hAnsi="Calibri"/>
          <w:lang w:val="en-GB"/>
        </w:rPr>
        <w:t>,</w:t>
      </w:r>
      <w:r w:rsidR="004B6D40" w:rsidRPr="00982F04">
        <w:rPr>
          <w:rFonts w:ascii="Calibri" w:hAnsi="Calibri"/>
          <w:lang w:val="en-GB"/>
        </w:rPr>
        <w:t xml:space="preserve"> and</w:t>
      </w:r>
      <w:r w:rsidR="004050BC" w:rsidRPr="00982F04">
        <w:rPr>
          <w:rFonts w:ascii="Calibri" w:hAnsi="Calibri"/>
          <w:lang w:val="en-GB"/>
        </w:rPr>
        <w:t xml:space="preserve"> do</w:t>
      </w:r>
      <w:r w:rsidR="004B6D40" w:rsidRPr="00982F04">
        <w:rPr>
          <w:rFonts w:ascii="Calibri" w:hAnsi="Calibri"/>
          <w:lang w:val="en-GB"/>
        </w:rPr>
        <w:t>es</w:t>
      </w:r>
      <w:r w:rsidR="004050BC" w:rsidRPr="00982F04">
        <w:rPr>
          <w:rFonts w:ascii="Calibri" w:hAnsi="Calibri"/>
          <w:lang w:val="en-GB"/>
        </w:rPr>
        <w:t xml:space="preserve"> not take into account the external barriers</w:t>
      </w:r>
      <w:r w:rsidR="004B6D40" w:rsidRPr="00982F04">
        <w:rPr>
          <w:rFonts w:ascii="Calibri" w:hAnsi="Calibri"/>
          <w:lang w:val="en-GB"/>
        </w:rPr>
        <w:t xml:space="preserve"> that might cause distress</w:t>
      </w:r>
      <w:r w:rsidR="00825776">
        <w:rPr>
          <w:rFonts w:ascii="Calibri" w:hAnsi="Calibri"/>
          <w:lang w:val="en-GB"/>
        </w:rPr>
        <w:t xml:space="preserve"> and mental impairments</w:t>
      </w:r>
      <w:r w:rsidR="004B6D40" w:rsidRPr="00982F04">
        <w:rPr>
          <w:rFonts w:ascii="Calibri" w:hAnsi="Calibri"/>
          <w:lang w:val="en-GB"/>
        </w:rPr>
        <w:t>. The bio-medical approach implies</w:t>
      </w:r>
      <w:r w:rsidR="004050BC" w:rsidRPr="00982F04">
        <w:rPr>
          <w:rFonts w:ascii="Calibri" w:hAnsi="Calibri"/>
          <w:lang w:val="en-GB"/>
        </w:rPr>
        <w:t xml:space="preserve"> that the variety of experiences of a person can be reduced to a disease or illness that should be </w:t>
      </w:r>
      <w:r w:rsidR="004B6D40" w:rsidRPr="00982F04">
        <w:rPr>
          <w:rFonts w:ascii="Calibri" w:hAnsi="Calibri"/>
          <w:lang w:val="en-GB"/>
        </w:rPr>
        <w:t xml:space="preserve">solely </w:t>
      </w:r>
      <w:r w:rsidR="004050BC" w:rsidRPr="00982F04">
        <w:rPr>
          <w:rFonts w:ascii="Calibri" w:hAnsi="Calibri"/>
          <w:lang w:val="en-GB"/>
        </w:rPr>
        <w:t>cured medically.</w:t>
      </w:r>
      <w:r w:rsidR="004B6D40" w:rsidRPr="00982F04">
        <w:rPr>
          <w:rFonts w:ascii="Calibri" w:hAnsi="Calibri"/>
          <w:lang w:val="en-GB"/>
        </w:rPr>
        <w:t xml:space="preserve"> </w:t>
      </w:r>
      <w:r w:rsidR="002208A6" w:rsidRPr="00982F04">
        <w:rPr>
          <w:rFonts w:ascii="Calibri" w:hAnsi="Calibri"/>
          <w:lang w:val="en-GB"/>
        </w:rPr>
        <w:t>Such definition</w:t>
      </w:r>
      <w:r w:rsidR="00892032" w:rsidRPr="00982F04">
        <w:rPr>
          <w:rFonts w:ascii="Calibri" w:hAnsi="Calibri"/>
          <w:lang w:val="en-GB"/>
        </w:rPr>
        <w:t>s</w:t>
      </w:r>
      <w:r w:rsidR="00AE0B2D" w:rsidRPr="00982F04">
        <w:rPr>
          <w:rFonts w:ascii="Calibri" w:hAnsi="Calibri"/>
          <w:lang w:val="en-GB"/>
        </w:rPr>
        <w:t xml:space="preserve"> are </w:t>
      </w:r>
      <w:r w:rsidR="002208A6" w:rsidRPr="00982F04">
        <w:rPr>
          <w:rFonts w:ascii="Calibri" w:hAnsi="Calibri"/>
          <w:lang w:val="en-GB"/>
        </w:rPr>
        <w:t>incompatible</w:t>
      </w:r>
      <w:r w:rsidR="00AE0B2D" w:rsidRPr="00982F04">
        <w:rPr>
          <w:rFonts w:ascii="Calibri" w:hAnsi="Calibri"/>
          <w:lang w:val="en-GB"/>
        </w:rPr>
        <w:t xml:space="preserve"> with </w:t>
      </w:r>
      <w:r w:rsidR="00DD4B3D" w:rsidRPr="00982F04">
        <w:rPr>
          <w:rFonts w:ascii="Calibri" w:hAnsi="Calibri"/>
          <w:lang w:val="en-GB"/>
        </w:rPr>
        <w:t xml:space="preserve">the </w:t>
      </w:r>
      <w:r w:rsidR="006933A6" w:rsidRPr="00982F04">
        <w:rPr>
          <w:rFonts w:ascii="Calibri" w:hAnsi="Calibri"/>
          <w:lang w:val="en-GB"/>
        </w:rPr>
        <w:t>UN CRPD</w:t>
      </w:r>
      <w:r w:rsidR="007602CF">
        <w:rPr>
          <w:rFonts w:ascii="Calibri" w:hAnsi="Calibri"/>
          <w:lang w:val="en-GB"/>
        </w:rPr>
        <w:t xml:space="preserve"> </w:t>
      </w:r>
      <w:r w:rsidR="002208A6" w:rsidRPr="00982F04">
        <w:rPr>
          <w:rFonts w:ascii="Calibri" w:hAnsi="Calibri"/>
          <w:lang w:val="en-GB"/>
        </w:rPr>
        <w:t>as they</w:t>
      </w:r>
      <w:r w:rsidR="00AE0B2D" w:rsidRPr="00982F04">
        <w:rPr>
          <w:rFonts w:ascii="Calibri" w:hAnsi="Calibri"/>
          <w:lang w:val="en-GB"/>
        </w:rPr>
        <w:t xml:space="preserve"> predominantly focus on the functional evaluation of </w:t>
      </w:r>
      <w:r w:rsidR="004B6D40" w:rsidRPr="00982F04">
        <w:rPr>
          <w:rFonts w:ascii="Calibri" w:hAnsi="Calibri"/>
          <w:lang w:val="en-GB"/>
        </w:rPr>
        <w:t xml:space="preserve">the </w:t>
      </w:r>
      <w:r w:rsidR="00AE0B2D" w:rsidRPr="00982F04">
        <w:rPr>
          <w:rFonts w:ascii="Calibri" w:hAnsi="Calibri"/>
          <w:lang w:val="en-GB"/>
        </w:rPr>
        <w:t xml:space="preserve">capabilities </w:t>
      </w:r>
      <w:r w:rsidR="004B6D40" w:rsidRPr="00982F04">
        <w:rPr>
          <w:rFonts w:ascii="Calibri" w:hAnsi="Calibri"/>
          <w:lang w:val="en-GB"/>
        </w:rPr>
        <w:t xml:space="preserve">of a person </w:t>
      </w:r>
      <w:r w:rsidR="00AE0B2D" w:rsidRPr="00982F04">
        <w:rPr>
          <w:rFonts w:ascii="Calibri" w:hAnsi="Calibri"/>
          <w:lang w:val="en-GB"/>
        </w:rPr>
        <w:t xml:space="preserve">rather than </w:t>
      </w:r>
      <w:r w:rsidR="00892032" w:rsidRPr="00982F04">
        <w:rPr>
          <w:rFonts w:ascii="Calibri" w:hAnsi="Calibri"/>
          <w:lang w:val="en-GB"/>
        </w:rPr>
        <w:t xml:space="preserve">the </w:t>
      </w:r>
      <w:r w:rsidR="00AE0B2D" w:rsidRPr="00982F04">
        <w:rPr>
          <w:rFonts w:ascii="Calibri" w:hAnsi="Calibri"/>
          <w:lang w:val="en-GB"/>
        </w:rPr>
        <w:t>needs and barriers faced by individuals</w:t>
      </w:r>
      <w:r w:rsidR="00DD4B3D" w:rsidRPr="00982F04">
        <w:rPr>
          <w:rFonts w:ascii="Calibri" w:hAnsi="Calibri"/>
          <w:lang w:val="en-GB"/>
        </w:rPr>
        <w:t>.</w:t>
      </w:r>
      <w:r w:rsidR="00BD01E1" w:rsidRPr="00982F04">
        <w:rPr>
          <w:rFonts w:ascii="Calibri" w:hAnsi="Calibri"/>
          <w:lang w:val="en-GB"/>
        </w:rPr>
        <w:t xml:space="preserve"> </w:t>
      </w:r>
      <w:r w:rsidR="00AE0B2D" w:rsidRPr="00982F04">
        <w:rPr>
          <w:rFonts w:ascii="Calibri" w:hAnsi="Calibri"/>
          <w:lang w:val="en-GB"/>
        </w:rPr>
        <w:t>In addition, u</w:t>
      </w:r>
      <w:r w:rsidR="00BD01E1" w:rsidRPr="00982F04">
        <w:rPr>
          <w:rFonts w:ascii="Calibri" w:hAnsi="Calibri"/>
          <w:lang w:val="en-GB"/>
        </w:rPr>
        <w:t xml:space="preserve">nclear or </w:t>
      </w:r>
      <w:r w:rsidR="00F16EAE" w:rsidRPr="00982F04">
        <w:rPr>
          <w:rFonts w:ascii="Calibri" w:hAnsi="Calibri"/>
          <w:lang w:val="en-GB"/>
        </w:rPr>
        <w:t>medical definition</w:t>
      </w:r>
      <w:r w:rsidR="00892032" w:rsidRPr="00982F04">
        <w:rPr>
          <w:rFonts w:ascii="Calibri" w:hAnsi="Calibri"/>
          <w:lang w:val="en-GB"/>
        </w:rPr>
        <w:t>s</w:t>
      </w:r>
      <w:r w:rsidR="005D4531" w:rsidRPr="00982F04">
        <w:rPr>
          <w:rFonts w:ascii="Calibri" w:hAnsi="Calibri"/>
          <w:lang w:val="en-GB"/>
        </w:rPr>
        <w:t xml:space="preserve"> of disability</w:t>
      </w:r>
      <w:r w:rsidR="00F16EAE" w:rsidRPr="00982F04">
        <w:rPr>
          <w:rFonts w:ascii="Calibri" w:hAnsi="Calibri"/>
          <w:lang w:val="en-GB"/>
        </w:rPr>
        <w:t xml:space="preserve"> </w:t>
      </w:r>
      <w:r w:rsidR="00560A52">
        <w:rPr>
          <w:rFonts w:ascii="Calibri" w:hAnsi="Calibri"/>
          <w:lang w:val="en-GB"/>
        </w:rPr>
        <w:t>have assessments that</w:t>
      </w:r>
      <w:r w:rsidR="00F16EAE" w:rsidRPr="00982F04">
        <w:rPr>
          <w:rFonts w:ascii="Calibri" w:hAnsi="Calibri"/>
          <w:lang w:val="en-GB"/>
        </w:rPr>
        <w:t xml:space="preserve"> require proof of impairment or duration of impairment</w:t>
      </w:r>
      <w:r w:rsidR="00CE4BE7" w:rsidRPr="00982F04">
        <w:rPr>
          <w:rFonts w:ascii="Calibri" w:hAnsi="Calibri"/>
          <w:lang w:val="en-GB"/>
        </w:rPr>
        <w:t>, which can be harder to prove for people w</w:t>
      </w:r>
      <w:r w:rsidR="00892032" w:rsidRPr="00982F04">
        <w:rPr>
          <w:rFonts w:ascii="Calibri" w:hAnsi="Calibri"/>
          <w:lang w:val="en-GB"/>
        </w:rPr>
        <w:t>ith psychosocial disabilities since</w:t>
      </w:r>
      <w:r w:rsidR="00CE4BE7" w:rsidRPr="00982F04">
        <w:rPr>
          <w:rFonts w:ascii="Calibri" w:hAnsi="Calibri"/>
          <w:lang w:val="en-GB"/>
        </w:rPr>
        <w:t xml:space="preserve"> their impairment is not visible and </w:t>
      </w:r>
      <w:r w:rsidR="00560A52">
        <w:rPr>
          <w:rFonts w:ascii="Calibri" w:hAnsi="Calibri"/>
          <w:lang w:val="en-GB"/>
        </w:rPr>
        <w:t>the assessment</w:t>
      </w:r>
      <w:r w:rsidR="00954C63" w:rsidRPr="00982F04">
        <w:rPr>
          <w:rFonts w:ascii="Calibri" w:hAnsi="Calibri"/>
          <w:lang w:val="en-GB"/>
        </w:rPr>
        <w:t xml:space="preserve"> can be subjective</w:t>
      </w:r>
      <w:r w:rsidR="004B6D40" w:rsidRPr="00982F04">
        <w:rPr>
          <w:rFonts w:ascii="Calibri" w:hAnsi="Calibri"/>
          <w:lang w:val="en-GB"/>
        </w:rPr>
        <w:t xml:space="preserve"> and narrow for the reasons explained above</w:t>
      </w:r>
      <w:r w:rsidR="00954C63" w:rsidRPr="00982F04">
        <w:rPr>
          <w:rFonts w:ascii="Calibri" w:hAnsi="Calibri"/>
          <w:lang w:val="en-GB"/>
        </w:rPr>
        <w:t>.</w:t>
      </w:r>
    </w:p>
    <w:p w14:paraId="2D76F4C7" w14:textId="10F7DF1C" w:rsidR="007602CF" w:rsidRPr="002F1CBD" w:rsidRDefault="007602CF" w:rsidP="007602CF">
      <w:pPr>
        <w:spacing w:line="276" w:lineRule="auto"/>
        <w:jc w:val="both"/>
        <w:rPr>
          <w:rFonts w:ascii="Calibri" w:hAnsi="Calibri"/>
          <w:lang w:val="en-GB"/>
        </w:rPr>
      </w:pPr>
      <w:r>
        <w:rPr>
          <w:rFonts w:ascii="Calibri" w:hAnsi="Calibri"/>
          <w:lang w:val="en-GB"/>
        </w:rPr>
        <w:t xml:space="preserve">MHE would like to propose to have these aspects to be more prominently addressed in the General Comment with the recommendation to </w:t>
      </w:r>
      <w:r w:rsidRPr="007602CF">
        <w:rPr>
          <w:rFonts w:ascii="Calibri" w:hAnsi="Calibri"/>
          <w:lang w:val="en-GB"/>
        </w:rPr>
        <w:t>State</w:t>
      </w:r>
      <w:r>
        <w:rPr>
          <w:rFonts w:ascii="Calibri" w:hAnsi="Calibri"/>
          <w:lang w:val="en-GB"/>
        </w:rPr>
        <w:t>s</w:t>
      </w:r>
      <w:r w:rsidRPr="007602CF">
        <w:rPr>
          <w:rFonts w:ascii="Calibri" w:hAnsi="Calibri"/>
          <w:lang w:val="en-GB"/>
        </w:rPr>
        <w:t xml:space="preserve"> Parties</w:t>
      </w:r>
      <w:r>
        <w:rPr>
          <w:rFonts w:ascii="Calibri" w:hAnsi="Calibri"/>
          <w:lang w:val="en-GB"/>
        </w:rPr>
        <w:t xml:space="preserve"> </w:t>
      </w:r>
      <w:r w:rsidRPr="007602CF">
        <w:rPr>
          <w:rFonts w:ascii="Calibri" w:hAnsi="Calibri"/>
          <w:lang w:val="en-GB"/>
        </w:rPr>
        <w:t>that the recognition and</w:t>
      </w:r>
      <w:r w:rsidRPr="007602CF">
        <w:rPr>
          <w:rFonts w:ascii="Calibri" w:hAnsi="Calibri"/>
          <w:lang w:val="en-GB"/>
        </w:rPr>
        <w:tab/>
        <w:t>assessment of disability, in particular</w:t>
      </w:r>
      <w:r w:rsidR="002F1CBD">
        <w:rPr>
          <w:rFonts w:ascii="Calibri" w:hAnsi="Calibri"/>
          <w:lang w:val="en-GB"/>
        </w:rPr>
        <w:t xml:space="preserve"> </w:t>
      </w:r>
      <w:r w:rsidRPr="007602CF">
        <w:rPr>
          <w:rFonts w:ascii="Calibri" w:hAnsi="Calibri"/>
          <w:lang w:val="en-GB"/>
        </w:rPr>
        <w:t>psychosocial disability, must move away from a bio-medical approach and have human</w:t>
      </w:r>
      <w:r w:rsidR="002F1CBD">
        <w:rPr>
          <w:rFonts w:ascii="Calibri" w:hAnsi="Calibri"/>
          <w:lang w:val="en-GB"/>
        </w:rPr>
        <w:t xml:space="preserve"> </w:t>
      </w:r>
      <w:r w:rsidRPr="007602CF">
        <w:rPr>
          <w:rFonts w:ascii="Calibri" w:hAnsi="Calibri"/>
          <w:lang w:val="en-GB"/>
        </w:rPr>
        <w:t>rights</w:t>
      </w:r>
      <w:r w:rsidR="002F1CBD">
        <w:rPr>
          <w:rFonts w:ascii="Calibri" w:hAnsi="Calibri"/>
          <w:lang w:val="en-GB"/>
        </w:rPr>
        <w:t xml:space="preserve"> </w:t>
      </w:r>
      <w:r w:rsidRPr="007602CF">
        <w:rPr>
          <w:rFonts w:ascii="Calibri" w:hAnsi="Calibri"/>
          <w:lang w:val="en-GB"/>
        </w:rPr>
        <w:t>compliant</w:t>
      </w:r>
      <w:r w:rsidR="002F1CBD">
        <w:rPr>
          <w:rFonts w:ascii="Calibri" w:hAnsi="Calibri"/>
          <w:lang w:val="en-GB"/>
        </w:rPr>
        <w:t xml:space="preserve"> </w:t>
      </w:r>
      <w:r w:rsidRPr="007602CF">
        <w:rPr>
          <w:rFonts w:ascii="Calibri" w:hAnsi="Calibri"/>
          <w:lang w:val="en-GB"/>
        </w:rPr>
        <w:t>criteria</w:t>
      </w:r>
      <w:r w:rsidR="002F1CBD">
        <w:rPr>
          <w:rFonts w:ascii="Calibri" w:hAnsi="Calibri"/>
          <w:lang w:val="en-GB"/>
        </w:rPr>
        <w:t>.</w:t>
      </w:r>
    </w:p>
    <w:sectPr w:rsidR="007602CF" w:rsidRPr="002F1CBD" w:rsidSect="008C389F">
      <w:footerReference w:type="even" r:id="rId11"/>
      <w:footerReference w:type="default" r:id="rId1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89841" w14:textId="77777777" w:rsidR="00B066EA" w:rsidRDefault="00B066EA" w:rsidP="001816A6">
      <w:r>
        <w:separator/>
      </w:r>
    </w:p>
  </w:endnote>
  <w:endnote w:type="continuationSeparator" w:id="0">
    <w:p w14:paraId="1ED430E7" w14:textId="77777777" w:rsidR="00B066EA" w:rsidRDefault="00B066EA" w:rsidP="0018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DF748" w14:textId="77777777" w:rsidR="001816A6" w:rsidRDefault="001816A6" w:rsidP="00C5383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8A6F56" w14:textId="77777777" w:rsidR="001816A6" w:rsidRDefault="001816A6" w:rsidP="001816A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40E5" w14:textId="543F228C" w:rsidR="001816A6" w:rsidRPr="00901AC9" w:rsidRDefault="001816A6" w:rsidP="00C53831">
    <w:pPr>
      <w:pStyle w:val="Footer"/>
      <w:framePr w:wrap="none" w:vAnchor="text" w:hAnchor="margin" w:xAlign="right" w:y="1"/>
      <w:rPr>
        <w:rStyle w:val="PageNumber"/>
        <w:rFonts w:ascii="Calibri" w:hAnsi="Calibri"/>
        <w:sz w:val="22"/>
        <w:szCs w:val="22"/>
      </w:rPr>
    </w:pPr>
    <w:r w:rsidRPr="00901AC9">
      <w:rPr>
        <w:rStyle w:val="PageNumber"/>
        <w:rFonts w:ascii="Calibri" w:hAnsi="Calibri"/>
        <w:sz w:val="22"/>
        <w:szCs w:val="22"/>
      </w:rPr>
      <w:fldChar w:fldCharType="begin"/>
    </w:r>
    <w:r w:rsidRPr="00901AC9">
      <w:rPr>
        <w:rStyle w:val="PageNumber"/>
        <w:rFonts w:ascii="Calibri" w:hAnsi="Calibri"/>
        <w:sz w:val="22"/>
        <w:szCs w:val="22"/>
      </w:rPr>
      <w:instrText xml:space="preserve">PAGE  </w:instrText>
    </w:r>
    <w:r w:rsidRPr="00901AC9">
      <w:rPr>
        <w:rStyle w:val="PageNumber"/>
        <w:rFonts w:ascii="Calibri" w:hAnsi="Calibri"/>
        <w:sz w:val="22"/>
        <w:szCs w:val="22"/>
      </w:rPr>
      <w:fldChar w:fldCharType="separate"/>
    </w:r>
    <w:r w:rsidR="00892E76">
      <w:rPr>
        <w:rStyle w:val="PageNumber"/>
        <w:rFonts w:ascii="Calibri" w:hAnsi="Calibri"/>
        <w:noProof/>
        <w:sz w:val="22"/>
        <w:szCs w:val="22"/>
      </w:rPr>
      <w:t>4</w:t>
    </w:r>
    <w:r w:rsidRPr="00901AC9">
      <w:rPr>
        <w:rStyle w:val="PageNumber"/>
        <w:rFonts w:ascii="Calibri" w:hAnsi="Calibri"/>
        <w:sz w:val="22"/>
        <w:szCs w:val="22"/>
      </w:rPr>
      <w:fldChar w:fldCharType="end"/>
    </w:r>
  </w:p>
  <w:p w14:paraId="33AEC48E" w14:textId="77777777" w:rsidR="001816A6" w:rsidRPr="00901AC9" w:rsidRDefault="001816A6" w:rsidP="001816A6">
    <w:pPr>
      <w:pStyle w:val="Footer"/>
      <w:ind w:right="360"/>
      <w:rPr>
        <w:rFonts w:ascii="Calibri" w:hAnsi="Calibri"/>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DC10D" w14:textId="77777777" w:rsidR="00B066EA" w:rsidRDefault="00B066EA" w:rsidP="001816A6">
      <w:r>
        <w:separator/>
      </w:r>
    </w:p>
  </w:footnote>
  <w:footnote w:type="continuationSeparator" w:id="0">
    <w:p w14:paraId="057ECBF4" w14:textId="77777777" w:rsidR="00B066EA" w:rsidRDefault="00B066EA" w:rsidP="001816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F073B"/>
    <w:multiLevelType w:val="hybridMultilevel"/>
    <w:tmpl w:val="047454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9D062AE"/>
    <w:multiLevelType w:val="hybridMultilevel"/>
    <w:tmpl w:val="D464A2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60"/>
    <w:rsid w:val="00061D3E"/>
    <w:rsid w:val="00083F25"/>
    <w:rsid w:val="000935A9"/>
    <w:rsid w:val="000A7E88"/>
    <w:rsid w:val="000B3AA0"/>
    <w:rsid w:val="000B658E"/>
    <w:rsid w:val="000B73D4"/>
    <w:rsid w:val="000D6CBE"/>
    <w:rsid w:val="000E3D95"/>
    <w:rsid w:val="000E63D9"/>
    <w:rsid w:val="000E74BC"/>
    <w:rsid w:val="001113B7"/>
    <w:rsid w:val="00126406"/>
    <w:rsid w:val="00133359"/>
    <w:rsid w:val="00142E5A"/>
    <w:rsid w:val="0014720F"/>
    <w:rsid w:val="001816A6"/>
    <w:rsid w:val="001A0B03"/>
    <w:rsid w:val="001A5991"/>
    <w:rsid w:val="001B396C"/>
    <w:rsid w:val="001C1B9F"/>
    <w:rsid w:val="001D196F"/>
    <w:rsid w:val="001F4D1E"/>
    <w:rsid w:val="001F6F20"/>
    <w:rsid w:val="002160E9"/>
    <w:rsid w:val="002208A6"/>
    <w:rsid w:val="00234226"/>
    <w:rsid w:val="00246205"/>
    <w:rsid w:val="00251F0C"/>
    <w:rsid w:val="00257535"/>
    <w:rsid w:val="00260A04"/>
    <w:rsid w:val="00265D48"/>
    <w:rsid w:val="00267E11"/>
    <w:rsid w:val="002A0E72"/>
    <w:rsid w:val="002A1D38"/>
    <w:rsid w:val="002C1F6A"/>
    <w:rsid w:val="002C26F4"/>
    <w:rsid w:val="002D1DB4"/>
    <w:rsid w:val="002D4937"/>
    <w:rsid w:val="002F09B3"/>
    <w:rsid w:val="002F1CBD"/>
    <w:rsid w:val="00311DA1"/>
    <w:rsid w:val="003129F7"/>
    <w:rsid w:val="003770B8"/>
    <w:rsid w:val="003861C9"/>
    <w:rsid w:val="0039495C"/>
    <w:rsid w:val="003A6792"/>
    <w:rsid w:val="003B5335"/>
    <w:rsid w:val="003D7FFD"/>
    <w:rsid w:val="003E08EF"/>
    <w:rsid w:val="003E6B7F"/>
    <w:rsid w:val="004050BC"/>
    <w:rsid w:val="00405286"/>
    <w:rsid w:val="0040792F"/>
    <w:rsid w:val="004149DC"/>
    <w:rsid w:val="004322E6"/>
    <w:rsid w:val="004515C1"/>
    <w:rsid w:val="00453CBD"/>
    <w:rsid w:val="00475F53"/>
    <w:rsid w:val="00486A6D"/>
    <w:rsid w:val="0049419A"/>
    <w:rsid w:val="0049439D"/>
    <w:rsid w:val="004B4B87"/>
    <w:rsid w:val="004B6D40"/>
    <w:rsid w:val="004D62A9"/>
    <w:rsid w:val="004F1EDF"/>
    <w:rsid w:val="004F647D"/>
    <w:rsid w:val="00513F6A"/>
    <w:rsid w:val="005203EB"/>
    <w:rsid w:val="0054011E"/>
    <w:rsid w:val="00542086"/>
    <w:rsid w:val="00560A52"/>
    <w:rsid w:val="00572332"/>
    <w:rsid w:val="0057756F"/>
    <w:rsid w:val="00581E8E"/>
    <w:rsid w:val="005962E3"/>
    <w:rsid w:val="005D4531"/>
    <w:rsid w:val="005E1AA1"/>
    <w:rsid w:val="005E2F45"/>
    <w:rsid w:val="005F4316"/>
    <w:rsid w:val="006774B1"/>
    <w:rsid w:val="006933A6"/>
    <w:rsid w:val="006A6011"/>
    <w:rsid w:val="006B3DE4"/>
    <w:rsid w:val="0071461B"/>
    <w:rsid w:val="00723A45"/>
    <w:rsid w:val="00735160"/>
    <w:rsid w:val="007602CF"/>
    <w:rsid w:val="00777F49"/>
    <w:rsid w:val="0078199C"/>
    <w:rsid w:val="007B0129"/>
    <w:rsid w:val="007B08E9"/>
    <w:rsid w:val="007B6B6E"/>
    <w:rsid w:val="007E0CB3"/>
    <w:rsid w:val="007E2F09"/>
    <w:rsid w:val="007F19E3"/>
    <w:rsid w:val="007F215A"/>
    <w:rsid w:val="00813914"/>
    <w:rsid w:val="00822344"/>
    <w:rsid w:val="00825776"/>
    <w:rsid w:val="008261FC"/>
    <w:rsid w:val="0082656F"/>
    <w:rsid w:val="0083385A"/>
    <w:rsid w:val="00857129"/>
    <w:rsid w:val="00876985"/>
    <w:rsid w:val="00885F83"/>
    <w:rsid w:val="00892032"/>
    <w:rsid w:val="00892E76"/>
    <w:rsid w:val="008B3E14"/>
    <w:rsid w:val="008C389F"/>
    <w:rsid w:val="008D44BF"/>
    <w:rsid w:val="008D5A98"/>
    <w:rsid w:val="008E707C"/>
    <w:rsid w:val="00901AC9"/>
    <w:rsid w:val="009117AE"/>
    <w:rsid w:val="0091495C"/>
    <w:rsid w:val="009263F8"/>
    <w:rsid w:val="00930D10"/>
    <w:rsid w:val="00943DE0"/>
    <w:rsid w:val="00954C63"/>
    <w:rsid w:val="00961191"/>
    <w:rsid w:val="00975BFF"/>
    <w:rsid w:val="00982F04"/>
    <w:rsid w:val="009A2BB5"/>
    <w:rsid w:val="009A5AAE"/>
    <w:rsid w:val="009B16C7"/>
    <w:rsid w:val="009B3436"/>
    <w:rsid w:val="009F0E9A"/>
    <w:rsid w:val="009F28D1"/>
    <w:rsid w:val="009F78F9"/>
    <w:rsid w:val="00A02D5D"/>
    <w:rsid w:val="00A06165"/>
    <w:rsid w:val="00A5103B"/>
    <w:rsid w:val="00AC73F0"/>
    <w:rsid w:val="00AE0B2D"/>
    <w:rsid w:val="00B039DD"/>
    <w:rsid w:val="00B066EA"/>
    <w:rsid w:val="00B21784"/>
    <w:rsid w:val="00B366A1"/>
    <w:rsid w:val="00B37AEE"/>
    <w:rsid w:val="00B4073A"/>
    <w:rsid w:val="00B62F40"/>
    <w:rsid w:val="00B75715"/>
    <w:rsid w:val="00B976E1"/>
    <w:rsid w:val="00BB22A6"/>
    <w:rsid w:val="00BD01E1"/>
    <w:rsid w:val="00BD250D"/>
    <w:rsid w:val="00BD2DE6"/>
    <w:rsid w:val="00C00201"/>
    <w:rsid w:val="00C03AD9"/>
    <w:rsid w:val="00C14881"/>
    <w:rsid w:val="00C332F2"/>
    <w:rsid w:val="00C33B2F"/>
    <w:rsid w:val="00C57C0D"/>
    <w:rsid w:val="00C611EA"/>
    <w:rsid w:val="00C61C02"/>
    <w:rsid w:val="00C676C6"/>
    <w:rsid w:val="00C67B98"/>
    <w:rsid w:val="00C7444F"/>
    <w:rsid w:val="00C747AD"/>
    <w:rsid w:val="00C93652"/>
    <w:rsid w:val="00CA7A11"/>
    <w:rsid w:val="00CE4BE7"/>
    <w:rsid w:val="00CF437D"/>
    <w:rsid w:val="00CF6615"/>
    <w:rsid w:val="00D5467C"/>
    <w:rsid w:val="00D77C06"/>
    <w:rsid w:val="00D77C1A"/>
    <w:rsid w:val="00D86916"/>
    <w:rsid w:val="00DA0713"/>
    <w:rsid w:val="00DA7E2D"/>
    <w:rsid w:val="00DD0A1C"/>
    <w:rsid w:val="00DD4B3D"/>
    <w:rsid w:val="00DE76CE"/>
    <w:rsid w:val="00DF105C"/>
    <w:rsid w:val="00DF6BE5"/>
    <w:rsid w:val="00E12E31"/>
    <w:rsid w:val="00E566BD"/>
    <w:rsid w:val="00E56AAE"/>
    <w:rsid w:val="00E614B3"/>
    <w:rsid w:val="00E82166"/>
    <w:rsid w:val="00E84978"/>
    <w:rsid w:val="00EB0A02"/>
    <w:rsid w:val="00ED19A7"/>
    <w:rsid w:val="00ED75C0"/>
    <w:rsid w:val="00EE74A6"/>
    <w:rsid w:val="00EF2DE5"/>
    <w:rsid w:val="00F10666"/>
    <w:rsid w:val="00F11355"/>
    <w:rsid w:val="00F16EAE"/>
    <w:rsid w:val="00F234CD"/>
    <w:rsid w:val="00F2547C"/>
    <w:rsid w:val="00F33F33"/>
    <w:rsid w:val="00F341A2"/>
    <w:rsid w:val="00F3524B"/>
    <w:rsid w:val="00F374BC"/>
    <w:rsid w:val="00F37DB3"/>
    <w:rsid w:val="00F4625A"/>
    <w:rsid w:val="00F50D8A"/>
    <w:rsid w:val="00F77669"/>
    <w:rsid w:val="00F96B49"/>
    <w:rsid w:val="00FA417F"/>
    <w:rsid w:val="00FA61DF"/>
    <w:rsid w:val="00FB4A8E"/>
    <w:rsid w:val="00FC2DAD"/>
    <w:rsid w:val="00FC62D2"/>
    <w:rsid w:val="00FD658C"/>
    <w:rsid w:val="00FF73E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A0E7C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D1D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F6A"/>
    <w:rPr>
      <w:color w:val="0000FF" w:themeColor="hyperlink"/>
      <w:u w:val="single"/>
    </w:rPr>
  </w:style>
  <w:style w:type="character" w:customStyle="1" w:styleId="apple-converted-space">
    <w:name w:val="apple-converted-space"/>
    <w:basedOn w:val="DefaultParagraphFont"/>
    <w:rsid w:val="00DF105C"/>
  </w:style>
  <w:style w:type="paragraph" w:styleId="Footer">
    <w:name w:val="footer"/>
    <w:basedOn w:val="Normal"/>
    <w:link w:val="FooterChar"/>
    <w:uiPriority w:val="99"/>
    <w:unhideWhenUsed/>
    <w:rsid w:val="001816A6"/>
    <w:pPr>
      <w:tabs>
        <w:tab w:val="center" w:pos="4819"/>
        <w:tab w:val="right" w:pos="9638"/>
      </w:tabs>
    </w:pPr>
  </w:style>
  <w:style w:type="character" w:customStyle="1" w:styleId="FooterChar">
    <w:name w:val="Footer Char"/>
    <w:basedOn w:val="DefaultParagraphFont"/>
    <w:link w:val="Footer"/>
    <w:uiPriority w:val="99"/>
    <w:rsid w:val="001816A6"/>
  </w:style>
  <w:style w:type="character" w:styleId="PageNumber">
    <w:name w:val="page number"/>
    <w:basedOn w:val="DefaultParagraphFont"/>
    <w:uiPriority w:val="99"/>
    <w:semiHidden/>
    <w:unhideWhenUsed/>
    <w:rsid w:val="001816A6"/>
  </w:style>
  <w:style w:type="paragraph" w:styleId="Header">
    <w:name w:val="header"/>
    <w:basedOn w:val="Normal"/>
    <w:link w:val="HeaderChar"/>
    <w:uiPriority w:val="99"/>
    <w:unhideWhenUsed/>
    <w:rsid w:val="001816A6"/>
    <w:pPr>
      <w:tabs>
        <w:tab w:val="center" w:pos="4819"/>
        <w:tab w:val="right" w:pos="9638"/>
      </w:tabs>
    </w:pPr>
  </w:style>
  <w:style w:type="character" w:customStyle="1" w:styleId="HeaderChar">
    <w:name w:val="Header Char"/>
    <w:basedOn w:val="DefaultParagraphFont"/>
    <w:link w:val="Header"/>
    <w:uiPriority w:val="99"/>
    <w:rsid w:val="001816A6"/>
  </w:style>
  <w:style w:type="paragraph" w:styleId="FootnoteText">
    <w:name w:val="footnote text"/>
    <w:basedOn w:val="Normal"/>
    <w:link w:val="FootnoteTextChar"/>
    <w:uiPriority w:val="99"/>
    <w:unhideWhenUsed/>
    <w:rsid w:val="00142E5A"/>
  </w:style>
  <w:style w:type="character" w:customStyle="1" w:styleId="FootnoteTextChar">
    <w:name w:val="Footnote Text Char"/>
    <w:basedOn w:val="DefaultParagraphFont"/>
    <w:link w:val="FootnoteText"/>
    <w:uiPriority w:val="99"/>
    <w:rsid w:val="00142E5A"/>
  </w:style>
  <w:style w:type="character" w:styleId="FootnoteReference">
    <w:name w:val="footnote reference"/>
    <w:basedOn w:val="DefaultParagraphFont"/>
    <w:uiPriority w:val="99"/>
    <w:unhideWhenUsed/>
    <w:rsid w:val="00142E5A"/>
    <w:rPr>
      <w:vertAlign w:val="superscript"/>
    </w:rPr>
  </w:style>
  <w:style w:type="paragraph" w:styleId="EndnoteText">
    <w:name w:val="endnote text"/>
    <w:basedOn w:val="Normal"/>
    <w:link w:val="EndnoteTextChar"/>
    <w:uiPriority w:val="99"/>
    <w:unhideWhenUsed/>
    <w:rsid w:val="00142E5A"/>
  </w:style>
  <w:style w:type="character" w:customStyle="1" w:styleId="EndnoteTextChar">
    <w:name w:val="Endnote Text Char"/>
    <w:basedOn w:val="DefaultParagraphFont"/>
    <w:link w:val="EndnoteText"/>
    <w:uiPriority w:val="99"/>
    <w:rsid w:val="00142E5A"/>
  </w:style>
  <w:style w:type="character" w:styleId="EndnoteReference">
    <w:name w:val="endnote reference"/>
    <w:basedOn w:val="DefaultParagraphFont"/>
    <w:uiPriority w:val="99"/>
    <w:unhideWhenUsed/>
    <w:rsid w:val="00142E5A"/>
    <w:rPr>
      <w:vertAlign w:val="superscript"/>
    </w:rPr>
  </w:style>
  <w:style w:type="paragraph" w:styleId="ListParagraph">
    <w:name w:val="List Paragraph"/>
    <w:basedOn w:val="Normal"/>
    <w:uiPriority w:val="34"/>
    <w:qFormat/>
    <w:rsid w:val="00A06165"/>
    <w:pPr>
      <w:ind w:left="720"/>
      <w:contextualSpacing/>
    </w:pPr>
  </w:style>
  <w:style w:type="character" w:styleId="FollowedHyperlink">
    <w:name w:val="FollowedHyperlink"/>
    <w:basedOn w:val="DefaultParagraphFont"/>
    <w:uiPriority w:val="99"/>
    <w:semiHidden/>
    <w:unhideWhenUsed/>
    <w:rsid w:val="004D62A9"/>
    <w:rPr>
      <w:color w:val="800080" w:themeColor="followedHyperlink"/>
      <w:u w:val="single"/>
    </w:rPr>
  </w:style>
  <w:style w:type="character" w:customStyle="1" w:styleId="Heading2Char">
    <w:name w:val="Heading 2 Char"/>
    <w:basedOn w:val="DefaultParagraphFont"/>
    <w:link w:val="Heading2"/>
    <w:uiPriority w:val="9"/>
    <w:semiHidden/>
    <w:rsid w:val="002D1DB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520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467C"/>
    <w:rPr>
      <w:sz w:val="16"/>
      <w:szCs w:val="16"/>
    </w:rPr>
  </w:style>
  <w:style w:type="paragraph" w:styleId="CommentText">
    <w:name w:val="annotation text"/>
    <w:basedOn w:val="Normal"/>
    <w:link w:val="CommentTextChar"/>
    <w:uiPriority w:val="99"/>
    <w:semiHidden/>
    <w:unhideWhenUsed/>
    <w:rsid w:val="00D5467C"/>
    <w:rPr>
      <w:sz w:val="20"/>
      <w:szCs w:val="20"/>
    </w:rPr>
  </w:style>
  <w:style w:type="character" w:customStyle="1" w:styleId="CommentTextChar">
    <w:name w:val="Comment Text Char"/>
    <w:basedOn w:val="DefaultParagraphFont"/>
    <w:link w:val="CommentText"/>
    <w:uiPriority w:val="99"/>
    <w:semiHidden/>
    <w:rsid w:val="00D5467C"/>
    <w:rPr>
      <w:sz w:val="20"/>
      <w:szCs w:val="20"/>
    </w:rPr>
  </w:style>
  <w:style w:type="paragraph" w:styleId="CommentSubject">
    <w:name w:val="annotation subject"/>
    <w:basedOn w:val="CommentText"/>
    <w:next w:val="CommentText"/>
    <w:link w:val="CommentSubjectChar"/>
    <w:uiPriority w:val="99"/>
    <w:semiHidden/>
    <w:unhideWhenUsed/>
    <w:rsid w:val="00D5467C"/>
    <w:rPr>
      <w:b/>
      <w:bCs/>
    </w:rPr>
  </w:style>
  <w:style w:type="character" w:customStyle="1" w:styleId="CommentSubjectChar">
    <w:name w:val="Comment Subject Char"/>
    <w:basedOn w:val="CommentTextChar"/>
    <w:link w:val="CommentSubject"/>
    <w:uiPriority w:val="99"/>
    <w:semiHidden/>
    <w:rsid w:val="00D5467C"/>
    <w:rPr>
      <w:b/>
      <w:bCs/>
      <w:sz w:val="20"/>
      <w:szCs w:val="20"/>
    </w:rPr>
  </w:style>
  <w:style w:type="paragraph" w:styleId="Revision">
    <w:name w:val="Revision"/>
    <w:hidden/>
    <w:uiPriority w:val="99"/>
    <w:semiHidden/>
    <w:rsid w:val="00943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62862">
      <w:bodyDiv w:val="1"/>
      <w:marLeft w:val="0"/>
      <w:marRight w:val="0"/>
      <w:marTop w:val="0"/>
      <w:marBottom w:val="0"/>
      <w:divBdr>
        <w:top w:val="none" w:sz="0" w:space="0" w:color="auto"/>
        <w:left w:val="none" w:sz="0" w:space="0" w:color="auto"/>
        <w:bottom w:val="none" w:sz="0" w:space="0" w:color="auto"/>
        <w:right w:val="none" w:sz="0" w:space="0" w:color="auto"/>
      </w:divBdr>
    </w:div>
    <w:div w:id="114907795">
      <w:bodyDiv w:val="1"/>
      <w:marLeft w:val="0"/>
      <w:marRight w:val="0"/>
      <w:marTop w:val="0"/>
      <w:marBottom w:val="0"/>
      <w:divBdr>
        <w:top w:val="none" w:sz="0" w:space="0" w:color="auto"/>
        <w:left w:val="none" w:sz="0" w:space="0" w:color="auto"/>
        <w:bottom w:val="none" w:sz="0" w:space="0" w:color="auto"/>
        <w:right w:val="none" w:sz="0" w:space="0" w:color="auto"/>
      </w:divBdr>
    </w:div>
    <w:div w:id="129177269">
      <w:bodyDiv w:val="1"/>
      <w:marLeft w:val="0"/>
      <w:marRight w:val="0"/>
      <w:marTop w:val="0"/>
      <w:marBottom w:val="0"/>
      <w:divBdr>
        <w:top w:val="none" w:sz="0" w:space="0" w:color="auto"/>
        <w:left w:val="none" w:sz="0" w:space="0" w:color="auto"/>
        <w:bottom w:val="none" w:sz="0" w:space="0" w:color="auto"/>
        <w:right w:val="none" w:sz="0" w:space="0" w:color="auto"/>
      </w:divBdr>
    </w:div>
    <w:div w:id="270284153">
      <w:bodyDiv w:val="1"/>
      <w:marLeft w:val="0"/>
      <w:marRight w:val="0"/>
      <w:marTop w:val="0"/>
      <w:marBottom w:val="0"/>
      <w:divBdr>
        <w:top w:val="none" w:sz="0" w:space="0" w:color="auto"/>
        <w:left w:val="none" w:sz="0" w:space="0" w:color="auto"/>
        <w:bottom w:val="none" w:sz="0" w:space="0" w:color="auto"/>
        <w:right w:val="none" w:sz="0" w:space="0" w:color="auto"/>
      </w:divBdr>
    </w:div>
    <w:div w:id="281807073">
      <w:bodyDiv w:val="1"/>
      <w:marLeft w:val="0"/>
      <w:marRight w:val="0"/>
      <w:marTop w:val="0"/>
      <w:marBottom w:val="0"/>
      <w:divBdr>
        <w:top w:val="none" w:sz="0" w:space="0" w:color="auto"/>
        <w:left w:val="none" w:sz="0" w:space="0" w:color="auto"/>
        <w:bottom w:val="none" w:sz="0" w:space="0" w:color="auto"/>
        <w:right w:val="none" w:sz="0" w:space="0" w:color="auto"/>
      </w:divBdr>
    </w:div>
    <w:div w:id="330525633">
      <w:bodyDiv w:val="1"/>
      <w:marLeft w:val="0"/>
      <w:marRight w:val="0"/>
      <w:marTop w:val="0"/>
      <w:marBottom w:val="0"/>
      <w:divBdr>
        <w:top w:val="none" w:sz="0" w:space="0" w:color="auto"/>
        <w:left w:val="none" w:sz="0" w:space="0" w:color="auto"/>
        <w:bottom w:val="none" w:sz="0" w:space="0" w:color="auto"/>
        <w:right w:val="none" w:sz="0" w:space="0" w:color="auto"/>
      </w:divBdr>
    </w:div>
    <w:div w:id="340621154">
      <w:bodyDiv w:val="1"/>
      <w:marLeft w:val="0"/>
      <w:marRight w:val="0"/>
      <w:marTop w:val="0"/>
      <w:marBottom w:val="0"/>
      <w:divBdr>
        <w:top w:val="none" w:sz="0" w:space="0" w:color="auto"/>
        <w:left w:val="none" w:sz="0" w:space="0" w:color="auto"/>
        <w:bottom w:val="none" w:sz="0" w:space="0" w:color="auto"/>
        <w:right w:val="none" w:sz="0" w:space="0" w:color="auto"/>
      </w:divBdr>
    </w:div>
    <w:div w:id="371656922">
      <w:bodyDiv w:val="1"/>
      <w:marLeft w:val="0"/>
      <w:marRight w:val="0"/>
      <w:marTop w:val="0"/>
      <w:marBottom w:val="0"/>
      <w:divBdr>
        <w:top w:val="none" w:sz="0" w:space="0" w:color="auto"/>
        <w:left w:val="none" w:sz="0" w:space="0" w:color="auto"/>
        <w:bottom w:val="none" w:sz="0" w:space="0" w:color="auto"/>
        <w:right w:val="none" w:sz="0" w:space="0" w:color="auto"/>
      </w:divBdr>
      <w:divsChild>
        <w:div w:id="281233233">
          <w:marLeft w:val="0"/>
          <w:marRight w:val="0"/>
          <w:marTop w:val="0"/>
          <w:marBottom w:val="0"/>
          <w:divBdr>
            <w:top w:val="none" w:sz="0" w:space="0" w:color="auto"/>
            <w:left w:val="none" w:sz="0" w:space="0" w:color="auto"/>
            <w:bottom w:val="none" w:sz="0" w:space="0" w:color="auto"/>
            <w:right w:val="none" w:sz="0" w:space="0" w:color="auto"/>
          </w:divBdr>
        </w:div>
      </w:divsChild>
    </w:div>
    <w:div w:id="387580250">
      <w:bodyDiv w:val="1"/>
      <w:marLeft w:val="0"/>
      <w:marRight w:val="0"/>
      <w:marTop w:val="0"/>
      <w:marBottom w:val="0"/>
      <w:divBdr>
        <w:top w:val="none" w:sz="0" w:space="0" w:color="auto"/>
        <w:left w:val="none" w:sz="0" w:space="0" w:color="auto"/>
        <w:bottom w:val="none" w:sz="0" w:space="0" w:color="auto"/>
        <w:right w:val="none" w:sz="0" w:space="0" w:color="auto"/>
      </w:divBdr>
    </w:div>
    <w:div w:id="486284045">
      <w:bodyDiv w:val="1"/>
      <w:marLeft w:val="0"/>
      <w:marRight w:val="0"/>
      <w:marTop w:val="0"/>
      <w:marBottom w:val="0"/>
      <w:divBdr>
        <w:top w:val="none" w:sz="0" w:space="0" w:color="auto"/>
        <w:left w:val="none" w:sz="0" w:space="0" w:color="auto"/>
        <w:bottom w:val="none" w:sz="0" w:space="0" w:color="auto"/>
        <w:right w:val="none" w:sz="0" w:space="0" w:color="auto"/>
      </w:divBdr>
    </w:div>
    <w:div w:id="525219308">
      <w:bodyDiv w:val="1"/>
      <w:marLeft w:val="0"/>
      <w:marRight w:val="0"/>
      <w:marTop w:val="0"/>
      <w:marBottom w:val="0"/>
      <w:divBdr>
        <w:top w:val="none" w:sz="0" w:space="0" w:color="auto"/>
        <w:left w:val="none" w:sz="0" w:space="0" w:color="auto"/>
        <w:bottom w:val="none" w:sz="0" w:space="0" w:color="auto"/>
        <w:right w:val="none" w:sz="0" w:space="0" w:color="auto"/>
      </w:divBdr>
    </w:div>
    <w:div w:id="578052652">
      <w:bodyDiv w:val="1"/>
      <w:marLeft w:val="0"/>
      <w:marRight w:val="0"/>
      <w:marTop w:val="0"/>
      <w:marBottom w:val="0"/>
      <w:divBdr>
        <w:top w:val="none" w:sz="0" w:space="0" w:color="auto"/>
        <w:left w:val="none" w:sz="0" w:space="0" w:color="auto"/>
        <w:bottom w:val="none" w:sz="0" w:space="0" w:color="auto"/>
        <w:right w:val="none" w:sz="0" w:space="0" w:color="auto"/>
      </w:divBdr>
    </w:div>
    <w:div w:id="589657955">
      <w:bodyDiv w:val="1"/>
      <w:marLeft w:val="0"/>
      <w:marRight w:val="0"/>
      <w:marTop w:val="0"/>
      <w:marBottom w:val="0"/>
      <w:divBdr>
        <w:top w:val="none" w:sz="0" w:space="0" w:color="auto"/>
        <w:left w:val="none" w:sz="0" w:space="0" w:color="auto"/>
        <w:bottom w:val="none" w:sz="0" w:space="0" w:color="auto"/>
        <w:right w:val="none" w:sz="0" w:space="0" w:color="auto"/>
      </w:divBdr>
    </w:div>
    <w:div w:id="648555860">
      <w:bodyDiv w:val="1"/>
      <w:marLeft w:val="0"/>
      <w:marRight w:val="0"/>
      <w:marTop w:val="0"/>
      <w:marBottom w:val="0"/>
      <w:divBdr>
        <w:top w:val="none" w:sz="0" w:space="0" w:color="auto"/>
        <w:left w:val="none" w:sz="0" w:space="0" w:color="auto"/>
        <w:bottom w:val="none" w:sz="0" w:space="0" w:color="auto"/>
        <w:right w:val="none" w:sz="0" w:space="0" w:color="auto"/>
      </w:divBdr>
    </w:div>
    <w:div w:id="736435380">
      <w:bodyDiv w:val="1"/>
      <w:marLeft w:val="0"/>
      <w:marRight w:val="0"/>
      <w:marTop w:val="0"/>
      <w:marBottom w:val="0"/>
      <w:divBdr>
        <w:top w:val="none" w:sz="0" w:space="0" w:color="auto"/>
        <w:left w:val="none" w:sz="0" w:space="0" w:color="auto"/>
        <w:bottom w:val="none" w:sz="0" w:space="0" w:color="auto"/>
        <w:right w:val="none" w:sz="0" w:space="0" w:color="auto"/>
      </w:divBdr>
    </w:div>
    <w:div w:id="795370777">
      <w:bodyDiv w:val="1"/>
      <w:marLeft w:val="0"/>
      <w:marRight w:val="0"/>
      <w:marTop w:val="0"/>
      <w:marBottom w:val="0"/>
      <w:divBdr>
        <w:top w:val="none" w:sz="0" w:space="0" w:color="auto"/>
        <w:left w:val="none" w:sz="0" w:space="0" w:color="auto"/>
        <w:bottom w:val="none" w:sz="0" w:space="0" w:color="auto"/>
        <w:right w:val="none" w:sz="0" w:space="0" w:color="auto"/>
      </w:divBdr>
    </w:div>
    <w:div w:id="808283787">
      <w:bodyDiv w:val="1"/>
      <w:marLeft w:val="0"/>
      <w:marRight w:val="0"/>
      <w:marTop w:val="0"/>
      <w:marBottom w:val="0"/>
      <w:divBdr>
        <w:top w:val="none" w:sz="0" w:space="0" w:color="auto"/>
        <w:left w:val="none" w:sz="0" w:space="0" w:color="auto"/>
        <w:bottom w:val="none" w:sz="0" w:space="0" w:color="auto"/>
        <w:right w:val="none" w:sz="0" w:space="0" w:color="auto"/>
      </w:divBdr>
    </w:div>
    <w:div w:id="822703318">
      <w:bodyDiv w:val="1"/>
      <w:marLeft w:val="0"/>
      <w:marRight w:val="0"/>
      <w:marTop w:val="0"/>
      <w:marBottom w:val="0"/>
      <w:divBdr>
        <w:top w:val="none" w:sz="0" w:space="0" w:color="auto"/>
        <w:left w:val="none" w:sz="0" w:space="0" w:color="auto"/>
        <w:bottom w:val="none" w:sz="0" w:space="0" w:color="auto"/>
        <w:right w:val="none" w:sz="0" w:space="0" w:color="auto"/>
      </w:divBdr>
    </w:div>
    <w:div w:id="952635491">
      <w:bodyDiv w:val="1"/>
      <w:marLeft w:val="0"/>
      <w:marRight w:val="0"/>
      <w:marTop w:val="0"/>
      <w:marBottom w:val="0"/>
      <w:divBdr>
        <w:top w:val="none" w:sz="0" w:space="0" w:color="auto"/>
        <w:left w:val="none" w:sz="0" w:space="0" w:color="auto"/>
        <w:bottom w:val="none" w:sz="0" w:space="0" w:color="auto"/>
        <w:right w:val="none" w:sz="0" w:space="0" w:color="auto"/>
      </w:divBdr>
    </w:div>
    <w:div w:id="967468531">
      <w:bodyDiv w:val="1"/>
      <w:marLeft w:val="0"/>
      <w:marRight w:val="0"/>
      <w:marTop w:val="0"/>
      <w:marBottom w:val="0"/>
      <w:divBdr>
        <w:top w:val="none" w:sz="0" w:space="0" w:color="auto"/>
        <w:left w:val="none" w:sz="0" w:space="0" w:color="auto"/>
        <w:bottom w:val="none" w:sz="0" w:space="0" w:color="auto"/>
        <w:right w:val="none" w:sz="0" w:space="0" w:color="auto"/>
      </w:divBdr>
    </w:div>
    <w:div w:id="1059128088">
      <w:bodyDiv w:val="1"/>
      <w:marLeft w:val="0"/>
      <w:marRight w:val="0"/>
      <w:marTop w:val="0"/>
      <w:marBottom w:val="0"/>
      <w:divBdr>
        <w:top w:val="none" w:sz="0" w:space="0" w:color="auto"/>
        <w:left w:val="none" w:sz="0" w:space="0" w:color="auto"/>
        <w:bottom w:val="none" w:sz="0" w:space="0" w:color="auto"/>
        <w:right w:val="none" w:sz="0" w:space="0" w:color="auto"/>
      </w:divBdr>
    </w:div>
    <w:div w:id="1106386339">
      <w:bodyDiv w:val="1"/>
      <w:marLeft w:val="0"/>
      <w:marRight w:val="0"/>
      <w:marTop w:val="0"/>
      <w:marBottom w:val="0"/>
      <w:divBdr>
        <w:top w:val="none" w:sz="0" w:space="0" w:color="auto"/>
        <w:left w:val="none" w:sz="0" w:space="0" w:color="auto"/>
        <w:bottom w:val="none" w:sz="0" w:space="0" w:color="auto"/>
        <w:right w:val="none" w:sz="0" w:space="0" w:color="auto"/>
      </w:divBdr>
    </w:div>
    <w:div w:id="1210338626">
      <w:bodyDiv w:val="1"/>
      <w:marLeft w:val="0"/>
      <w:marRight w:val="0"/>
      <w:marTop w:val="0"/>
      <w:marBottom w:val="0"/>
      <w:divBdr>
        <w:top w:val="none" w:sz="0" w:space="0" w:color="auto"/>
        <w:left w:val="none" w:sz="0" w:space="0" w:color="auto"/>
        <w:bottom w:val="none" w:sz="0" w:space="0" w:color="auto"/>
        <w:right w:val="none" w:sz="0" w:space="0" w:color="auto"/>
      </w:divBdr>
    </w:div>
    <w:div w:id="1319461624">
      <w:bodyDiv w:val="1"/>
      <w:marLeft w:val="0"/>
      <w:marRight w:val="0"/>
      <w:marTop w:val="0"/>
      <w:marBottom w:val="0"/>
      <w:divBdr>
        <w:top w:val="none" w:sz="0" w:space="0" w:color="auto"/>
        <w:left w:val="none" w:sz="0" w:space="0" w:color="auto"/>
        <w:bottom w:val="none" w:sz="0" w:space="0" w:color="auto"/>
        <w:right w:val="none" w:sz="0" w:space="0" w:color="auto"/>
      </w:divBdr>
    </w:div>
    <w:div w:id="1343513672">
      <w:bodyDiv w:val="1"/>
      <w:marLeft w:val="0"/>
      <w:marRight w:val="0"/>
      <w:marTop w:val="0"/>
      <w:marBottom w:val="0"/>
      <w:divBdr>
        <w:top w:val="none" w:sz="0" w:space="0" w:color="auto"/>
        <w:left w:val="none" w:sz="0" w:space="0" w:color="auto"/>
        <w:bottom w:val="none" w:sz="0" w:space="0" w:color="auto"/>
        <w:right w:val="none" w:sz="0" w:space="0" w:color="auto"/>
      </w:divBdr>
    </w:div>
    <w:div w:id="1366902492">
      <w:bodyDiv w:val="1"/>
      <w:marLeft w:val="0"/>
      <w:marRight w:val="0"/>
      <w:marTop w:val="0"/>
      <w:marBottom w:val="0"/>
      <w:divBdr>
        <w:top w:val="none" w:sz="0" w:space="0" w:color="auto"/>
        <w:left w:val="none" w:sz="0" w:space="0" w:color="auto"/>
        <w:bottom w:val="none" w:sz="0" w:space="0" w:color="auto"/>
        <w:right w:val="none" w:sz="0" w:space="0" w:color="auto"/>
      </w:divBdr>
    </w:div>
    <w:div w:id="1379550689">
      <w:bodyDiv w:val="1"/>
      <w:marLeft w:val="0"/>
      <w:marRight w:val="0"/>
      <w:marTop w:val="0"/>
      <w:marBottom w:val="0"/>
      <w:divBdr>
        <w:top w:val="none" w:sz="0" w:space="0" w:color="auto"/>
        <w:left w:val="none" w:sz="0" w:space="0" w:color="auto"/>
        <w:bottom w:val="none" w:sz="0" w:space="0" w:color="auto"/>
        <w:right w:val="none" w:sz="0" w:space="0" w:color="auto"/>
      </w:divBdr>
    </w:div>
    <w:div w:id="1382485364">
      <w:bodyDiv w:val="1"/>
      <w:marLeft w:val="0"/>
      <w:marRight w:val="0"/>
      <w:marTop w:val="0"/>
      <w:marBottom w:val="0"/>
      <w:divBdr>
        <w:top w:val="none" w:sz="0" w:space="0" w:color="auto"/>
        <w:left w:val="none" w:sz="0" w:space="0" w:color="auto"/>
        <w:bottom w:val="none" w:sz="0" w:space="0" w:color="auto"/>
        <w:right w:val="none" w:sz="0" w:space="0" w:color="auto"/>
      </w:divBdr>
    </w:div>
    <w:div w:id="1417750950">
      <w:bodyDiv w:val="1"/>
      <w:marLeft w:val="0"/>
      <w:marRight w:val="0"/>
      <w:marTop w:val="0"/>
      <w:marBottom w:val="0"/>
      <w:divBdr>
        <w:top w:val="none" w:sz="0" w:space="0" w:color="auto"/>
        <w:left w:val="none" w:sz="0" w:space="0" w:color="auto"/>
        <w:bottom w:val="none" w:sz="0" w:space="0" w:color="auto"/>
        <w:right w:val="none" w:sz="0" w:space="0" w:color="auto"/>
      </w:divBdr>
    </w:div>
    <w:div w:id="1526821742">
      <w:bodyDiv w:val="1"/>
      <w:marLeft w:val="0"/>
      <w:marRight w:val="0"/>
      <w:marTop w:val="0"/>
      <w:marBottom w:val="0"/>
      <w:divBdr>
        <w:top w:val="none" w:sz="0" w:space="0" w:color="auto"/>
        <w:left w:val="none" w:sz="0" w:space="0" w:color="auto"/>
        <w:bottom w:val="none" w:sz="0" w:space="0" w:color="auto"/>
        <w:right w:val="none" w:sz="0" w:space="0" w:color="auto"/>
      </w:divBdr>
    </w:div>
    <w:div w:id="1576863711">
      <w:bodyDiv w:val="1"/>
      <w:marLeft w:val="0"/>
      <w:marRight w:val="0"/>
      <w:marTop w:val="0"/>
      <w:marBottom w:val="0"/>
      <w:divBdr>
        <w:top w:val="none" w:sz="0" w:space="0" w:color="auto"/>
        <w:left w:val="none" w:sz="0" w:space="0" w:color="auto"/>
        <w:bottom w:val="none" w:sz="0" w:space="0" w:color="auto"/>
        <w:right w:val="none" w:sz="0" w:space="0" w:color="auto"/>
      </w:divBdr>
    </w:div>
    <w:div w:id="1657344508">
      <w:bodyDiv w:val="1"/>
      <w:marLeft w:val="0"/>
      <w:marRight w:val="0"/>
      <w:marTop w:val="0"/>
      <w:marBottom w:val="0"/>
      <w:divBdr>
        <w:top w:val="none" w:sz="0" w:space="0" w:color="auto"/>
        <w:left w:val="none" w:sz="0" w:space="0" w:color="auto"/>
        <w:bottom w:val="none" w:sz="0" w:space="0" w:color="auto"/>
        <w:right w:val="none" w:sz="0" w:space="0" w:color="auto"/>
      </w:divBdr>
    </w:div>
    <w:div w:id="1707485031">
      <w:bodyDiv w:val="1"/>
      <w:marLeft w:val="0"/>
      <w:marRight w:val="0"/>
      <w:marTop w:val="0"/>
      <w:marBottom w:val="0"/>
      <w:divBdr>
        <w:top w:val="none" w:sz="0" w:space="0" w:color="auto"/>
        <w:left w:val="none" w:sz="0" w:space="0" w:color="auto"/>
        <w:bottom w:val="none" w:sz="0" w:space="0" w:color="auto"/>
        <w:right w:val="none" w:sz="0" w:space="0" w:color="auto"/>
      </w:divBdr>
    </w:div>
    <w:div w:id="1845197274">
      <w:bodyDiv w:val="1"/>
      <w:marLeft w:val="0"/>
      <w:marRight w:val="0"/>
      <w:marTop w:val="0"/>
      <w:marBottom w:val="0"/>
      <w:divBdr>
        <w:top w:val="none" w:sz="0" w:space="0" w:color="auto"/>
        <w:left w:val="none" w:sz="0" w:space="0" w:color="auto"/>
        <w:bottom w:val="none" w:sz="0" w:space="0" w:color="auto"/>
        <w:right w:val="none" w:sz="0" w:space="0" w:color="auto"/>
      </w:divBdr>
    </w:div>
    <w:div w:id="1936209479">
      <w:bodyDiv w:val="1"/>
      <w:marLeft w:val="0"/>
      <w:marRight w:val="0"/>
      <w:marTop w:val="0"/>
      <w:marBottom w:val="0"/>
      <w:divBdr>
        <w:top w:val="none" w:sz="0" w:space="0" w:color="auto"/>
        <w:left w:val="none" w:sz="0" w:space="0" w:color="auto"/>
        <w:bottom w:val="none" w:sz="0" w:space="0" w:color="auto"/>
        <w:right w:val="none" w:sz="0" w:space="0" w:color="auto"/>
      </w:divBdr>
    </w:div>
    <w:div w:id="1957562094">
      <w:bodyDiv w:val="1"/>
      <w:marLeft w:val="0"/>
      <w:marRight w:val="0"/>
      <w:marTop w:val="0"/>
      <w:marBottom w:val="0"/>
      <w:divBdr>
        <w:top w:val="none" w:sz="0" w:space="0" w:color="auto"/>
        <w:left w:val="none" w:sz="0" w:space="0" w:color="auto"/>
        <w:bottom w:val="none" w:sz="0" w:space="0" w:color="auto"/>
        <w:right w:val="none" w:sz="0" w:space="0" w:color="auto"/>
      </w:divBdr>
    </w:div>
    <w:div w:id="2036223652">
      <w:bodyDiv w:val="1"/>
      <w:marLeft w:val="0"/>
      <w:marRight w:val="0"/>
      <w:marTop w:val="0"/>
      <w:marBottom w:val="0"/>
      <w:divBdr>
        <w:top w:val="none" w:sz="0" w:space="0" w:color="auto"/>
        <w:left w:val="none" w:sz="0" w:space="0" w:color="auto"/>
        <w:bottom w:val="none" w:sz="0" w:space="0" w:color="auto"/>
        <w:right w:val="none" w:sz="0" w:space="0" w:color="auto"/>
      </w:divBdr>
    </w:div>
    <w:div w:id="2068186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e-sm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mhe-sme.org/mental-health-europe-explained/" TargetMode="External"/><Relationship Id="rId4" Type="http://schemas.openxmlformats.org/officeDocument/2006/relationships/settings" Target="settings.xml"/><Relationship Id="rId9" Type="http://schemas.openxmlformats.org/officeDocument/2006/relationships/hyperlink" Target="https://www.mhe-sme.org/mental-health-europe-explained/"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FF4645-DBE8-43AD-9D58-ED19B51161DF}">
  <ds:schemaRefs>
    <ds:schemaRef ds:uri="http://schemas.openxmlformats.org/officeDocument/2006/bibliography"/>
  </ds:schemaRefs>
</ds:datastoreItem>
</file>

<file path=customXml/itemProps2.xml><?xml version="1.0" encoding="utf-8"?>
<ds:datastoreItem xmlns:ds="http://schemas.openxmlformats.org/officeDocument/2006/customXml" ds:itemID="{0AB4D6E3-B584-4881-9B0E-A10BE4E72A18}"/>
</file>

<file path=customXml/itemProps3.xml><?xml version="1.0" encoding="utf-8"?>
<ds:datastoreItem xmlns:ds="http://schemas.openxmlformats.org/officeDocument/2006/customXml" ds:itemID="{62CB3BFE-A018-4F12-8F2A-D4DEE9019A32}"/>
</file>

<file path=customXml/itemProps4.xml><?xml version="1.0" encoding="utf-8"?>
<ds:datastoreItem xmlns:ds="http://schemas.openxmlformats.org/officeDocument/2006/customXml" ds:itemID="{6734D538-04DF-481B-A198-5A216850DF49}"/>
</file>

<file path=docProps/app.xml><?xml version="1.0" encoding="utf-8"?>
<Properties xmlns="http://schemas.openxmlformats.org/officeDocument/2006/extended-properties" xmlns:vt="http://schemas.openxmlformats.org/officeDocument/2006/docPropsVTypes">
  <Template>Normal.dotm</Template>
  <TotalTime>0</TotalTime>
  <Pages>4</Pages>
  <Words>1194</Words>
  <Characters>6806</Characters>
  <Application>Microsoft Office Word</Application>
  <DocSecurity>4</DocSecurity>
  <Lines>56</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ISKAKOVA Janna</cp:lastModifiedBy>
  <cp:revision>2</cp:revision>
  <dcterms:created xsi:type="dcterms:W3CDTF">2021-12-07T10:06:00Z</dcterms:created>
  <dcterms:modified xsi:type="dcterms:W3CDTF">2021-12-07T10:06:00Z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