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BAB" w:rsidRPr="0097073D" w:rsidRDefault="00053BAB" w:rsidP="00053BAB">
      <w:pPr>
        <w:rPr>
          <w:szCs w:val="24"/>
        </w:rPr>
      </w:pPr>
      <w:bookmarkStart w:id="0" w:name="_GoBack"/>
      <w:bookmarkEnd w:id="0"/>
    </w:p>
    <w:p w:rsidR="00ED76E8" w:rsidRPr="00755A38" w:rsidRDefault="00ED76E8" w:rsidP="00EC4ACF">
      <w:pPr>
        <w:jc w:val="both"/>
        <w:rPr>
          <w:sz w:val="24"/>
          <w:szCs w:val="24"/>
        </w:rPr>
      </w:pPr>
      <w:r w:rsidRPr="00755A38">
        <w:rPr>
          <w:sz w:val="24"/>
          <w:szCs w:val="24"/>
        </w:rPr>
        <w:t xml:space="preserve">                                                        </w:t>
      </w:r>
      <w:r w:rsidR="00755A38" w:rsidRPr="00755A38">
        <w:rPr>
          <w:sz w:val="24"/>
          <w:szCs w:val="24"/>
        </w:rPr>
        <w:t xml:space="preserve">                                   </w:t>
      </w:r>
      <w:r w:rsidR="00755A38">
        <w:rPr>
          <w:sz w:val="24"/>
          <w:szCs w:val="24"/>
        </w:rPr>
        <w:t xml:space="preserve">                         </w:t>
      </w:r>
      <w:r w:rsidR="00755A38" w:rsidRPr="00755A38">
        <w:rPr>
          <w:sz w:val="24"/>
          <w:szCs w:val="24"/>
        </w:rPr>
        <w:t>December 3</w:t>
      </w:r>
      <w:r w:rsidR="00755A38" w:rsidRPr="00755A38">
        <w:rPr>
          <w:sz w:val="24"/>
          <w:szCs w:val="24"/>
          <w:vertAlign w:val="superscript"/>
        </w:rPr>
        <w:t>rd</w:t>
      </w:r>
      <w:r w:rsidR="00755A38" w:rsidRPr="00755A38">
        <w:rPr>
          <w:sz w:val="24"/>
          <w:szCs w:val="24"/>
        </w:rPr>
        <w:t>, 2021</w:t>
      </w:r>
    </w:p>
    <w:p w:rsidR="001A6193" w:rsidRPr="00755A38" w:rsidRDefault="00ED76E8" w:rsidP="001A6193">
      <w:pPr>
        <w:jc w:val="both"/>
        <w:rPr>
          <w:rFonts w:eastAsia="Calibri"/>
          <w:sz w:val="24"/>
          <w:szCs w:val="24"/>
          <w:lang w:val="de-DE"/>
        </w:rPr>
      </w:pPr>
      <w:r w:rsidRPr="00755A38">
        <w:rPr>
          <w:sz w:val="24"/>
          <w:szCs w:val="24"/>
        </w:rPr>
        <w:t xml:space="preserve">     </w:t>
      </w:r>
    </w:p>
    <w:p w:rsidR="00755A38" w:rsidRDefault="00755A38" w:rsidP="001A6193">
      <w:pPr>
        <w:spacing w:after="160" w:line="259" w:lineRule="auto"/>
        <w:jc w:val="both"/>
        <w:rPr>
          <w:rFonts w:eastAsia="Calibri"/>
          <w:b/>
          <w:bCs/>
          <w:sz w:val="24"/>
          <w:szCs w:val="24"/>
          <w:lang w:val="de-DE"/>
        </w:rPr>
      </w:pPr>
    </w:p>
    <w:p w:rsidR="001A6193" w:rsidRPr="001A6193" w:rsidRDefault="001A6193" w:rsidP="001A6193">
      <w:pPr>
        <w:spacing w:after="160" w:line="259" w:lineRule="auto"/>
        <w:jc w:val="both"/>
        <w:rPr>
          <w:rFonts w:eastAsia="Calibri"/>
          <w:b/>
          <w:bCs/>
          <w:sz w:val="24"/>
          <w:szCs w:val="24"/>
        </w:rPr>
      </w:pPr>
      <w:r w:rsidRPr="001A6193">
        <w:rPr>
          <w:rFonts w:eastAsia="Calibri"/>
          <w:b/>
          <w:bCs/>
          <w:sz w:val="24"/>
          <w:szCs w:val="24"/>
        </w:rPr>
        <w:t xml:space="preserve">Re: Submission to the </w:t>
      </w:r>
      <w:r w:rsidRPr="00755A38">
        <w:rPr>
          <w:rFonts w:eastAsia="Calibri"/>
          <w:b/>
          <w:bCs/>
          <w:sz w:val="24"/>
          <w:szCs w:val="24"/>
        </w:rPr>
        <w:t xml:space="preserve">Committee on the rights of persons with disabilities </w:t>
      </w:r>
      <w:r w:rsidR="00607FA8">
        <w:rPr>
          <w:rFonts w:eastAsia="Calibri"/>
          <w:b/>
          <w:bCs/>
          <w:sz w:val="24"/>
          <w:szCs w:val="24"/>
        </w:rPr>
        <w:t xml:space="preserve">- </w:t>
      </w:r>
      <w:r w:rsidRPr="00755A38">
        <w:rPr>
          <w:rFonts w:eastAsia="Calibri"/>
          <w:b/>
          <w:bCs/>
          <w:sz w:val="24"/>
          <w:szCs w:val="24"/>
        </w:rPr>
        <w:t>Draft General Comment on article 27 on the right of persons with disabilities to work and employment</w:t>
      </w:r>
    </w:p>
    <w:p w:rsidR="00755A38" w:rsidRPr="00755A38" w:rsidRDefault="00755A38" w:rsidP="001A6193">
      <w:pPr>
        <w:spacing w:after="160" w:line="259" w:lineRule="auto"/>
        <w:jc w:val="both"/>
        <w:rPr>
          <w:rFonts w:eastAsia="Calibri"/>
          <w:sz w:val="24"/>
          <w:szCs w:val="24"/>
        </w:rPr>
      </w:pP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Founded in 1922, Rehabilitation International (RI) is a worldwide organization comprised of people with disabilities, service providers, government agencies, academics, </w:t>
      </w:r>
      <w:r w:rsidR="00607FA8" w:rsidRPr="001A6193">
        <w:rPr>
          <w:rFonts w:eastAsia="Calibri"/>
          <w:sz w:val="24"/>
          <w:szCs w:val="24"/>
        </w:rPr>
        <w:t>researchers,</w:t>
      </w:r>
      <w:r w:rsidRPr="001A6193">
        <w:rPr>
          <w:rFonts w:eastAsia="Calibri"/>
          <w:sz w:val="24"/>
          <w:szCs w:val="24"/>
        </w:rPr>
        <w:t xml:space="preserve"> and advocates working to improve the quality of life of people with disabilities. With member organizations in more than 100 countries and in all regions of the world, RI also provides a forum for the exchange of experience and information on research and practice.</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RI and its members work to protect the rights of people with disabilities, including ensuring access to and improvement of crucial services for persons with disabilities and their families. RI also promotes collaboration among stakeholders and advo</w:t>
      </w:r>
      <w:r w:rsidRPr="001A6193">
        <w:rPr>
          <w:rFonts w:eastAsia="Calibri"/>
          <w:sz w:val="24"/>
          <w:szCs w:val="24"/>
        </w:rPr>
        <w:lastRenderedPageBreak/>
        <w:t>cates in order to build strong policies and legislation on the international, regional and national levels.</w:t>
      </w:r>
    </w:p>
    <w:p w:rsidR="001A6193" w:rsidRPr="001A6193" w:rsidRDefault="00607FA8" w:rsidP="001A6193">
      <w:pPr>
        <w:spacing w:after="160" w:line="259" w:lineRule="auto"/>
        <w:jc w:val="both"/>
        <w:rPr>
          <w:rFonts w:eastAsia="Calibri"/>
          <w:sz w:val="24"/>
          <w:szCs w:val="24"/>
        </w:rPr>
      </w:pPr>
      <w:r w:rsidRPr="001A6193">
        <w:rPr>
          <w:rFonts w:eastAsia="Calibri"/>
          <w:sz w:val="24"/>
          <w:szCs w:val="24"/>
        </w:rPr>
        <w:t>Rehabilitation</w:t>
      </w:r>
      <w:r w:rsidR="001A6193" w:rsidRPr="001A6193">
        <w:rPr>
          <w:rFonts w:eastAsia="Calibri"/>
          <w:sz w:val="24"/>
          <w:szCs w:val="24"/>
        </w:rPr>
        <w:t xml:space="preserve"> International (</w:t>
      </w:r>
      <w:r w:rsidRPr="001A6193">
        <w:rPr>
          <w:rFonts w:eastAsia="Calibri"/>
          <w:sz w:val="24"/>
          <w:szCs w:val="24"/>
        </w:rPr>
        <w:t>RI) thanks</w:t>
      </w:r>
      <w:r w:rsidR="001A6193" w:rsidRPr="001A6193">
        <w:rPr>
          <w:rFonts w:eastAsia="Calibri"/>
          <w:sz w:val="24"/>
          <w:szCs w:val="24"/>
        </w:rPr>
        <w:t xml:space="preserve"> the Committee on the Rights of Persons with Disabilities (the Committee) for the opportunity to comment the Draft General Comment on art. 27 of the CRPD</w:t>
      </w:r>
      <w:r w:rsidR="006C03DE" w:rsidRPr="00755A38">
        <w:rPr>
          <w:rFonts w:eastAsia="Calibri"/>
          <w:sz w:val="24"/>
          <w:szCs w:val="24"/>
        </w:rPr>
        <w:t xml:space="preserve">, as </w:t>
      </w:r>
      <w:r w:rsidR="00214AD8" w:rsidRPr="00755A38">
        <w:rPr>
          <w:rFonts w:eastAsia="Calibri"/>
          <w:sz w:val="24"/>
          <w:szCs w:val="24"/>
        </w:rPr>
        <w:t>follows:</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Page 6 (18): </w:t>
      </w:r>
      <w:r w:rsidRPr="001A6193">
        <w:rPr>
          <w:rFonts w:eastAsia="Calibri"/>
          <w:b/>
          <w:sz w:val="24"/>
          <w:szCs w:val="24"/>
        </w:rPr>
        <w:t>Within the first sentence after „</w:t>
      </w:r>
      <w:r w:rsidR="00607FA8" w:rsidRPr="001A6193">
        <w:rPr>
          <w:rFonts w:eastAsia="Calibri"/>
          <w:b/>
          <w:sz w:val="24"/>
          <w:szCs w:val="24"/>
        </w:rPr>
        <w:t>disabilities “we</w:t>
      </w:r>
      <w:r w:rsidR="006C03DE" w:rsidRPr="00755A38">
        <w:rPr>
          <w:rFonts w:eastAsia="Calibri"/>
          <w:b/>
          <w:sz w:val="24"/>
          <w:szCs w:val="24"/>
        </w:rPr>
        <w:t xml:space="preserve"> </w:t>
      </w:r>
      <w:r w:rsidR="00607FA8" w:rsidRPr="00755A38">
        <w:rPr>
          <w:rFonts w:eastAsia="Calibri"/>
          <w:b/>
          <w:sz w:val="24"/>
          <w:szCs w:val="24"/>
        </w:rPr>
        <w:t>recommend</w:t>
      </w:r>
      <w:r w:rsidR="006C03DE" w:rsidRPr="00755A38">
        <w:rPr>
          <w:rFonts w:eastAsia="Calibri"/>
          <w:b/>
          <w:sz w:val="24"/>
          <w:szCs w:val="24"/>
        </w:rPr>
        <w:t xml:space="preserve"> </w:t>
      </w:r>
      <w:r w:rsidR="00877150" w:rsidRPr="00755A38">
        <w:rPr>
          <w:rFonts w:eastAsia="Calibri"/>
          <w:b/>
          <w:sz w:val="24"/>
          <w:szCs w:val="24"/>
        </w:rPr>
        <w:t>adding</w:t>
      </w:r>
      <w:r w:rsidRPr="001A6193">
        <w:rPr>
          <w:rFonts w:eastAsia="Calibri"/>
          <w:b/>
          <w:sz w:val="24"/>
          <w:szCs w:val="24"/>
        </w:rPr>
        <w:t xml:space="preserve">: „segregated from </w:t>
      </w:r>
      <w:r w:rsidR="00214AD8" w:rsidRPr="001A6193">
        <w:rPr>
          <w:rFonts w:eastAsia="Calibri"/>
          <w:b/>
          <w:sz w:val="24"/>
          <w:szCs w:val="24"/>
        </w:rPr>
        <w:t>enterprises “</w:t>
      </w:r>
      <w:r w:rsidRPr="001A6193">
        <w:rPr>
          <w:rFonts w:eastAsia="Calibri"/>
          <w:sz w:val="24"/>
          <w:szCs w:val="24"/>
        </w:rPr>
        <w:t xml:space="preserve">. Explanation: The American firm FLEX </w:t>
      </w:r>
      <w:r w:rsidR="006C03DE" w:rsidRPr="00755A38">
        <w:rPr>
          <w:rFonts w:eastAsia="Calibri"/>
          <w:sz w:val="24"/>
          <w:szCs w:val="24"/>
        </w:rPr>
        <w:t>operating</w:t>
      </w:r>
      <w:r w:rsidRPr="001A6193">
        <w:rPr>
          <w:rFonts w:eastAsia="Calibri"/>
          <w:sz w:val="24"/>
          <w:szCs w:val="24"/>
        </w:rPr>
        <w:t xml:space="preserve"> in China (Zhuhai) </w:t>
      </w:r>
      <w:r w:rsidR="006C03DE" w:rsidRPr="00755A38">
        <w:rPr>
          <w:rFonts w:eastAsia="Calibri"/>
          <w:sz w:val="24"/>
          <w:szCs w:val="24"/>
        </w:rPr>
        <w:t xml:space="preserve">has established a </w:t>
      </w:r>
      <w:r w:rsidRPr="001A6193">
        <w:rPr>
          <w:rFonts w:eastAsia="Calibri"/>
          <w:sz w:val="24"/>
          <w:szCs w:val="24"/>
        </w:rPr>
        <w:t xml:space="preserve">unit for persons with disabilities inside the enterprise, which is </w:t>
      </w:r>
      <w:r w:rsidR="00607FA8" w:rsidRPr="001A6193">
        <w:rPr>
          <w:rFonts w:eastAsia="Calibri"/>
          <w:sz w:val="24"/>
          <w:szCs w:val="24"/>
        </w:rPr>
        <w:t>included</w:t>
      </w:r>
      <w:r w:rsidRPr="001A6193">
        <w:rPr>
          <w:rFonts w:eastAsia="Calibri"/>
          <w:sz w:val="24"/>
          <w:szCs w:val="24"/>
        </w:rPr>
        <w:t xml:space="preserve"> in the whole workforce (</w:t>
      </w:r>
      <w:hyperlink r:id="rId8" w:history="1">
        <w:r w:rsidRPr="001A6193">
          <w:rPr>
            <w:rFonts w:eastAsia="Calibri"/>
            <w:color w:val="0563C1"/>
            <w:sz w:val="24"/>
            <w:szCs w:val="24"/>
            <w:u w:val="single"/>
          </w:rPr>
          <w:t>www.flex.com</w:t>
        </w:r>
      </w:hyperlink>
      <w:r w:rsidRPr="001A6193">
        <w:rPr>
          <w:rFonts w:eastAsia="Calibri"/>
          <w:sz w:val="24"/>
          <w:szCs w:val="24"/>
        </w:rPr>
        <w:t xml:space="preserve">). RI votes for this option respected by the document of the Commission, because this method of enterprise-intern workshop avoids sheltered workshops outside of enterprises. </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Page 10 (35). </w:t>
      </w:r>
      <w:r w:rsidR="007D4649" w:rsidRPr="00755A38">
        <w:rPr>
          <w:rFonts w:eastAsia="Calibri"/>
          <w:sz w:val="24"/>
          <w:szCs w:val="24"/>
        </w:rPr>
        <w:t xml:space="preserve">We </w:t>
      </w:r>
      <w:r w:rsidR="00214AD8" w:rsidRPr="00755A38">
        <w:rPr>
          <w:rFonts w:eastAsia="Calibri"/>
          <w:sz w:val="24"/>
          <w:szCs w:val="24"/>
        </w:rPr>
        <w:t>recommend</w:t>
      </w:r>
      <w:r w:rsidR="007D4649" w:rsidRPr="00755A38">
        <w:rPr>
          <w:rFonts w:eastAsia="Calibri"/>
          <w:sz w:val="24"/>
          <w:szCs w:val="24"/>
        </w:rPr>
        <w:t xml:space="preserve"> to </w:t>
      </w:r>
      <w:r w:rsidRPr="001A6193">
        <w:rPr>
          <w:rFonts w:eastAsia="Calibri"/>
          <w:b/>
          <w:sz w:val="24"/>
          <w:szCs w:val="24"/>
        </w:rPr>
        <w:t xml:space="preserve">The Commission </w:t>
      </w:r>
      <w:r w:rsidR="007D4649" w:rsidRPr="00755A38">
        <w:rPr>
          <w:rFonts w:eastAsia="Calibri"/>
          <w:b/>
          <w:sz w:val="24"/>
          <w:szCs w:val="24"/>
        </w:rPr>
        <w:t>to add a</w:t>
      </w:r>
      <w:r w:rsidRPr="001A6193">
        <w:rPr>
          <w:rFonts w:eastAsia="Calibri"/>
          <w:b/>
          <w:sz w:val="24"/>
          <w:szCs w:val="24"/>
        </w:rPr>
        <w:t xml:space="preserve"> sentence: „Trade unions and other representatives like work councils should include at least one person with </w:t>
      </w:r>
      <w:r w:rsidR="00607FA8" w:rsidRPr="001A6193">
        <w:rPr>
          <w:rFonts w:eastAsia="Calibri"/>
          <w:b/>
          <w:sz w:val="24"/>
          <w:szCs w:val="24"/>
        </w:rPr>
        <w:t>disabilities</w:t>
      </w:r>
      <w:r w:rsidR="00607FA8" w:rsidRPr="001A6193">
        <w:rPr>
          <w:rFonts w:eastAsia="Calibri"/>
          <w:sz w:val="24"/>
          <w:szCs w:val="24"/>
        </w:rPr>
        <w:t>.</w:t>
      </w:r>
      <w:r w:rsidR="00877150">
        <w:rPr>
          <w:rFonts w:eastAsia="Calibri"/>
          <w:sz w:val="24"/>
          <w:szCs w:val="24"/>
        </w:rPr>
        <w:t>”</w:t>
      </w:r>
      <w:r w:rsidR="00607FA8" w:rsidRPr="001A6193">
        <w:rPr>
          <w:rFonts w:eastAsia="Calibri"/>
          <w:sz w:val="24"/>
          <w:szCs w:val="24"/>
        </w:rPr>
        <w:t xml:space="preserve"> </w:t>
      </w:r>
      <w:r w:rsidR="00877150" w:rsidRPr="001A6193">
        <w:rPr>
          <w:rFonts w:eastAsia="Calibri"/>
          <w:sz w:val="24"/>
          <w:szCs w:val="24"/>
        </w:rPr>
        <w:t>Explanation</w:t>
      </w:r>
      <w:r w:rsidRPr="001A6193">
        <w:rPr>
          <w:rFonts w:eastAsia="Calibri"/>
          <w:sz w:val="24"/>
          <w:szCs w:val="24"/>
        </w:rPr>
        <w:t>: According to the German labour law these representatives with disabilities are participated in all disability affairs of the workforce including hiring, dismissing or returning-to-work in the context of persons with disabilities.</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lastRenderedPageBreak/>
        <w:t xml:space="preserve">Page 14 (49) RI misses the progressive message of the commission that reasonable </w:t>
      </w:r>
      <w:r w:rsidR="00607FA8" w:rsidRPr="001A6193">
        <w:rPr>
          <w:rFonts w:eastAsia="Calibri"/>
          <w:sz w:val="24"/>
          <w:szCs w:val="24"/>
        </w:rPr>
        <w:t>accommodation</w:t>
      </w:r>
      <w:r w:rsidRPr="001A6193">
        <w:rPr>
          <w:rFonts w:eastAsia="Calibri"/>
          <w:sz w:val="24"/>
          <w:szCs w:val="24"/>
        </w:rPr>
        <w:t xml:space="preserve"> is merely the second-value option. RI recommends an additional sentence after the first one: „</w:t>
      </w:r>
      <w:r w:rsidRPr="001A6193">
        <w:rPr>
          <w:rFonts w:eastAsia="Calibri"/>
          <w:b/>
          <w:sz w:val="24"/>
          <w:szCs w:val="24"/>
        </w:rPr>
        <w:t xml:space="preserve">Preventive-oriented incentives of states in foreseen measures of accessibility in enterprises are </w:t>
      </w:r>
      <w:r w:rsidR="00607FA8" w:rsidRPr="001A6193">
        <w:rPr>
          <w:rFonts w:eastAsia="Calibri"/>
          <w:b/>
          <w:sz w:val="24"/>
          <w:szCs w:val="24"/>
        </w:rPr>
        <w:t>preferable “</w:t>
      </w:r>
      <w:r w:rsidRPr="001A6193">
        <w:rPr>
          <w:rFonts w:eastAsia="Calibri"/>
          <w:b/>
          <w:sz w:val="24"/>
          <w:szCs w:val="24"/>
        </w:rPr>
        <w:t>.</w:t>
      </w:r>
      <w:r w:rsidRPr="001A6193">
        <w:rPr>
          <w:rFonts w:eastAsia="Calibri"/>
          <w:sz w:val="24"/>
          <w:szCs w:val="24"/>
        </w:rPr>
        <w:t xml:space="preserve"> Explanation: The more this priority can be realized, the more persons of disabilities find a job in the first labour market and measures of reasonable </w:t>
      </w:r>
      <w:r w:rsidR="00607FA8" w:rsidRPr="001A6193">
        <w:rPr>
          <w:rFonts w:eastAsia="Calibri"/>
          <w:sz w:val="24"/>
          <w:szCs w:val="24"/>
        </w:rPr>
        <w:t>accommodations</w:t>
      </w:r>
      <w:r w:rsidRPr="001A6193">
        <w:rPr>
          <w:rFonts w:eastAsia="Calibri"/>
          <w:sz w:val="24"/>
          <w:szCs w:val="24"/>
        </w:rPr>
        <w:t xml:space="preserve"> in single cases are obsolete at the end. </w:t>
      </w:r>
      <w:r w:rsidR="00607FA8" w:rsidRPr="001A6193">
        <w:rPr>
          <w:rFonts w:eastAsia="Calibri"/>
          <w:sz w:val="24"/>
          <w:szCs w:val="24"/>
        </w:rPr>
        <w:t>These findings</w:t>
      </w:r>
      <w:r w:rsidRPr="001A6193">
        <w:rPr>
          <w:rFonts w:eastAsia="Calibri"/>
          <w:sz w:val="24"/>
          <w:szCs w:val="24"/>
        </w:rPr>
        <w:t xml:space="preserve"> are going to be published in RI guidelines on accessibility in private enterprises based on an international study for the German Government.</w:t>
      </w:r>
    </w:p>
    <w:p w:rsidR="00755A38" w:rsidRPr="00755A38" w:rsidRDefault="00755A38" w:rsidP="001A6193">
      <w:pPr>
        <w:spacing w:after="160" w:line="259" w:lineRule="auto"/>
        <w:jc w:val="both"/>
        <w:rPr>
          <w:rFonts w:eastAsia="Calibri"/>
          <w:sz w:val="24"/>
          <w:szCs w:val="24"/>
        </w:rPr>
      </w:pPr>
    </w:p>
    <w:p w:rsidR="00607FA8" w:rsidRDefault="00607FA8" w:rsidP="001A6193">
      <w:pPr>
        <w:spacing w:after="160" w:line="259" w:lineRule="auto"/>
        <w:jc w:val="both"/>
        <w:rPr>
          <w:rFonts w:eastAsia="Calibri"/>
          <w:sz w:val="24"/>
          <w:szCs w:val="24"/>
        </w:rPr>
      </w:pP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Page 15 (55) RI recommends </w:t>
      </w:r>
      <w:r w:rsidR="00607FA8" w:rsidRPr="001A6193">
        <w:rPr>
          <w:rFonts w:eastAsia="Calibri"/>
          <w:sz w:val="24"/>
          <w:szCs w:val="24"/>
        </w:rPr>
        <w:t>adding</w:t>
      </w:r>
      <w:r w:rsidRPr="001A6193">
        <w:rPr>
          <w:rFonts w:eastAsia="Calibri"/>
          <w:sz w:val="24"/>
          <w:szCs w:val="24"/>
        </w:rPr>
        <w:t xml:space="preserve"> one sentence: „</w:t>
      </w:r>
      <w:r w:rsidRPr="001A6193">
        <w:rPr>
          <w:rFonts w:eastAsia="Calibri"/>
          <w:b/>
          <w:sz w:val="24"/>
          <w:szCs w:val="24"/>
        </w:rPr>
        <w:t xml:space="preserve">Job -matching mechanism can be </w:t>
      </w:r>
      <w:r w:rsidR="00607FA8" w:rsidRPr="001A6193">
        <w:rPr>
          <w:rFonts w:eastAsia="Calibri"/>
          <w:b/>
          <w:sz w:val="24"/>
          <w:szCs w:val="24"/>
        </w:rPr>
        <w:t>strengthened</w:t>
      </w:r>
      <w:r w:rsidRPr="001A6193">
        <w:rPr>
          <w:rFonts w:eastAsia="Calibri"/>
          <w:b/>
          <w:sz w:val="24"/>
          <w:szCs w:val="24"/>
        </w:rPr>
        <w:t xml:space="preserve"> by return-to-work (RTW) managers as </w:t>
      </w:r>
      <w:r w:rsidR="00607FA8" w:rsidRPr="001A6193">
        <w:rPr>
          <w:rFonts w:eastAsia="Calibri"/>
          <w:b/>
          <w:sz w:val="24"/>
          <w:szCs w:val="24"/>
        </w:rPr>
        <w:t>consultants’</w:t>
      </w:r>
      <w:r w:rsidRPr="001A6193">
        <w:rPr>
          <w:rFonts w:eastAsia="Calibri"/>
          <w:b/>
          <w:sz w:val="24"/>
          <w:szCs w:val="24"/>
        </w:rPr>
        <w:t xml:space="preserve"> preferable persons with disabilities, who take the chance to consult firms in re-designing parts of the </w:t>
      </w:r>
      <w:r w:rsidR="00607FA8" w:rsidRPr="001A6193">
        <w:rPr>
          <w:rFonts w:eastAsia="Calibri"/>
          <w:b/>
          <w:sz w:val="24"/>
          <w:szCs w:val="24"/>
        </w:rPr>
        <w:t>organization “</w:t>
      </w:r>
      <w:r w:rsidRPr="001A6193">
        <w:rPr>
          <w:rFonts w:eastAsia="Calibri"/>
          <w:b/>
          <w:sz w:val="24"/>
          <w:szCs w:val="24"/>
        </w:rPr>
        <w:t>.</w:t>
      </w:r>
      <w:r w:rsidRPr="001A6193">
        <w:rPr>
          <w:rFonts w:eastAsia="Calibri"/>
          <w:sz w:val="24"/>
          <w:szCs w:val="24"/>
        </w:rPr>
        <w:t xml:space="preserve"> Explanation: The </w:t>
      </w:r>
      <w:r w:rsidR="00607FA8" w:rsidRPr="001A6193">
        <w:rPr>
          <w:rFonts w:eastAsia="Calibri"/>
          <w:sz w:val="24"/>
          <w:szCs w:val="24"/>
        </w:rPr>
        <w:t>above-mentioned</w:t>
      </w:r>
      <w:r w:rsidRPr="001A6193">
        <w:rPr>
          <w:rFonts w:eastAsia="Calibri"/>
          <w:sz w:val="24"/>
          <w:szCs w:val="24"/>
        </w:rPr>
        <w:t xml:space="preserve"> RI guidelines provide best practice examples world-wide like </w:t>
      </w:r>
      <w:hyperlink r:id="rId9" w:history="1">
        <w:r w:rsidRPr="001A6193">
          <w:rPr>
            <w:rFonts w:eastAsia="Calibri"/>
            <w:color w:val="0563C1"/>
            <w:sz w:val="24"/>
            <w:szCs w:val="24"/>
            <w:u w:val="single"/>
          </w:rPr>
          <w:t>www.umv.nl</w:t>
        </w:r>
      </w:hyperlink>
      <w:r w:rsidRPr="001A6193">
        <w:rPr>
          <w:rFonts w:eastAsia="Calibri"/>
          <w:sz w:val="24"/>
          <w:szCs w:val="24"/>
        </w:rPr>
        <w:t xml:space="preserve"> in the Netherlands or </w:t>
      </w:r>
      <w:hyperlink r:id="rId10" w:history="1">
        <w:r w:rsidRPr="001A6193">
          <w:rPr>
            <w:rFonts w:eastAsia="Calibri"/>
            <w:color w:val="0563C1"/>
            <w:sz w:val="24"/>
            <w:szCs w:val="24"/>
            <w:u w:val="single"/>
          </w:rPr>
          <w:t>www.nidmar.ca</w:t>
        </w:r>
      </w:hyperlink>
      <w:r w:rsidRPr="001A6193">
        <w:rPr>
          <w:rFonts w:eastAsia="Calibri"/>
          <w:sz w:val="24"/>
          <w:szCs w:val="24"/>
        </w:rPr>
        <w:t xml:space="preserve"> in Canada. </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lastRenderedPageBreak/>
        <w:t xml:space="preserve">Page 22 (82) second sentence </w:t>
      </w:r>
      <w:r w:rsidR="00607FA8" w:rsidRPr="001A6193">
        <w:rPr>
          <w:rFonts w:eastAsia="Calibri"/>
          <w:sz w:val="24"/>
          <w:szCs w:val="24"/>
        </w:rPr>
        <w:t>direct</w:t>
      </w:r>
      <w:r w:rsidRPr="001A6193">
        <w:rPr>
          <w:rFonts w:eastAsia="Calibri"/>
          <w:sz w:val="24"/>
          <w:szCs w:val="24"/>
        </w:rPr>
        <w:t xml:space="preserve"> at the beginning: „Preventive</w:t>
      </w:r>
      <w:r w:rsidR="00877150" w:rsidRPr="001A6193">
        <w:rPr>
          <w:rFonts w:eastAsia="Calibri"/>
          <w:sz w:val="24"/>
          <w:szCs w:val="24"/>
        </w:rPr>
        <w:t>… “</w:t>
      </w:r>
      <w:r w:rsidRPr="001A6193">
        <w:rPr>
          <w:rFonts w:eastAsia="Calibri"/>
          <w:sz w:val="24"/>
          <w:szCs w:val="24"/>
        </w:rPr>
        <w:t xml:space="preserve">. Explanation: </w:t>
      </w:r>
      <w:r w:rsidR="00755A38" w:rsidRPr="00755A38">
        <w:rPr>
          <w:rFonts w:eastAsia="Calibri"/>
          <w:sz w:val="24"/>
          <w:szCs w:val="24"/>
        </w:rPr>
        <w:t xml:space="preserve">Please refer to the </w:t>
      </w:r>
      <w:r w:rsidRPr="001A6193">
        <w:rPr>
          <w:rFonts w:eastAsia="Calibri"/>
          <w:sz w:val="24"/>
          <w:szCs w:val="24"/>
        </w:rPr>
        <w:t xml:space="preserve">recommendation </w:t>
      </w:r>
      <w:r w:rsidR="00755A38" w:rsidRPr="00755A38">
        <w:rPr>
          <w:rFonts w:eastAsia="Calibri"/>
          <w:sz w:val="24"/>
          <w:szCs w:val="24"/>
        </w:rPr>
        <w:t xml:space="preserve">made </w:t>
      </w:r>
      <w:r w:rsidR="00607FA8" w:rsidRPr="00755A38">
        <w:rPr>
          <w:rFonts w:eastAsia="Calibri"/>
          <w:sz w:val="24"/>
          <w:szCs w:val="24"/>
        </w:rPr>
        <w:t xml:space="preserve">for </w:t>
      </w:r>
      <w:r w:rsidR="00607FA8" w:rsidRPr="001A6193">
        <w:rPr>
          <w:rFonts w:eastAsia="Calibri"/>
          <w:sz w:val="24"/>
          <w:szCs w:val="24"/>
        </w:rPr>
        <w:t>page</w:t>
      </w:r>
      <w:r w:rsidRPr="001A6193">
        <w:rPr>
          <w:rFonts w:eastAsia="Calibri"/>
          <w:sz w:val="24"/>
          <w:szCs w:val="24"/>
        </w:rPr>
        <w:t xml:space="preserve"> 14 above. </w:t>
      </w: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Page 28 k last sentence: </w:t>
      </w:r>
      <w:r w:rsidRPr="001A6193">
        <w:rPr>
          <w:rFonts w:eastAsia="Calibri"/>
          <w:b/>
          <w:sz w:val="24"/>
          <w:szCs w:val="24"/>
        </w:rPr>
        <w:t xml:space="preserve">RI recommends </w:t>
      </w:r>
      <w:r w:rsidR="00607FA8" w:rsidRPr="001A6193">
        <w:rPr>
          <w:rFonts w:eastAsia="Calibri"/>
          <w:b/>
          <w:sz w:val="24"/>
          <w:szCs w:val="24"/>
        </w:rPr>
        <w:t>deleting</w:t>
      </w:r>
      <w:r w:rsidRPr="001A6193">
        <w:rPr>
          <w:rFonts w:eastAsia="Calibri"/>
          <w:b/>
          <w:sz w:val="24"/>
          <w:szCs w:val="24"/>
        </w:rPr>
        <w:t xml:space="preserve"> this sentence</w:t>
      </w:r>
      <w:r w:rsidRPr="001A6193">
        <w:rPr>
          <w:rFonts w:eastAsia="Calibri"/>
          <w:sz w:val="24"/>
          <w:szCs w:val="24"/>
        </w:rPr>
        <w:t>. Explanation: The Commission´</w:t>
      </w:r>
      <w:r w:rsidR="00607FA8" w:rsidRPr="001A6193">
        <w:rPr>
          <w:rFonts w:eastAsia="Calibri"/>
          <w:sz w:val="24"/>
          <w:szCs w:val="24"/>
        </w:rPr>
        <w:t>s document</w:t>
      </w:r>
      <w:r w:rsidRPr="001A6193">
        <w:rPr>
          <w:rFonts w:eastAsia="Calibri"/>
          <w:sz w:val="24"/>
          <w:szCs w:val="24"/>
        </w:rPr>
        <w:t xml:space="preserve"> meets so many different state-cultures like in South America where the population is critical to state-run institutions. Effective RTW is based on </w:t>
      </w:r>
      <w:r w:rsidR="00607FA8" w:rsidRPr="001A6193">
        <w:rPr>
          <w:rFonts w:eastAsia="Calibri"/>
          <w:sz w:val="24"/>
          <w:szCs w:val="24"/>
        </w:rPr>
        <w:t>divers’</w:t>
      </w:r>
      <w:r w:rsidRPr="001A6193">
        <w:rPr>
          <w:rFonts w:eastAsia="Calibri"/>
          <w:sz w:val="24"/>
          <w:szCs w:val="24"/>
        </w:rPr>
        <w:t xml:space="preserve"> activities in the private sector or social security institutions because of their </w:t>
      </w:r>
      <w:r w:rsidR="00607FA8" w:rsidRPr="001A6193">
        <w:rPr>
          <w:rFonts w:eastAsia="Calibri"/>
          <w:sz w:val="24"/>
          <w:szCs w:val="24"/>
        </w:rPr>
        <w:t>economic</w:t>
      </w:r>
      <w:r w:rsidRPr="001A6193">
        <w:rPr>
          <w:rFonts w:eastAsia="Calibri"/>
          <w:sz w:val="24"/>
          <w:szCs w:val="24"/>
        </w:rPr>
        <w:t xml:space="preserve"> benefit of RTW. For them it is more attractive to invest in retaining or finding a job than to compensate unemployed persons with disabilities. </w:t>
      </w:r>
    </w:p>
    <w:p w:rsidR="001A6193" w:rsidRPr="001A6193" w:rsidRDefault="001A6193" w:rsidP="001A6193">
      <w:pPr>
        <w:spacing w:after="160" w:line="259" w:lineRule="auto"/>
        <w:jc w:val="both"/>
        <w:rPr>
          <w:rFonts w:eastAsia="Calibri"/>
          <w:sz w:val="24"/>
          <w:szCs w:val="24"/>
        </w:rPr>
      </w:pPr>
    </w:p>
    <w:p w:rsidR="001A6193" w:rsidRPr="001A6193" w:rsidRDefault="001A6193" w:rsidP="001A6193">
      <w:pPr>
        <w:spacing w:after="160" w:line="259" w:lineRule="auto"/>
        <w:jc w:val="both"/>
        <w:rPr>
          <w:rFonts w:eastAsia="Calibri"/>
          <w:sz w:val="24"/>
          <w:szCs w:val="24"/>
        </w:rPr>
      </w:pPr>
      <w:r w:rsidRPr="001A6193">
        <w:rPr>
          <w:rFonts w:eastAsia="Calibri"/>
          <w:sz w:val="24"/>
          <w:szCs w:val="24"/>
        </w:rPr>
        <w:t xml:space="preserve"> </w:t>
      </w:r>
    </w:p>
    <w:p w:rsidR="001A6193" w:rsidRPr="00755A38" w:rsidRDefault="00607FA8" w:rsidP="001A6193">
      <w:pPr>
        <w:spacing w:after="160" w:line="259" w:lineRule="auto"/>
        <w:jc w:val="both"/>
        <w:rPr>
          <w:rFonts w:eastAsia="Calibri"/>
          <w:sz w:val="24"/>
          <w:szCs w:val="24"/>
        </w:rPr>
      </w:pPr>
      <w:r w:rsidRPr="00755A38">
        <w:rPr>
          <w:rFonts w:eastAsia="Calibri"/>
          <w:sz w:val="24"/>
          <w:szCs w:val="24"/>
        </w:rPr>
        <w:t>Rehabilitation</w:t>
      </w:r>
      <w:r w:rsidR="00755A38" w:rsidRPr="00755A38">
        <w:rPr>
          <w:rFonts w:eastAsia="Calibri"/>
          <w:sz w:val="24"/>
          <w:szCs w:val="24"/>
        </w:rPr>
        <w:t xml:space="preserve"> International – </w:t>
      </w:r>
      <w:r w:rsidRPr="00755A38">
        <w:rPr>
          <w:rFonts w:eastAsia="Calibri"/>
          <w:sz w:val="24"/>
          <w:szCs w:val="24"/>
        </w:rPr>
        <w:t>Commission</w:t>
      </w:r>
      <w:r w:rsidR="00755A38" w:rsidRPr="00755A38">
        <w:rPr>
          <w:rFonts w:eastAsia="Calibri"/>
          <w:sz w:val="24"/>
          <w:szCs w:val="24"/>
        </w:rPr>
        <w:t xml:space="preserve"> on Work and </w:t>
      </w:r>
      <w:r w:rsidRPr="00755A38">
        <w:rPr>
          <w:rFonts w:eastAsia="Calibri"/>
          <w:sz w:val="24"/>
          <w:szCs w:val="24"/>
        </w:rPr>
        <w:t>Employment</w:t>
      </w:r>
      <w:r w:rsidR="00755A38" w:rsidRPr="00755A38">
        <w:rPr>
          <w:rFonts w:eastAsia="Calibri"/>
          <w:sz w:val="24"/>
          <w:szCs w:val="24"/>
        </w:rPr>
        <w:t xml:space="preserve"> </w:t>
      </w:r>
    </w:p>
    <w:p w:rsidR="00755A38" w:rsidRPr="001A6193" w:rsidRDefault="00755A38" w:rsidP="001A6193">
      <w:pPr>
        <w:spacing w:after="160" w:line="259" w:lineRule="auto"/>
        <w:jc w:val="both"/>
        <w:rPr>
          <w:rFonts w:eastAsia="Calibri"/>
          <w:sz w:val="24"/>
          <w:szCs w:val="24"/>
        </w:rPr>
      </w:pPr>
    </w:p>
    <w:p w:rsidR="00214097" w:rsidRPr="00755A38" w:rsidRDefault="00ED76E8" w:rsidP="00214097">
      <w:pPr>
        <w:rPr>
          <w:sz w:val="24"/>
          <w:szCs w:val="24"/>
        </w:rPr>
      </w:pPr>
      <w:r w:rsidRPr="00755A38">
        <w:rPr>
          <w:sz w:val="24"/>
          <w:szCs w:val="24"/>
        </w:rPr>
        <w:t xml:space="preserve">                                           </w:t>
      </w:r>
    </w:p>
    <w:sectPr w:rsidR="00214097" w:rsidRPr="00755A38" w:rsidSect="002E2046">
      <w:headerReference w:type="default" r:id="rId11"/>
      <w:footerReference w:type="default" r:id="rId12"/>
      <w:type w:val="continuous"/>
      <w:pgSz w:w="11906" w:h="16838"/>
      <w:pgMar w:top="1440" w:right="746" w:bottom="1440" w:left="1260" w:header="708" w:footer="9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4DF" w:rsidRDefault="00CA54DF">
      <w:r>
        <w:separator/>
      </w:r>
    </w:p>
  </w:endnote>
  <w:endnote w:type="continuationSeparator" w:id="0">
    <w:p w:rsidR="00CA54DF" w:rsidRDefault="00CA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C7" w:rsidRDefault="0065568F" w:rsidP="003838C7">
    <w:pPr>
      <w:pStyle w:val="Footer"/>
      <w:pBdr>
        <w:top w:val="single" w:sz="4" w:space="1" w:color="auto"/>
      </w:pBdr>
      <w:rPr>
        <w:rFonts w:ascii="Arial" w:hAnsi="Arial"/>
        <w:sz w:val="22"/>
      </w:rPr>
    </w:pPr>
    <w:r>
      <w:rPr>
        <w:rFonts w:ascii="Arial" w:hAnsi="Arial"/>
        <w:sz w:val="22"/>
      </w:rPr>
      <w:t>866 United Nations Plaza New York New York 10017</w:t>
    </w:r>
    <w:r w:rsidR="00A66153">
      <w:rPr>
        <w:rFonts w:ascii="Arial" w:hAnsi="Arial"/>
        <w:sz w:val="22"/>
      </w:rPr>
      <w:t xml:space="preserve"> USA</w:t>
    </w:r>
    <w:r w:rsidR="00A520E1">
      <w:rPr>
        <w:rFonts w:ascii="Arial" w:hAnsi="Arial"/>
        <w:sz w:val="22"/>
      </w:rPr>
      <w:t xml:space="preserve"> ♦ Phone: +1 (212) 420-1500 ♦</w:t>
    </w:r>
  </w:p>
  <w:p w:rsidR="00A520E1" w:rsidRDefault="003838C7" w:rsidP="003838C7">
    <w:pPr>
      <w:pStyle w:val="Footer"/>
      <w:pBdr>
        <w:top w:val="single" w:sz="4" w:space="1" w:color="auto"/>
      </w:pBdr>
      <w:rPr>
        <w:rFonts w:ascii="Arial" w:hAnsi="Arial"/>
        <w:sz w:val="22"/>
      </w:rPr>
    </w:pPr>
    <w:r>
      <w:rPr>
        <w:rFonts w:ascii="Arial" w:hAnsi="Arial"/>
        <w:sz w:val="22"/>
      </w:rPr>
      <w:t xml:space="preserve">     </w:t>
    </w:r>
    <w:r w:rsidR="0097073D">
      <w:rPr>
        <w:rFonts w:ascii="Arial" w:hAnsi="Arial"/>
        <w:sz w:val="22"/>
      </w:rPr>
      <w:t xml:space="preserve"> Fax: </w:t>
    </w:r>
    <w:r w:rsidR="00977DAB">
      <w:rPr>
        <w:rFonts w:ascii="Arial" w:hAnsi="Arial"/>
        <w:sz w:val="22"/>
      </w:rPr>
      <w:t xml:space="preserve">+1 </w:t>
    </w:r>
    <w:r w:rsidR="00977DAB" w:rsidRPr="00977DAB">
      <w:rPr>
        <w:rFonts w:ascii="Arial" w:hAnsi="Arial"/>
        <w:sz w:val="22"/>
      </w:rPr>
      <w:t>844-489-9560</w:t>
    </w:r>
    <w:r w:rsidR="00977DAB">
      <w:rPr>
        <w:rFonts w:ascii="Calibri" w:hAnsi="Calibri"/>
        <w:color w:val="1F497D"/>
        <w:sz w:val="22"/>
        <w:szCs w:val="22"/>
      </w:rPr>
      <w:t xml:space="preserve">     </w:t>
    </w:r>
    <w:r w:rsidR="008E2D47">
      <w:rPr>
        <w:rFonts w:ascii="Arial" w:hAnsi="Arial"/>
        <w:sz w:val="22"/>
      </w:rPr>
      <w:t xml:space="preserve">♦ </w:t>
    </w:r>
    <w:r w:rsidR="00A520E1">
      <w:rPr>
        <w:rFonts w:ascii="Arial" w:hAnsi="Arial"/>
        <w:sz w:val="22"/>
      </w:rPr>
      <w:t xml:space="preserve">E-mail: </w:t>
    </w:r>
    <w:hyperlink r:id="rId1" w:history="1">
      <w:r w:rsidR="00786385" w:rsidRPr="005A0809">
        <w:rPr>
          <w:rStyle w:val="Hyperlink"/>
          <w:rFonts w:ascii="Arial" w:hAnsi="Arial"/>
          <w:sz w:val="22"/>
        </w:rPr>
        <w:t>info@riglobal.org</w:t>
      </w:r>
    </w:hyperlink>
    <w:r w:rsidR="00A520E1">
      <w:rPr>
        <w:rFonts w:ascii="Arial" w:hAnsi="Arial"/>
        <w:sz w:val="22"/>
      </w:rPr>
      <w:t xml:space="preserve"> ♦ Website: </w:t>
    </w:r>
    <w:hyperlink r:id="rId2" w:history="1">
      <w:r w:rsidR="00A520E1">
        <w:rPr>
          <w:rStyle w:val="Hyperlink"/>
          <w:rFonts w:ascii="Arial" w:hAnsi="Arial"/>
          <w:sz w:val="22"/>
        </w:rPr>
        <w:t>www.riglobal.org</w:t>
      </w:r>
    </w:hyperlink>
    <w:r w:rsidR="00A520E1">
      <w:rPr>
        <w:sz w:val="22"/>
      </w:rPr>
      <w:t xml:space="preserve">  </w:t>
    </w:r>
  </w:p>
  <w:p w:rsidR="00A520E1" w:rsidRDefault="00A520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4DF" w:rsidRDefault="00CA54DF">
      <w:r>
        <w:separator/>
      </w:r>
    </w:p>
  </w:footnote>
  <w:footnote w:type="continuationSeparator" w:id="0">
    <w:p w:rsidR="00CA54DF" w:rsidRDefault="00CA5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0E1" w:rsidRDefault="006B7268" w:rsidP="00E06981">
    <w:pPr>
      <w:pStyle w:val="Header"/>
      <w:ind w:right="360"/>
      <w:jc w:val="center"/>
    </w:pPr>
    <w:r>
      <w:rPr>
        <w:noProof/>
        <w:lang w:val="en-GB" w:eastAsia="en-GB"/>
      </w:rPr>
      <w:drawing>
        <wp:inline distT="0" distB="0" distL="0" distR="0">
          <wp:extent cx="1250950" cy="819150"/>
          <wp:effectExtent l="0" t="0" r="0" b="0"/>
          <wp:docPr id="1" name="Picture 1" descr="R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819150"/>
                  </a:xfrm>
                  <a:prstGeom prst="rect">
                    <a:avLst/>
                  </a:prstGeom>
                  <a:noFill/>
                  <a:ln>
                    <a:noFill/>
                  </a:ln>
                </pic:spPr>
              </pic:pic>
            </a:graphicData>
          </a:graphic>
        </wp:inline>
      </w:drawing>
    </w:r>
  </w:p>
  <w:p w:rsidR="00A520E1" w:rsidRDefault="00A520E1">
    <w:pPr>
      <w:pStyle w:val="Header"/>
    </w:pPr>
  </w:p>
  <w:p w:rsidR="00A520E1" w:rsidRPr="009A5EE9" w:rsidRDefault="00E06981" w:rsidP="00CC44FF">
    <w:pPr>
      <w:pStyle w:val="Header"/>
      <w:rPr>
        <w:rFonts w:ascii="Arial" w:hAnsi="Arial" w:cs="Arial"/>
        <w:sz w:val="28"/>
        <w:szCs w:val="28"/>
      </w:rPr>
    </w:pPr>
    <w:r>
      <w:t xml:space="preserve">      </w:t>
    </w:r>
    <w:r w:rsidR="00A520E1" w:rsidRPr="009A5EE9">
      <w:rPr>
        <w:rFonts w:ascii="Arial" w:hAnsi="Arial" w:cs="Arial"/>
        <w:sz w:val="28"/>
        <w:szCs w:val="28"/>
      </w:rPr>
      <w:t>Advancing the rights and inclusion of people with disabilities worldwide</w:t>
    </w:r>
  </w:p>
  <w:p w:rsidR="00A520E1" w:rsidRDefault="006B7268">
    <w:pPr>
      <w:pStyle w:val="Header"/>
      <w:jc w:val="center"/>
    </w:pPr>
    <w:r>
      <w:rPr>
        <w:rFonts w:ascii="Arial" w:hAnsi="Arial"/>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317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0829"/>
    <w:multiLevelType w:val="singleLevel"/>
    <w:tmpl w:val="6B22592C"/>
    <w:lvl w:ilvl="0">
      <w:start w:val="1"/>
      <w:numFmt w:val="decimal"/>
      <w:lvlText w:val="%1"/>
      <w:lvlJc w:val="left"/>
      <w:pPr>
        <w:tabs>
          <w:tab w:val="num" w:pos="720"/>
        </w:tabs>
        <w:ind w:left="720" w:hanging="720"/>
      </w:pPr>
      <w:rPr>
        <w:rFonts w:hint="default"/>
      </w:rPr>
    </w:lvl>
  </w:abstractNum>
  <w:abstractNum w:abstractNumId="1" w15:restartNumberingAfterBreak="0">
    <w:nsid w:val="0D6340D3"/>
    <w:multiLevelType w:val="hybridMultilevel"/>
    <w:tmpl w:val="654EF8B8"/>
    <w:lvl w:ilvl="0" w:tplc="4BB02B62">
      <w:start w:val="5"/>
      <w:numFmt w:val="decimal"/>
      <w:lvlText w:val="%1."/>
      <w:lvlJc w:val="left"/>
      <w:pPr>
        <w:tabs>
          <w:tab w:val="num" w:pos="1080"/>
        </w:tabs>
        <w:ind w:left="1080" w:hanging="360"/>
      </w:pPr>
      <w:rPr>
        <w:rFonts w:cs="Times New Roman" w:hint="default"/>
      </w:rPr>
    </w:lvl>
    <w:lvl w:ilvl="1" w:tplc="3DB01032">
      <w:start w:val="1"/>
      <w:numFmt w:val="upperLetter"/>
      <w:lvlText w:val="%2)"/>
      <w:lvlJc w:val="left"/>
      <w:pPr>
        <w:tabs>
          <w:tab w:val="num" w:pos="1800"/>
        </w:tabs>
        <w:ind w:left="1800" w:hanging="360"/>
      </w:pPr>
      <w:rPr>
        <w:rFonts w:cs="Times New Roman"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864987"/>
    <w:multiLevelType w:val="hybridMultilevel"/>
    <w:tmpl w:val="095662EC"/>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04CE4"/>
    <w:multiLevelType w:val="hybridMultilevel"/>
    <w:tmpl w:val="351E3E5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437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02D0B2E"/>
    <w:multiLevelType w:val="hybridMultilevel"/>
    <w:tmpl w:val="AF4C7DD8"/>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22B0239"/>
    <w:multiLevelType w:val="hybridMultilevel"/>
    <w:tmpl w:val="CDB4ECC0"/>
    <w:lvl w:ilvl="0" w:tplc="AB4C1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A761B2"/>
    <w:multiLevelType w:val="hybridMultilevel"/>
    <w:tmpl w:val="0F465696"/>
    <w:lvl w:ilvl="0" w:tplc="7A3016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954B2"/>
    <w:multiLevelType w:val="hybridMultilevel"/>
    <w:tmpl w:val="247AC60E"/>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A0356"/>
    <w:multiLevelType w:val="hybridMultilevel"/>
    <w:tmpl w:val="27F2BAA8"/>
    <w:lvl w:ilvl="0" w:tplc="FCBAF4D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300019AB"/>
    <w:multiLevelType w:val="hybridMultilevel"/>
    <w:tmpl w:val="CD6E984E"/>
    <w:lvl w:ilvl="0" w:tplc="7A3016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57A2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53D2CDE"/>
    <w:multiLevelType w:val="hybridMultilevel"/>
    <w:tmpl w:val="0652CB5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D663D"/>
    <w:multiLevelType w:val="hybridMultilevel"/>
    <w:tmpl w:val="F1F4B842"/>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5850FD"/>
    <w:multiLevelType w:val="hybridMultilevel"/>
    <w:tmpl w:val="9006BC5E"/>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8047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92E2467"/>
    <w:multiLevelType w:val="hybridMultilevel"/>
    <w:tmpl w:val="5996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02A78"/>
    <w:multiLevelType w:val="hybridMultilevel"/>
    <w:tmpl w:val="03205214"/>
    <w:lvl w:ilvl="0" w:tplc="B2AC0CEC">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A3B2C"/>
    <w:multiLevelType w:val="hybridMultilevel"/>
    <w:tmpl w:val="A448F876"/>
    <w:lvl w:ilvl="0" w:tplc="4E8E069A">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9B96712"/>
    <w:multiLevelType w:val="hybridMultilevel"/>
    <w:tmpl w:val="F056C4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A63B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FDE1EA2"/>
    <w:multiLevelType w:val="multilevel"/>
    <w:tmpl w:val="D51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E3DCE"/>
    <w:multiLevelType w:val="hybridMultilevel"/>
    <w:tmpl w:val="A4A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D719C"/>
    <w:multiLevelType w:val="hybridMultilevel"/>
    <w:tmpl w:val="65D4E3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C7103"/>
    <w:multiLevelType w:val="hybridMultilevel"/>
    <w:tmpl w:val="2F867DC4"/>
    <w:lvl w:ilvl="0" w:tplc="78FA75A2">
      <w:start w:val="2009"/>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B0D206D"/>
    <w:multiLevelType w:val="hybridMultilevel"/>
    <w:tmpl w:val="501A60D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6BAC009E"/>
    <w:multiLevelType w:val="hybridMultilevel"/>
    <w:tmpl w:val="B95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E562F"/>
    <w:multiLevelType w:val="hybridMultilevel"/>
    <w:tmpl w:val="F474C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C287C"/>
    <w:multiLevelType w:val="hybridMultilevel"/>
    <w:tmpl w:val="61DCD302"/>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83B40"/>
    <w:multiLevelType w:val="hybridMultilevel"/>
    <w:tmpl w:val="2B2A5DB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7348625F"/>
    <w:multiLevelType w:val="hybridMultilevel"/>
    <w:tmpl w:val="A26EF49A"/>
    <w:lvl w:ilvl="0" w:tplc="7A3016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A70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C227201"/>
    <w:multiLevelType w:val="multilevel"/>
    <w:tmpl w:val="B950B4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46039"/>
    <w:multiLevelType w:val="hybridMultilevel"/>
    <w:tmpl w:val="6C70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573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15"/>
  </w:num>
  <w:num w:numId="3">
    <w:abstractNumId w:val="0"/>
  </w:num>
  <w:num w:numId="4">
    <w:abstractNumId w:val="13"/>
  </w:num>
  <w:num w:numId="5">
    <w:abstractNumId w:val="8"/>
  </w:num>
  <w:num w:numId="6">
    <w:abstractNumId w:val="28"/>
  </w:num>
  <w:num w:numId="7">
    <w:abstractNumId w:val="14"/>
  </w:num>
  <w:num w:numId="8">
    <w:abstractNumId w:val="4"/>
  </w:num>
  <w:num w:numId="9">
    <w:abstractNumId w:val="34"/>
  </w:num>
  <w:num w:numId="10">
    <w:abstractNumId w:val="20"/>
  </w:num>
  <w:num w:numId="11">
    <w:abstractNumId w:val="31"/>
  </w:num>
  <w:num w:numId="12">
    <w:abstractNumId w:val="17"/>
  </w:num>
  <w:num w:numId="13">
    <w:abstractNumId w:val="3"/>
  </w:num>
  <w:num w:numId="14">
    <w:abstractNumId w:val="2"/>
  </w:num>
  <w:num w:numId="15">
    <w:abstractNumId w:val="26"/>
  </w:num>
  <w:num w:numId="16">
    <w:abstractNumId w:val="32"/>
  </w:num>
  <w:num w:numId="17">
    <w:abstractNumId w:val="19"/>
  </w:num>
  <w:num w:numId="18">
    <w:abstractNumId w:val="12"/>
  </w:num>
  <w:num w:numId="19">
    <w:abstractNumId w:val="23"/>
  </w:num>
  <w:num w:numId="20">
    <w:abstractNumId w:val="21"/>
  </w:num>
  <w:num w:numId="21">
    <w:abstractNumId w:val="7"/>
  </w:num>
  <w:num w:numId="22">
    <w:abstractNumId w:val="30"/>
  </w:num>
  <w:num w:numId="23">
    <w:abstractNumId w:val="1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
  </w:num>
  <w:num w:numId="29">
    <w:abstractNumId w:val="24"/>
  </w:num>
  <w:num w:numId="30">
    <w:abstractNumId w:val="18"/>
  </w:num>
  <w:num w:numId="31">
    <w:abstractNumId w:val="33"/>
  </w:num>
  <w:num w:numId="32">
    <w:abstractNumId w:val="27"/>
  </w:num>
  <w:num w:numId="33">
    <w:abstractNumId w:val="6"/>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052"/>
    <w:rsid w:val="00007149"/>
    <w:rsid w:val="000175F3"/>
    <w:rsid w:val="00026B18"/>
    <w:rsid w:val="0003148B"/>
    <w:rsid w:val="00052605"/>
    <w:rsid w:val="00053BAB"/>
    <w:rsid w:val="00054254"/>
    <w:rsid w:val="00055D06"/>
    <w:rsid w:val="00062148"/>
    <w:rsid w:val="00080609"/>
    <w:rsid w:val="000836FB"/>
    <w:rsid w:val="00092287"/>
    <w:rsid w:val="000A41E0"/>
    <w:rsid w:val="000A5280"/>
    <w:rsid w:val="000B202E"/>
    <w:rsid w:val="000B71BD"/>
    <w:rsid w:val="000C09B2"/>
    <w:rsid w:val="000D3631"/>
    <w:rsid w:val="000E5539"/>
    <w:rsid w:val="000E6C64"/>
    <w:rsid w:val="000F2351"/>
    <w:rsid w:val="00103B7A"/>
    <w:rsid w:val="00110C91"/>
    <w:rsid w:val="00116264"/>
    <w:rsid w:val="0012028E"/>
    <w:rsid w:val="00120A58"/>
    <w:rsid w:val="001233BC"/>
    <w:rsid w:val="00125A28"/>
    <w:rsid w:val="00127A35"/>
    <w:rsid w:val="00145990"/>
    <w:rsid w:val="00156879"/>
    <w:rsid w:val="0016327E"/>
    <w:rsid w:val="001640EC"/>
    <w:rsid w:val="0016614E"/>
    <w:rsid w:val="00173CC7"/>
    <w:rsid w:val="001A6193"/>
    <w:rsid w:val="001A72EF"/>
    <w:rsid w:val="001B04C9"/>
    <w:rsid w:val="002009AC"/>
    <w:rsid w:val="00206865"/>
    <w:rsid w:val="00212C4F"/>
    <w:rsid w:val="00214097"/>
    <w:rsid w:val="00214AD8"/>
    <w:rsid w:val="00225130"/>
    <w:rsid w:val="0022549B"/>
    <w:rsid w:val="002263E6"/>
    <w:rsid w:val="00237BC2"/>
    <w:rsid w:val="00247C1E"/>
    <w:rsid w:val="0025631C"/>
    <w:rsid w:val="00261676"/>
    <w:rsid w:val="00266CE0"/>
    <w:rsid w:val="00270012"/>
    <w:rsid w:val="00274D1A"/>
    <w:rsid w:val="00275690"/>
    <w:rsid w:val="002758B7"/>
    <w:rsid w:val="00276797"/>
    <w:rsid w:val="002A11D3"/>
    <w:rsid w:val="002B0BB7"/>
    <w:rsid w:val="002B4E4A"/>
    <w:rsid w:val="002C34B6"/>
    <w:rsid w:val="002D4AB3"/>
    <w:rsid w:val="002E2046"/>
    <w:rsid w:val="002E76B6"/>
    <w:rsid w:val="002F1C42"/>
    <w:rsid w:val="00305D71"/>
    <w:rsid w:val="0030739E"/>
    <w:rsid w:val="00310AAB"/>
    <w:rsid w:val="00311664"/>
    <w:rsid w:val="003141B7"/>
    <w:rsid w:val="00317EE3"/>
    <w:rsid w:val="0032255E"/>
    <w:rsid w:val="00325CB6"/>
    <w:rsid w:val="003265F7"/>
    <w:rsid w:val="00332C23"/>
    <w:rsid w:val="003375C4"/>
    <w:rsid w:val="00346BFC"/>
    <w:rsid w:val="003537D1"/>
    <w:rsid w:val="00363BBA"/>
    <w:rsid w:val="00372990"/>
    <w:rsid w:val="00377892"/>
    <w:rsid w:val="00382D83"/>
    <w:rsid w:val="003838C7"/>
    <w:rsid w:val="003872D7"/>
    <w:rsid w:val="00397953"/>
    <w:rsid w:val="003A35CC"/>
    <w:rsid w:val="003A722F"/>
    <w:rsid w:val="003C6202"/>
    <w:rsid w:val="003C6BEF"/>
    <w:rsid w:val="003F6E66"/>
    <w:rsid w:val="0040589E"/>
    <w:rsid w:val="004145BF"/>
    <w:rsid w:val="00416772"/>
    <w:rsid w:val="00416B99"/>
    <w:rsid w:val="00421B54"/>
    <w:rsid w:val="00443447"/>
    <w:rsid w:val="0045295C"/>
    <w:rsid w:val="0045314A"/>
    <w:rsid w:val="004622C0"/>
    <w:rsid w:val="00463C2A"/>
    <w:rsid w:val="00483B4C"/>
    <w:rsid w:val="00490890"/>
    <w:rsid w:val="004A687A"/>
    <w:rsid w:val="004C24AA"/>
    <w:rsid w:val="004C4535"/>
    <w:rsid w:val="004C7EE2"/>
    <w:rsid w:val="004D1CF3"/>
    <w:rsid w:val="004D5998"/>
    <w:rsid w:val="004D628F"/>
    <w:rsid w:val="004E0134"/>
    <w:rsid w:val="004E4D7C"/>
    <w:rsid w:val="0050269D"/>
    <w:rsid w:val="00507F2B"/>
    <w:rsid w:val="00512655"/>
    <w:rsid w:val="00512AC7"/>
    <w:rsid w:val="00531582"/>
    <w:rsid w:val="0053216D"/>
    <w:rsid w:val="00543F38"/>
    <w:rsid w:val="00550991"/>
    <w:rsid w:val="0058388D"/>
    <w:rsid w:val="00585B2A"/>
    <w:rsid w:val="00595254"/>
    <w:rsid w:val="00596B5B"/>
    <w:rsid w:val="005B54D1"/>
    <w:rsid w:val="005C066A"/>
    <w:rsid w:val="005C1C6C"/>
    <w:rsid w:val="005C4C7E"/>
    <w:rsid w:val="005D0AE7"/>
    <w:rsid w:val="005D5E7F"/>
    <w:rsid w:val="005E13CF"/>
    <w:rsid w:val="005E32F4"/>
    <w:rsid w:val="005F1273"/>
    <w:rsid w:val="005F34BF"/>
    <w:rsid w:val="005F5B75"/>
    <w:rsid w:val="00601860"/>
    <w:rsid w:val="006035D0"/>
    <w:rsid w:val="00607FA8"/>
    <w:rsid w:val="006107D4"/>
    <w:rsid w:val="006109B4"/>
    <w:rsid w:val="006138BE"/>
    <w:rsid w:val="00614FF7"/>
    <w:rsid w:val="0062422E"/>
    <w:rsid w:val="0062513E"/>
    <w:rsid w:val="006254D2"/>
    <w:rsid w:val="006329EF"/>
    <w:rsid w:val="00640EAF"/>
    <w:rsid w:val="00655474"/>
    <w:rsid w:val="0065568F"/>
    <w:rsid w:val="00665D9A"/>
    <w:rsid w:val="0067636D"/>
    <w:rsid w:val="006A2AB8"/>
    <w:rsid w:val="006A344C"/>
    <w:rsid w:val="006A5A29"/>
    <w:rsid w:val="006B3580"/>
    <w:rsid w:val="006B7268"/>
    <w:rsid w:val="006C03DE"/>
    <w:rsid w:val="006C2A1B"/>
    <w:rsid w:val="006C62FF"/>
    <w:rsid w:val="006D00D3"/>
    <w:rsid w:val="006F2123"/>
    <w:rsid w:val="006F7FD5"/>
    <w:rsid w:val="00720053"/>
    <w:rsid w:val="007246B7"/>
    <w:rsid w:val="007332B6"/>
    <w:rsid w:val="00737018"/>
    <w:rsid w:val="00740BB3"/>
    <w:rsid w:val="00755A38"/>
    <w:rsid w:val="00757512"/>
    <w:rsid w:val="00766B4B"/>
    <w:rsid w:val="00777267"/>
    <w:rsid w:val="00785226"/>
    <w:rsid w:val="00786385"/>
    <w:rsid w:val="00793904"/>
    <w:rsid w:val="007A7E68"/>
    <w:rsid w:val="007B4E30"/>
    <w:rsid w:val="007C2956"/>
    <w:rsid w:val="007D30BC"/>
    <w:rsid w:val="007D4649"/>
    <w:rsid w:val="007E00DC"/>
    <w:rsid w:val="007E2166"/>
    <w:rsid w:val="007E4C80"/>
    <w:rsid w:val="00802909"/>
    <w:rsid w:val="00823983"/>
    <w:rsid w:val="0082525D"/>
    <w:rsid w:val="00825327"/>
    <w:rsid w:val="00834DA9"/>
    <w:rsid w:val="008466E3"/>
    <w:rsid w:val="00853B36"/>
    <w:rsid w:val="00874DCD"/>
    <w:rsid w:val="00876077"/>
    <w:rsid w:val="00877150"/>
    <w:rsid w:val="00881336"/>
    <w:rsid w:val="00881CD6"/>
    <w:rsid w:val="00887948"/>
    <w:rsid w:val="008969FC"/>
    <w:rsid w:val="008A06C1"/>
    <w:rsid w:val="008A6F1F"/>
    <w:rsid w:val="008B3B1B"/>
    <w:rsid w:val="008B3BC3"/>
    <w:rsid w:val="008B5014"/>
    <w:rsid w:val="008C6BB6"/>
    <w:rsid w:val="008D4DFA"/>
    <w:rsid w:val="008D7ABB"/>
    <w:rsid w:val="008E2D47"/>
    <w:rsid w:val="009018E6"/>
    <w:rsid w:val="009065CF"/>
    <w:rsid w:val="00906841"/>
    <w:rsid w:val="00920A4E"/>
    <w:rsid w:val="009235AB"/>
    <w:rsid w:val="0092371E"/>
    <w:rsid w:val="00927D9D"/>
    <w:rsid w:val="00930EF3"/>
    <w:rsid w:val="00932728"/>
    <w:rsid w:val="00936AEC"/>
    <w:rsid w:val="00953D32"/>
    <w:rsid w:val="00956390"/>
    <w:rsid w:val="0097073D"/>
    <w:rsid w:val="00977DAB"/>
    <w:rsid w:val="0098342B"/>
    <w:rsid w:val="0099607D"/>
    <w:rsid w:val="00997A56"/>
    <w:rsid w:val="009A5EE9"/>
    <w:rsid w:val="009B2F75"/>
    <w:rsid w:val="009B3B80"/>
    <w:rsid w:val="009C55BF"/>
    <w:rsid w:val="009D4470"/>
    <w:rsid w:val="009E5759"/>
    <w:rsid w:val="009F27D6"/>
    <w:rsid w:val="00A06C82"/>
    <w:rsid w:val="00A16875"/>
    <w:rsid w:val="00A25BD7"/>
    <w:rsid w:val="00A315EF"/>
    <w:rsid w:val="00A4121F"/>
    <w:rsid w:val="00A51330"/>
    <w:rsid w:val="00A520E1"/>
    <w:rsid w:val="00A62C05"/>
    <w:rsid w:val="00A66153"/>
    <w:rsid w:val="00A74058"/>
    <w:rsid w:val="00A76FC9"/>
    <w:rsid w:val="00A847EF"/>
    <w:rsid w:val="00A96F41"/>
    <w:rsid w:val="00AA737A"/>
    <w:rsid w:val="00AD09F0"/>
    <w:rsid w:val="00AD3105"/>
    <w:rsid w:val="00AD5533"/>
    <w:rsid w:val="00AD5C09"/>
    <w:rsid w:val="00AD7895"/>
    <w:rsid w:val="00AE008A"/>
    <w:rsid w:val="00AE43FE"/>
    <w:rsid w:val="00AF0816"/>
    <w:rsid w:val="00AF5EB0"/>
    <w:rsid w:val="00B008A3"/>
    <w:rsid w:val="00B00E2A"/>
    <w:rsid w:val="00B03123"/>
    <w:rsid w:val="00B05385"/>
    <w:rsid w:val="00B10CB7"/>
    <w:rsid w:val="00B14A39"/>
    <w:rsid w:val="00B17F09"/>
    <w:rsid w:val="00B2120E"/>
    <w:rsid w:val="00B41E2D"/>
    <w:rsid w:val="00B53125"/>
    <w:rsid w:val="00B5367C"/>
    <w:rsid w:val="00B61E5A"/>
    <w:rsid w:val="00B7246A"/>
    <w:rsid w:val="00B76334"/>
    <w:rsid w:val="00B76EEF"/>
    <w:rsid w:val="00B77CC3"/>
    <w:rsid w:val="00B81BB1"/>
    <w:rsid w:val="00B925A9"/>
    <w:rsid w:val="00B938A6"/>
    <w:rsid w:val="00B96052"/>
    <w:rsid w:val="00BA13AC"/>
    <w:rsid w:val="00BA1F73"/>
    <w:rsid w:val="00BA568A"/>
    <w:rsid w:val="00BB1F50"/>
    <w:rsid w:val="00BC7387"/>
    <w:rsid w:val="00BF5591"/>
    <w:rsid w:val="00BF6E05"/>
    <w:rsid w:val="00C0174A"/>
    <w:rsid w:val="00C17B6A"/>
    <w:rsid w:val="00C206E9"/>
    <w:rsid w:val="00C21E0B"/>
    <w:rsid w:val="00C247EB"/>
    <w:rsid w:val="00C304C6"/>
    <w:rsid w:val="00C325A2"/>
    <w:rsid w:val="00C33220"/>
    <w:rsid w:val="00C35EB2"/>
    <w:rsid w:val="00C37F1A"/>
    <w:rsid w:val="00C44D1E"/>
    <w:rsid w:val="00C45975"/>
    <w:rsid w:val="00C50846"/>
    <w:rsid w:val="00C703D6"/>
    <w:rsid w:val="00C777FE"/>
    <w:rsid w:val="00C87343"/>
    <w:rsid w:val="00CA54DF"/>
    <w:rsid w:val="00CB2D6F"/>
    <w:rsid w:val="00CC44FF"/>
    <w:rsid w:val="00CD549B"/>
    <w:rsid w:val="00CD7F90"/>
    <w:rsid w:val="00CE7402"/>
    <w:rsid w:val="00CF589D"/>
    <w:rsid w:val="00D000EA"/>
    <w:rsid w:val="00D07965"/>
    <w:rsid w:val="00D07D2E"/>
    <w:rsid w:val="00D1027E"/>
    <w:rsid w:val="00D10CF2"/>
    <w:rsid w:val="00D130F5"/>
    <w:rsid w:val="00D24F1E"/>
    <w:rsid w:val="00D31F3B"/>
    <w:rsid w:val="00D3273B"/>
    <w:rsid w:val="00D41499"/>
    <w:rsid w:val="00D53D2A"/>
    <w:rsid w:val="00D564B3"/>
    <w:rsid w:val="00D63169"/>
    <w:rsid w:val="00D80298"/>
    <w:rsid w:val="00D83F37"/>
    <w:rsid w:val="00D84351"/>
    <w:rsid w:val="00D8506D"/>
    <w:rsid w:val="00D865A8"/>
    <w:rsid w:val="00D8674B"/>
    <w:rsid w:val="00D94409"/>
    <w:rsid w:val="00D958D3"/>
    <w:rsid w:val="00D963CB"/>
    <w:rsid w:val="00DA05F7"/>
    <w:rsid w:val="00DB172B"/>
    <w:rsid w:val="00DC4AA8"/>
    <w:rsid w:val="00DD2B03"/>
    <w:rsid w:val="00DE0A08"/>
    <w:rsid w:val="00DE5A1C"/>
    <w:rsid w:val="00DF2770"/>
    <w:rsid w:val="00E003C5"/>
    <w:rsid w:val="00E01951"/>
    <w:rsid w:val="00E04258"/>
    <w:rsid w:val="00E059F2"/>
    <w:rsid w:val="00E05FEF"/>
    <w:rsid w:val="00E06981"/>
    <w:rsid w:val="00E2211B"/>
    <w:rsid w:val="00E37002"/>
    <w:rsid w:val="00E41DE8"/>
    <w:rsid w:val="00E470FF"/>
    <w:rsid w:val="00E53FAC"/>
    <w:rsid w:val="00E67D56"/>
    <w:rsid w:val="00E8240E"/>
    <w:rsid w:val="00E87646"/>
    <w:rsid w:val="00E91A93"/>
    <w:rsid w:val="00E93455"/>
    <w:rsid w:val="00EC09A6"/>
    <w:rsid w:val="00EC4ACF"/>
    <w:rsid w:val="00ED76E8"/>
    <w:rsid w:val="00EE3991"/>
    <w:rsid w:val="00EE54E9"/>
    <w:rsid w:val="00EE784C"/>
    <w:rsid w:val="00EF2649"/>
    <w:rsid w:val="00EF4794"/>
    <w:rsid w:val="00F0569A"/>
    <w:rsid w:val="00F06F3B"/>
    <w:rsid w:val="00F16483"/>
    <w:rsid w:val="00F17C4C"/>
    <w:rsid w:val="00F402EC"/>
    <w:rsid w:val="00F438AB"/>
    <w:rsid w:val="00F45DAE"/>
    <w:rsid w:val="00F762AD"/>
    <w:rsid w:val="00F85041"/>
    <w:rsid w:val="00FA3EDD"/>
    <w:rsid w:val="00FB3919"/>
    <w:rsid w:val="00FC4994"/>
    <w:rsid w:val="00FD028F"/>
    <w:rsid w:val="00FD0741"/>
    <w:rsid w:val="00FD5BA4"/>
    <w:rsid w:val="00FE2D97"/>
    <w:rsid w:val="00FE74DD"/>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DBE565-E540-4E22-9AE9-51042A31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F1E"/>
    <w:rPr>
      <w:lang w:val="en-US" w:eastAsia="en-US"/>
    </w:rPr>
  </w:style>
  <w:style w:type="paragraph" w:styleId="Heading1">
    <w:name w:val="heading 1"/>
    <w:basedOn w:val="Normal"/>
    <w:next w:val="Normal"/>
    <w:qFormat/>
    <w:pPr>
      <w:keepNext/>
      <w:outlineLvl w:val="0"/>
    </w:pPr>
    <w:rPr>
      <w:rFonts w:ascii="Arial" w:hAnsi="Arial" w:cs="Arial"/>
      <w:b/>
      <w:bCs/>
      <w:sz w:val="32"/>
      <w:szCs w:val="28"/>
    </w:rPr>
  </w:style>
  <w:style w:type="paragraph" w:styleId="Heading2">
    <w:name w:val="heading 2"/>
    <w:basedOn w:val="Normal"/>
    <w:next w:val="Normal"/>
    <w:qFormat/>
    <w:pPr>
      <w:keepNext/>
      <w:outlineLvl w:val="1"/>
    </w:pPr>
    <w:rPr>
      <w:rFonts w:ascii="Arial" w:hAnsi="Arial" w:cs="Arial"/>
      <w:i/>
      <w:iCs/>
      <w:szCs w:val="28"/>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jc w:val="both"/>
      <w:outlineLvl w:val="4"/>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8"/>
      <w:szCs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val="en-AU" w:eastAsia="en-AU"/>
    </w:rPr>
  </w:style>
  <w:style w:type="paragraph" w:styleId="BalloonText">
    <w:name w:val="Balloon Text"/>
    <w:basedOn w:val="Normal"/>
    <w:semiHidden/>
    <w:rsid w:val="00A4121F"/>
    <w:rPr>
      <w:rFonts w:ascii="Tahoma" w:hAnsi="Tahoma" w:cs="Tahoma"/>
      <w:sz w:val="16"/>
      <w:szCs w:val="16"/>
    </w:rPr>
  </w:style>
  <w:style w:type="character" w:styleId="Emphasis">
    <w:name w:val="Emphasis"/>
    <w:qFormat/>
    <w:rsid w:val="00777267"/>
    <w:rPr>
      <w:i/>
      <w:iCs/>
    </w:rPr>
  </w:style>
  <w:style w:type="paragraph" w:styleId="ListParagraph">
    <w:name w:val="List Paragraph"/>
    <w:basedOn w:val="Normal"/>
    <w:uiPriority w:val="34"/>
    <w:qFormat/>
    <w:rsid w:val="00D41499"/>
    <w:pPr>
      <w:spacing w:after="200" w:line="276" w:lineRule="auto"/>
      <w:ind w:left="720"/>
    </w:pPr>
    <w:rPr>
      <w:rFonts w:ascii="Calibri" w:hAnsi="Calibri" w:cs="Calibri"/>
      <w:sz w:val="22"/>
      <w:szCs w:val="22"/>
    </w:rPr>
  </w:style>
  <w:style w:type="character" w:styleId="Strong">
    <w:name w:val="Strong"/>
    <w:qFormat/>
    <w:rsid w:val="00026B18"/>
    <w:rPr>
      <w:b/>
      <w:bCs/>
    </w:rPr>
  </w:style>
  <w:style w:type="paragraph" w:customStyle="1" w:styleId="msoaccenttext2">
    <w:name w:val="msoaccenttext2"/>
    <w:rsid w:val="00026B18"/>
    <w:rPr>
      <w:rFonts w:ascii="Franklin Gothic Book" w:hAnsi="Franklin Gothic Book"/>
      <w:color w:val="000000"/>
      <w:kern w:val="28"/>
      <w:sz w:val="14"/>
      <w:szCs w:val="14"/>
      <w:lang w:val="en-US" w:eastAsia="en-US"/>
    </w:rPr>
  </w:style>
  <w:style w:type="character" w:customStyle="1" w:styleId="Leonor">
    <w:name w:val="Leonor"/>
    <w:semiHidden/>
    <w:rsid w:val="00026B18"/>
    <w:rPr>
      <w:rFonts w:ascii="Arial" w:hAnsi="Arial" w:cs="Arial"/>
      <w:color w:val="000080"/>
      <w:sz w:val="20"/>
      <w:szCs w:val="20"/>
    </w:rPr>
  </w:style>
  <w:style w:type="character" w:customStyle="1" w:styleId="UnresolvedMention">
    <w:name w:val="Unresolved Mention"/>
    <w:uiPriority w:val="99"/>
    <w:semiHidden/>
    <w:unhideWhenUsed/>
    <w:rsid w:val="00FD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0549">
      <w:bodyDiv w:val="1"/>
      <w:marLeft w:val="0"/>
      <w:marRight w:val="0"/>
      <w:marTop w:val="0"/>
      <w:marBottom w:val="0"/>
      <w:divBdr>
        <w:top w:val="none" w:sz="0" w:space="0" w:color="auto"/>
        <w:left w:val="none" w:sz="0" w:space="0" w:color="auto"/>
        <w:bottom w:val="none" w:sz="0" w:space="0" w:color="auto"/>
        <w:right w:val="none" w:sz="0" w:space="0" w:color="auto"/>
      </w:divBdr>
      <w:divsChild>
        <w:div w:id="555363160">
          <w:marLeft w:val="0"/>
          <w:marRight w:val="0"/>
          <w:marTop w:val="0"/>
          <w:marBottom w:val="0"/>
          <w:divBdr>
            <w:top w:val="none" w:sz="0" w:space="0" w:color="auto"/>
            <w:left w:val="none" w:sz="0" w:space="0" w:color="auto"/>
            <w:bottom w:val="none" w:sz="0" w:space="0" w:color="auto"/>
            <w:right w:val="none" w:sz="0" w:space="0" w:color="auto"/>
          </w:divBdr>
        </w:div>
        <w:div w:id="1185481258">
          <w:marLeft w:val="0"/>
          <w:marRight w:val="0"/>
          <w:marTop w:val="0"/>
          <w:marBottom w:val="0"/>
          <w:divBdr>
            <w:top w:val="none" w:sz="0" w:space="0" w:color="auto"/>
            <w:left w:val="none" w:sz="0" w:space="0" w:color="auto"/>
            <w:bottom w:val="none" w:sz="0" w:space="0" w:color="auto"/>
            <w:right w:val="none" w:sz="0" w:space="0" w:color="auto"/>
          </w:divBdr>
        </w:div>
      </w:divsChild>
    </w:div>
    <w:div w:id="1484616451">
      <w:bodyDiv w:val="1"/>
      <w:marLeft w:val="0"/>
      <w:marRight w:val="0"/>
      <w:marTop w:val="0"/>
      <w:marBottom w:val="0"/>
      <w:divBdr>
        <w:top w:val="none" w:sz="0" w:space="0" w:color="auto"/>
        <w:left w:val="none" w:sz="0" w:space="0" w:color="auto"/>
        <w:bottom w:val="none" w:sz="0" w:space="0" w:color="auto"/>
        <w:right w:val="none" w:sz="0" w:space="0" w:color="auto"/>
      </w:divBdr>
    </w:div>
    <w:div w:id="2075008281">
      <w:bodyDiv w:val="1"/>
      <w:marLeft w:val="0"/>
      <w:marRight w:val="0"/>
      <w:marTop w:val="0"/>
      <w:marBottom w:val="0"/>
      <w:divBdr>
        <w:top w:val="none" w:sz="0" w:space="0" w:color="auto"/>
        <w:left w:val="none" w:sz="0" w:space="0" w:color="auto"/>
        <w:bottom w:val="none" w:sz="0" w:space="0" w:color="auto"/>
        <w:right w:val="none" w:sz="0" w:space="0" w:color="auto"/>
      </w:divBdr>
      <w:divsChild>
        <w:div w:id="762335211">
          <w:marLeft w:val="0"/>
          <w:marRight w:val="0"/>
          <w:marTop w:val="0"/>
          <w:marBottom w:val="0"/>
          <w:divBdr>
            <w:top w:val="none" w:sz="0" w:space="0" w:color="auto"/>
            <w:left w:val="none" w:sz="0" w:space="0" w:color="auto"/>
            <w:bottom w:val="none" w:sz="0" w:space="0" w:color="auto"/>
            <w:right w:val="none" w:sz="0" w:space="0" w:color="auto"/>
          </w:divBdr>
        </w:div>
        <w:div w:id="78762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iglobal.org" TargetMode="External"/><Relationship Id="rId1" Type="http://schemas.openxmlformats.org/officeDocument/2006/relationships/hyperlink" Target="mailto:info@ri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A46637-881C-4BB5-B25D-7658E5271460}">
  <ds:schemaRefs>
    <ds:schemaRef ds:uri="http://schemas.openxmlformats.org/officeDocument/2006/bibliography"/>
  </ds:schemaRefs>
</ds:datastoreItem>
</file>

<file path=customXml/itemProps2.xml><?xml version="1.0" encoding="utf-8"?>
<ds:datastoreItem xmlns:ds="http://schemas.openxmlformats.org/officeDocument/2006/customXml" ds:itemID="{A62A0287-FD9F-46CE-801C-D508F1B5DE6D}"/>
</file>

<file path=customXml/itemProps3.xml><?xml version="1.0" encoding="utf-8"?>
<ds:datastoreItem xmlns:ds="http://schemas.openxmlformats.org/officeDocument/2006/customXml" ds:itemID="{77A6F2B9-D649-4904-A440-1A0BECBA92D4}"/>
</file>

<file path=customXml/itemProps4.xml><?xml version="1.0" encoding="utf-8"?>
<ds:datastoreItem xmlns:ds="http://schemas.openxmlformats.org/officeDocument/2006/customXml" ds:itemID="{565B7493-3FD2-47CA-96A1-03476A2D9FEC}"/>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RI Vision and Mission</vt:lpstr>
    </vt:vector>
  </TitlesOfParts>
  <Company> </Company>
  <LinksUpToDate>false</LinksUpToDate>
  <CharactersWithSpaces>4144</CharactersWithSpaces>
  <SharedDoc>false</SharedDoc>
  <HLinks>
    <vt:vector size="30"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4390995</vt:i4>
      </vt:variant>
      <vt:variant>
        <vt:i4>3</vt:i4>
      </vt:variant>
      <vt:variant>
        <vt:i4>0</vt:i4>
      </vt:variant>
      <vt:variant>
        <vt:i4>5</vt:i4>
      </vt:variant>
      <vt:variant>
        <vt:lpwstr>http://www.riglobal.org/</vt:lpwstr>
      </vt:variant>
      <vt:variant>
        <vt:lpwstr/>
      </vt:variant>
      <vt:variant>
        <vt:i4>3014668</vt:i4>
      </vt:variant>
      <vt:variant>
        <vt:i4>0</vt:i4>
      </vt:variant>
      <vt:variant>
        <vt:i4>0</vt:i4>
      </vt:variant>
      <vt:variant>
        <vt:i4>5</vt:i4>
      </vt:variant>
      <vt:variant>
        <vt:lpwstr>mailto:info@riglobal.org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 Vision and Mission</dc:title>
  <dc:subject/>
  <dc:creator>Michael Fox</dc:creator>
  <cp:keywords/>
  <dc:description/>
  <cp:lastModifiedBy>OUKO Robert</cp:lastModifiedBy>
  <cp:revision>2</cp:revision>
  <cp:lastPrinted>2019-09-09T14:06:00Z</cp:lastPrinted>
  <dcterms:created xsi:type="dcterms:W3CDTF">2021-12-06T20:51:00Z</dcterms:created>
  <dcterms:modified xsi:type="dcterms:W3CDTF">2021-12-06T20:51:00Z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