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8D5EC" w14:textId="77777777" w:rsidR="00321E4F" w:rsidRPr="00015237" w:rsidRDefault="00321E4F" w:rsidP="006873E0">
      <w:pPr>
        <w:spacing w:before="240" w:line="276" w:lineRule="auto"/>
        <w:jc w:val="both"/>
        <w:rPr>
          <w:lang w:eastAsia="en-GB"/>
        </w:rPr>
      </w:pPr>
      <w:r w:rsidRPr="00015237">
        <w:rPr>
          <w:lang w:eastAsia="en-GB"/>
        </w:rPr>
        <w:t>United Nations Universal Periodic Review</w:t>
      </w:r>
    </w:p>
    <w:p w14:paraId="0943B44D" w14:textId="77777777" w:rsidR="00321E4F" w:rsidRPr="00015237" w:rsidRDefault="00321E4F" w:rsidP="006873E0">
      <w:pPr>
        <w:spacing w:before="240" w:line="276" w:lineRule="auto"/>
        <w:jc w:val="both"/>
        <w:rPr>
          <w:lang w:eastAsia="en-GB"/>
        </w:rPr>
      </w:pPr>
    </w:p>
    <w:p w14:paraId="0568A13A" w14:textId="77777777" w:rsidR="00321E4F" w:rsidRPr="00015237" w:rsidRDefault="00321E4F" w:rsidP="006873E0">
      <w:pPr>
        <w:spacing w:before="240" w:line="276" w:lineRule="auto"/>
        <w:jc w:val="both"/>
        <w:rPr>
          <w:lang w:eastAsia="en-GB"/>
        </w:rPr>
      </w:pPr>
    </w:p>
    <w:p w14:paraId="19FDEAD7" w14:textId="77777777" w:rsidR="00321E4F" w:rsidRPr="00015237" w:rsidRDefault="00321E4F" w:rsidP="006873E0">
      <w:pPr>
        <w:spacing w:before="240" w:line="276" w:lineRule="auto"/>
        <w:jc w:val="both"/>
        <w:rPr>
          <w:lang w:eastAsia="en-GB"/>
        </w:rPr>
      </w:pPr>
    </w:p>
    <w:p w14:paraId="3D26F97F" w14:textId="77777777" w:rsidR="00321E4F" w:rsidRPr="00015237" w:rsidRDefault="00321E4F" w:rsidP="006873E0">
      <w:pPr>
        <w:spacing w:before="240" w:line="276" w:lineRule="auto"/>
        <w:jc w:val="both"/>
        <w:rPr>
          <w:lang w:eastAsia="en-GB"/>
        </w:rPr>
      </w:pPr>
    </w:p>
    <w:p w14:paraId="1B3E4A3E" w14:textId="77777777" w:rsidR="00321E4F" w:rsidRPr="00015237" w:rsidRDefault="00321E4F" w:rsidP="006873E0">
      <w:pPr>
        <w:spacing w:before="240" w:line="276" w:lineRule="auto"/>
        <w:jc w:val="both"/>
        <w:rPr>
          <w:lang w:eastAsia="en-GB"/>
        </w:rPr>
      </w:pPr>
    </w:p>
    <w:p w14:paraId="3FB2DC7A" w14:textId="77777777" w:rsidR="00321E4F" w:rsidRPr="00015237" w:rsidRDefault="00321E4F" w:rsidP="006873E0">
      <w:pPr>
        <w:spacing w:before="240" w:line="276" w:lineRule="auto"/>
        <w:jc w:val="both"/>
        <w:rPr>
          <w:lang w:eastAsia="en-GB"/>
        </w:rPr>
      </w:pPr>
    </w:p>
    <w:p w14:paraId="4BC117C0" w14:textId="77777777" w:rsidR="00321E4F" w:rsidRPr="00015237" w:rsidRDefault="00321E4F" w:rsidP="006873E0">
      <w:pPr>
        <w:spacing w:before="240" w:line="276" w:lineRule="auto"/>
        <w:jc w:val="both"/>
        <w:rPr>
          <w:lang w:eastAsia="en-GB"/>
        </w:rPr>
      </w:pPr>
    </w:p>
    <w:p w14:paraId="49B8FC03" w14:textId="77777777" w:rsidR="00321E4F" w:rsidRPr="00015237" w:rsidRDefault="00321E4F" w:rsidP="006873E0">
      <w:pPr>
        <w:spacing w:before="240" w:line="276" w:lineRule="auto"/>
        <w:jc w:val="both"/>
        <w:rPr>
          <w:lang w:eastAsia="en-GB"/>
        </w:rPr>
      </w:pPr>
    </w:p>
    <w:p w14:paraId="58A8E212" w14:textId="77777777" w:rsidR="00321E4F" w:rsidRPr="00015237" w:rsidRDefault="00321E4F" w:rsidP="006873E0">
      <w:pPr>
        <w:spacing w:before="240" w:line="276" w:lineRule="auto"/>
        <w:jc w:val="both"/>
        <w:rPr>
          <w:lang w:eastAsia="en-GB"/>
        </w:rPr>
      </w:pPr>
    </w:p>
    <w:p w14:paraId="61F5A45A" w14:textId="77777777" w:rsidR="00321E4F" w:rsidRPr="00015237" w:rsidRDefault="00321E4F" w:rsidP="006873E0">
      <w:pPr>
        <w:spacing w:before="240" w:line="276" w:lineRule="auto"/>
        <w:jc w:val="both"/>
        <w:rPr>
          <w:lang w:eastAsia="en-GB"/>
        </w:rPr>
      </w:pPr>
    </w:p>
    <w:p w14:paraId="27AF0C67" w14:textId="77777777" w:rsidR="00321E4F" w:rsidRPr="00015237" w:rsidRDefault="00321E4F" w:rsidP="006873E0">
      <w:pPr>
        <w:spacing w:before="240" w:line="276" w:lineRule="auto"/>
        <w:jc w:val="both"/>
        <w:rPr>
          <w:lang w:eastAsia="en-GB"/>
        </w:rPr>
      </w:pPr>
    </w:p>
    <w:p w14:paraId="017BA0FD" w14:textId="77777777" w:rsidR="00321E4F" w:rsidRPr="00015237" w:rsidRDefault="00321E4F" w:rsidP="006873E0">
      <w:pPr>
        <w:spacing w:before="240" w:line="276" w:lineRule="auto"/>
        <w:jc w:val="both"/>
        <w:rPr>
          <w:lang w:eastAsia="en-GB"/>
        </w:rPr>
      </w:pPr>
    </w:p>
    <w:p w14:paraId="7EDBCE04" w14:textId="77777777" w:rsidR="00321E4F" w:rsidRPr="00015237" w:rsidRDefault="00321E4F" w:rsidP="006873E0">
      <w:pPr>
        <w:spacing w:before="240" w:line="276" w:lineRule="auto"/>
        <w:jc w:val="both"/>
        <w:rPr>
          <w:lang w:eastAsia="en-GB"/>
        </w:rPr>
      </w:pPr>
    </w:p>
    <w:p w14:paraId="517B73ED" w14:textId="77777777" w:rsidR="00321E4F" w:rsidRPr="00015237" w:rsidRDefault="00321E4F" w:rsidP="006873E0">
      <w:pPr>
        <w:spacing w:before="240" w:line="276" w:lineRule="auto"/>
        <w:jc w:val="both"/>
        <w:rPr>
          <w:lang w:eastAsia="en-GB"/>
        </w:rPr>
      </w:pPr>
    </w:p>
    <w:p w14:paraId="081B35E0" w14:textId="2932C700" w:rsidR="00321E4F" w:rsidRPr="00015237" w:rsidRDefault="00321E4F" w:rsidP="006873E0">
      <w:pPr>
        <w:spacing w:before="240" w:line="276" w:lineRule="auto"/>
        <w:jc w:val="both"/>
        <w:rPr>
          <w:lang w:eastAsia="en-GB"/>
        </w:rPr>
      </w:pPr>
      <w:r w:rsidRPr="00015237">
        <w:rPr>
          <w:lang w:eastAsia="en-GB"/>
        </w:rPr>
        <w:t>Universal Periodic Review – Mid Term Report</w:t>
      </w:r>
    </w:p>
    <w:p w14:paraId="16EE7FA2" w14:textId="77777777" w:rsidR="00321E4F" w:rsidRPr="00015237" w:rsidRDefault="00321E4F" w:rsidP="006873E0">
      <w:pPr>
        <w:spacing w:before="240" w:line="276" w:lineRule="auto"/>
        <w:jc w:val="both"/>
        <w:rPr>
          <w:lang w:eastAsia="en-GB"/>
        </w:rPr>
      </w:pPr>
    </w:p>
    <w:p w14:paraId="56A3389A" w14:textId="1D7A4E09" w:rsidR="00321E4F" w:rsidRPr="00015237" w:rsidRDefault="00D849B8" w:rsidP="006873E0">
      <w:pPr>
        <w:spacing w:before="240" w:line="276" w:lineRule="auto"/>
        <w:jc w:val="both"/>
        <w:rPr>
          <w:lang w:eastAsia="en-GB"/>
        </w:rPr>
      </w:pPr>
      <w:r w:rsidRPr="00015237">
        <w:rPr>
          <w:lang w:eastAsia="en-GB"/>
        </w:rPr>
        <w:t xml:space="preserve">Aotearoa </w:t>
      </w:r>
      <w:r w:rsidR="00321E4F" w:rsidRPr="00015237">
        <w:rPr>
          <w:lang w:eastAsia="en-GB"/>
        </w:rPr>
        <w:t>New Zealand</w:t>
      </w:r>
    </w:p>
    <w:p w14:paraId="4EBF421D" w14:textId="77777777" w:rsidR="00321E4F" w:rsidRPr="00015237" w:rsidRDefault="00321E4F" w:rsidP="006873E0">
      <w:pPr>
        <w:spacing w:before="240" w:line="276" w:lineRule="auto"/>
        <w:jc w:val="both"/>
        <w:rPr>
          <w:lang w:eastAsia="en-GB"/>
        </w:rPr>
      </w:pPr>
    </w:p>
    <w:p w14:paraId="1A582808" w14:textId="77777777" w:rsidR="00321E4F" w:rsidRPr="00015237" w:rsidRDefault="00321E4F" w:rsidP="006873E0">
      <w:pPr>
        <w:spacing w:before="240" w:line="276" w:lineRule="auto"/>
        <w:jc w:val="both"/>
        <w:rPr>
          <w:lang w:eastAsia="en-GB"/>
        </w:rPr>
      </w:pPr>
    </w:p>
    <w:p w14:paraId="4304780C" w14:textId="77777777" w:rsidR="00321E4F" w:rsidRPr="00015237" w:rsidRDefault="00321E4F" w:rsidP="006873E0">
      <w:pPr>
        <w:spacing w:before="240" w:line="276" w:lineRule="auto"/>
        <w:jc w:val="both"/>
        <w:rPr>
          <w:lang w:eastAsia="en-GB"/>
        </w:rPr>
      </w:pPr>
    </w:p>
    <w:p w14:paraId="1D7E4698" w14:textId="77777777" w:rsidR="00321E4F" w:rsidRPr="00015237" w:rsidRDefault="00321E4F" w:rsidP="006873E0">
      <w:pPr>
        <w:spacing w:before="240" w:line="276" w:lineRule="auto"/>
        <w:jc w:val="both"/>
        <w:rPr>
          <w:lang w:eastAsia="en-GB"/>
        </w:rPr>
      </w:pPr>
    </w:p>
    <w:p w14:paraId="1066EDB8" w14:textId="77777777" w:rsidR="00321E4F" w:rsidRPr="00015237" w:rsidRDefault="00321E4F" w:rsidP="006873E0">
      <w:pPr>
        <w:spacing w:before="240" w:line="276" w:lineRule="auto"/>
        <w:jc w:val="both"/>
        <w:rPr>
          <w:lang w:eastAsia="en-GB"/>
        </w:rPr>
      </w:pPr>
    </w:p>
    <w:p w14:paraId="57BA5DAC" w14:textId="77777777" w:rsidR="00321E4F" w:rsidRPr="00015237" w:rsidRDefault="00321E4F" w:rsidP="006873E0">
      <w:pPr>
        <w:spacing w:before="240" w:line="276" w:lineRule="auto"/>
        <w:jc w:val="both"/>
        <w:rPr>
          <w:lang w:eastAsia="en-GB"/>
        </w:rPr>
      </w:pPr>
    </w:p>
    <w:p w14:paraId="23A8614F" w14:textId="1044E191" w:rsidR="00321E4F" w:rsidRPr="00015237" w:rsidRDefault="007E6F32" w:rsidP="006873E0">
      <w:pPr>
        <w:spacing w:before="240" w:line="276" w:lineRule="auto"/>
        <w:jc w:val="both"/>
      </w:pPr>
      <w:r w:rsidRPr="00015237">
        <w:rPr>
          <w:lang w:eastAsia="en-GB"/>
        </w:rPr>
        <w:t>2</w:t>
      </w:r>
      <w:r w:rsidR="00287711">
        <w:rPr>
          <w:lang w:eastAsia="en-GB"/>
        </w:rPr>
        <w:t>0</w:t>
      </w:r>
      <w:bookmarkStart w:id="0" w:name="_GoBack"/>
      <w:bookmarkEnd w:id="0"/>
      <w:r w:rsidR="00321E4F" w:rsidRPr="00015237">
        <w:rPr>
          <w:lang w:eastAsia="en-GB"/>
        </w:rPr>
        <w:t xml:space="preserve"> December 2021</w:t>
      </w:r>
    </w:p>
    <w:p w14:paraId="04D112C4" w14:textId="0C1E05B7" w:rsidR="00321E4F" w:rsidRPr="00015237" w:rsidRDefault="00321E4F" w:rsidP="006873E0">
      <w:pPr>
        <w:spacing w:before="240" w:line="276" w:lineRule="auto"/>
        <w:jc w:val="both"/>
      </w:pPr>
    </w:p>
    <w:p w14:paraId="3787EC15" w14:textId="20BF1A4E" w:rsidR="009920A8" w:rsidRPr="00015237" w:rsidRDefault="00321E4F" w:rsidP="006873E0">
      <w:pPr>
        <w:pStyle w:val="Heading1"/>
        <w:spacing w:line="276" w:lineRule="auto"/>
        <w:rPr>
          <w:lang w:val="mi-NZ"/>
        </w:rPr>
      </w:pPr>
      <w:r w:rsidRPr="00015237">
        <w:lastRenderedPageBreak/>
        <w:t>Introduction</w:t>
      </w:r>
    </w:p>
    <w:p w14:paraId="5D93BE1F" w14:textId="1F3E062B" w:rsidR="00FA2307" w:rsidRDefault="00FA2307" w:rsidP="006873E0">
      <w:pPr>
        <w:pStyle w:val="ListParagraph"/>
        <w:numPr>
          <w:ilvl w:val="0"/>
          <w:numId w:val="1"/>
        </w:numPr>
        <w:spacing w:before="220" w:after="0" w:line="259" w:lineRule="auto"/>
        <w:ind w:left="709" w:hanging="709"/>
        <w:contextualSpacing w:val="0"/>
        <w:jc w:val="both"/>
      </w:pPr>
      <w:r w:rsidRPr="00015237">
        <w:t>Aotearoa New Zealand welcomes the opportunity to provide a mid-term Universal Periodic Review (UPR)</w:t>
      </w:r>
      <w:r>
        <w:t xml:space="preserve"> </w:t>
      </w:r>
      <w:r w:rsidRPr="00015237">
        <w:t>update on progress we have made since 2019 in protecting and promoting human rights as well as reporting on challenges encountered. Aotearoa</w:t>
      </w:r>
      <w:r w:rsidRPr="00015237">
        <w:rPr>
          <w:lang w:val="en-NZ"/>
        </w:rPr>
        <w:t xml:space="preserve"> </w:t>
      </w:r>
      <w:r w:rsidRPr="00015237">
        <w:t>New Zealand’s third UPR resulted in 194 recommendations, 160 of which the Government accepted.</w:t>
      </w:r>
    </w:p>
    <w:p w14:paraId="3286151C" w14:textId="77819087" w:rsidR="00C101B7" w:rsidRPr="00015237" w:rsidRDefault="00C101B7" w:rsidP="006873E0">
      <w:pPr>
        <w:pStyle w:val="ListParagraph"/>
        <w:numPr>
          <w:ilvl w:val="0"/>
          <w:numId w:val="1"/>
        </w:numPr>
        <w:spacing w:before="220" w:after="0" w:line="259" w:lineRule="auto"/>
        <w:ind w:left="709" w:hanging="709"/>
        <w:contextualSpacing w:val="0"/>
        <w:jc w:val="both"/>
      </w:pPr>
      <w:r w:rsidRPr="00015237">
        <w:t>Aotearoa New Zealand is one of the world’s most ethnically diverse nations and ha</w:t>
      </w:r>
      <w:r w:rsidR="000F7C45">
        <w:t>s</w:t>
      </w:r>
      <w:r w:rsidRPr="00015237">
        <w:t xml:space="preserve"> a proud tradition of promoting and protecting human rights at home and overseas. Aotearoa</w:t>
      </w:r>
      <w:r w:rsidRPr="00015237">
        <w:rPr>
          <w:lang w:val="en-NZ"/>
        </w:rPr>
        <w:t xml:space="preserve"> New Zealand’s unique identity is marked by the 1840 si</w:t>
      </w:r>
      <w:r w:rsidR="00B40568" w:rsidRPr="00015237">
        <w:rPr>
          <w:lang w:val="en-NZ"/>
        </w:rPr>
        <w:t>gning</w:t>
      </w:r>
      <w:r w:rsidRPr="00015237">
        <w:rPr>
          <w:lang w:val="en-NZ"/>
        </w:rPr>
        <w:t xml:space="preserve"> of te Tiriti o Waitangi, the Treaty of Waitangi</w:t>
      </w:r>
      <w:r w:rsidR="003E7059">
        <w:rPr>
          <w:lang w:val="en-NZ"/>
        </w:rPr>
        <w:t xml:space="preserve"> </w:t>
      </w:r>
      <w:r w:rsidR="003E7059" w:rsidRPr="00015237">
        <w:rPr>
          <w:lang w:val="en-NZ"/>
        </w:rPr>
        <w:t>(te Tiriti)</w:t>
      </w:r>
      <w:r w:rsidRPr="00015237">
        <w:rPr>
          <w:lang w:val="en-NZ"/>
        </w:rPr>
        <w:t xml:space="preserve">, our foundational constitutional document which established a partnership between the Crown and </w:t>
      </w:r>
      <w:r w:rsidRPr="00015237">
        <w:t>Māori. Te Tiriti underpins</w:t>
      </w:r>
      <w:r w:rsidR="00220A0E" w:rsidRPr="00015237">
        <w:t xml:space="preserve"> Aotearoa</w:t>
      </w:r>
      <w:r w:rsidRPr="00015237">
        <w:t xml:space="preserve"> New Zealand’s bicultural national identity and provides the fundamental context for </w:t>
      </w:r>
      <w:r w:rsidR="00DA4C43" w:rsidRPr="00015237">
        <w:t>our</w:t>
      </w:r>
      <w:r w:rsidRPr="00015237">
        <w:t xml:space="preserve"> human rights approach. </w:t>
      </w:r>
      <w:r w:rsidR="00D849B8" w:rsidRPr="00015237">
        <w:t>Aotearoa</w:t>
      </w:r>
      <w:r w:rsidR="00D849B8" w:rsidRPr="00015237">
        <w:rPr>
          <w:lang w:val="en-NZ"/>
        </w:rPr>
        <w:t xml:space="preserve"> </w:t>
      </w:r>
      <w:r w:rsidRPr="00015237">
        <w:t>New Zealand’s diversity,</w:t>
      </w:r>
      <w:r w:rsidR="00430669">
        <w:t xml:space="preserve"> </w:t>
      </w:r>
      <w:r w:rsidRPr="00015237">
        <w:t>with over 200 ethnicities represented in our population, shapes our views on upholding and developing an inclusive society.</w:t>
      </w:r>
    </w:p>
    <w:p w14:paraId="4ACE4945" w14:textId="2D811A4D" w:rsidR="00C101B7" w:rsidRDefault="00C101B7" w:rsidP="006873E0">
      <w:pPr>
        <w:pStyle w:val="ListParagraph"/>
        <w:numPr>
          <w:ilvl w:val="0"/>
          <w:numId w:val="1"/>
        </w:numPr>
        <w:spacing w:before="220" w:after="0" w:line="259" w:lineRule="auto"/>
        <w:ind w:left="709" w:hanging="709"/>
        <w:contextualSpacing w:val="0"/>
        <w:jc w:val="both"/>
      </w:pPr>
      <w:r w:rsidRPr="00015237">
        <w:t xml:space="preserve">2019-2021 have been shaped by two major events, firstly the tragic terrorist </w:t>
      </w:r>
      <w:r w:rsidR="001D2509" w:rsidRPr="00015237">
        <w:t xml:space="preserve">attack at Christchurch masjidain </w:t>
      </w:r>
      <w:r w:rsidRPr="00015237">
        <w:t xml:space="preserve">on 15 </w:t>
      </w:r>
      <w:r w:rsidRPr="00B55AEB">
        <w:t>March</w:t>
      </w:r>
      <w:r w:rsidRPr="00015237">
        <w:t xml:space="preserve"> 2019, </w:t>
      </w:r>
      <w:r w:rsidR="001D2509" w:rsidRPr="00015237">
        <w:t xml:space="preserve">and </w:t>
      </w:r>
      <w:r w:rsidRPr="00015237">
        <w:t xml:space="preserve">secondly the COVID-19 pandemic. </w:t>
      </w:r>
      <w:r w:rsidR="00FA2307">
        <w:t>T</w:t>
      </w:r>
      <w:r w:rsidRPr="00015237">
        <w:t xml:space="preserve">hese events had significant impacts on </w:t>
      </w:r>
      <w:r w:rsidR="00FA2307" w:rsidRPr="00015237">
        <w:t xml:space="preserve">human rights </w:t>
      </w:r>
      <w:r w:rsidR="00FA2307">
        <w:t xml:space="preserve">in </w:t>
      </w:r>
      <w:r w:rsidR="00D849B8" w:rsidRPr="00015237">
        <w:t>Aotearoa</w:t>
      </w:r>
      <w:r w:rsidR="00D849B8" w:rsidRPr="00015237">
        <w:rPr>
          <w:lang w:val="en-NZ"/>
        </w:rPr>
        <w:t xml:space="preserve"> </w:t>
      </w:r>
      <w:r w:rsidRPr="00015237">
        <w:t xml:space="preserve">New Zealand and on the Government’s overall work programme which is evident throughout this report. </w:t>
      </w:r>
    </w:p>
    <w:p w14:paraId="655F6063" w14:textId="40928F97" w:rsidR="003E7059" w:rsidRDefault="003E7059" w:rsidP="006873E0">
      <w:pPr>
        <w:pStyle w:val="ListParagraph"/>
        <w:numPr>
          <w:ilvl w:val="0"/>
          <w:numId w:val="1"/>
        </w:numPr>
        <w:spacing w:before="220" w:after="0" w:line="259" w:lineRule="auto"/>
        <w:ind w:left="709" w:hanging="709"/>
        <w:contextualSpacing w:val="0"/>
        <w:jc w:val="both"/>
      </w:pPr>
      <w:r>
        <w:t>The Royal Commission</w:t>
      </w:r>
      <w:r w:rsidR="00430669">
        <w:t xml:space="preserve"> of</w:t>
      </w:r>
      <w:r>
        <w:t xml:space="preserve"> Inquiry into the terrorist attack on Christchurch masjidain has shaped much of the Government’s work towards eliminating racism and discrimination in Aotearoa New Zealand. </w:t>
      </w:r>
    </w:p>
    <w:p w14:paraId="65C0129C" w14:textId="4BC3D19F" w:rsidR="00C101B7" w:rsidRPr="00015237" w:rsidRDefault="00C101B7" w:rsidP="006873E0">
      <w:pPr>
        <w:pStyle w:val="ListParagraph"/>
        <w:numPr>
          <w:ilvl w:val="0"/>
          <w:numId w:val="1"/>
        </w:numPr>
        <w:spacing w:before="220" w:after="0" w:line="259" w:lineRule="auto"/>
        <w:ind w:left="709" w:hanging="709"/>
        <w:contextualSpacing w:val="0"/>
        <w:jc w:val="both"/>
      </w:pPr>
      <w:r w:rsidRPr="00015237">
        <w:t xml:space="preserve">The first case of COVID-19 in Aotearoa New Zealand was reported in February 2020. </w:t>
      </w:r>
      <w:r w:rsidR="001D2509" w:rsidRPr="00015237">
        <w:t>As</w:t>
      </w:r>
      <w:r w:rsidRPr="00015237">
        <w:t xml:space="preserve"> an island state it has been possible to prevent a nationwide and uncontrolled outbreak through strong</w:t>
      </w:r>
      <w:r w:rsidR="00430669">
        <w:t>,</w:t>
      </w:r>
      <w:r w:rsidR="001D2509" w:rsidRPr="00015237">
        <w:t xml:space="preserve"> early</w:t>
      </w:r>
      <w:r w:rsidR="000357C9">
        <w:t xml:space="preserve"> implementation of population-wide</w:t>
      </w:r>
      <w:r w:rsidRPr="00015237">
        <w:t xml:space="preserve"> measures</w:t>
      </w:r>
      <w:r w:rsidR="000357C9">
        <w:t xml:space="preserve"> (for example, to temporarily restrict movement to limit the transmission of the virus and ensure our people are kept safe)</w:t>
      </w:r>
      <w:r w:rsidRPr="00015237">
        <w:t>. To date, our response to COVID-19 has been successful in limiting the spread and impact of the virus and we have suffered very few deaths per capita</w:t>
      </w:r>
      <w:r w:rsidR="00430669">
        <w:t>:</w:t>
      </w:r>
      <w:r w:rsidRPr="00015237">
        <w:t xml:space="preserve"> </w:t>
      </w:r>
      <w:r w:rsidR="00F75CCF">
        <w:t>41</w:t>
      </w:r>
      <w:r w:rsidRPr="00015237">
        <w:t xml:space="preserve"> in total (as of </w:t>
      </w:r>
      <w:r w:rsidR="00F75CCF">
        <w:t>23</w:t>
      </w:r>
      <w:r w:rsidRPr="00015237">
        <w:t xml:space="preserve"> November 2021). </w:t>
      </w:r>
    </w:p>
    <w:p w14:paraId="7B9B121B" w14:textId="6E5B24FF" w:rsidR="00C101B7" w:rsidRPr="00015237" w:rsidRDefault="00C101B7" w:rsidP="006873E0">
      <w:pPr>
        <w:pStyle w:val="ListParagraph"/>
        <w:numPr>
          <w:ilvl w:val="0"/>
          <w:numId w:val="1"/>
        </w:numPr>
        <w:spacing w:before="220" w:after="0" w:line="259" w:lineRule="auto"/>
        <w:ind w:left="709" w:hanging="709"/>
        <w:contextualSpacing w:val="0"/>
        <w:jc w:val="both"/>
      </w:pPr>
      <w:r w:rsidRPr="00015237">
        <w:t xml:space="preserve">Nevertheless, the COVID-19 pandemic response has presented significant and ongoing challenges for </w:t>
      </w:r>
      <w:r w:rsidR="00D849B8" w:rsidRPr="00015237">
        <w:t>Aotearoa</w:t>
      </w:r>
      <w:r w:rsidR="00D849B8" w:rsidRPr="00015237">
        <w:rPr>
          <w:lang w:val="en-NZ"/>
        </w:rPr>
        <w:t xml:space="preserve"> </w:t>
      </w:r>
      <w:r w:rsidRPr="000357C9">
        <w:rPr>
          <w:lang w:val="en-NZ"/>
        </w:rPr>
        <w:t>New</w:t>
      </w:r>
      <w:r w:rsidRPr="00015237">
        <w:t xml:space="preserve"> Zealand. As in most countries, the aim to protect people’s lives and health has required placing limits on other human rights and freedoms in an unprecedented way.</w:t>
      </w:r>
      <w:r w:rsidR="000357C9">
        <w:t xml:space="preserve"> For example, the guaranteed entry to New Zealand citizens under the New Zealand Bill of Rights Act</w:t>
      </w:r>
      <w:r w:rsidR="00430669">
        <w:t xml:space="preserve"> 1990</w:t>
      </w:r>
      <w:r w:rsidR="000357C9">
        <w:t xml:space="preserve"> has been moderated to control the flow of the virus and this tension will remain as borders are progressively </w:t>
      </w:r>
      <w:r w:rsidR="000F7C45">
        <w:t>remove</w:t>
      </w:r>
      <w:r w:rsidR="000357C9">
        <w:t>d.</w:t>
      </w:r>
      <w:r w:rsidRPr="00015237">
        <w:t xml:space="preserve"> </w:t>
      </w:r>
      <w:r w:rsidR="00B40568" w:rsidRPr="00015237">
        <w:t xml:space="preserve">Relevant legislation includes </w:t>
      </w:r>
      <w:r w:rsidRPr="00015237">
        <w:t xml:space="preserve">safeguards to ensure limitations on human rights remain justified and proportionate. </w:t>
      </w:r>
    </w:p>
    <w:p w14:paraId="6E232D7E" w14:textId="7A5434B5" w:rsidR="00C101B7" w:rsidRPr="00015237" w:rsidRDefault="00B40568" w:rsidP="006873E0">
      <w:pPr>
        <w:pStyle w:val="ListParagraph"/>
        <w:numPr>
          <w:ilvl w:val="0"/>
          <w:numId w:val="1"/>
        </w:numPr>
        <w:spacing w:before="220" w:after="0" w:line="259" w:lineRule="auto"/>
        <w:ind w:left="709" w:hanging="709"/>
        <w:contextualSpacing w:val="0"/>
        <w:jc w:val="both"/>
      </w:pPr>
      <w:r w:rsidRPr="00015237">
        <w:t xml:space="preserve">The </w:t>
      </w:r>
      <w:r w:rsidR="00C101B7" w:rsidRPr="000357C9">
        <w:rPr>
          <w:lang w:val="en-NZ"/>
        </w:rPr>
        <w:t>Government’s</w:t>
      </w:r>
      <w:r w:rsidR="00C101B7" w:rsidRPr="00015237">
        <w:t xml:space="preserve"> response to </w:t>
      </w:r>
      <w:r w:rsidRPr="00015237">
        <w:t xml:space="preserve">COVID-19 </w:t>
      </w:r>
      <w:r w:rsidR="00C101B7" w:rsidRPr="00015237">
        <w:t>naturally has effects on the economy and many other sectors, such as employment, education and health. However, the overall public support for measures taken</w:t>
      </w:r>
      <w:r w:rsidR="000357C9">
        <w:t xml:space="preserve"> has been strong</w:t>
      </w:r>
      <w:r w:rsidR="00C101B7" w:rsidRPr="00015237">
        <w:t xml:space="preserve"> and co-operation with these remain</w:t>
      </w:r>
      <w:r w:rsidR="00691A27">
        <w:t>s</w:t>
      </w:r>
      <w:r w:rsidR="00C101B7" w:rsidRPr="00015237">
        <w:t xml:space="preserve"> strong.</w:t>
      </w:r>
    </w:p>
    <w:p w14:paraId="357780FB" w14:textId="0B76F19A" w:rsidR="00C101B7" w:rsidRPr="00015237" w:rsidRDefault="00C101B7" w:rsidP="006873E0">
      <w:pPr>
        <w:pStyle w:val="ListParagraph"/>
        <w:numPr>
          <w:ilvl w:val="0"/>
          <w:numId w:val="1"/>
        </w:numPr>
        <w:spacing w:before="220" w:after="0" w:line="259" w:lineRule="auto"/>
        <w:ind w:left="709" w:hanging="709"/>
        <w:contextualSpacing w:val="0"/>
        <w:jc w:val="both"/>
      </w:pPr>
      <w:r w:rsidRPr="00015237">
        <w:t xml:space="preserve">Our </w:t>
      </w:r>
      <w:r w:rsidRPr="000357C9">
        <w:rPr>
          <w:lang w:val="en-NZ"/>
        </w:rPr>
        <w:t>management</w:t>
      </w:r>
      <w:r w:rsidRPr="00015237">
        <w:t xml:space="preserve"> of internal outbreaks and plans to reconnect with the world continue to </w:t>
      </w:r>
      <w:r w:rsidR="00DC4FE9" w:rsidRPr="00015237">
        <w:t>evolve and</w:t>
      </w:r>
      <w:r w:rsidRPr="00015237">
        <w:t xml:space="preserve"> adapt to </w:t>
      </w:r>
      <w:r w:rsidR="00CF4CC2" w:rsidRPr="00015237">
        <w:t xml:space="preserve">the </w:t>
      </w:r>
      <w:r w:rsidRPr="00015237">
        <w:t xml:space="preserve">changing situation. Reallocation of Government resources to respond to the pandemic has </w:t>
      </w:r>
      <w:r w:rsidR="00FA2307">
        <w:t xml:space="preserve">affected the </w:t>
      </w:r>
      <w:r w:rsidRPr="00015237">
        <w:t>priorit</w:t>
      </w:r>
      <w:r w:rsidR="00FA2307">
        <w:t>y of</w:t>
      </w:r>
      <w:r w:rsidRPr="00015237">
        <w:t xml:space="preserve"> some work </w:t>
      </w:r>
      <w:r w:rsidR="00FA2307">
        <w:t>relevant to</w:t>
      </w:r>
      <w:r w:rsidRPr="00015237">
        <w:t xml:space="preserve"> the UPR recommendations. </w:t>
      </w:r>
    </w:p>
    <w:p w14:paraId="1585C33D" w14:textId="7EC979C7" w:rsidR="00C173DD" w:rsidRPr="00015237" w:rsidRDefault="00F362F0" w:rsidP="006873E0">
      <w:pPr>
        <w:pStyle w:val="ListParagraph"/>
        <w:numPr>
          <w:ilvl w:val="0"/>
          <w:numId w:val="1"/>
        </w:numPr>
        <w:spacing w:before="220" w:after="0" w:line="259" w:lineRule="auto"/>
        <w:ind w:left="709" w:hanging="709"/>
        <w:contextualSpacing w:val="0"/>
        <w:jc w:val="both"/>
      </w:pPr>
      <w:r>
        <w:t>Nevertheless, w</w:t>
      </w:r>
      <w:r w:rsidR="00C101B7" w:rsidRPr="00015237">
        <w:t xml:space="preserve">e have </w:t>
      </w:r>
      <w:r w:rsidR="00C101B7" w:rsidRPr="000357C9">
        <w:rPr>
          <w:lang w:val="en-NZ"/>
        </w:rPr>
        <w:t>made</w:t>
      </w:r>
      <w:r w:rsidR="00C101B7" w:rsidRPr="00015237">
        <w:t xml:space="preserve"> </w:t>
      </w:r>
      <w:r>
        <w:t xml:space="preserve">substantial </w:t>
      </w:r>
      <w:r w:rsidR="00C101B7" w:rsidRPr="00015237">
        <w:t xml:space="preserve">progress </w:t>
      </w:r>
      <w:r>
        <w:t>since 2019</w:t>
      </w:r>
      <w:r w:rsidR="00C101B7" w:rsidRPr="00015237">
        <w:t xml:space="preserve">. </w:t>
      </w:r>
      <w:r w:rsidR="00FA2307">
        <w:t>T</w:t>
      </w:r>
      <w:r w:rsidR="00C101B7" w:rsidRPr="00015237">
        <w:t>h</w:t>
      </w:r>
      <w:r w:rsidR="00FA2307">
        <w:t>is</w:t>
      </w:r>
      <w:r w:rsidR="00C101B7" w:rsidRPr="00015237">
        <w:t xml:space="preserve"> mid-term report </w:t>
      </w:r>
      <w:r w:rsidR="00B13A27">
        <w:t>describes</w:t>
      </w:r>
      <w:r w:rsidR="00C101B7" w:rsidRPr="00015237">
        <w:t xml:space="preserve"> th</w:t>
      </w:r>
      <w:r>
        <w:t>at</w:t>
      </w:r>
      <w:r w:rsidR="00C101B7" w:rsidRPr="00015237">
        <w:t xml:space="preserve"> progress </w:t>
      </w:r>
      <w:r>
        <w:t>in</w:t>
      </w:r>
      <w:r w:rsidR="00C101B7" w:rsidRPr="00015237">
        <w:t xml:space="preserve"> five</w:t>
      </w:r>
      <w:r w:rsidR="00220A0E" w:rsidRPr="00015237">
        <w:t xml:space="preserve"> </w:t>
      </w:r>
      <w:r w:rsidR="00C101B7" w:rsidRPr="00015237">
        <w:t>themes</w:t>
      </w:r>
      <w:r w:rsidR="00B13A27">
        <w:t xml:space="preserve"> and</w:t>
      </w:r>
      <w:r w:rsidR="00C101B7" w:rsidRPr="00015237">
        <w:t xml:space="preserve"> indicate</w:t>
      </w:r>
      <w:r w:rsidR="00B13A27">
        <w:t>s the</w:t>
      </w:r>
      <w:r w:rsidR="00C101B7" w:rsidRPr="00015237">
        <w:t xml:space="preserve"> relevant recommendations. </w:t>
      </w:r>
      <w:r w:rsidR="00B13A27">
        <w:t>The five</w:t>
      </w:r>
      <w:r w:rsidR="00C101B7" w:rsidRPr="00015237">
        <w:t xml:space="preserve"> themes</w:t>
      </w:r>
      <w:r w:rsidR="00B13A27">
        <w:t xml:space="preserve"> are</w:t>
      </w:r>
      <w:r w:rsidR="00C101B7" w:rsidRPr="00015237">
        <w:t>:</w:t>
      </w:r>
    </w:p>
    <w:p w14:paraId="2C2A2C55" w14:textId="015E30E0" w:rsidR="00C101B7" w:rsidRPr="00015237" w:rsidRDefault="00C101B7" w:rsidP="006873E0">
      <w:pPr>
        <w:pStyle w:val="ListParagraph"/>
        <w:numPr>
          <w:ilvl w:val="1"/>
          <w:numId w:val="1"/>
        </w:numPr>
        <w:spacing w:before="220" w:after="0" w:line="259" w:lineRule="auto"/>
        <w:ind w:left="1134" w:hanging="425"/>
        <w:contextualSpacing w:val="0"/>
        <w:jc w:val="both"/>
      </w:pPr>
      <w:r w:rsidRPr="00015237">
        <w:t>Racism and Discrimination</w:t>
      </w:r>
    </w:p>
    <w:p w14:paraId="68F3721F" w14:textId="77777777" w:rsidR="00C101B7" w:rsidRPr="00015237" w:rsidRDefault="00C101B7" w:rsidP="006873E0">
      <w:pPr>
        <w:pStyle w:val="ListParagraph"/>
        <w:numPr>
          <w:ilvl w:val="1"/>
          <w:numId w:val="1"/>
        </w:numPr>
        <w:spacing w:before="220" w:after="0" w:line="259" w:lineRule="auto"/>
        <w:ind w:left="1134" w:hanging="425"/>
        <w:contextualSpacing w:val="0"/>
        <w:jc w:val="both"/>
      </w:pPr>
      <w:r w:rsidRPr="00015237">
        <w:lastRenderedPageBreak/>
        <w:t xml:space="preserve">Indigenous Rights </w:t>
      </w:r>
    </w:p>
    <w:p w14:paraId="5E6E06C5" w14:textId="77777777" w:rsidR="00C101B7" w:rsidRPr="00015237" w:rsidRDefault="00C101B7" w:rsidP="006873E0">
      <w:pPr>
        <w:pStyle w:val="ListParagraph"/>
        <w:numPr>
          <w:ilvl w:val="1"/>
          <w:numId w:val="1"/>
        </w:numPr>
        <w:spacing w:before="220" w:after="0" w:line="259" w:lineRule="auto"/>
        <w:ind w:left="1134" w:hanging="425"/>
        <w:contextualSpacing w:val="0"/>
        <w:jc w:val="both"/>
      </w:pPr>
      <w:r w:rsidRPr="00015237">
        <w:t xml:space="preserve">Rights of Women </w:t>
      </w:r>
    </w:p>
    <w:p w14:paraId="3E06A8E8" w14:textId="77777777" w:rsidR="00C101B7" w:rsidRPr="00015237" w:rsidRDefault="00C101B7" w:rsidP="006873E0">
      <w:pPr>
        <w:pStyle w:val="ListParagraph"/>
        <w:numPr>
          <w:ilvl w:val="1"/>
          <w:numId w:val="1"/>
        </w:numPr>
        <w:spacing w:before="220" w:after="0" w:line="259" w:lineRule="auto"/>
        <w:ind w:left="1134" w:hanging="425"/>
        <w:contextualSpacing w:val="0"/>
        <w:jc w:val="both"/>
      </w:pPr>
      <w:r w:rsidRPr="00015237">
        <w:t xml:space="preserve">Right to Adequate Housing </w:t>
      </w:r>
    </w:p>
    <w:p w14:paraId="61DDE531" w14:textId="4DAAED53" w:rsidR="00EE09B0" w:rsidRPr="00015237" w:rsidRDefault="00C101B7" w:rsidP="006873E0">
      <w:pPr>
        <w:pStyle w:val="ListParagraph"/>
        <w:numPr>
          <w:ilvl w:val="1"/>
          <w:numId w:val="1"/>
        </w:numPr>
        <w:spacing w:before="220" w:after="0" w:line="259" w:lineRule="auto"/>
        <w:ind w:left="1134" w:hanging="425"/>
        <w:contextualSpacing w:val="0"/>
        <w:jc w:val="both"/>
      </w:pPr>
      <w:r w:rsidRPr="00015237">
        <w:t>Rights of Children</w:t>
      </w:r>
    </w:p>
    <w:p w14:paraId="1DC538A4" w14:textId="7795A558" w:rsidR="008476B9" w:rsidRPr="00015237" w:rsidRDefault="00727C9E" w:rsidP="006873E0">
      <w:pPr>
        <w:pStyle w:val="Heading1"/>
        <w:spacing w:line="276" w:lineRule="auto"/>
      </w:pPr>
      <w:r w:rsidRPr="00015237">
        <w:t xml:space="preserve"> </w:t>
      </w:r>
      <w:r w:rsidR="008476B9" w:rsidRPr="00015237">
        <w:t>Racism and Discrimination</w:t>
      </w:r>
    </w:p>
    <w:p w14:paraId="79FEA47B" w14:textId="3A790953" w:rsidR="009D6CD4" w:rsidRPr="00015237" w:rsidRDefault="00551C9F" w:rsidP="006873E0">
      <w:pPr>
        <w:pStyle w:val="ListParagraph"/>
        <w:numPr>
          <w:ilvl w:val="0"/>
          <w:numId w:val="1"/>
        </w:numPr>
        <w:spacing w:before="220" w:after="0" w:line="259" w:lineRule="auto"/>
        <w:ind w:left="709" w:hanging="709"/>
        <w:contextualSpacing w:val="0"/>
        <w:jc w:val="both"/>
      </w:pPr>
      <w:r w:rsidRPr="00015237">
        <w:t xml:space="preserve">Aotearoa </w:t>
      </w:r>
      <w:r w:rsidR="003F6E46" w:rsidRPr="00015237">
        <w:t>New Zealand</w:t>
      </w:r>
      <w:r w:rsidR="00B66657" w:rsidRPr="00015237">
        <w:t xml:space="preserve"> has developed a unique national identity</w:t>
      </w:r>
      <w:r w:rsidR="00691A27">
        <w:t xml:space="preserve"> as</w:t>
      </w:r>
      <w:r w:rsidR="000F7C45">
        <w:t xml:space="preserve"> a</w:t>
      </w:r>
      <w:r w:rsidR="00691A27">
        <w:t xml:space="preserve"> </w:t>
      </w:r>
      <w:r w:rsidR="00691A27" w:rsidRPr="00015237">
        <w:t>diverse bicultural nation</w:t>
      </w:r>
      <w:r w:rsidR="00691A27">
        <w:t xml:space="preserve"> formed by Māori, the indigenous people of Aotearoa New Zealand,</w:t>
      </w:r>
      <w:r w:rsidR="00691A27" w:rsidRPr="00015237">
        <w:t xml:space="preserve"> with </w:t>
      </w:r>
      <w:r w:rsidR="00691A27">
        <w:t>Pā</w:t>
      </w:r>
      <w:r w:rsidR="00691A27" w:rsidRPr="00015237">
        <w:t>keh</w:t>
      </w:r>
      <w:r w:rsidR="00691A27">
        <w:t>ā</w:t>
      </w:r>
      <w:r w:rsidR="00691A27" w:rsidRPr="00015237">
        <w:t xml:space="preserve"> (European)</w:t>
      </w:r>
      <w:r w:rsidR="00691A27">
        <w:t>,</w:t>
      </w:r>
      <w:r w:rsidR="00691A27" w:rsidRPr="00015237">
        <w:t xml:space="preserve"> </w:t>
      </w:r>
      <w:r w:rsidR="000F7C45">
        <w:t>and</w:t>
      </w:r>
      <w:r w:rsidR="00691A27">
        <w:t xml:space="preserve"> a rich diversity of ethnicities of </w:t>
      </w:r>
      <w:r w:rsidR="00B66657" w:rsidRPr="00015237">
        <w:t>Asian, African, and American communities</w:t>
      </w:r>
      <w:r w:rsidR="003F6E46" w:rsidRPr="00015237">
        <w:t xml:space="preserve">. New Zealand law </w:t>
      </w:r>
      <w:r w:rsidR="005E7C49" w:rsidRPr="00015237">
        <w:t>includes</w:t>
      </w:r>
      <w:r w:rsidR="003F6E46" w:rsidRPr="00015237">
        <w:t xml:space="preserve"> various protections, for example against </w:t>
      </w:r>
      <w:r w:rsidR="003F6E46" w:rsidRPr="00691A27">
        <w:rPr>
          <w:lang w:val="en-NZ"/>
        </w:rPr>
        <w:t>discrimination</w:t>
      </w:r>
      <w:r w:rsidR="003F6E46" w:rsidRPr="00015237">
        <w:t xml:space="preserve"> based on a large number of grounds</w:t>
      </w:r>
      <w:r w:rsidR="00B66657" w:rsidRPr="00015237">
        <w:t>,</w:t>
      </w:r>
      <w:r w:rsidR="003F6E46" w:rsidRPr="00015237">
        <w:t xml:space="preserve"> and against racial hate speech. </w:t>
      </w:r>
      <w:r w:rsidR="00740A89">
        <w:t>H</w:t>
      </w:r>
      <w:r w:rsidR="00740A89" w:rsidRPr="00015237">
        <w:t>owever</w:t>
      </w:r>
      <w:r w:rsidR="00740A89">
        <w:t>,</w:t>
      </w:r>
      <w:r w:rsidR="00740A89" w:rsidRPr="00015237">
        <w:t xml:space="preserve"> there are also challenges </w:t>
      </w:r>
      <w:r w:rsidR="00740A89">
        <w:t>to</w:t>
      </w:r>
      <w:r w:rsidR="00740A89" w:rsidRPr="00015237">
        <w:t xml:space="preserve"> our inclusive and tolerant society</w:t>
      </w:r>
      <w:r w:rsidR="00740A89">
        <w:t xml:space="preserve"> that we are yet to overcome. </w:t>
      </w:r>
      <w:r w:rsidR="00BF61E7" w:rsidRPr="00015237">
        <w:t>T</w:t>
      </w:r>
      <w:r w:rsidR="00974CBF" w:rsidRPr="00015237">
        <w:t xml:space="preserve">he Government </w:t>
      </w:r>
      <w:r w:rsidR="00CF4CC2" w:rsidRPr="00015237">
        <w:t xml:space="preserve">is </w:t>
      </w:r>
      <w:r w:rsidR="003F6E46" w:rsidRPr="00015237">
        <w:t>progress</w:t>
      </w:r>
      <w:r w:rsidR="00CF4CC2" w:rsidRPr="00015237">
        <w:t>ing</w:t>
      </w:r>
      <w:r w:rsidR="003F6E46" w:rsidRPr="00015237">
        <w:t xml:space="preserve"> further work</w:t>
      </w:r>
      <w:r w:rsidR="00974CBF" w:rsidRPr="00015237">
        <w:t xml:space="preserve"> to eliminate discrimination, intolerance and violence</w:t>
      </w:r>
      <w:r w:rsidR="003F6E46" w:rsidRPr="00015237">
        <w:t xml:space="preserve"> of any kind</w:t>
      </w:r>
      <w:r w:rsidR="00974CBF" w:rsidRPr="00015237">
        <w:t>.</w:t>
      </w:r>
      <w:r w:rsidR="008A7CB6" w:rsidRPr="008A7CB6">
        <w:t xml:space="preserve"> </w:t>
      </w:r>
    </w:p>
    <w:p w14:paraId="1BD20491" w14:textId="016A556E" w:rsidR="009D6CD4" w:rsidRPr="00015237" w:rsidRDefault="00660D02" w:rsidP="006873E0">
      <w:pPr>
        <w:pStyle w:val="Heading2"/>
        <w:jc w:val="both"/>
      </w:pPr>
      <w:r w:rsidRPr="00015237">
        <w:t xml:space="preserve">Royal Commission of Inquiry into the </w:t>
      </w:r>
      <w:r w:rsidR="00220A0E" w:rsidRPr="00015237">
        <w:t xml:space="preserve">terrorist attack on Christchurch masjidain </w:t>
      </w:r>
    </w:p>
    <w:p w14:paraId="0B488CBA" w14:textId="208BAE45" w:rsidR="00974CBF" w:rsidRPr="00015237" w:rsidRDefault="00953752" w:rsidP="006873E0">
      <w:pPr>
        <w:pStyle w:val="ListParagraph"/>
        <w:numPr>
          <w:ilvl w:val="0"/>
          <w:numId w:val="1"/>
        </w:numPr>
        <w:spacing w:before="220" w:after="0" w:line="259" w:lineRule="auto"/>
        <w:ind w:left="709" w:hanging="709"/>
        <w:contextualSpacing w:val="0"/>
        <w:jc w:val="both"/>
      </w:pPr>
      <w:r>
        <w:t xml:space="preserve">Much of this work has come out of the inquiry into the 15 March 2019 terrorist attack. </w:t>
      </w:r>
      <w:r w:rsidR="00387F0F">
        <w:t>T</w:t>
      </w:r>
      <w:r w:rsidR="00430669">
        <w:t>his</w:t>
      </w:r>
      <w:r w:rsidR="00387F0F">
        <w:t xml:space="preserve"> </w:t>
      </w:r>
      <w:r w:rsidR="00974CBF" w:rsidRPr="00015237">
        <w:t xml:space="preserve">attack in Christchurch claimed the lives of 51 </w:t>
      </w:r>
      <w:r>
        <w:t xml:space="preserve">Muslim New </w:t>
      </w:r>
      <w:r w:rsidR="009A10A4">
        <w:t>Zealanders</w:t>
      </w:r>
      <w:r w:rsidR="009A10A4" w:rsidRPr="00015237">
        <w:t xml:space="preserve"> and</w:t>
      </w:r>
      <w:r w:rsidRPr="00015237">
        <w:t xml:space="preserve"> left </w:t>
      </w:r>
      <w:r>
        <w:t xml:space="preserve">a further </w:t>
      </w:r>
      <w:r w:rsidRPr="00015237">
        <w:t>40</w:t>
      </w:r>
      <w:r>
        <w:t xml:space="preserve"> </w:t>
      </w:r>
      <w:r w:rsidR="00974CBF" w:rsidRPr="00015237">
        <w:t xml:space="preserve">injured. The </w:t>
      </w:r>
      <w:r w:rsidR="003F6E46" w:rsidRPr="00015237">
        <w:t xml:space="preserve">now convicted </w:t>
      </w:r>
      <w:r w:rsidR="00974CBF" w:rsidRPr="00015237">
        <w:t>terrorist</w:t>
      </w:r>
      <w:r w:rsidR="003F6E46" w:rsidRPr="00015237">
        <w:t xml:space="preserve"> and murderer</w:t>
      </w:r>
      <w:r w:rsidR="00974CBF" w:rsidRPr="00015237">
        <w:t xml:space="preserve"> had an extremist right-wing Islamophobic ideology and the attack influenced a nation-wide conversation about racism in </w:t>
      </w:r>
      <w:r w:rsidR="00D849B8" w:rsidRPr="00015237">
        <w:t>Aotearoa</w:t>
      </w:r>
      <w:r w:rsidR="00D849B8" w:rsidRPr="00015237">
        <w:rPr>
          <w:lang w:val="en-NZ"/>
        </w:rPr>
        <w:t xml:space="preserve"> </w:t>
      </w:r>
      <w:r w:rsidR="00974CBF" w:rsidRPr="00015237">
        <w:t>New Zealand. The Government established a</w:t>
      </w:r>
      <w:r w:rsidR="003F6E46" w:rsidRPr="00015237">
        <w:t>n independent</w:t>
      </w:r>
      <w:r w:rsidR="00974CBF" w:rsidRPr="00015237">
        <w:t xml:space="preserve"> Royal Commission</w:t>
      </w:r>
      <w:r w:rsidR="00907A55" w:rsidRPr="00015237">
        <w:t xml:space="preserve"> of Inquiry</w:t>
      </w:r>
      <w:r w:rsidR="00974CBF" w:rsidRPr="00015237">
        <w:t xml:space="preserve"> </w:t>
      </w:r>
      <w:r w:rsidR="00907A55" w:rsidRPr="00015237">
        <w:t xml:space="preserve">(the </w:t>
      </w:r>
      <w:r>
        <w:t xml:space="preserve">Royal </w:t>
      </w:r>
      <w:r w:rsidR="00907A55" w:rsidRPr="00015237">
        <w:t xml:space="preserve">Commission) </w:t>
      </w:r>
      <w:r w:rsidR="00974CBF" w:rsidRPr="00015237">
        <w:t xml:space="preserve">to investigate </w:t>
      </w:r>
      <w:r w:rsidR="003F6E46" w:rsidRPr="00015237">
        <w:t>the event and make recommendations to the Government</w:t>
      </w:r>
      <w:r w:rsidR="00974CBF" w:rsidRPr="00015237">
        <w:t xml:space="preserve">. </w:t>
      </w:r>
    </w:p>
    <w:p w14:paraId="7A6F8C49" w14:textId="5CE4B515" w:rsidR="005122C2" w:rsidRPr="00015237" w:rsidRDefault="00974CBF" w:rsidP="006873E0">
      <w:pPr>
        <w:pStyle w:val="ListParagraph"/>
        <w:numPr>
          <w:ilvl w:val="0"/>
          <w:numId w:val="1"/>
        </w:numPr>
        <w:spacing w:before="220" w:after="0" w:line="259" w:lineRule="auto"/>
        <w:ind w:left="709" w:hanging="709"/>
        <w:contextualSpacing w:val="0"/>
        <w:jc w:val="both"/>
        <w:rPr>
          <w:lang w:val="en-NZ"/>
        </w:rPr>
      </w:pPr>
      <w:r w:rsidRPr="00015237">
        <w:t>The inquiry report</w:t>
      </w:r>
      <w:r w:rsidR="00B625AD">
        <w:t xml:space="preserve">, </w:t>
      </w:r>
      <w:r w:rsidRPr="003618E5">
        <w:rPr>
          <w:i/>
          <w:iCs/>
        </w:rPr>
        <w:t>Ko tō tatou kāinga tēnei</w:t>
      </w:r>
      <w:r w:rsidRPr="00015237">
        <w:t xml:space="preserve"> </w:t>
      </w:r>
      <w:r w:rsidRPr="00015237">
        <w:rPr>
          <w:lang w:val="en-NZ"/>
        </w:rPr>
        <w:t>was p</w:t>
      </w:r>
      <w:r w:rsidR="003F6E46" w:rsidRPr="00015237">
        <w:rPr>
          <w:lang w:val="en-NZ"/>
        </w:rPr>
        <w:t>ublished in</w:t>
      </w:r>
      <w:r w:rsidRPr="00015237">
        <w:rPr>
          <w:lang w:val="en-NZ"/>
        </w:rPr>
        <w:t xml:space="preserve"> December</w:t>
      </w:r>
      <w:r w:rsidR="003F6E46" w:rsidRPr="00015237">
        <w:rPr>
          <w:lang w:val="en-NZ"/>
        </w:rPr>
        <w:t xml:space="preserve"> 2020</w:t>
      </w:r>
      <w:r w:rsidRPr="00015237">
        <w:rPr>
          <w:lang w:val="en-NZ"/>
        </w:rPr>
        <w:t xml:space="preserve">. </w:t>
      </w:r>
      <w:r w:rsidR="00910207" w:rsidRPr="00015237">
        <w:rPr>
          <w:lang w:val="en-NZ"/>
        </w:rPr>
        <w:t xml:space="preserve">While the </w:t>
      </w:r>
      <w:r w:rsidR="00907A55" w:rsidRPr="00015237">
        <w:rPr>
          <w:lang w:val="en-NZ"/>
        </w:rPr>
        <w:t xml:space="preserve">Royal </w:t>
      </w:r>
      <w:r w:rsidR="00910207" w:rsidRPr="00015237">
        <w:rPr>
          <w:lang w:val="en-NZ"/>
        </w:rPr>
        <w:t xml:space="preserve">Commission </w:t>
      </w:r>
      <w:r w:rsidR="00910207" w:rsidRPr="000357C9">
        <w:t>did</w:t>
      </w:r>
      <w:r w:rsidR="00910207" w:rsidRPr="00015237">
        <w:rPr>
          <w:lang w:val="en-NZ"/>
        </w:rPr>
        <w:t xml:space="preserve"> not find any failures within Government agencies that would have allowed the planning and preparation of the attack to be detected, it did identify many lessons to be learnt and some areas where significant changes are needed. It made 44 recommendations for changes all of which the Government accepted in principle</w:t>
      </w:r>
      <w:r w:rsidR="00D877FA" w:rsidRPr="00015237">
        <w:rPr>
          <w:lang w:val="en-NZ"/>
        </w:rPr>
        <w:t>, including</w:t>
      </w:r>
      <w:r w:rsidR="00910207" w:rsidRPr="00015237">
        <w:rPr>
          <w:lang w:val="en-NZ"/>
        </w:rPr>
        <w:t>:</w:t>
      </w:r>
    </w:p>
    <w:p w14:paraId="662DFC67" w14:textId="57DCF3DE" w:rsidR="005122C2" w:rsidRPr="000357C9" w:rsidRDefault="004A1F79" w:rsidP="006873E0">
      <w:pPr>
        <w:pStyle w:val="ListParagraph"/>
        <w:numPr>
          <w:ilvl w:val="1"/>
          <w:numId w:val="1"/>
        </w:numPr>
        <w:spacing w:before="220" w:after="0" w:line="259" w:lineRule="auto"/>
        <w:ind w:left="1134" w:hanging="425"/>
        <w:contextualSpacing w:val="0"/>
        <w:jc w:val="both"/>
      </w:pPr>
      <w:r w:rsidRPr="000357C9">
        <w:t>I</w:t>
      </w:r>
      <w:r w:rsidR="00910207" w:rsidRPr="000357C9">
        <w:t>mproving</w:t>
      </w:r>
      <w:r>
        <w:t xml:space="preserve"> Aotearoa </w:t>
      </w:r>
      <w:r w:rsidR="00C003A7" w:rsidRPr="000357C9">
        <w:t>N</w:t>
      </w:r>
      <w:r w:rsidR="00910207" w:rsidRPr="000357C9">
        <w:t>ew Zealand’s counter-terrorism effort;</w:t>
      </w:r>
    </w:p>
    <w:p w14:paraId="086DE848" w14:textId="2B6253B0" w:rsidR="005122C2" w:rsidRPr="000357C9" w:rsidRDefault="00907A55" w:rsidP="006873E0">
      <w:pPr>
        <w:pStyle w:val="ListParagraph"/>
        <w:numPr>
          <w:ilvl w:val="1"/>
          <w:numId w:val="1"/>
        </w:numPr>
        <w:spacing w:before="220" w:after="0" w:line="259" w:lineRule="auto"/>
        <w:ind w:left="1134" w:hanging="425"/>
        <w:contextualSpacing w:val="0"/>
        <w:jc w:val="both"/>
      </w:pPr>
      <w:r w:rsidRPr="000357C9">
        <w:t>i</w:t>
      </w:r>
      <w:r w:rsidR="00910207" w:rsidRPr="000357C9">
        <w:t xml:space="preserve">mproving </w:t>
      </w:r>
      <w:r w:rsidR="004A1F79">
        <w:t>Aotearoa</w:t>
      </w:r>
      <w:r w:rsidR="004A1F79" w:rsidRPr="000357C9">
        <w:t xml:space="preserve"> </w:t>
      </w:r>
      <w:r w:rsidR="00910207" w:rsidRPr="000357C9">
        <w:t>New Zealand’s firearms licensing system;</w:t>
      </w:r>
    </w:p>
    <w:p w14:paraId="61EE1F8A" w14:textId="761E27C9" w:rsidR="005122C2" w:rsidRPr="000357C9" w:rsidRDefault="00907A55" w:rsidP="006873E0">
      <w:pPr>
        <w:pStyle w:val="ListParagraph"/>
        <w:numPr>
          <w:ilvl w:val="1"/>
          <w:numId w:val="1"/>
        </w:numPr>
        <w:spacing w:before="220" w:after="0" w:line="259" w:lineRule="auto"/>
        <w:ind w:left="1134" w:hanging="425"/>
        <w:contextualSpacing w:val="0"/>
        <w:jc w:val="both"/>
      </w:pPr>
      <w:r w:rsidRPr="000357C9">
        <w:t>s</w:t>
      </w:r>
      <w:r w:rsidR="00910207" w:rsidRPr="000357C9">
        <w:t>upporting the ongoing recovery needs of affected families, survivors and witnesses;</w:t>
      </w:r>
    </w:p>
    <w:p w14:paraId="47D7D108" w14:textId="5235FFB5" w:rsidR="00910207" w:rsidRPr="001E4266" w:rsidRDefault="00907A55" w:rsidP="006873E0">
      <w:pPr>
        <w:pStyle w:val="ListParagraph"/>
        <w:numPr>
          <w:ilvl w:val="1"/>
          <w:numId w:val="1"/>
        </w:numPr>
        <w:spacing w:before="220" w:after="0" w:line="259" w:lineRule="auto"/>
        <w:ind w:left="1134" w:hanging="425"/>
        <w:contextualSpacing w:val="0"/>
        <w:jc w:val="both"/>
        <w:rPr>
          <w:lang w:val="en-NZ"/>
        </w:rPr>
      </w:pPr>
      <w:r w:rsidRPr="000357C9">
        <w:t>i</w:t>
      </w:r>
      <w:r w:rsidR="00910207" w:rsidRPr="000357C9">
        <w:t xml:space="preserve">mproving </w:t>
      </w:r>
      <w:r w:rsidR="004A1F79">
        <w:t>Aotearoa</w:t>
      </w:r>
      <w:r w:rsidR="004A1F79" w:rsidRPr="000357C9">
        <w:t xml:space="preserve"> </w:t>
      </w:r>
      <w:r w:rsidR="00910207" w:rsidRPr="000357C9">
        <w:t>New Zealand’s response to our increasingly diverse population.</w:t>
      </w:r>
    </w:p>
    <w:p w14:paraId="61F7BA86" w14:textId="63819593" w:rsidR="00DC4FE9" w:rsidRPr="001E4266" w:rsidRDefault="00910207" w:rsidP="006873E0">
      <w:pPr>
        <w:pStyle w:val="ListParagraph"/>
        <w:numPr>
          <w:ilvl w:val="0"/>
          <w:numId w:val="1"/>
        </w:numPr>
        <w:spacing w:before="220" w:after="0" w:line="259" w:lineRule="auto"/>
        <w:ind w:left="709" w:hanging="709"/>
        <w:contextualSpacing w:val="0"/>
        <w:jc w:val="both"/>
        <w:rPr>
          <w:lang w:val="en-NZ"/>
        </w:rPr>
      </w:pPr>
      <w:r w:rsidRPr="00015237">
        <w:rPr>
          <w:lang w:val="en-NZ"/>
        </w:rPr>
        <w:t>A significant</w:t>
      </w:r>
      <w:r w:rsidR="00953752">
        <w:rPr>
          <w:lang w:val="en-NZ"/>
        </w:rPr>
        <w:t>,</w:t>
      </w:r>
      <w:r w:rsidRPr="00015237">
        <w:rPr>
          <w:lang w:val="en-NZ"/>
        </w:rPr>
        <w:t xml:space="preserve"> multi-year programme of work is now underway to implement the recommendations and the broader intent of the report and fulfil the Government’s vision for a diverse, inclusive and safe</w:t>
      </w:r>
      <w:r w:rsidR="00D849B8" w:rsidRPr="00015237">
        <w:t xml:space="preserve"> Aotearoa</w:t>
      </w:r>
      <w:r w:rsidRPr="00015237">
        <w:rPr>
          <w:lang w:val="en-NZ"/>
        </w:rPr>
        <w:t xml:space="preserve"> New Zealand. </w:t>
      </w:r>
    </w:p>
    <w:p w14:paraId="4CCE323F" w14:textId="7D5426A7" w:rsidR="000B6A28" w:rsidRPr="001E4266" w:rsidRDefault="00910207" w:rsidP="006873E0">
      <w:pPr>
        <w:pStyle w:val="ListParagraph"/>
        <w:numPr>
          <w:ilvl w:val="0"/>
          <w:numId w:val="1"/>
        </w:numPr>
        <w:spacing w:before="220" w:after="0" w:line="259" w:lineRule="auto"/>
        <w:ind w:left="709" w:hanging="709"/>
        <w:contextualSpacing w:val="0"/>
        <w:jc w:val="both"/>
        <w:rPr>
          <w:lang w:val="en-NZ"/>
        </w:rPr>
      </w:pPr>
      <w:r w:rsidRPr="00015237">
        <w:rPr>
          <w:lang w:val="en-NZ"/>
        </w:rPr>
        <w:t xml:space="preserve">The Government </w:t>
      </w:r>
      <w:r w:rsidR="001E3ABC" w:rsidRPr="00015237">
        <w:rPr>
          <w:lang w:val="en-NZ"/>
        </w:rPr>
        <w:t>is committed to</w:t>
      </w:r>
      <w:r w:rsidRPr="00015237">
        <w:rPr>
          <w:lang w:val="en-NZ"/>
        </w:rPr>
        <w:t xml:space="preserve"> working with communities and interest groups across </w:t>
      </w:r>
      <w:r w:rsidR="00D849B8" w:rsidRPr="00015237">
        <w:t>Aotearoa</w:t>
      </w:r>
      <w:r w:rsidR="00D849B8" w:rsidRPr="00015237">
        <w:rPr>
          <w:lang w:val="en-NZ"/>
        </w:rPr>
        <w:t xml:space="preserve"> </w:t>
      </w:r>
      <w:r w:rsidRPr="00015237">
        <w:rPr>
          <w:lang w:val="en-NZ"/>
        </w:rPr>
        <w:t>New Zealand as it responds to the Royal Commission</w:t>
      </w:r>
      <w:r w:rsidR="00C003A7" w:rsidRPr="00015237">
        <w:rPr>
          <w:lang w:val="en-NZ"/>
        </w:rPr>
        <w:t>’s report</w:t>
      </w:r>
      <w:r w:rsidRPr="00015237">
        <w:rPr>
          <w:lang w:val="en-NZ"/>
        </w:rPr>
        <w:t xml:space="preserve">. Te Tiriti and its principles also guide the response. Working with communities will help to strengthen New Zealand’s counter-terrorism efforts and foster a more inclusive society. </w:t>
      </w:r>
      <w:r w:rsidR="00F85C69" w:rsidRPr="00015237">
        <w:rPr>
          <w:lang w:val="en-NZ"/>
        </w:rPr>
        <w:t>Extensive engagement with communities has taken place since the Royal Commission report was published.</w:t>
      </w:r>
    </w:p>
    <w:p w14:paraId="033CBDFF" w14:textId="1FC69801" w:rsidR="00602737" w:rsidRPr="00015237" w:rsidRDefault="00602737" w:rsidP="006873E0">
      <w:pPr>
        <w:pStyle w:val="ListParagraph"/>
        <w:numPr>
          <w:ilvl w:val="0"/>
          <w:numId w:val="1"/>
        </w:numPr>
        <w:spacing w:before="220" w:after="0" w:line="259" w:lineRule="auto"/>
        <w:ind w:left="709" w:hanging="709"/>
        <w:contextualSpacing w:val="0"/>
        <w:jc w:val="both"/>
      </w:pPr>
      <w:r w:rsidRPr="00015237">
        <w:rPr>
          <w:lang w:val="en-NZ"/>
        </w:rPr>
        <w:lastRenderedPageBreak/>
        <w:t>Much of the immediate and longer</w:t>
      </w:r>
      <w:r w:rsidR="00551C9F" w:rsidRPr="00015237">
        <w:rPr>
          <w:lang w:val="en-NZ"/>
        </w:rPr>
        <w:t>-</w:t>
      </w:r>
      <w:r w:rsidRPr="00015237">
        <w:rPr>
          <w:lang w:val="en-NZ"/>
        </w:rPr>
        <w:t xml:space="preserve">term work to strengthen protections against discrimination and racism is directly linked to the events in Christchurch and the Government’s response to it. </w:t>
      </w:r>
      <w:r w:rsidR="00C64D06" w:rsidRPr="00015237">
        <w:rPr>
          <w:lang w:val="en-NZ"/>
        </w:rPr>
        <w:t>Some key actions are outlined below.</w:t>
      </w:r>
    </w:p>
    <w:p w14:paraId="3E921500" w14:textId="053C833C" w:rsidR="00285E26" w:rsidRPr="00015237" w:rsidRDefault="00C64D06" w:rsidP="006873E0">
      <w:pPr>
        <w:pStyle w:val="Heading2"/>
        <w:spacing w:line="276" w:lineRule="auto"/>
        <w:jc w:val="both"/>
        <w:rPr>
          <w:lang w:val="en-NZ"/>
        </w:rPr>
      </w:pPr>
      <w:r w:rsidRPr="00015237">
        <w:rPr>
          <w:lang w:val="en-NZ"/>
        </w:rPr>
        <w:t>Anti-terrorism</w:t>
      </w:r>
      <w:r w:rsidR="005871F6" w:rsidRPr="00015237">
        <w:rPr>
          <w:lang w:val="en-NZ"/>
        </w:rPr>
        <w:t>,</w:t>
      </w:r>
      <w:r w:rsidRPr="00015237">
        <w:rPr>
          <w:lang w:val="en-NZ"/>
        </w:rPr>
        <w:t xml:space="preserve"> national security laws</w:t>
      </w:r>
      <w:r w:rsidR="005871F6" w:rsidRPr="00015237">
        <w:rPr>
          <w:lang w:val="en-NZ"/>
        </w:rPr>
        <w:t xml:space="preserve"> and online extremism protections</w:t>
      </w:r>
    </w:p>
    <w:p w14:paraId="616B73DB" w14:textId="47F38311" w:rsidR="00817F24" w:rsidRPr="00015237" w:rsidRDefault="00953752" w:rsidP="006873E0">
      <w:pPr>
        <w:keepNext/>
        <w:spacing w:before="240" w:line="276" w:lineRule="auto"/>
        <w:jc w:val="both"/>
      </w:pPr>
      <w:r>
        <w:rPr>
          <w:lang w:val="en-NZ"/>
        </w:rPr>
        <w:t xml:space="preserve">UPR </w:t>
      </w:r>
      <w:r w:rsidR="005E7C49" w:rsidRPr="00015237">
        <w:rPr>
          <w:lang w:val="en-NZ"/>
        </w:rPr>
        <w:t>R</w:t>
      </w:r>
      <w:r w:rsidR="005871F6" w:rsidRPr="00015237">
        <w:rPr>
          <w:lang w:val="en-NZ"/>
        </w:rPr>
        <w:t>ecommendation</w:t>
      </w:r>
      <w:r w:rsidR="005A665B" w:rsidRPr="00015237">
        <w:rPr>
          <w:lang w:val="en-NZ"/>
        </w:rPr>
        <w:t>:</w:t>
      </w:r>
      <w:r w:rsidR="005871F6" w:rsidRPr="00015237">
        <w:rPr>
          <w:lang w:val="en-NZ"/>
        </w:rPr>
        <w:t xml:space="preserve"> 59</w:t>
      </w:r>
    </w:p>
    <w:p w14:paraId="0A9CBBD9" w14:textId="4C1454C0" w:rsidR="00D91142" w:rsidRPr="00015237" w:rsidRDefault="00C64D06" w:rsidP="006873E0">
      <w:pPr>
        <w:pStyle w:val="ListParagraph"/>
        <w:numPr>
          <w:ilvl w:val="0"/>
          <w:numId w:val="1"/>
        </w:numPr>
        <w:spacing w:before="220" w:after="0" w:line="259" w:lineRule="auto"/>
        <w:ind w:left="709" w:hanging="709"/>
        <w:contextualSpacing w:val="0"/>
        <w:jc w:val="both"/>
      </w:pPr>
      <w:r w:rsidRPr="00015237">
        <w:t xml:space="preserve">As </w:t>
      </w:r>
      <w:r w:rsidRPr="008B0AE9">
        <w:rPr>
          <w:lang w:val="en-NZ"/>
        </w:rPr>
        <w:t>recommended</w:t>
      </w:r>
      <w:r w:rsidRPr="00015237">
        <w:t xml:space="preserve"> by the </w:t>
      </w:r>
      <w:r w:rsidR="00D91142" w:rsidRPr="00015237">
        <w:t xml:space="preserve">Royal Commission, the Government </w:t>
      </w:r>
      <w:r w:rsidR="005871F6" w:rsidRPr="00015237">
        <w:t>is progressing work to</w:t>
      </w:r>
      <w:r w:rsidR="00D91142" w:rsidRPr="00015237">
        <w:t xml:space="preserve"> review all legislation related to counter-terrorism effort</w:t>
      </w:r>
      <w:r w:rsidR="00C003A7" w:rsidRPr="00015237">
        <w:t>s</w:t>
      </w:r>
      <w:r w:rsidR="00D91142" w:rsidRPr="00015237">
        <w:t>, including the Terrorism Suppression Act 2002, the Intelligence and Security Act 2017 and acceding to the Budapest Convention</w:t>
      </w:r>
      <w:r w:rsidR="00C003A7" w:rsidRPr="00015237">
        <w:t xml:space="preserve"> on Cybercrime (the Budapest Convention)</w:t>
      </w:r>
      <w:r w:rsidR="00D91142" w:rsidRPr="00015237">
        <w:t>.</w:t>
      </w:r>
    </w:p>
    <w:p w14:paraId="59601E04" w14:textId="3C3CBE1A" w:rsidR="00F861AF" w:rsidRPr="00015237" w:rsidRDefault="00D91142" w:rsidP="006873E0">
      <w:pPr>
        <w:pStyle w:val="ListParagraph"/>
        <w:numPr>
          <w:ilvl w:val="0"/>
          <w:numId w:val="1"/>
        </w:numPr>
        <w:spacing w:before="220" w:after="0" w:line="259" w:lineRule="auto"/>
        <w:ind w:left="709" w:hanging="709"/>
        <w:contextualSpacing w:val="0"/>
        <w:jc w:val="both"/>
      </w:pPr>
      <w:r w:rsidRPr="00015237">
        <w:t xml:space="preserve">In October 2021 the Counter-Terrorism Legislation </w:t>
      </w:r>
      <w:r w:rsidR="004F7385">
        <w:t>Act</w:t>
      </w:r>
      <w:r w:rsidRPr="00015237">
        <w:t xml:space="preserve">, which amends the Terrorism Suppression Act 2002, came into force. The Bill included minor changes to the definition of a ‘terrorist act’ to improve its clarity and modernise the definition. The other amendments will ensure New Zealand’s legislative framework supports the earlier management of risks to reduce the danger posed by terrorist attacks and activities that support or enable terrorism. </w:t>
      </w:r>
    </w:p>
    <w:p w14:paraId="1CF5134F" w14:textId="5313CC77" w:rsidR="005871F6" w:rsidRPr="00015237" w:rsidRDefault="00F861AF" w:rsidP="006873E0">
      <w:pPr>
        <w:pStyle w:val="ListParagraph"/>
        <w:numPr>
          <w:ilvl w:val="0"/>
          <w:numId w:val="1"/>
        </w:numPr>
        <w:spacing w:before="220" w:after="0" w:line="259" w:lineRule="auto"/>
        <w:ind w:left="709" w:hanging="709"/>
        <w:contextualSpacing w:val="0"/>
        <w:jc w:val="both"/>
      </w:pPr>
      <w:r w:rsidRPr="00015237">
        <w:t>Following public consultation, Cabinet confirmed its intention to accede to the Budapest Convention</w:t>
      </w:r>
      <w:r w:rsidR="000807FD">
        <w:t xml:space="preserve"> and the parliamentary treaty examination process has been completed</w:t>
      </w:r>
      <w:r w:rsidRPr="00015237">
        <w:t xml:space="preserve">. </w:t>
      </w:r>
      <w:r w:rsidR="000807FD">
        <w:t>Work to amend</w:t>
      </w:r>
      <w:r w:rsidRPr="00015237">
        <w:t xml:space="preserve"> several pieces of legislation to comply with the </w:t>
      </w:r>
      <w:r w:rsidR="00C003A7" w:rsidRPr="00015237">
        <w:t xml:space="preserve">Budapest </w:t>
      </w:r>
      <w:r w:rsidRPr="00015237">
        <w:t>Convention</w:t>
      </w:r>
      <w:r w:rsidR="000807FD">
        <w:t xml:space="preserve"> and to be completed prior to accession is now underway</w:t>
      </w:r>
      <w:r w:rsidRPr="00015237">
        <w:t xml:space="preserve">. </w:t>
      </w:r>
    </w:p>
    <w:p w14:paraId="437225CC" w14:textId="3997DA82" w:rsidR="00390CFD" w:rsidRPr="00015237" w:rsidRDefault="005871F6" w:rsidP="006873E0">
      <w:pPr>
        <w:pStyle w:val="ListParagraph"/>
        <w:numPr>
          <w:ilvl w:val="0"/>
          <w:numId w:val="1"/>
        </w:numPr>
        <w:spacing w:before="220" w:after="0" w:line="259" w:lineRule="auto"/>
        <w:ind w:left="709" w:hanging="709"/>
        <w:contextualSpacing w:val="0"/>
        <w:jc w:val="both"/>
      </w:pPr>
      <w:r w:rsidRPr="00015237">
        <w:t>The Government is also progressing the Films, Videos, and Publication (Urgent Interim Classification of Publications and Prevention of Online Harm) Amendment Bill. This Bill provides additional regulatory tools to manage harms caused by content that is live streamed</w:t>
      </w:r>
      <w:r w:rsidR="000807FD">
        <w:t xml:space="preserve"> </w:t>
      </w:r>
      <w:r w:rsidRPr="00015237">
        <w:t xml:space="preserve">or hosted online. This is to be followed by a wider review of the regulatory systems </w:t>
      </w:r>
      <w:r w:rsidR="000807FD">
        <w:t>for</w:t>
      </w:r>
      <w:r w:rsidRPr="00015237">
        <w:t xml:space="preserve"> media such as films and video. This review will include consideration of the Royal Commission’s recommendation to include racial hate, racial superiority and racial discrimination in the definition of ‘objectionable material’.</w:t>
      </w:r>
      <w:r w:rsidR="000807FD">
        <w:t xml:space="preserve"> In early 2021, the Department of Internal Affairs established a</w:t>
      </w:r>
      <w:r w:rsidRPr="00015237">
        <w:t xml:space="preserve"> Digital Violent Extremism Team</w:t>
      </w:r>
      <w:r w:rsidR="000807FD">
        <w:t xml:space="preserve"> of</w:t>
      </w:r>
      <w:r w:rsidRPr="00015237">
        <w:t xml:space="preserve"> investigators and intelligence specialists, </w:t>
      </w:r>
      <w:r w:rsidR="000807FD">
        <w:t>tasked with responding</w:t>
      </w:r>
      <w:r w:rsidRPr="00015237">
        <w:t xml:space="preserve"> to violent extremist content online. </w:t>
      </w:r>
    </w:p>
    <w:p w14:paraId="33DAFF4E" w14:textId="0C49105C" w:rsidR="005871F6" w:rsidRPr="00015237" w:rsidRDefault="00390CFD" w:rsidP="006873E0">
      <w:pPr>
        <w:pStyle w:val="ListParagraph"/>
        <w:numPr>
          <w:ilvl w:val="0"/>
          <w:numId w:val="1"/>
        </w:numPr>
        <w:spacing w:before="220" w:after="0" w:line="259" w:lineRule="auto"/>
        <w:ind w:left="709" w:hanging="709"/>
        <w:contextualSpacing w:val="0"/>
        <w:jc w:val="both"/>
      </w:pPr>
      <w:r w:rsidRPr="00015237">
        <w:t xml:space="preserve">Further work to address the </w:t>
      </w:r>
      <w:r w:rsidR="000807FD">
        <w:t xml:space="preserve">relevant </w:t>
      </w:r>
      <w:r w:rsidRPr="00015237">
        <w:t>Royal Commission recommendations is being planned.</w:t>
      </w:r>
    </w:p>
    <w:p w14:paraId="437672A1" w14:textId="5F5E1208" w:rsidR="00285E26" w:rsidRPr="00015237" w:rsidRDefault="005871F6" w:rsidP="006873E0">
      <w:pPr>
        <w:pStyle w:val="Heading2"/>
        <w:jc w:val="both"/>
      </w:pPr>
      <w:r w:rsidRPr="00015237">
        <w:t xml:space="preserve">Combatting </w:t>
      </w:r>
      <w:r w:rsidR="004F7385">
        <w:t>h</w:t>
      </w:r>
      <w:r w:rsidRPr="00015237">
        <w:t xml:space="preserve">ate </w:t>
      </w:r>
      <w:r w:rsidR="004F7385">
        <w:t>s</w:t>
      </w:r>
      <w:r w:rsidRPr="00015237">
        <w:t xml:space="preserve">peech and </w:t>
      </w:r>
      <w:r w:rsidR="004F7385">
        <w:t>h</w:t>
      </w:r>
      <w:r w:rsidRPr="00015237">
        <w:t xml:space="preserve">ate </w:t>
      </w:r>
      <w:r w:rsidR="004F7385">
        <w:t>c</w:t>
      </w:r>
      <w:r w:rsidRPr="00015237">
        <w:t xml:space="preserve">rime </w:t>
      </w:r>
    </w:p>
    <w:p w14:paraId="048A7E5A" w14:textId="14D2943E" w:rsidR="005871F6" w:rsidRPr="00015237" w:rsidRDefault="00953752" w:rsidP="006873E0">
      <w:pPr>
        <w:keepNext/>
        <w:spacing w:before="220" w:after="0" w:line="259" w:lineRule="auto"/>
        <w:jc w:val="both"/>
      </w:pPr>
      <w:r>
        <w:t>UPR Recommendation</w:t>
      </w:r>
      <w:r w:rsidR="009F7EE4" w:rsidRPr="00015237">
        <w:t>s</w:t>
      </w:r>
      <w:r w:rsidR="005A665B" w:rsidRPr="00015237">
        <w:t>:</w:t>
      </w:r>
      <w:r w:rsidR="005871F6" w:rsidRPr="00015237">
        <w:t xml:space="preserve"> 40-45, 47</w:t>
      </w:r>
    </w:p>
    <w:p w14:paraId="2B2156C9" w14:textId="12916628" w:rsidR="000B6A28" w:rsidRPr="00015237" w:rsidRDefault="009F7EE4" w:rsidP="006873E0">
      <w:pPr>
        <w:pStyle w:val="ListParagraph"/>
        <w:numPr>
          <w:ilvl w:val="0"/>
          <w:numId w:val="1"/>
        </w:numPr>
        <w:spacing w:before="220" w:after="0" w:line="259" w:lineRule="auto"/>
        <w:ind w:left="709" w:hanging="709"/>
        <w:contextualSpacing w:val="0"/>
        <w:jc w:val="both"/>
      </w:pPr>
      <w:r w:rsidRPr="00015237">
        <w:t>The Human Rights Act 1993 prohibits speech that incites contempt and hostility against groups based on race, colour, nationality and ethnicity. There are civil and criminal remedies.</w:t>
      </w:r>
    </w:p>
    <w:p w14:paraId="405CA49F" w14:textId="6F08B91C" w:rsidR="000B6A28" w:rsidRPr="00015237" w:rsidRDefault="009F7EE4" w:rsidP="006873E0">
      <w:pPr>
        <w:pStyle w:val="ListParagraph"/>
        <w:numPr>
          <w:ilvl w:val="0"/>
          <w:numId w:val="1"/>
        </w:numPr>
        <w:spacing w:before="220" w:after="0" w:line="259" w:lineRule="auto"/>
        <w:ind w:left="709" w:hanging="709"/>
        <w:contextualSpacing w:val="0"/>
        <w:jc w:val="both"/>
      </w:pPr>
      <w:r w:rsidRPr="00015237">
        <w:t>In December 2020, the Government agreed to in-principle proposals to amend the</w:t>
      </w:r>
      <w:r w:rsidR="000807FD">
        <w:t>se</w:t>
      </w:r>
      <w:r w:rsidRPr="00015237">
        <w:t xml:space="preserve"> hate speech laws, including </w:t>
      </w:r>
      <w:r w:rsidR="00D8132B" w:rsidRPr="00015237">
        <w:t xml:space="preserve">broadening </w:t>
      </w:r>
      <w:r w:rsidRPr="00015237">
        <w:t>the</w:t>
      </w:r>
      <w:r w:rsidR="00D8132B" w:rsidRPr="00015237">
        <w:t xml:space="preserve"> groups</w:t>
      </w:r>
      <w:r w:rsidRPr="00015237">
        <w:t xml:space="preserve"> protect</w:t>
      </w:r>
      <w:r w:rsidR="00D8132B" w:rsidRPr="00015237">
        <w:t>ed</w:t>
      </w:r>
      <w:r w:rsidRPr="00015237">
        <w:t xml:space="preserve"> and increasing the </w:t>
      </w:r>
      <w:r w:rsidR="00D8132B" w:rsidRPr="00015237">
        <w:t xml:space="preserve">criminal </w:t>
      </w:r>
      <w:r w:rsidRPr="00015237">
        <w:t>penalty to reflect the extreme behaviour covered.</w:t>
      </w:r>
      <w:r w:rsidR="00220A0E" w:rsidRPr="00015237">
        <w:t xml:space="preserve"> </w:t>
      </w:r>
      <w:r w:rsidRPr="00015237">
        <w:t xml:space="preserve">These proposals were based on Royal Commission recommendations and a </w:t>
      </w:r>
      <w:r w:rsidR="00D8132B" w:rsidRPr="00015237">
        <w:t xml:space="preserve">Ministry of Justice </w:t>
      </w:r>
      <w:r w:rsidRPr="00015237">
        <w:t>review of the relevant legislation.</w:t>
      </w:r>
    </w:p>
    <w:p w14:paraId="04A23E8E" w14:textId="0D98B8B4" w:rsidR="000B6A28" w:rsidRPr="00015237" w:rsidRDefault="00D8132B" w:rsidP="006873E0">
      <w:pPr>
        <w:pStyle w:val="ListParagraph"/>
        <w:numPr>
          <w:ilvl w:val="0"/>
          <w:numId w:val="1"/>
        </w:numPr>
        <w:spacing w:before="220" w:after="0" w:line="259" w:lineRule="auto"/>
        <w:ind w:left="709" w:hanging="709"/>
        <w:contextualSpacing w:val="0"/>
        <w:jc w:val="both"/>
      </w:pPr>
      <w:r w:rsidRPr="00015237">
        <w:t>The Government consulted with the public to inform decisions on whether and how to amend the legislation</w:t>
      </w:r>
      <w:r w:rsidR="00691A27">
        <w:t>,</w:t>
      </w:r>
      <w:r w:rsidRPr="00015237">
        <w:t xml:space="preserve"> attract</w:t>
      </w:r>
      <w:r w:rsidR="00691A27">
        <w:t>ing</w:t>
      </w:r>
      <w:r w:rsidRPr="00015237">
        <w:t xml:space="preserve"> more than 19,000 submissions. The Ministry of Justice also engaged directly with a wide range of community groups by holding meetings across Auckland, Hamilton, Wellington, Christchurch and online. </w:t>
      </w:r>
      <w:r w:rsidR="00676FE3">
        <w:t>These face to face consultations also covered wider social cohesion work discussed below.</w:t>
      </w:r>
    </w:p>
    <w:p w14:paraId="7FB6B944" w14:textId="019978BB" w:rsidR="000B6A28" w:rsidRPr="00015237" w:rsidRDefault="009F7EE4" w:rsidP="006873E0">
      <w:pPr>
        <w:pStyle w:val="ListParagraph"/>
        <w:numPr>
          <w:ilvl w:val="0"/>
          <w:numId w:val="1"/>
        </w:numPr>
        <w:spacing w:before="220" w:after="0" w:line="259" w:lineRule="auto"/>
        <w:ind w:left="709" w:hanging="709"/>
        <w:contextualSpacing w:val="0"/>
        <w:jc w:val="both"/>
      </w:pPr>
      <w:r w:rsidRPr="00015237">
        <w:lastRenderedPageBreak/>
        <w:t xml:space="preserve">Final policy decisions </w:t>
      </w:r>
      <w:r w:rsidR="00FF67B0">
        <w:t>about</w:t>
      </w:r>
      <w:r w:rsidRPr="00015237">
        <w:t xml:space="preserve"> legislative changes to the incitement provisions </w:t>
      </w:r>
      <w:r w:rsidR="00FF67B0">
        <w:t xml:space="preserve">of the Human Rights Act </w:t>
      </w:r>
      <w:r w:rsidRPr="00015237">
        <w:t>have not yet been made. </w:t>
      </w:r>
    </w:p>
    <w:p w14:paraId="2B7B57C8" w14:textId="2E61D3C1" w:rsidR="00F97B0A" w:rsidRPr="00015237" w:rsidRDefault="000807FD" w:rsidP="006873E0">
      <w:pPr>
        <w:pStyle w:val="ListParagraph"/>
        <w:numPr>
          <w:ilvl w:val="0"/>
          <w:numId w:val="1"/>
        </w:numPr>
        <w:spacing w:before="220" w:after="0" w:line="259" w:lineRule="auto"/>
        <w:ind w:left="709" w:hanging="709"/>
        <w:contextualSpacing w:val="0"/>
        <w:jc w:val="both"/>
      </w:pPr>
      <w:r>
        <w:t>In its response to the Royal Commission’s recommendations, t</w:t>
      </w:r>
      <w:r w:rsidR="009F7EE4" w:rsidRPr="00015237">
        <w:t xml:space="preserve">he </w:t>
      </w:r>
      <w:r w:rsidR="00D91142" w:rsidRPr="00015237">
        <w:t xml:space="preserve">Government </w:t>
      </w:r>
      <w:r w:rsidR="009F7EE4" w:rsidRPr="00015237">
        <w:t xml:space="preserve">also </w:t>
      </w:r>
      <w:r w:rsidR="00D91142" w:rsidRPr="00015237">
        <w:t xml:space="preserve">agreed in-principle to amend </w:t>
      </w:r>
      <w:r>
        <w:t xml:space="preserve">criminal </w:t>
      </w:r>
      <w:r w:rsidR="00D91142" w:rsidRPr="00015237">
        <w:t>legislation to create hate-motivated offences</w:t>
      </w:r>
      <w:r w:rsidR="009F7EE4" w:rsidRPr="00015237">
        <w:t>. Currently, the Sentencing Act 2002</w:t>
      </w:r>
      <w:r w:rsidR="007202F2" w:rsidRPr="00015237">
        <w:t xml:space="preserve"> includes </w:t>
      </w:r>
      <w:r w:rsidR="00D91142" w:rsidRPr="00015237">
        <w:t>the offender’s h</w:t>
      </w:r>
      <w:r w:rsidR="007202F2" w:rsidRPr="00015237">
        <w:t xml:space="preserve">ate motivation to commit a crime </w:t>
      </w:r>
      <w:r w:rsidR="00D91142" w:rsidRPr="00015237">
        <w:t>as an aggravating factor in sentencing. This explicitly protects, but is not limited to, groups targeted because of their race, colour, nationality, religion, gender identity, sexual orientation, age, or disability.</w:t>
      </w:r>
      <w:r>
        <w:t xml:space="preserve"> </w:t>
      </w:r>
      <w:r w:rsidR="007202F2" w:rsidRPr="00015237">
        <w:t>The Government is currently considering how</w:t>
      </w:r>
      <w:r w:rsidR="00551C9F" w:rsidRPr="00015237">
        <w:t xml:space="preserve"> to</w:t>
      </w:r>
      <w:r w:rsidR="007202F2" w:rsidRPr="00015237">
        <w:t xml:space="preserve"> </w:t>
      </w:r>
      <w:r w:rsidR="001E4266">
        <w:t>implement</w:t>
      </w:r>
      <w:r w:rsidR="007202F2" w:rsidRPr="00015237">
        <w:t xml:space="preserve"> th</w:t>
      </w:r>
      <w:r w:rsidR="001E4266">
        <w:t>is</w:t>
      </w:r>
      <w:r>
        <w:t xml:space="preserve"> </w:t>
      </w:r>
      <w:r w:rsidR="007202F2" w:rsidRPr="00015237">
        <w:t xml:space="preserve">recommendation. </w:t>
      </w:r>
    </w:p>
    <w:p w14:paraId="32EFD56B" w14:textId="506788D9" w:rsidR="00F97B0A" w:rsidRPr="00015237" w:rsidRDefault="00F97B0A" w:rsidP="006873E0">
      <w:pPr>
        <w:pStyle w:val="ListParagraph"/>
        <w:numPr>
          <w:ilvl w:val="0"/>
          <w:numId w:val="1"/>
        </w:numPr>
        <w:spacing w:before="220" w:after="0" w:line="259" w:lineRule="auto"/>
        <w:ind w:left="709" w:hanging="709"/>
        <w:contextualSpacing w:val="0"/>
        <w:jc w:val="both"/>
      </w:pPr>
      <w:r w:rsidRPr="00015237">
        <w:t>New Zealand Police is also working on improving its approach to identifying, recording and managing hate crime.  </w:t>
      </w:r>
      <w:bookmarkStart w:id="1" w:name="_Hlk88207117"/>
      <w:r w:rsidRPr="00015237">
        <w:t>Te Raranga, established in December 2020, is a four-year programme that draws on the efforts of many to change the way we respond to hate crime in Aotearoa.  Te Raranga aims to</w:t>
      </w:r>
      <w:bookmarkEnd w:id="1"/>
      <w:r w:rsidRPr="00015237">
        <w:t>:</w:t>
      </w:r>
    </w:p>
    <w:p w14:paraId="35DB3985" w14:textId="2F3E81CE" w:rsidR="00F97B0A" w:rsidRPr="008B0AE9" w:rsidRDefault="00820081" w:rsidP="006873E0">
      <w:pPr>
        <w:pStyle w:val="ListParagraph"/>
        <w:numPr>
          <w:ilvl w:val="1"/>
          <w:numId w:val="1"/>
        </w:numPr>
        <w:spacing w:before="220" w:after="0" w:line="259" w:lineRule="auto"/>
        <w:ind w:left="1134" w:hanging="425"/>
        <w:contextualSpacing w:val="0"/>
        <w:jc w:val="both"/>
      </w:pPr>
      <w:r>
        <w:t>b</w:t>
      </w:r>
      <w:r w:rsidR="00676FE3" w:rsidRPr="008B0AE9">
        <w:t xml:space="preserve">ring </w:t>
      </w:r>
      <w:r w:rsidR="00F97B0A" w:rsidRPr="008B0AE9">
        <w:t>people, wh</w:t>
      </w:r>
      <w:r w:rsidR="00676FE3" w:rsidRPr="008B0AE9">
        <w:t>ā</w:t>
      </w:r>
      <w:r w:rsidR="00F97B0A" w:rsidRPr="008B0AE9">
        <w:t>nau</w:t>
      </w:r>
      <w:r w:rsidR="008554AD">
        <w:rPr>
          <w:rStyle w:val="FootnoteReference"/>
        </w:rPr>
        <w:footnoteReference w:id="1"/>
      </w:r>
      <w:r w:rsidR="00F97B0A" w:rsidRPr="008B0AE9">
        <w:t>, agencies, and communities together to reduce hate crime and hate incidents, and support those who have been affected by it</w:t>
      </w:r>
      <w:r>
        <w:t>;</w:t>
      </w:r>
      <w:r w:rsidR="00F97B0A" w:rsidRPr="008B0AE9">
        <w:t xml:space="preserve">  </w:t>
      </w:r>
    </w:p>
    <w:p w14:paraId="363A8061" w14:textId="7344440B" w:rsidR="00F97B0A" w:rsidRPr="008B0AE9" w:rsidRDefault="00820081" w:rsidP="006873E0">
      <w:pPr>
        <w:pStyle w:val="ListParagraph"/>
        <w:numPr>
          <w:ilvl w:val="1"/>
          <w:numId w:val="1"/>
        </w:numPr>
        <w:spacing w:before="220" w:after="0" w:line="259" w:lineRule="auto"/>
        <w:ind w:left="1134" w:hanging="425"/>
        <w:contextualSpacing w:val="0"/>
        <w:jc w:val="both"/>
      </w:pPr>
      <w:r>
        <w:t>r</w:t>
      </w:r>
      <w:r w:rsidR="00F97B0A" w:rsidRPr="008B0AE9">
        <w:t>ecognise the lived experiences of our communities to improve our understanding of hate crime and hate incidents</w:t>
      </w:r>
      <w:r>
        <w:t>;</w:t>
      </w:r>
    </w:p>
    <w:p w14:paraId="7D5BD3A3" w14:textId="3D655908" w:rsidR="00F97B0A" w:rsidRPr="008B0AE9" w:rsidRDefault="00820081" w:rsidP="006873E0">
      <w:pPr>
        <w:pStyle w:val="ListParagraph"/>
        <w:numPr>
          <w:ilvl w:val="1"/>
          <w:numId w:val="1"/>
        </w:numPr>
        <w:spacing w:before="220" w:after="0" w:line="259" w:lineRule="auto"/>
        <w:ind w:left="1134" w:hanging="425"/>
        <w:contextualSpacing w:val="0"/>
        <w:jc w:val="both"/>
      </w:pPr>
      <w:r>
        <w:t>l</w:t>
      </w:r>
      <w:r w:rsidR="00F97B0A" w:rsidRPr="008B0AE9">
        <w:t>ift the awareness and ability of our people to respond to hate crime through improved systems and training design</w:t>
      </w:r>
      <w:r>
        <w:t>; and</w:t>
      </w:r>
    </w:p>
    <w:p w14:paraId="57FBF615" w14:textId="2EF9C28D" w:rsidR="00FB1BE3" w:rsidRPr="008B0AE9" w:rsidRDefault="00820081" w:rsidP="006873E0">
      <w:pPr>
        <w:pStyle w:val="ListParagraph"/>
        <w:numPr>
          <w:ilvl w:val="1"/>
          <w:numId w:val="1"/>
        </w:numPr>
        <w:spacing w:before="220" w:after="0" w:line="259" w:lineRule="auto"/>
        <w:ind w:left="1134" w:hanging="425"/>
        <w:contextualSpacing w:val="0"/>
        <w:jc w:val="both"/>
      </w:pPr>
      <w:r>
        <w:t>p</w:t>
      </w:r>
      <w:r w:rsidR="00F97B0A" w:rsidRPr="008B0AE9">
        <w:t>rovide access and support to a restorat</w:t>
      </w:r>
      <w:r w:rsidR="000F7C45">
        <w:t>ive</w:t>
      </w:r>
      <w:r w:rsidR="00F97B0A" w:rsidRPr="008B0AE9">
        <w:t xml:space="preserve"> process for those impacted by hate crime.</w:t>
      </w:r>
    </w:p>
    <w:p w14:paraId="23A521D7" w14:textId="77777777" w:rsidR="00E07C14" w:rsidRPr="00015237" w:rsidRDefault="005E7C49" w:rsidP="006873E0">
      <w:pPr>
        <w:pStyle w:val="Heading2"/>
        <w:jc w:val="both"/>
      </w:pPr>
      <w:r w:rsidRPr="00015237">
        <w:t>Strengthening the laws to protect against discrimination</w:t>
      </w:r>
    </w:p>
    <w:p w14:paraId="2A9ED555" w14:textId="7987563F" w:rsidR="005E7C49" w:rsidRPr="008B0AE9" w:rsidRDefault="00953752" w:rsidP="006873E0">
      <w:pPr>
        <w:keepNext/>
        <w:spacing w:before="220" w:after="0" w:line="259" w:lineRule="auto"/>
        <w:jc w:val="both"/>
        <w:rPr>
          <w:lang w:val="en-NZ"/>
        </w:rPr>
      </w:pPr>
      <w:r w:rsidRPr="008B0AE9">
        <w:rPr>
          <w:lang w:val="en-NZ"/>
        </w:rPr>
        <w:t>UPR Recommendation</w:t>
      </w:r>
      <w:r w:rsidR="005E7C49" w:rsidRPr="008B0AE9">
        <w:rPr>
          <w:lang w:val="en-NZ"/>
        </w:rPr>
        <w:t>s</w:t>
      </w:r>
      <w:r w:rsidR="005A665B" w:rsidRPr="008B0AE9">
        <w:rPr>
          <w:lang w:val="en-NZ"/>
        </w:rPr>
        <w:t>:</w:t>
      </w:r>
      <w:r w:rsidR="005E7C49" w:rsidRPr="008B0AE9">
        <w:rPr>
          <w:lang w:val="en-NZ"/>
        </w:rPr>
        <w:t xml:space="preserve"> </w:t>
      </w:r>
      <w:r w:rsidR="00A90D78" w:rsidRPr="008B0AE9">
        <w:rPr>
          <w:lang w:val="en-NZ"/>
        </w:rPr>
        <w:t xml:space="preserve">31, 41, </w:t>
      </w:r>
      <w:r w:rsidR="005E7C49" w:rsidRPr="008B0AE9">
        <w:rPr>
          <w:lang w:val="en-NZ"/>
        </w:rPr>
        <w:t>50-52</w:t>
      </w:r>
    </w:p>
    <w:p w14:paraId="5C8405AA" w14:textId="3EA96D45" w:rsidR="00E07C14" w:rsidRPr="00015237" w:rsidRDefault="005E7C49" w:rsidP="006873E0">
      <w:pPr>
        <w:pStyle w:val="ListParagraph"/>
        <w:numPr>
          <w:ilvl w:val="0"/>
          <w:numId w:val="1"/>
        </w:numPr>
        <w:spacing w:before="220" w:after="0" w:line="259" w:lineRule="auto"/>
        <w:ind w:left="709" w:hanging="709"/>
        <w:contextualSpacing w:val="0"/>
        <w:jc w:val="both"/>
      </w:pPr>
      <w:r w:rsidRPr="00015237">
        <w:t>As part of the work to amend the incitement provisions in the Human Rights Act</w:t>
      </w:r>
      <w:r w:rsidR="004300F4" w:rsidRPr="00015237">
        <w:t xml:space="preserve"> 1993</w:t>
      </w:r>
      <w:r w:rsidRPr="00015237">
        <w:t xml:space="preserve">, the Government also consulted </w:t>
      </w:r>
      <w:r w:rsidR="002F7FCA">
        <w:t>the public about</w:t>
      </w:r>
      <w:r w:rsidRPr="00015237">
        <w:t xml:space="preserve"> proposals </w:t>
      </w:r>
      <w:r w:rsidR="002F7FCA">
        <w:t>to</w:t>
      </w:r>
      <w:r w:rsidRPr="00015237">
        <w:t xml:space="preserve"> strengthen the general anti-discrimination laws. </w:t>
      </w:r>
      <w:r w:rsidR="00691A27">
        <w:t xml:space="preserve">The proposals would </w:t>
      </w:r>
      <w:r w:rsidRPr="00015237">
        <w:t>explicitly include gender, transgender and variations of sex characteristics in the anti-discrimination laws and prohibit the incitement of discrimination.</w:t>
      </w:r>
    </w:p>
    <w:p w14:paraId="46C4A7AF" w14:textId="2776A52D" w:rsidR="00454153" w:rsidRPr="00015237" w:rsidRDefault="005E7C49" w:rsidP="006873E0">
      <w:pPr>
        <w:pStyle w:val="ListParagraph"/>
        <w:numPr>
          <w:ilvl w:val="0"/>
          <w:numId w:val="1"/>
        </w:numPr>
        <w:spacing w:before="220" w:after="0" w:line="259" w:lineRule="auto"/>
        <w:ind w:left="709" w:hanging="709"/>
        <w:contextualSpacing w:val="0"/>
        <w:jc w:val="both"/>
      </w:pPr>
      <w:r w:rsidRPr="00015237">
        <w:t xml:space="preserve">Final policy decisions </w:t>
      </w:r>
      <w:r w:rsidR="00E20299">
        <w:t>about</w:t>
      </w:r>
      <w:r w:rsidRPr="00015237">
        <w:t xml:space="preserve"> these</w:t>
      </w:r>
      <w:r w:rsidR="00691A27">
        <w:t xml:space="preserve"> proposed</w:t>
      </w:r>
      <w:r w:rsidRPr="00015237">
        <w:t xml:space="preserve"> legislative changes have not yet been made.</w:t>
      </w:r>
    </w:p>
    <w:p w14:paraId="5B82DF7D" w14:textId="0DAB7D34" w:rsidR="00454153" w:rsidRPr="00015237" w:rsidRDefault="00454153" w:rsidP="006873E0">
      <w:pPr>
        <w:pStyle w:val="ListParagraph"/>
        <w:numPr>
          <w:ilvl w:val="0"/>
          <w:numId w:val="1"/>
        </w:numPr>
        <w:spacing w:before="220" w:after="0" w:line="259" w:lineRule="auto"/>
        <w:ind w:left="709" w:hanging="709"/>
        <w:contextualSpacing w:val="0"/>
        <w:jc w:val="both"/>
      </w:pPr>
      <w:r w:rsidRPr="00015237">
        <w:t xml:space="preserve">Parliament is currently considering </w:t>
      </w:r>
      <w:r w:rsidR="00DF4F31" w:rsidRPr="00015237">
        <w:t>the</w:t>
      </w:r>
      <w:r w:rsidR="00E20299" w:rsidRPr="00015237">
        <w:t xml:space="preserve"> Births, Deaths, Marriages and Relationships Registration </w:t>
      </w:r>
      <w:r w:rsidRPr="00015237">
        <w:t>Bill</w:t>
      </w:r>
      <w:r w:rsidR="00E20299">
        <w:t>, which</w:t>
      </w:r>
      <w:r w:rsidRPr="00015237">
        <w:t xml:space="preserve"> would strengthen rights</w:t>
      </w:r>
      <w:r w:rsidR="000F7C45">
        <w:t xml:space="preserve"> of rainbow communities</w:t>
      </w:r>
      <w:r w:rsidRPr="00015237">
        <w:t xml:space="preserve"> by improving the processes to amend the gender registered on birth certificates.</w:t>
      </w:r>
      <w:r w:rsidR="00E20299" w:rsidRPr="00E20299">
        <w:t xml:space="preserve"> </w:t>
      </w:r>
      <w:r w:rsidR="00E20299">
        <w:t xml:space="preserve">Currently, an individual must obtain a </w:t>
      </w:r>
      <w:r w:rsidR="00157964">
        <w:t xml:space="preserve">declaration from the </w:t>
      </w:r>
      <w:r w:rsidR="00E20299">
        <w:t>Family Court</w:t>
      </w:r>
      <w:r w:rsidR="00862A64">
        <w:t>,</w:t>
      </w:r>
      <w:r w:rsidR="00E20299">
        <w:t xml:space="preserve"> </w:t>
      </w:r>
      <w:r w:rsidR="00157964">
        <w:t xml:space="preserve">but the Bill would </w:t>
      </w:r>
      <w:r w:rsidR="00E20299">
        <w:t xml:space="preserve">replace this </w:t>
      </w:r>
      <w:r w:rsidR="00E20299" w:rsidRPr="00E20299">
        <w:t>with an administrative process based on self-identification.</w:t>
      </w:r>
    </w:p>
    <w:p w14:paraId="6FD74659" w14:textId="3029283E" w:rsidR="00FC7B45" w:rsidRPr="00015237" w:rsidRDefault="00FC7B45" w:rsidP="006873E0">
      <w:pPr>
        <w:pStyle w:val="Heading2"/>
        <w:spacing w:line="276" w:lineRule="auto"/>
        <w:jc w:val="both"/>
      </w:pPr>
      <w:r w:rsidRPr="00015237">
        <w:t>Strengthening social cohesion</w:t>
      </w:r>
    </w:p>
    <w:p w14:paraId="58E53550" w14:textId="524692CC" w:rsidR="00817F24" w:rsidRPr="00015237" w:rsidRDefault="00FC7B45" w:rsidP="006873E0">
      <w:pPr>
        <w:pStyle w:val="ListParagraph"/>
        <w:numPr>
          <w:ilvl w:val="0"/>
          <w:numId w:val="1"/>
        </w:numPr>
        <w:spacing w:before="220" w:after="0" w:line="259" w:lineRule="auto"/>
        <w:ind w:left="709" w:hanging="709"/>
        <w:contextualSpacing w:val="0"/>
        <w:jc w:val="both"/>
      </w:pPr>
      <w:r w:rsidRPr="00015237">
        <w:t xml:space="preserve">Many of the recommendations from the Royal Commission are directly and indirectly related to building and improving social cohesion. </w:t>
      </w:r>
      <w:r w:rsidR="00F85C69" w:rsidRPr="00015237">
        <w:t>A socially cohesive society is defined as</w:t>
      </w:r>
      <w:r w:rsidR="00817F24" w:rsidRPr="00015237">
        <w:t xml:space="preserve"> one where </w:t>
      </w:r>
      <w:r w:rsidR="00817F24" w:rsidRPr="00015237">
        <w:lastRenderedPageBreak/>
        <w:t>all individuals and groups share a sense of belonging, inclusion, participation, recognition and legitimacy.</w:t>
      </w:r>
      <w:r w:rsidR="00F85C69" w:rsidRPr="00015237">
        <w:t xml:space="preserve"> To </w:t>
      </w:r>
      <w:r w:rsidR="00817F24" w:rsidRPr="00015237">
        <w:t xml:space="preserve">give effect to the recommendations in the report, </w:t>
      </w:r>
      <w:r w:rsidR="00F85C69" w:rsidRPr="00015237">
        <w:t>the Government will</w:t>
      </w:r>
      <w:r w:rsidR="00817F24" w:rsidRPr="00015237">
        <w:t xml:space="preserve">: </w:t>
      </w:r>
    </w:p>
    <w:p w14:paraId="5C152F93" w14:textId="3B4BC40A" w:rsidR="00FC7B45" w:rsidRPr="00015237" w:rsidRDefault="00B51918" w:rsidP="006873E0">
      <w:pPr>
        <w:pStyle w:val="ListParagraph"/>
        <w:numPr>
          <w:ilvl w:val="1"/>
          <w:numId w:val="22"/>
        </w:numPr>
        <w:spacing w:before="220" w:after="0" w:line="259" w:lineRule="auto"/>
        <w:ind w:left="1134" w:hanging="425"/>
        <w:contextualSpacing w:val="0"/>
        <w:jc w:val="both"/>
      </w:pPr>
      <w:r>
        <w:t>e</w:t>
      </w:r>
      <w:r w:rsidR="00FC7B45" w:rsidRPr="00015237">
        <w:t>ngage with communities to create a social cohesion strategic framework;</w:t>
      </w:r>
    </w:p>
    <w:p w14:paraId="01770967" w14:textId="7D69D121" w:rsidR="00FC7B45" w:rsidRPr="00015237" w:rsidRDefault="00B51918" w:rsidP="006873E0">
      <w:pPr>
        <w:pStyle w:val="ListParagraph"/>
        <w:numPr>
          <w:ilvl w:val="1"/>
          <w:numId w:val="22"/>
        </w:numPr>
        <w:spacing w:before="220" w:after="0" w:line="259" w:lineRule="auto"/>
        <w:ind w:left="1134" w:hanging="425"/>
        <w:contextualSpacing w:val="0"/>
        <w:jc w:val="both"/>
      </w:pPr>
      <w:r>
        <w:t>b</w:t>
      </w:r>
      <w:r w:rsidR="00FC7B45" w:rsidRPr="00015237">
        <w:t>uild on</w:t>
      </w:r>
      <w:r w:rsidR="00691A27">
        <w:t xml:space="preserve"> the</w:t>
      </w:r>
      <w:r w:rsidR="00FC7B45" w:rsidRPr="00015237">
        <w:t xml:space="preserve"> Government’s existing work programme through tangible actions</w:t>
      </w:r>
      <w:r w:rsidR="00D62E8D" w:rsidRPr="00015237">
        <w:t>; and</w:t>
      </w:r>
    </w:p>
    <w:p w14:paraId="36C2962E" w14:textId="03135558" w:rsidR="00817F24" w:rsidRPr="00015237" w:rsidRDefault="00B51918" w:rsidP="006873E0">
      <w:pPr>
        <w:pStyle w:val="ListParagraph"/>
        <w:numPr>
          <w:ilvl w:val="1"/>
          <w:numId w:val="22"/>
        </w:numPr>
        <w:spacing w:before="220" w:after="0" w:line="259" w:lineRule="auto"/>
        <w:ind w:left="1134" w:hanging="425"/>
        <w:contextualSpacing w:val="0"/>
        <w:jc w:val="both"/>
      </w:pPr>
      <w:r>
        <w:t>i</w:t>
      </w:r>
      <w:r w:rsidR="00D62E8D" w:rsidRPr="00015237">
        <w:t xml:space="preserve">dentify how to support and enable communities, the business </w:t>
      </w:r>
      <w:r w:rsidR="00F85C69" w:rsidRPr="00015237">
        <w:t>and</w:t>
      </w:r>
      <w:r w:rsidR="00D62E8D" w:rsidRPr="00015237">
        <w:t xml:space="preserve"> cultural sector</w:t>
      </w:r>
      <w:r w:rsidR="00F85C69" w:rsidRPr="00015237">
        <w:t>s</w:t>
      </w:r>
      <w:r w:rsidR="00D62E8D" w:rsidRPr="00015237">
        <w:t xml:space="preserve"> and central and local government </w:t>
      </w:r>
      <w:r w:rsidR="00F85C69" w:rsidRPr="00015237">
        <w:t>in improving</w:t>
      </w:r>
      <w:r w:rsidR="00D62E8D" w:rsidRPr="00015237">
        <w:t xml:space="preserve"> social cohesion in their communities. </w:t>
      </w:r>
    </w:p>
    <w:p w14:paraId="41908741" w14:textId="06EEDCCE" w:rsidR="00EB06A0" w:rsidRPr="00015237" w:rsidRDefault="00B51918" w:rsidP="006873E0">
      <w:pPr>
        <w:pStyle w:val="ListParagraph"/>
        <w:numPr>
          <w:ilvl w:val="0"/>
          <w:numId w:val="1"/>
        </w:numPr>
        <w:spacing w:before="220" w:after="0" w:line="259" w:lineRule="auto"/>
        <w:ind w:left="709" w:hanging="709"/>
        <w:contextualSpacing w:val="0"/>
        <w:jc w:val="both"/>
      </w:pPr>
      <w:r>
        <w:t>The Government carried out p</w:t>
      </w:r>
      <w:r w:rsidR="00352A2C">
        <w:t xml:space="preserve">ublic engagement on social cohesion in 2021, combined with </w:t>
      </w:r>
      <w:r w:rsidR="00352A2C" w:rsidRPr="00015237">
        <w:t>other work to implement Royal Commission recommendations</w:t>
      </w:r>
      <w:r w:rsidR="00352A2C">
        <w:t xml:space="preserve">. </w:t>
      </w:r>
      <w:r w:rsidR="00F85C69" w:rsidRPr="00015237">
        <w:t>Several Government agencies will</w:t>
      </w:r>
      <w:r w:rsidR="00352A2C">
        <w:t xml:space="preserve"> now</w:t>
      </w:r>
      <w:r w:rsidR="004146F2" w:rsidRPr="00015237">
        <w:t xml:space="preserve"> work with key stakeholders to co-design the social cohesion strategic framework and identify tangible actions that Government and wider society can undertake to improve social cohesion. </w:t>
      </w:r>
      <w:r w:rsidR="00CD2F6A" w:rsidRPr="00015237">
        <w:t>Steps that have already been taken include the establishment of an ethnic</w:t>
      </w:r>
      <w:r w:rsidR="00200AC9">
        <w:t xml:space="preserve"> </w:t>
      </w:r>
      <w:r w:rsidR="00E07C14" w:rsidRPr="00015237">
        <w:t>communities’</w:t>
      </w:r>
      <w:r w:rsidR="00CD2F6A" w:rsidRPr="00015237">
        <w:t xml:space="preserve"> graduate programme for the public service and new resources in schools.</w:t>
      </w:r>
    </w:p>
    <w:p w14:paraId="00FED0F1" w14:textId="270D10E7" w:rsidR="00CD2F6A" w:rsidRPr="00015237" w:rsidRDefault="00CD2F6A" w:rsidP="006873E0">
      <w:pPr>
        <w:pStyle w:val="Heading2"/>
        <w:jc w:val="both"/>
      </w:pPr>
      <w:r w:rsidRPr="00015237">
        <w:t xml:space="preserve">Te Tari </w:t>
      </w:r>
      <w:r w:rsidR="00551C9F" w:rsidRPr="00015237">
        <w:t>Mātāwaka</w:t>
      </w:r>
      <w:r w:rsidRPr="00015237">
        <w:t xml:space="preserve"> ǀ The Ministry of Ethnic Communities</w:t>
      </w:r>
    </w:p>
    <w:p w14:paraId="4AA24C1F" w14:textId="04D10F56" w:rsidR="00CD2F6A" w:rsidRPr="00015237" w:rsidRDefault="00953752" w:rsidP="006873E0">
      <w:pPr>
        <w:keepNext/>
        <w:spacing w:before="220" w:after="0" w:line="259" w:lineRule="auto"/>
        <w:jc w:val="both"/>
      </w:pPr>
      <w:r>
        <w:t xml:space="preserve">UPR </w:t>
      </w:r>
      <w:r w:rsidRPr="008B0AE9">
        <w:rPr>
          <w:lang w:val="en-NZ"/>
        </w:rPr>
        <w:t>Recommendation</w:t>
      </w:r>
      <w:r w:rsidR="00EB096D" w:rsidRPr="008B0AE9">
        <w:rPr>
          <w:lang w:val="en-NZ"/>
        </w:rPr>
        <w:t>s</w:t>
      </w:r>
      <w:r w:rsidR="005A665B" w:rsidRPr="00015237">
        <w:t>:</w:t>
      </w:r>
      <w:r w:rsidR="00EB096D" w:rsidRPr="00015237">
        <w:t xml:space="preserve"> 163, 164</w:t>
      </w:r>
    </w:p>
    <w:p w14:paraId="5F19E7BC" w14:textId="4A111CBC" w:rsidR="00CD2F6A" w:rsidRPr="00015237" w:rsidRDefault="00CD2F6A" w:rsidP="006873E0">
      <w:pPr>
        <w:pStyle w:val="ListParagraph"/>
        <w:numPr>
          <w:ilvl w:val="0"/>
          <w:numId w:val="1"/>
        </w:numPr>
        <w:spacing w:before="220" w:after="0" w:line="259" w:lineRule="auto"/>
        <w:ind w:left="709" w:hanging="709"/>
        <w:contextualSpacing w:val="0"/>
        <w:jc w:val="both"/>
      </w:pPr>
      <w:r w:rsidRPr="00015237">
        <w:t xml:space="preserve">In response to </w:t>
      </w:r>
      <w:r w:rsidR="000C7EBD" w:rsidRPr="00015237">
        <w:t xml:space="preserve">a </w:t>
      </w:r>
      <w:r w:rsidRPr="00015237">
        <w:t>recommendation from the Royal Commission</w:t>
      </w:r>
      <w:r w:rsidR="000C7EBD" w:rsidRPr="00015237">
        <w:t>,</w:t>
      </w:r>
      <w:r w:rsidRPr="00015237">
        <w:t xml:space="preserve"> </w:t>
      </w:r>
      <w:r w:rsidR="00B51918">
        <w:t xml:space="preserve">the Government established </w:t>
      </w:r>
      <w:r w:rsidR="00E07C14" w:rsidRPr="00015237">
        <w:t>a new</w:t>
      </w:r>
      <w:r w:rsidRPr="00015237">
        <w:t xml:space="preserve"> Ministry for Ethnic Communities in</w:t>
      </w:r>
      <w:r w:rsidR="00220A0E" w:rsidRPr="00015237">
        <w:t xml:space="preserve"> July</w:t>
      </w:r>
      <w:r w:rsidRPr="00015237">
        <w:t xml:space="preserve"> 2021. Its core functions include leading the system to improve outcomes for ethnic communities,</w:t>
      </w:r>
      <w:r w:rsidR="00C601E8">
        <w:t xml:space="preserve"> through</w:t>
      </w:r>
      <w:r w:rsidRPr="00015237">
        <w:t xml:space="preserve"> policy and advice, monitoring and data, and partnering and engagement. </w:t>
      </w:r>
    </w:p>
    <w:p w14:paraId="33AA7E4B" w14:textId="6D06B742" w:rsidR="00CD2F6A" w:rsidRPr="00015237" w:rsidRDefault="00CD2F6A" w:rsidP="006873E0">
      <w:pPr>
        <w:pStyle w:val="ListParagraph"/>
        <w:numPr>
          <w:ilvl w:val="0"/>
          <w:numId w:val="1"/>
        </w:numPr>
        <w:spacing w:before="220" w:after="0" w:line="259" w:lineRule="auto"/>
        <w:ind w:left="709" w:hanging="709"/>
        <w:contextualSpacing w:val="0"/>
        <w:jc w:val="both"/>
      </w:pPr>
      <w:r w:rsidRPr="00015237">
        <w:t>The Government engaged directly with ethnic communities to inform the</w:t>
      </w:r>
      <w:r w:rsidR="00691A27">
        <w:t xml:space="preserve"> new Ministry’s</w:t>
      </w:r>
      <w:r w:rsidRPr="00015237">
        <w:t xml:space="preserve"> initial priorities</w:t>
      </w:r>
      <w:r w:rsidR="00200AC9">
        <w:t>, which include</w:t>
      </w:r>
      <w:r w:rsidRPr="00015237">
        <w:t>:</w:t>
      </w:r>
    </w:p>
    <w:p w14:paraId="2EBBD332" w14:textId="1534B4AC" w:rsidR="00CD2F6A" w:rsidRPr="00015237" w:rsidRDefault="006800EB" w:rsidP="006873E0">
      <w:pPr>
        <w:pStyle w:val="ListParagraph"/>
        <w:numPr>
          <w:ilvl w:val="1"/>
          <w:numId w:val="15"/>
        </w:numPr>
        <w:spacing w:before="220" w:after="0" w:line="259" w:lineRule="auto"/>
        <w:ind w:left="1134" w:hanging="425"/>
        <w:contextualSpacing w:val="0"/>
        <w:jc w:val="both"/>
      </w:pPr>
      <w:r>
        <w:t>p</w:t>
      </w:r>
      <w:r w:rsidR="00CD2F6A" w:rsidRPr="00015237">
        <w:t>romoting the value of diversity and improving the inclusion of ethnic communities in wider society</w:t>
      </w:r>
      <w:r>
        <w:t>;</w:t>
      </w:r>
    </w:p>
    <w:p w14:paraId="76A1F7BB" w14:textId="0BD6BBFB" w:rsidR="00CD2F6A" w:rsidRPr="00015237" w:rsidRDefault="006800EB" w:rsidP="006873E0">
      <w:pPr>
        <w:pStyle w:val="ListParagraph"/>
        <w:numPr>
          <w:ilvl w:val="1"/>
          <w:numId w:val="15"/>
        </w:numPr>
        <w:spacing w:before="220" w:after="0" w:line="259" w:lineRule="auto"/>
        <w:ind w:left="1134" w:hanging="425"/>
        <w:contextualSpacing w:val="0"/>
        <w:jc w:val="both"/>
      </w:pPr>
      <w:r>
        <w:t>e</w:t>
      </w:r>
      <w:r w:rsidR="00CD2F6A" w:rsidRPr="00015237">
        <w:t>nsuring government services are provided equitably and in ways that are accessible for ethnic communities</w:t>
      </w:r>
      <w:r>
        <w:t>;</w:t>
      </w:r>
      <w:r w:rsidR="00CD2F6A" w:rsidRPr="00015237">
        <w:t xml:space="preserve"> </w:t>
      </w:r>
    </w:p>
    <w:p w14:paraId="3EA9C795" w14:textId="4B1ABD68" w:rsidR="00CD2F6A" w:rsidRPr="00015237" w:rsidRDefault="006800EB" w:rsidP="006873E0">
      <w:pPr>
        <w:pStyle w:val="ListParagraph"/>
        <w:numPr>
          <w:ilvl w:val="1"/>
          <w:numId w:val="15"/>
        </w:numPr>
        <w:spacing w:before="220" w:after="0" w:line="259" w:lineRule="auto"/>
        <w:ind w:left="1134" w:hanging="425"/>
        <w:contextualSpacing w:val="0"/>
        <w:jc w:val="both"/>
      </w:pPr>
      <w:r>
        <w:t>i</w:t>
      </w:r>
      <w:r w:rsidR="00CD2F6A" w:rsidRPr="00015237">
        <w:t>mproving economic outcomes for ethnic communities, including addressing barriers to employment</w:t>
      </w:r>
      <w:r>
        <w:t>; and</w:t>
      </w:r>
    </w:p>
    <w:p w14:paraId="227DC99D" w14:textId="5BE10D9B" w:rsidR="00EB06A0" w:rsidRPr="00015237" w:rsidRDefault="006800EB" w:rsidP="006873E0">
      <w:pPr>
        <w:pStyle w:val="ListParagraph"/>
        <w:numPr>
          <w:ilvl w:val="1"/>
          <w:numId w:val="15"/>
        </w:numPr>
        <w:spacing w:before="220" w:after="0" w:line="259" w:lineRule="auto"/>
        <w:ind w:left="1134" w:hanging="425"/>
        <w:contextualSpacing w:val="0"/>
        <w:jc w:val="both"/>
      </w:pPr>
      <w:r>
        <w:t>c</w:t>
      </w:r>
      <w:r w:rsidR="00CD2F6A" w:rsidRPr="00015237">
        <w:t>onnecting and empowering ethnic community groups.</w:t>
      </w:r>
    </w:p>
    <w:p w14:paraId="01A2A578" w14:textId="77777777" w:rsidR="00CD2F6A" w:rsidRPr="00015237" w:rsidRDefault="00660D02" w:rsidP="006873E0">
      <w:pPr>
        <w:pStyle w:val="Heading2"/>
        <w:spacing w:line="276" w:lineRule="auto"/>
        <w:jc w:val="both"/>
      </w:pPr>
      <w:r w:rsidRPr="00015237">
        <w:t>National Plan of Action Against Racism</w:t>
      </w:r>
    </w:p>
    <w:p w14:paraId="01F202FA" w14:textId="63460F09" w:rsidR="00C3268C" w:rsidRPr="008B0AE9" w:rsidRDefault="00953752" w:rsidP="006873E0">
      <w:pPr>
        <w:keepNext/>
        <w:spacing w:before="220" w:after="0" w:line="259" w:lineRule="auto"/>
        <w:jc w:val="both"/>
        <w:rPr>
          <w:lang w:val="en-NZ"/>
        </w:rPr>
      </w:pPr>
      <w:r w:rsidRPr="008B0AE9">
        <w:rPr>
          <w:lang w:val="en-NZ"/>
        </w:rPr>
        <w:t>UPR Recommendation</w:t>
      </w:r>
      <w:r w:rsidR="00CD2F6A" w:rsidRPr="008B0AE9">
        <w:rPr>
          <w:lang w:val="en-NZ"/>
        </w:rPr>
        <w:t>s</w:t>
      </w:r>
      <w:r w:rsidR="005A665B" w:rsidRPr="008B0AE9">
        <w:rPr>
          <w:lang w:val="en-NZ"/>
        </w:rPr>
        <w:t>:</w:t>
      </w:r>
      <w:r w:rsidR="00A426BD" w:rsidRPr="008B0AE9">
        <w:rPr>
          <w:lang w:val="en-NZ"/>
        </w:rPr>
        <w:t xml:space="preserve"> 46, 48</w:t>
      </w:r>
      <w:bookmarkStart w:id="2" w:name="_Hlk86660653"/>
    </w:p>
    <w:p w14:paraId="1956CB02" w14:textId="7B413538" w:rsidR="00C81B37" w:rsidRPr="00015237" w:rsidRDefault="00C3268C" w:rsidP="006873E0">
      <w:pPr>
        <w:pStyle w:val="ListParagraph"/>
        <w:numPr>
          <w:ilvl w:val="0"/>
          <w:numId w:val="1"/>
        </w:numPr>
        <w:spacing w:before="220" w:after="0" w:line="259" w:lineRule="auto"/>
        <w:ind w:left="709" w:hanging="709"/>
        <w:contextualSpacing w:val="0"/>
        <w:jc w:val="both"/>
      </w:pPr>
      <w:r w:rsidRPr="00015237">
        <w:t xml:space="preserve">The Government recognises the need to take a coordinated </w:t>
      </w:r>
      <w:r w:rsidR="00CD2F6A" w:rsidRPr="00015237">
        <w:t xml:space="preserve">approach </w:t>
      </w:r>
      <w:r w:rsidRPr="00015237">
        <w:t xml:space="preserve">to tackling racism in Aotearoa New Zealand. </w:t>
      </w:r>
      <w:r w:rsidR="009D25A1">
        <w:t>In response to UPR recommendations 46 and 48, the Government agreed</w:t>
      </w:r>
      <w:r w:rsidR="00C81B37" w:rsidRPr="00015237">
        <w:t xml:space="preserve"> </w:t>
      </w:r>
      <w:r w:rsidR="00CD2F6A" w:rsidRPr="00015237">
        <w:t xml:space="preserve">to establish a national plan of action against racism. The </w:t>
      </w:r>
      <w:r w:rsidR="00C81B37" w:rsidRPr="00015237">
        <w:t xml:space="preserve">action plan </w:t>
      </w:r>
      <w:r w:rsidR="00CD2F6A" w:rsidRPr="00015237">
        <w:t>will be</w:t>
      </w:r>
      <w:r w:rsidR="00C81B37" w:rsidRPr="00015237">
        <w:t xml:space="preserve"> a comprehensive plan and programme of action to target and eliminate racism in Aotearoa New Zealand. </w:t>
      </w:r>
      <w:r w:rsidR="00CD2F6A" w:rsidRPr="00015237">
        <w:t>It</w:t>
      </w:r>
      <w:r w:rsidR="00C81B37" w:rsidRPr="00015237">
        <w:t xml:space="preserve"> will be for all people in Aotearoa New Zealand and will include specific actions for the Government to take to </w:t>
      </w:r>
      <w:r w:rsidR="009D25A1">
        <w:t>eliminate</w:t>
      </w:r>
      <w:r w:rsidR="00C81B37" w:rsidRPr="00015237">
        <w:t xml:space="preserve"> racism. </w:t>
      </w:r>
    </w:p>
    <w:p w14:paraId="3CF310B2" w14:textId="60924918" w:rsidR="00C81B37" w:rsidRPr="00015237" w:rsidRDefault="00C81B37" w:rsidP="006873E0">
      <w:pPr>
        <w:pStyle w:val="ListParagraph"/>
        <w:numPr>
          <w:ilvl w:val="0"/>
          <w:numId w:val="1"/>
        </w:numPr>
        <w:spacing w:before="220" w:after="0" w:line="259" w:lineRule="auto"/>
        <w:ind w:left="709" w:hanging="709"/>
        <w:contextualSpacing w:val="0"/>
        <w:jc w:val="both"/>
      </w:pPr>
      <w:r w:rsidRPr="00015237">
        <w:t>Funding for the development of the action plan was secured through the 2021 Budget</w:t>
      </w:r>
      <w:r w:rsidR="00A60B07" w:rsidRPr="00015237">
        <w:t xml:space="preserve"> and a </w:t>
      </w:r>
      <w:r w:rsidR="009D25A1">
        <w:t>new</w:t>
      </w:r>
      <w:r w:rsidRPr="00015237">
        <w:t xml:space="preserve"> team </w:t>
      </w:r>
      <w:r w:rsidR="009D25A1">
        <w:t xml:space="preserve">was established </w:t>
      </w:r>
      <w:r w:rsidR="00A60B07" w:rsidRPr="00015237">
        <w:t xml:space="preserve">at the Ministry of Justice </w:t>
      </w:r>
      <w:r w:rsidR="009D25A1">
        <w:t>with the sole purpose of</w:t>
      </w:r>
      <w:r w:rsidR="00A60B07" w:rsidRPr="00015237">
        <w:t xml:space="preserve"> develop</w:t>
      </w:r>
      <w:r w:rsidR="009D25A1">
        <w:t>ing</w:t>
      </w:r>
      <w:r w:rsidR="00A60B07" w:rsidRPr="00015237">
        <w:t xml:space="preserve"> the </w:t>
      </w:r>
      <w:r w:rsidRPr="00015237">
        <w:lastRenderedPageBreak/>
        <w:t xml:space="preserve">plan. </w:t>
      </w:r>
      <w:r w:rsidR="00A60B07" w:rsidRPr="00015237">
        <w:t xml:space="preserve">Work is underway </w:t>
      </w:r>
      <w:r w:rsidRPr="00015237">
        <w:t>on the approach and pro</w:t>
      </w:r>
      <w:r w:rsidR="009D25A1">
        <w:t>cess</w:t>
      </w:r>
      <w:r w:rsidRPr="00015237">
        <w:t xml:space="preserve"> for developing the plan, which is underpinned by </w:t>
      </w:r>
      <w:r w:rsidR="000C7EBD" w:rsidRPr="00015237">
        <w:t>t</w:t>
      </w:r>
      <w:r w:rsidRPr="00015237">
        <w:t>e Tiriti commitments and human right</w:t>
      </w:r>
      <w:r w:rsidR="00A60B07" w:rsidRPr="00015237">
        <w:t>s</w:t>
      </w:r>
      <w:r w:rsidRPr="00015237">
        <w:t xml:space="preserve"> standards.</w:t>
      </w:r>
      <w:r w:rsidR="00691A27">
        <w:t xml:space="preserve"> </w:t>
      </w:r>
      <w:r w:rsidR="006A481E">
        <w:t>The</w:t>
      </w:r>
      <w:r w:rsidR="00C601E8">
        <w:t xml:space="preserve">re is a strong focus </w:t>
      </w:r>
      <w:r w:rsidR="00200AC9">
        <w:t>on ensuring</w:t>
      </w:r>
      <w:r w:rsidR="006A481E">
        <w:t xml:space="preserve"> </w:t>
      </w:r>
      <w:r w:rsidRPr="00015237">
        <w:t xml:space="preserve">participation from a wide range of communities, groups and sectors. </w:t>
      </w:r>
    </w:p>
    <w:p w14:paraId="6DE89959" w14:textId="2A29BCF9" w:rsidR="00841CC6" w:rsidRPr="00015237" w:rsidRDefault="00C81B37" w:rsidP="006873E0">
      <w:pPr>
        <w:pStyle w:val="ListParagraph"/>
        <w:numPr>
          <w:ilvl w:val="0"/>
          <w:numId w:val="1"/>
        </w:numPr>
        <w:spacing w:before="220" w:after="0" w:line="259" w:lineRule="auto"/>
        <w:ind w:left="709" w:hanging="709"/>
        <w:contextualSpacing w:val="0"/>
        <w:jc w:val="both"/>
      </w:pPr>
      <w:r w:rsidRPr="00015237">
        <w:t>The Human Rights Commission</w:t>
      </w:r>
      <w:r w:rsidR="00554C7B">
        <w:t>,</w:t>
      </w:r>
      <w:r w:rsidRPr="00015237">
        <w:t xml:space="preserve"> and</w:t>
      </w:r>
      <w:r w:rsidR="006C38C1">
        <w:t xml:space="preserve"> particularly </w:t>
      </w:r>
      <w:r w:rsidR="00554C7B">
        <w:t>the</w:t>
      </w:r>
      <w:r w:rsidRPr="00015237">
        <w:t xml:space="preserve"> Race Relations Commissioner</w:t>
      </w:r>
      <w:r w:rsidR="00554C7B">
        <w:t>,</w:t>
      </w:r>
      <w:r w:rsidRPr="00015237">
        <w:t xml:space="preserve"> are contributing to the plan’s development. The Commission’s role includes engaging with Māori, civil society, and others who experience racism to </w:t>
      </w:r>
      <w:r w:rsidR="00A60B07" w:rsidRPr="00015237">
        <w:t>capture</w:t>
      </w:r>
      <w:r w:rsidRPr="00015237">
        <w:t xml:space="preserve"> their voices informing the plan. </w:t>
      </w:r>
      <w:bookmarkEnd w:id="2"/>
    </w:p>
    <w:p w14:paraId="5B861A0B" w14:textId="5906EB96" w:rsidR="00341574" w:rsidRPr="00015237" w:rsidRDefault="00341574" w:rsidP="006873E0">
      <w:pPr>
        <w:pStyle w:val="Heading2"/>
        <w:spacing w:line="276" w:lineRule="auto"/>
        <w:jc w:val="both"/>
      </w:pPr>
      <w:r w:rsidRPr="00015237">
        <w:t xml:space="preserve">Establishment of a Ministry for Disabled </w:t>
      </w:r>
      <w:r w:rsidR="000C7EBD" w:rsidRPr="00015237">
        <w:t xml:space="preserve">People </w:t>
      </w:r>
      <w:r w:rsidR="000C4247" w:rsidRPr="00015237">
        <w:t>and improving accessibility</w:t>
      </w:r>
    </w:p>
    <w:p w14:paraId="42A1FD00" w14:textId="2F6CD38C" w:rsidR="00341574" w:rsidRPr="008B0AE9" w:rsidRDefault="00953752" w:rsidP="006873E0">
      <w:pPr>
        <w:keepNext/>
        <w:spacing w:before="220" w:after="0" w:line="259" w:lineRule="auto"/>
        <w:jc w:val="both"/>
        <w:rPr>
          <w:lang w:val="en-NZ"/>
        </w:rPr>
      </w:pPr>
      <w:r w:rsidRPr="008B0AE9">
        <w:rPr>
          <w:lang w:val="en-NZ"/>
        </w:rPr>
        <w:t>UPR Recommendation</w:t>
      </w:r>
      <w:r w:rsidR="005A665B" w:rsidRPr="008B0AE9">
        <w:rPr>
          <w:lang w:val="en-NZ"/>
        </w:rPr>
        <w:t>s:</w:t>
      </w:r>
      <w:r w:rsidR="00341574" w:rsidRPr="008B0AE9">
        <w:rPr>
          <w:lang w:val="en-NZ"/>
        </w:rPr>
        <w:t xml:space="preserve"> </w:t>
      </w:r>
      <w:r w:rsidR="00966C69" w:rsidRPr="008B0AE9">
        <w:rPr>
          <w:lang w:val="en-NZ"/>
        </w:rPr>
        <w:t xml:space="preserve">94, </w:t>
      </w:r>
      <w:r w:rsidR="00341574" w:rsidRPr="008B0AE9">
        <w:rPr>
          <w:lang w:val="en-NZ"/>
        </w:rPr>
        <w:t>15</w:t>
      </w:r>
      <w:r w:rsidR="00EB096D" w:rsidRPr="008B0AE9">
        <w:rPr>
          <w:lang w:val="en-NZ"/>
        </w:rPr>
        <w:t>6-159</w:t>
      </w:r>
      <w:r w:rsidR="00966C69" w:rsidRPr="008B0AE9">
        <w:rPr>
          <w:lang w:val="en-NZ"/>
        </w:rPr>
        <w:t>, 162, 100</w:t>
      </w:r>
    </w:p>
    <w:p w14:paraId="370C3B0F" w14:textId="78A181F8" w:rsidR="00E07C14" w:rsidRPr="00015237" w:rsidRDefault="006A481E" w:rsidP="006873E0">
      <w:pPr>
        <w:pStyle w:val="ListParagraph"/>
        <w:numPr>
          <w:ilvl w:val="0"/>
          <w:numId w:val="1"/>
        </w:numPr>
        <w:spacing w:before="220" w:after="0" w:line="259" w:lineRule="auto"/>
        <w:ind w:left="709" w:hanging="709"/>
        <w:contextualSpacing w:val="0"/>
        <w:jc w:val="both"/>
      </w:pPr>
      <w:r w:rsidRPr="00015237">
        <w:t>Disabled people face significant barriers that prevent them from being able to fully participate in society.</w:t>
      </w:r>
      <w:r>
        <w:t xml:space="preserve"> I</w:t>
      </w:r>
      <w:r w:rsidR="00341574" w:rsidRPr="00015237">
        <w:t xml:space="preserve">n 2021, the Government announced the creation of a new Ministry </w:t>
      </w:r>
      <w:r w:rsidR="00C56632">
        <w:t xml:space="preserve">for Disabled People </w:t>
      </w:r>
      <w:r w:rsidR="00341574" w:rsidRPr="00015237">
        <w:t xml:space="preserve">which will drive overall improved outcomes for all disabled people. It will lead and coordinate cross-government strategic disability policy, and progress ongoing work to transform the disability system. It is expected the new Ministry will be established from July 2022. </w:t>
      </w:r>
    </w:p>
    <w:p w14:paraId="699B25C5" w14:textId="3534F7A0" w:rsidR="00E07C14" w:rsidRPr="00015237" w:rsidRDefault="00341574" w:rsidP="006873E0">
      <w:pPr>
        <w:pStyle w:val="ListParagraph"/>
        <w:numPr>
          <w:ilvl w:val="0"/>
          <w:numId w:val="1"/>
        </w:numPr>
        <w:spacing w:before="220" w:after="0" w:line="259" w:lineRule="auto"/>
        <w:ind w:left="709" w:hanging="709"/>
        <w:contextualSpacing w:val="0"/>
        <w:jc w:val="both"/>
      </w:pPr>
      <w:r w:rsidRPr="00015237">
        <w:t>The proposal for the new Ministry was developed in partnership between Government and the disability community</w:t>
      </w:r>
      <w:r w:rsidR="006C38C1">
        <w:t>. D</w:t>
      </w:r>
      <w:r w:rsidRPr="00015237">
        <w:t xml:space="preserve">isabled people and </w:t>
      </w:r>
      <w:r w:rsidR="006C38C1">
        <w:t xml:space="preserve">their </w:t>
      </w:r>
      <w:r w:rsidR="00C85E77" w:rsidRPr="00015237">
        <w:t>whānau</w:t>
      </w:r>
      <w:r w:rsidRPr="00015237">
        <w:t xml:space="preserve"> will also continue to be involved in the Ministry’s establishment and ongoing operation. Through raising the profile and visibility across Government, the new Ministry will enable a holistic and whole-of-life approach to addressing inequities and realising the aspirations and opportunities of disabled people and </w:t>
      </w:r>
      <w:r w:rsidR="000C7EBD" w:rsidRPr="00015237">
        <w:t xml:space="preserve">their </w:t>
      </w:r>
      <w:r w:rsidRPr="00015237">
        <w:t>whānau. The Ministry will also take on responsibility for delivering and transforming Disability Support Services which currently sits with the Ministry of Health.</w:t>
      </w:r>
    </w:p>
    <w:p w14:paraId="56FF0D0B" w14:textId="012B9285" w:rsidR="000C4247" w:rsidRPr="00015237" w:rsidRDefault="006A481E" w:rsidP="006873E0">
      <w:pPr>
        <w:pStyle w:val="ListParagraph"/>
        <w:numPr>
          <w:ilvl w:val="0"/>
          <w:numId w:val="1"/>
        </w:numPr>
        <w:spacing w:before="220" w:after="0" w:line="259" w:lineRule="auto"/>
        <w:ind w:left="709" w:hanging="709"/>
        <w:contextualSpacing w:val="0"/>
        <w:jc w:val="both"/>
      </w:pPr>
      <w:r>
        <w:t>T</w:t>
      </w:r>
      <w:r w:rsidR="000C4247" w:rsidRPr="00015237">
        <w:t>he Government</w:t>
      </w:r>
      <w:r>
        <w:t xml:space="preserve"> also</w:t>
      </w:r>
      <w:r w:rsidR="000C4247" w:rsidRPr="00015237">
        <w:t xml:space="preserve"> announced that standalone enabling legislation will be introduced as a first step to accelerating accessibility and supporting </w:t>
      </w:r>
      <w:r w:rsidR="00D849B8" w:rsidRPr="00015237">
        <w:t>Aotearoa</w:t>
      </w:r>
      <w:r w:rsidR="00D849B8" w:rsidRPr="008B0AE9">
        <w:t xml:space="preserve"> </w:t>
      </w:r>
      <w:r w:rsidR="000C4247" w:rsidRPr="00015237">
        <w:t xml:space="preserve">New Zealand to progressively becoming a more accessible society. </w:t>
      </w:r>
    </w:p>
    <w:p w14:paraId="4C0E1A39" w14:textId="6D178E2D" w:rsidR="00321E4F" w:rsidRPr="00015237" w:rsidRDefault="000C4247" w:rsidP="006873E0">
      <w:pPr>
        <w:pStyle w:val="ListParagraph"/>
        <w:numPr>
          <w:ilvl w:val="0"/>
          <w:numId w:val="1"/>
        </w:numPr>
        <w:spacing w:before="220" w:after="0" w:line="259" w:lineRule="auto"/>
        <w:ind w:left="709" w:hanging="709"/>
        <w:contextualSpacing w:val="0"/>
        <w:jc w:val="both"/>
      </w:pPr>
      <w:r w:rsidRPr="00015237">
        <w:t xml:space="preserve">This enabling legislative framework will be introduced in 2022 and will set out </w:t>
      </w:r>
      <w:r w:rsidR="000C7EBD" w:rsidRPr="00015237">
        <w:t xml:space="preserve">the </w:t>
      </w:r>
      <w:r w:rsidRPr="00015237">
        <w:t>leadership, structure and process for change. There will be a clear purpose statement, key principles, functions, roles and accountability processes. This framework has been chosen as it sets the direction for accessibility and can adapt to address different types of accessibility barriers.</w:t>
      </w:r>
    </w:p>
    <w:p w14:paraId="2683737F" w14:textId="4449190F" w:rsidR="00A60B07" w:rsidRPr="00015237" w:rsidRDefault="00A60B07" w:rsidP="006873E0">
      <w:pPr>
        <w:pStyle w:val="Heading2"/>
        <w:jc w:val="both"/>
      </w:pPr>
      <w:r w:rsidRPr="00015237">
        <w:t>B</w:t>
      </w:r>
      <w:r w:rsidR="00C44D35" w:rsidRPr="00015237">
        <w:t xml:space="preserve">anning </w:t>
      </w:r>
      <w:r w:rsidR="006368CE" w:rsidRPr="006800EB">
        <w:t>c</w:t>
      </w:r>
      <w:r w:rsidR="00C44D35" w:rsidRPr="006800EB">
        <w:t>onversion</w:t>
      </w:r>
      <w:r w:rsidR="00C44D35" w:rsidRPr="00015237">
        <w:t xml:space="preserve"> </w:t>
      </w:r>
      <w:r w:rsidR="006368CE">
        <w:t>p</w:t>
      </w:r>
      <w:r w:rsidR="00C44D35" w:rsidRPr="00015237">
        <w:t>ractices</w:t>
      </w:r>
    </w:p>
    <w:p w14:paraId="3D233806" w14:textId="66A6B428" w:rsidR="00266493" w:rsidRPr="008B0AE9" w:rsidRDefault="00953752" w:rsidP="006873E0">
      <w:pPr>
        <w:keepNext/>
        <w:spacing w:before="220" w:after="0" w:line="259" w:lineRule="auto"/>
        <w:jc w:val="both"/>
        <w:rPr>
          <w:lang w:val="en-NZ"/>
        </w:rPr>
      </w:pPr>
      <w:r w:rsidRPr="008B0AE9">
        <w:rPr>
          <w:lang w:val="en-NZ"/>
        </w:rPr>
        <w:t>UPR Recommendation</w:t>
      </w:r>
      <w:r w:rsidR="00A60B07" w:rsidRPr="008B0AE9">
        <w:rPr>
          <w:lang w:val="en-NZ"/>
        </w:rPr>
        <w:t>s</w:t>
      </w:r>
      <w:r w:rsidR="005A665B" w:rsidRPr="008B0AE9">
        <w:rPr>
          <w:lang w:val="en-NZ"/>
        </w:rPr>
        <w:t>:</w:t>
      </w:r>
      <w:r w:rsidR="00225FE9" w:rsidRPr="008B0AE9">
        <w:rPr>
          <w:lang w:val="en-NZ"/>
        </w:rPr>
        <w:t xml:space="preserve"> </w:t>
      </w:r>
      <w:r w:rsidR="00D30CFF" w:rsidRPr="008B0AE9">
        <w:rPr>
          <w:lang w:val="en-NZ"/>
        </w:rPr>
        <w:t>41, 50, 64</w:t>
      </w:r>
    </w:p>
    <w:p w14:paraId="598CECC2" w14:textId="34FF0BAD" w:rsidR="00315612" w:rsidRPr="00015237" w:rsidRDefault="000D44BD" w:rsidP="006873E0">
      <w:pPr>
        <w:pStyle w:val="ListParagraph"/>
        <w:numPr>
          <w:ilvl w:val="0"/>
          <w:numId w:val="1"/>
        </w:numPr>
        <w:spacing w:before="220" w:after="0" w:line="259" w:lineRule="auto"/>
        <w:ind w:left="709" w:hanging="709"/>
        <w:contextualSpacing w:val="0"/>
        <w:jc w:val="both"/>
      </w:pPr>
      <w:r w:rsidRPr="00015237">
        <w:t>The Conversion Practices Prohibition Legislation Bill</w:t>
      </w:r>
      <w:r w:rsidR="00FB7D5E">
        <w:t>,</w:t>
      </w:r>
      <w:r w:rsidRPr="00015237">
        <w:t xml:space="preserve"> introduced </w:t>
      </w:r>
      <w:r w:rsidR="00FB7D5E">
        <w:t>in</w:t>
      </w:r>
      <w:r w:rsidRPr="00015237">
        <w:t>to Parliament in July 2021</w:t>
      </w:r>
      <w:r w:rsidR="00FB7D5E">
        <w:t>,</w:t>
      </w:r>
      <w:r w:rsidR="00244B39">
        <w:t xml:space="preserve"> w</w:t>
      </w:r>
      <w:r w:rsidR="00D42330">
        <w:t>ould</w:t>
      </w:r>
      <w:r w:rsidR="00244B39" w:rsidRPr="00015237">
        <w:t xml:space="preserve"> prohibit the performance of practices that are intended to change or suppress a person’s sexual orientation, gender identity, or gender expression</w:t>
      </w:r>
      <w:r w:rsidR="00200AC9">
        <w:t>.</w:t>
      </w:r>
      <w:r w:rsidR="00315612" w:rsidRPr="00015237">
        <w:t xml:space="preserve"> </w:t>
      </w:r>
      <w:r w:rsidR="00C601E8">
        <w:t>R</w:t>
      </w:r>
      <w:r w:rsidR="00315612" w:rsidRPr="00015237">
        <w:t xml:space="preserve">esearch </w:t>
      </w:r>
      <w:r w:rsidR="006A481E">
        <w:t>show</w:t>
      </w:r>
      <w:r w:rsidR="00C601E8">
        <w:t>s</w:t>
      </w:r>
      <w:r w:rsidR="00315612" w:rsidRPr="00015237">
        <w:t xml:space="preserve"> that conversion practices do not work, are harmful to people’s wellbeing and can contribute to issues such as low self-esteem, depression, anxiety, suicidal thoughts and attempts. </w:t>
      </w:r>
      <w:r w:rsidR="00FB7D5E">
        <w:t>Public s</w:t>
      </w:r>
      <w:r w:rsidR="00FB7D5E" w:rsidRPr="00015237">
        <w:t xml:space="preserve">ubmissions on the Bill are currently being heard by the </w:t>
      </w:r>
      <w:r w:rsidR="00FB7D5E">
        <w:t>P</w:t>
      </w:r>
      <w:r w:rsidR="00FB7D5E" w:rsidRPr="00015237">
        <w:t>arliament</w:t>
      </w:r>
      <w:r w:rsidR="00FB7D5E">
        <w:t>’s Justice</w:t>
      </w:r>
      <w:r w:rsidR="00FB7D5E" w:rsidRPr="00015237">
        <w:t xml:space="preserve"> Committee.</w:t>
      </w:r>
    </w:p>
    <w:p w14:paraId="745FFEF5" w14:textId="7760E3A5" w:rsidR="00315612" w:rsidRPr="00015237" w:rsidRDefault="00315612" w:rsidP="006873E0">
      <w:pPr>
        <w:pStyle w:val="ListParagraph"/>
        <w:numPr>
          <w:ilvl w:val="0"/>
          <w:numId w:val="1"/>
        </w:numPr>
        <w:spacing w:before="220" w:after="0" w:line="259" w:lineRule="auto"/>
        <w:ind w:left="709" w:hanging="709"/>
        <w:contextualSpacing w:val="0"/>
        <w:jc w:val="both"/>
      </w:pPr>
      <w:r w:rsidRPr="00015237">
        <w:t xml:space="preserve">The Government’s objectives in prohibiting conversion practices are to: </w:t>
      </w:r>
    </w:p>
    <w:p w14:paraId="7AE6693B" w14:textId="0BE12229" w:rsidR="00315612" w:rsidRPr="00015237" w:rsidRDefault="001704C4" w:rsidP="006873E0">
      <w:pPr>
        <w:pStyle w:val="ListParagraph"/>
        <w:numPr>
          <w:ilvl w:val="1"/>
          <w:numId w:val="22"/>
        </w:numPr>
        <w:spacing w:before="220" w:after="0" w:line="259" w:lineRule="auto"/>
        <w:ind w:left="1134" w:hanging="425"/>
        <w:contextualSpacing w:val="0"/>
        <w:jc w:val="both"/>
      </w:pPr>
      <w:r w:rsidRPr="00015237">
        <w:t>a</w:t>
      </w:r>
      <w:r w:rsidR="00315612" w:rsidRPr="00015237">
        <w:t>ffirm the dignity of all people and that no sexual orientation or gender identity is broken and in need of fixing;</w:t>
      </w:r>
    </w:p>
    <w:p w14:paraId="1A45D6A5" w14:textId="670B03D8" w:rsidR="00315612" w:rsidRPr="00015237" w:rsidRDefault="001704C4" w:rsidP="006873E0">
      <w:pPr>
        <w:pStyle w:val="ListParagraph"/>
        <w:numPr>
          <w:ilvl w:val="1"/>
          <w:numId w:val="22"/>
        </w:numPr>
        <w:spacing w:before="220" w:after="0" w:line="259" w:lineRule="auto"/>
        <w:ind w:left="1134" w:hanging="425"/>
        <w:contextualSpacing w:val="0"/>
        <w:jc w:val="both"/>
      </w:pPr>
      <w:r w:rsidRPr="00015237">
        <w:t>p</w:t>
      </w:r>
      <w:r w:rsidR="00315612" w:rsidRPr="00015237">
        <w:t>revent the harm conversion practices cause and provide an avenue for redress</w:t>
      </w:r>
      <w:r w:rsidR="00FC217B" w:rsidRPr="00015237">
        <w:t>;</w:t>
      </w:r>
      <w:r w:rsidR="00315612" w:rsidRPr="00015237">
        <w:t xml:space="preserve"> and</w:t>
      </w:r>
    </w:p>
    <w:p w14:paraId="12330E04" w14:textId="2FDE57D8" w:rsidR="00315612" w:rsidRPr="00015237" w:rsidRDefault="001704C4" w:rsidP="006873E0">
      <w:pPr>
        <w:pStyle w:val="ListParagraph"/>
        <w:numPr>
          <w:ilvl w:val="1"/>
          <w:numId w:val="22"/>
        </w:numPr>
        <w:spacing w:before="220" w:after="0" w:line="259" w:lineRule="auto"/>
        <w:ind w:left="1134" w:hanging="425"/>
        <w:contextualSpacing w:val="0"/>
        <w:jc w:val="both"/>
      </w:pPr>
      <w:r w:rsidRPr="00015237">
        <w:lastRenderedPageBreak/>
        <w:t>u</w:t>
      </w:r>
      <w:r w:rsidR="00315612" w:rsidRPr="00015237">
        <w:t>phold the human right</w:t>
      </w:r>
      <w:r w:rsidR="00FC217B" w:rsidRPr="00015237">
        <w:t>s</w:t>
      </w:r>
      <w:r w:rsidR="00315612" w:rsidRPr="00015237">
        <w:t xml:space="preserve"> of all</w:t>
      </w:r>
      <w:r w:rsidR="00A60B07" w:rsidRPr="00015237">
        <w:t xml:space="preserve"> people</w:t>
      </w:r>
      <w:r w:rsidR="00315612" w:rsidRPr="00015237">
        <w:t xml:space="preserve"> to live free from discrimination and harm. </w:t>
      </w:r>
    </w:p>
    <w:p w14:paraId="5C28B8C9" w14:textId="3D832DED" w:rsidR="00315612" w:rsidRPr="00015237" w:rsidRDefault="00315612" w:rsidP="006873E0">
      <w:pPr>
        <w:pStyle w:val="ListParagraph"/>
        <w:numPr>
          <w:ilvl w:val="0"/>
          <w:numId w:val="1"/>
        </w:numPr>
        <w:spacing w:before="220" w:after="0" w:line="259" w:lineRule="auto"/>
        <w:ind w:left="709" w:hanging="709"/>
        <w:contextualSpacing w:val="0"/>
        <w:jc w:val="both"/>
      </w:pPr>
      <w:r w:rsidRPr="00015237">
        <w:t xml:space="preserve">The Bill makes </w:t>
      </w:r>
      <w:r w:rsidR="00A60B07" w:rsidRPr="00015237">
        <w:t xml:space="preserve">it </w:t>
      </w:r>
      <w:r w:rsidRPr="00015237">
        <w:t xml:space="preserve">a criminal offence to perform </w:t>
      </w:r>
      <w:r w:rsidR="006A481E" w:rsidRPr="00015237">
        <w:t>convers</w:t>
      </w:r>
      <w:r w:rsidR="006A481E">
        <w:t>i</w:t>
      </w:r>
      <w:r w:rsidR="006A481E" w:rsidRPr="00015237">
        <w:t>on</w:t>
      </w:r>
      <w:r w:rsidRPr="00015237">
        <w:t xml:space="preserve"> practice</w:t>
      </w:r>
      <w:r w:rsidR="006A481E">
        <w:t>s</w:t>
      </w:r>
      <w:r w:rsidRPr="00015237">
        <w:t xml:space="preserve">: </w:t>
      </w:r>
    </w:p>
    <w:p w14:paraId="7601F86D" w14:textId="5ACC99D5" w:rsidR="00315612" w:rsidRPr="00015237" w:rsidRDefault="00315612" w:rsidP="006873E0">
      <w:pPr>
        <w:pStyle w:val="ListParagraph"/>
        <w:numPr>
          <w:ilvl w:val="1"/>
          <w:numId w:val="22"/>
        </w:numPr>
        <w:spacing w:before="220" w:after="0" w:line="259" w:lineRule="auto"/>
        <w:ind w:left="1134" w:hanging="425"/>
        <w:contextualSpacing w:val="0"/>
        <w:jc w:val="both"/>
      </w:pPr>
      <w:r w:rsidRPr="00015237">
        <w:t xml:space="preserve">on a person </w:t>
      </w:r>
      <w:r w:rsidR="00F0008C" w:rsidRPr="00015237">
        <w:t>under 18 years of age, or lacking decision-making capacity (punishable by up to 3 years in prison)</w:t>
      </w:r>
      <w:r w:rsidR="001E7E2E" w:rsidRPr="00015237">
        <w:t>;</w:t>
      </w:r>
      <w:r w:rsidR="00F0008C" w:rsidRPr="00015237">
        <w:t xml:space="preserve"> or</w:t>
      </w:r>
    </w:p>
    <w:p w14:paraId="2FBD9E70" w14:textId="7FDCC525" w:rsidR="00F0008C" w:rsidRPr="00015237" w:rsidRDefault="00F0008C" w:rsidP="006873E0">
      <w:pPr>
        <w:pStyle w:val="ListParagraph"/>
        <w:numPr>
          <w:ilvl w:val="1"/>
          <w:numId w:val="22"/>
        </w:numPr>
        <w:spacing w:before="220" w:after="0" w:line="259" w:lineRule="auto"/>
        <w:ind w:left="1134" w:hanging="425"/>
        <w:contextualSpacing w:val="0"/>
        <w:jc w:val="both"/>
      </w:pPr>
      <w:r w:rsidRPr="00015237">
        <w:t>where the practice causes serious harm (punishable by up to 5 years in prison).</w:t>
      </w:r>
    </w:p>
    <w:p w14:paraId="5705CCF7" w14:textId="6AC16E94" w:rsidR="00C173DD" w:rsidRPr="00015237" w:rsidRDefault="00F0008C" w:rsidP="006873E0">
      <w:pPr>
        <w:pStyle w:val="ListParagraph"/>
        <w:numPr>
          <w:ilvl w:val="0"/>
          <w:numId w:val="1"/>
        </w:numPr>
        <w:spacing w:before="220" w:after="0" w:line="259" w:lineRule="auto"/>
        <w:ind w:left="709" w:hanging="709"/>
        <w:contextualSpacing w:val="0"/>
        <w:jc w:val="both"/>
      </w:pPr>
      <w:r w:rsidRPr="00015237">
        <w:t xml:space="preserve">The </w:t>
      </w:r>
      <w:r w:rsidR="007D416C" w:rsidRPr="00015237">
        <w:t>Bill also utilises the Human Rights Commission’s existing functions and complain</w:t>
      </w:r>
      <w:r w:rsidR="000C7EBD" w:rsidRPr="00015237">
        <w:t>t</w:t>
      </w:r>
      <w:r w:rsidR="007D416C" w:rsidRPr="00015237">
        <w:t>s system to provide a civil redress scheme for convers</w:t>
      </w:r>
      <w:r w:rsidR="00A60B07" w:rsidRPr="00015237">
        <w:t>ion</w:t>
      </w:r>
      <w:r w:rsidR="007D416C" w:rsidRPr="00015237">
        <w:t xml:space="preserve"> practices. This provides another pathway of redress for survivors of conversion practices, with a focus on remedying harm and preventing it from happening again. The</w:t>
      </w:r>
      <w:r w:rsidR="006A481E">
        <w:t xml:space="preserve"> </w:t>
      </w:r>
      <w:r w:rsidR="006A481E" w:rsidRPr="00015237">
        <w:t>Human Rights</w:t>
      </w:r>
      <w:r w:rsidR="007D416C" w:rsidRPr="00015237">
        <w:t xml:space="preserve"> Commission will also play an important role in providing education about convers</w:t>
      </w:r>
      <w:r w:rsidR="00A60B07" w:rsidRPr="00015237">
        <w:t>ion</w:t>
      </w:r>
      <w:r w:rsidR="007D416C" w:rsidRPr="00015237">
        <w:t xml:space="preserve"> practices</w:t>
      </w:r>
      <w:r w:rsidR="00A60B07" w:rsidRPr="00015237">
        <w:t>,</w:t>
      </w:r>
      <w:r w:rsidR="007D416C" w:rsidRPr="00015237">
        <w:t xml:space="preserve"> the prohibition</w:t>
      </w:r>
      <w:r w:rsidR="00FC217B" w:rsidRPr="00015237">
        <w:t>, and</w:t>
      </w:r>
      <w:r w:rsidR="00A60B07" w:rsidRPr="00015237">
        <w:t xml:space="preserve"> how to access</w:t>
      </w:r>
      <w:r w:rsidR="007D416C" w:rsidRPr="00015237">
        <w:t xml:space="preserve"> support.</w:t>
      </w:r>
    </w:p>
    <w:p w14:paraId="6FC126F7" w14:textId="12B21162" w:rsidR="00EB096D" w:rsidRPr="00015237" w:rsidRDefault="00321E4F" w:rsidP="006873E0">
      <w:pPr>
        <w:pStyle w:val="Heading1"/>
      </w:pPr>
      <w:r w:rsidRPr="00015237">
        <w:t xml:space="preserve">Indigenous Rights </w:t>
      </w:r>
    </w:p>
    <w:p w14:paraId="3DEF0027" w14:textId="601EC563" w:rsidR="00777303" w:rsidRPr="00015237" w:rsidRDefault="00777303" w:rsidP="006873E0">
      <w:pPr>
        <w:pStyle w:val="ListParagraph"/>
        <w:numPr>
          <w:ilvl w:val="0"/>
          <w:numId w:val="1"/>
        </w:numPr>
        <w:spacing w:before="220" w:after="0" w:line="259" w:lineRule="auto"/>
        <w:ind w:left="709" w:hanging="709"/>
        <w:contextualSpacing w:val="0"/>
        <w:jc w:val="both"/>
      </w:pPr>
      <w:r w:rsidRPr="00015237">
        <w:t>Addressing issues and inequities faced by Māori and strengthening indigenous rights continues to be a priority for Aotearoa New Zealand</w:t>
      </w:r>
      <w:r w:rsidR="00A9569C" w:rsidRPr="00015237">
        <w:t>. Te T</w:t>
      </w:r>
      <w:r w:rsidR="00551C9F" w:rsidRPr="00015237">
        <w:t>i</w:t>
      </w:r>
      <w:r w:rsidR="00A9569C" w:rsidRPr="00015237">
        <w:t>riti is the founding document of Aotearoa New Zealand’s constitutional arrangements and is at the heart of the relationship between Māori and the Crown.</w:t>
      </w:r>
    </w:p>
    <w:p w14:paraId="7FC95A6E" w14:textId="17875257" w:rsidR="00777303" w:rsidRPr="00015237" w:rsidRDefault="00777303" w:rsidP="006873E0">
      <w:pPr>
        <w:pStyle w:val="Heading2"/>
        <w:jc w:val="both"/>
      </w:pPr>
      <w:r w:rsidRPr="00015237">
        <w:t>Implementing the United Nations Declaration on the Rights of Indigenous Peoples</w:t>
      </w:r>
    </w:p>
    <w:p w14:paraId="0E155555" w14:textId="245A632F" w:rsidR="00777303" w:rsidRPr="008B0AE9" w:rsidRDefault="00953752" w:rsidP="006873E0">
      <w:pPr>
        <w:keepNext/>
        <w:spacing w:before="220" w:after="0" w:line="259" w:lineRule="auto"/>
        <w:jc w:val="both"/>
        <w:rPr>
          <w:lang w:val="en-NZ"/>
        </w:rPr>
      </w:pPr>
      <w:r w:rsidRPr="008B0AE9">
        <w:rPr>
          <w:lang w:val="en-NZ"/>
        </w:rPr>
        <w:t>UPR Recommendation</w:t>
      </w:r>
      <w:r w:rsidR="00777303" w:rsidRPr="008B0AE9">
        <w:rPr>
          <w:lang w:val="en-NZ"/>
        </w:rPr>
        <w:t>s</w:t>
      </w:r>
      <w:r w:rsidR="005A665B" w:rsidRPr="008B0AE9">
        <w:rPr>
          <w:lang w:val="en-NZ"/>
        </w:rPr>
        <w:t>:</w:t>
      </w:r>
      <w:r w:rsidR="00777303" w:rsidRPr="008B0AE9">
        <w:rPr>
          <w:lang w:val="en-NZ"/>
        </w:rPr>
        <w:t xml:space="preserve"> 167-175</w:t>
      </w:r>
    </w:p>
    <w:p w14:paraId="7264EE25" w14:textId="2097F53A" w:rsidR="00777303" w:rsidRPr="00015237" w:rsidRDefault="00777303" w:rsidP="006873E0">
      <w:pPr>
        <w:pStyle w:val="ListParagraph"/>
        <w:numPr>
          <w:ilvl w:val="0"/>
          <w:numId w:val="1"/>
        </w:numPr>
        <w:spacing w:before="220" w:after="0" w:line="259" w:lineRule="auto"/>
        <w:ind w:left="709" w:hanging="709"/>
        <w:contextualSpacing w:val="0"/>
        <w:jc w:val="both"/>
      </w:pPr>
      <w:r w:rsidRPr="00015237">
        <w:t xml:space="preserve">In 2019, the Minister for Māori Development appointed the Declaration Working Group (DWG) to provide independent advice on the form and content of </w:t>
      </w:r>
      <w:r w:rsidR="006A481E">
        <w:t>a</w:t>
      </w:r>
      <w:r w:rsidRPr="00015237">
        <w:t xml:space="preserve"> U</w:t>
      </w:r>
      <w:r w:rsidR="0005368E" w:rsidRPr="00015237">
        <w:t xml:space="preserve">nited </w:t>
      </w:r>
      <w:r w:rsidRPr="00015237">
        <w:t>N</w:t>
      </w:r>
      <w:r w:rsidR="0005368E" w:rsidRPr="00015237">
        <w:t xml:space="preserve">ations </w:t>
      </w:r>
      <w:r w:rsidRPr="00015237">
        <w:t>D</w:t>
      </w:r>
      <w:r w:rsidR="0005368E" w:rsidRPr="00015237">
        <w:t xml:space="preserve">eclaration on the </w:t>
      </w:r>
      <w:r w:rsidRPr="00015237">
        <w:t>R</w:t>
      </w:r>
      <w:r w:rsidR="0005368E" w:rsidRPr="00015237">
        <w:t xml:space="preserve">ights of </w:t>
      </w:r>
      <w:r w:rsidRPr="00015237">
        <w:t>I</w:t>
      </w:r>
      <w:r w:rsidR="0005368E" w:rsidRPr="00015237">
        <w:t xml:space="preserve">ndigenous </w:t>
      </w:r>
      <w:r w:rsidRPr="00015237">
        <w:t>P</w:t>
      </w:r>
      <w:r w:rsidR="0005368E" w:rsidRPr="00015237">
        <w:t>eople</w:t>
      </w:r>
      <w:r w:rsidRPr="00015237">
        <w:t xml:space="preserve"> plan</w:t>
      </w:r>
      <w:r w:rsidR="00163D8F" w:rsidRPr="00015237">
        <w:t xml:space="preserve"> (Declaration plan)</w:t>
      </w:r>
      <w:r w:rsidRPr="00015237">
        <w:t xml:space="preserve"> and an engagement process with whānau</w:t>
      </w:r>
      <w:bookmarkStart w:id="3" w:name="_Hlk87880122"/>
      <w:r w:rsidRPr="00015237">
        <w:t>, hapū</w:t>
      </w:r>
      <w:r w:rsidR="004B27D6" w:rsidRPr="00015237">
        <w:rPr>
          <w:rStyle w:val="FootnoteReference"/>
        </w:rPr>
        <w:footnoteReference w:id="2"/>
      </w:r>
      <w:r w:rsidRPr="00015237">
        <w:t xml:space="preserve"> </w:t>
      </w:r>
      <w:bookmarkEnd w:id="3"/>
      <w:r w:rsidRPr="00015237">
        <w:t xml:space="preserve">and </w:t>
      </w:r>
      <w:bookmarkStart w:id="4" w:name="_Hlk87880129"/>
      <w:r w:rsidRPr="00015237">
        <w:t>iwi</w:t>
      </w:r>
      <w:bookmarkEnd w:id="4"/>
      <w:r w:rsidR="00B620A2">
        <w:t>.</w:t>
      </w:r>
      <w:r w:rsidRPr="00015237">
        <w:rPr>
          <w:rStyle w:val="FootnoteReference"/>
        </w:rPr>
        <w:footnoteReference w:id="3"/>
      </w:r>
      <w:r w:rsidRPr="00015237">
        <w:t xml:space="preserve"> The DWG provided the Minister with their final report, </w:t>
      </w:r>
      <w:r w:rsidRPr="008B0AE9">
        <w:rPr>
          <w:i/>
          <w:iCs/>
        </w:rPr>
        <w:t>He Puapua</w:t>
      </w:r>
      <w:r w:rsidRPr="00015237">
        <w:t>, in late 2019.</w:t>
      </w:r>
      <w:r w:rsidR="00551C9F" w:rsidRPr="00015237">
        <w:t xml:space="preserve"> The DWG’s report </w:t>
      </w:r>
      <w:r w:rsidR="0096351F">
        <w:t>is</w:t>
      </w:r>
      <w:r w:rsidR="00551C9F" w:rsidRPr="00015237">
        <w:t xml:space="preserve"> not Government policy, but it provides a </w:t>
      </w:r>
      <w:r w:rsidR="0096351F">
        <w:t>basis for</w:t>
      </w:r>
      <w:r w:rsidR="00551C9F" w:rsidRPr="00015237">
        <w:t xml:space="preserve"> further conversation about </w:t>
      </w:r>
      <w:r w:rsidR="0096351F">
        <w:t xml:space="preserve">how to implement </w:t>
      </w:r>
      <w:r w:rsidR="00551C9F" w:rsidRPr="00015237">
        <w:t>the Declaration.</w:t>
      </w:r>
    </w:p>
    <w:p w14:paraId="48179E5B" w14:textId="468C2AA6" w:rsidR="0073651A" w:rsidRPr="00015237" w:rsidRDefault="00777303" w:rsidP="006873E0">
      <w:pPr>
        <w:pStyle w:val="ListParagraph"/>
        <w:numPr>
          <w:ilvl w:val="0"/>
          <w:numId w:val="1"/>
        </w:numPr>
        <w:spacing w:before="220" w:after="0" w:line="259" w:lineRule="auto"/>
        <w:ind w:left="709" w:hanging="709"/>
        <w:contextualSpacing w:val="0"/>
        <w:jc w:val="both"/>
      </w:pPr>
      <w:r w:rsidRPr="00015237">
        <w:t xml:space="preserve">Throughout 2020, further progress on the development of the </w:t>
      </w:r>
      <w:r w:rsidR="0005368E" w:rsidRPr="00015237">
        <w:t xml:space="preserve">Declaration </w:t>
      </w:r>
      <w:r w:rsidRPr="00015237">
        <w:t xml:space="preserve">plan was slowed, because of resources being prioritised to respond to the COVID-19 pandemic. In June 2021, Cabinet approved a two-step process for the development of a </w:t>
      </w:r>
      <w:r w:rsidR="006A481E">
        <w:t xml:space="preserve">Declaration plan. </w:t>
      </w:r>
    </w:p>
    <w:p w14:paraId="0CEA72F4" w14:textId="3AE596DE" w:rsidR="00777303" w:rsidRPr="00015237" w:rsidRDefault="0073651A" w:rsidP="006873E0">
      <w:pPr>
        <w:pStyle w:val="ListParagraph"/>
        <w:numPr>
          <w:ilvl w:val="0"/>
          <w:numId w:val="1"/>
        </w:numPr>
        <w:spacing w:before="220" w:after="0" w:line="259" w:lineRule="auto"/>
        <w:ind w:left="709" w:hanging="709"/>
        <w:contextualSpacing w:val="0"/>
        <w:jc w:val="both"/>
      </w:pPr>
      <w:r w:rsidRPr="00015237">
        <w:t>Following a series of targeted engagement</w:t>
      </w:r>
      <w:r w:rsidR="00C601E8">
        <w:t>s</w:t>
      </w:r>
      <w:r w:rsidR="00163D8F" w:rsidRPr="00015237">
        <w:t xml:space="preserve"> (which will take place until late January 2022)</w:t>
      </w:r>
      <w:r w:rsidRPr="00015237">
        <w:t xml:space="preserve"> a draft plan will be developed and presented to the </w:t>
      </w:r>
      <w:r w:rsidR="0005368E" w:rsidRPr="00015237">
        <w:t>public</w:t>
      </w:r>
      <w:r w:rsidRPr="00015237">
        <w:t xml:space="preserve"> for consultation between June and October 2022. The Government intends to finalise the Declaration plan by February 2023.  </w:t>
      </w:r>
    </w:p>
    <w:p w14:paraId="40EEA9B2" w14:textId="0D61F7AF" w:rsidR="00600C92" w:rsidRPr="00015237" w:rsidRDefault="00777303" w:rsidP="006873E0">
      <w:pPr>
        <w:pStyle w:val="Heading2"/>
        <w:spacing w:line="276" w:lineRule="auto"/>
        <w:jc w:val="both"/>
      </w:pPr>
      <w:r w:rsidRPr="00015237">
        <w:t xml:space="preserve">Work of the </w:t>
      </w:r>
      <w:r w:rsidR="00600C92" w:rsidRPr="00015237">
        <w:t xml:space="preserve">Office of Māori Crown Relations – Te Arawhiti </w:t>
      </w:r>
    </w:p>
    <w:p w14:paraId="6A0D0A53" w14:textId="32D72152" w:rsidR="00FC217B" w:rsidRPr="00015237" w:rsidRDefault="00FC217B" w:rsidP="006873E0">
      <w:pPr>
        <w:pStyle w:val="ListParagraph"/>
        <w:numPr>
          <w:ilvl w:val="0"/>
          <w:numId w:val="1"/>
        </w:numPr>
        <w:spacing w:before="220" w:after="0" w:line="259" w:lineRule="auto"/>
        <w:ind w:left="709" w:hanging="709"/>
        <w:contextualSpacing w:val="0"/>
        <w:jc w:val="both"/>
      </w:pPr>
      <w:r w:rsidRPr="00015237">
        <w:rPr>
          <w:lang w:val="en-NZ"/>
        </w:rPr>
        <w:t xml:space="preserve">In 2019, the Government established </w:t>
      </w:r>
      <w:r w:rsidR="0005368E" w:rsidRPr="00015237">
        <w:rPr>
          <w:lang w:val="en-NZ"/>
        </w:rPr>
        <w:t xml:space="preserve">the </w:t>
      </w:r>
      <w:r w:rsidRPr="00015237">
        <w:rPr>
          <w:lang w:val="en-NZ"/>
        </w:rPr>
        <w:t xml:space="preserve">Office for </w:t>
      </w:r>
      <w:bookmarkStart w:id="5" w:name="_Hlk88129122"/>
      <w:r w:rsidRPr="00015237">
        <w:rPr>
          <w:lang w:val="en-NZ"/>
        </w:rPr>
        <w:t>Māori Crown Relations – Te Arawhiti</w:t>
      </w:r>
      <w:bookmarkEnd w:id="5"/>
      <w:r w:rsidRPr="00015237">
        <w:rPr>
          <w:lang w:val="en-NZ"/>
        </w:rPr>
        <w:t>, a new stand</w:t>
      </w:r>
      <w:r w:rsidR="00551C9F" w:rsidRPr="00015237">
        <w:rPr>
          <w:lang w:val="en-NZ"/>
        </w:rPr>
        <w:t>-</w:t>
      </w:r>
      <w:r w:rsidRPr="00015237">
        <w:rPr>
          <w:lang w:val="en-NZ"/>
        </w:rPr>
        <w:t xml:space="preserve">alone agency, to support the Crown’s commitment to achieving true </w:t>
      </w:r>
      <w:r w:rsidR="001F7D23" w:rsidRPr="00015237">
        <w:t xml:space="preserve">te Tiriti </w:t>
      </w:r>
      <w:r w:rsidRPr="00015237">
        <w:rPr>
          <w:lang w:val="en-NZ"/>
        </w:rPr>
        <w:t>partnership with Māori.</w:t>
      </w:r>
    </w:p>
    <w:p w14:paraId="10C88A93" w14:textId="15A3FC9C" w:rsidR="00FC217B" w:rsidRPr="0096351F" w:rsidRDefault="00FC217B" w:rsidP="006873E0">
      <w:pPr>
        <w:pStyle w:val="ListParagraph"/>
        <w:numPr>
          <w:ilvl w:val="0"/>
          <w:numId w:val="1"/>
        </w:numPr>
        <w:spacing w:before="220" w:after="0" w:line="259" w:lineRule="auto"/>
        <w:ind w:left="709" w:hanging="709"/>
        <w:contextualSpacing w:val="0"/>
        <w:jc w:val="both"/>
        <w:rPr>
          <w:lang w:val="en-NZ"/>
        </w:rPr>
      </w:pPr>
      <w:r w:rsidRPr="00015237">
        <w:rPr>
          <w:lang w:val="en-NZ"/>
        </w:rPr>
        <w:lastRenderedPageBreak/>
        <w:t>A key focus of Te Arawhiti is restoring t</w:t>
      </w:r>
      <w:r w:rsidR="006A481E">
        <w:rPr>
          <w:lang w:val="en-NZ"/>
        </w:rPr>
        <w:t>e Tiriti</w:t>
      </w:r>
      <w:r w:rsidRPr="00015237">
        <w:rPr>
          <w:lang w:val="en-NZ"/>
        </w:rPr>
        <w:t xml:space="preserve"> partnership through the settlement of remaining historical</w:t>
      </w:r>
      <w:r w:rsidR="0005368E" w:rsidRPr="00015237">
        <w:rPr>
          <w:lang w:val="en-NZ"/>
        </w:rPr>
        <w:t xml:space="preserve"> te</w:t>
      </w:r>
      <w:r w:rsidRPr="00015237">
        <w:rPr>
          <w:lang w:val="en-NZ"/>
        </w:rPr>
        <w:t xml:space="preserve"> Tiriti claims. Te </w:t>
      </w:r>
      <w:r w:rsidRPr="008B0AE9">
        <w:t>Arawhiti</w:t>
      </w:r>
      <w:r w:rsidRPr="00015237">
        <w:rPr>
          <w:lang w:val="en-NZ"/>
        </w:rPr>
        <w:t xml:space="preserve"> also administers </w:t>
      </w:r>
      <w:r w:rsidRPr="00015237">
        <w:t xml:space="preserve">the Marine and Coastal Area (Takutai Moana) Act </w:t>
      </w:r>
      <w:r w:rsidR="007B68E5" w:rsidRPr="00015237">
        <w:t>2011 and</w:t>
      </w:r>
      <w:r w:rsidRPr="00015237">
        <w:t xml:space="preserve"> </w:t>
      </w:r>
      <w:r w:rsidRPr="00015237">
        <w:rPr>
          <w:lang w:val="en-NZ"/>
        </w:rPr>
        <w:t xml:space="preserve">engages with </w:t>
      </w:r>
      <w:r w:rsidRPr="00015237">
        <w:t xml:space="preserve">groups </w:t>
      </w:r>
      <w:r w:rsidR="006B12DA">
        <w:t>that</w:t>
      </w:r>
      <w:r w:rsidRPr="00015237">
        <w:t xml:space="preserve"> have applied for recognition of their customary rights under the Act. </w:t>
      </w:r>
    </w:p>
    <w:p w14:paraId="52117AA4" w14:textId="7E0E23D1" w:rsidR="00FC217B" w:rsidRPr="006B12DA" w:rsidRDefault="00FC217B" w:rsidP="006873E0">
      <w:pPr>
        <w:pStyle w:val="ListParagraph"/>
        <w:numPr>
          <w:ilvl w:val="0"/>
          <w:numId w:val="1"/>
        </w:numPr>
        <w:spacing w:before="220" w:after="0" w:line="259" w:lineRule="auto"/>
        <w:ind w:left="709" w:hanging="709"/>
        <w:contextualSpacing w:val="0"/>
        <w:jc w:val="both"/>
        <w:rPr>
          <w:lang w:val="en-NZ"/>
        </w:rPr>
      </w:pPr>
      <w:r w:rsidRPr="00015237">
        <w:rPr>
          <w:lang w:val="en-NZ"/>
        </w:rPr>
        <w:t xml:space="preserve">Te Arawhiti also looks to sustain and build the Treaty partnership through a number of functions. One such function is </w:t>
      </w:r>
      <w:r w:rsidRPr="008B0AE9">
        <w:t>concerned</w:t>
      </w:r>
      <w:r w:rsidRPr="00015237">
        <w:rPr>
          <w:lang w:val="en-NZ"/>
        </w:rPr>
        <w:t xml:space="preserve"> with </w:t>
      </w:r>
      <w:r w:rsidRPr="00015237">
        <w:t>building public sector capability to engage with Māori</w:t>
      </w:r>
      <w:r w:rsidRPr="00015237">
        <w:rPr>
          <w:b/>
          <w:bCs/>
        </w:rPr>
        <w:t xml:space="preserve">. </w:t>
      </w:r>
      <w:r w:rsidRPr="00015237">
        <w:t>Whāinga Amorangi is a capability framework developed in 2020 to assist all Public Service Chief Executives to lift their personal capability as well as their agency’s capability to work with Māori. It is now a part of the public service fabric and demonstrates the importance of learning some of the most basic competencies in order to service the public and Māori.</w:t>
      </w:r>
    </w:p>
    <w:p w14:paraId="039AB5FB" w14:textId="77777777" w:rsidR="00FC217B" w:rsidRPr="00015237" w:rsidRDefault="00FC217B" w:rsidP="006873E0">
      <w:pPr>
        <w:pStyle w:val="ListParagraph"/>
        <w:numPr>
          <w:ilvl w:val="0"/>
          <w:numId w:val="1"/>
        </w:numPr>
        <w:spacing w:before="220" w:after="0" w:line="259" w:lineRule="auto"/>
        <w:ind w:left="709" w:hanging="709"/>
        <w:contextualSpacing w:val="0"/>
        <w:jc w:val="both"/>
      </w:pPr>
      <w:r w:rsidRPr="00015237">
        <w:rPr>
          <w:lang w:val="en-NZ"/>
        </w:rPr>
        <w:t xml:space="preserve">Other functions </w:t>
      </w:r>
      <w:r w:rsidRPr="008B0AE9">
        <w:t>undertaken</w:t>
      </w:r>
      <w:r w:rsidRPr="00015237">
        <w:rPr>
          <w:lang w:val="en-NZ"/>
        </w:rPr>
        <w:t xml:space="preserve"> by Te Arawhiti include: </w:t>
      </w:r>
    </w:p>
    <w:p w14:paraId="61440DD6" w14:textId="2531B7C3" w:rsidR="00FC217B" w:rsidRPr="00015237" w:rsidRDefault="00FC217B" w:rsidP="006873E0">
      <w:pPr>
        <w:pStyle w:val="ListParagraph"/>
        <w:numPr>
          <w:ilvl w:val="1"/>
          <w:numId w:val="22"/>
        </w:numPr>
        <w:spacing w:before="220" w:after="0" w:line="259" w:lineRule="auto"/>
        <w:ind w:left="1134" w:hanging="425"/>
        <w:contextualSpacing w:val="0"/>
        <w:jc w:val="both"/>
      </w:pPr>
      <w:r w:rsidRPr="008B0AE9">
        <w:t>monitoring the health of the Māori Crown relationship across government</w:t>
      </w:r>
      <w:r w:rsidR="0005368E" w:rsidRPr="008B0AE9">
        <w:t>;</w:t>
      </w:r>
    </w:p>
    <w:p w14:paraId="0AD3B8AA" w14:textId="7F63825C" w:rsidR="00FC217B" w:rsidRPr="00015237" w:rsidRDefault="00FC217B" w:rsidP="006873E0">
      <w:pPr>
        <w:pStyle w:val="ListParagraph"/>
        <w:numPr>
          <w:ilvl w:val="1"/>
          <w:numId w:val="22"/>
        </w:numPr>
        <w:spacing w:before="220" w:after="0" w:line="259" w:lineRule="auto"/>
        <w:ind w:left="1134" w:hanging="425"/>
        <w:contextualSpacing w:val="0"/>
        <w:jc w:val="both"/>
      </w:pPr>
      <w:r w:rsidRPr="008B0AE9">
        <w:t>providing strategic leadership and advice on contemporary Treaty issues</w:t>
      </w:r>
      <w:r w:rsidR="0005368E" w:rsidRPr="008B0AE9">
        <w:t>;</w:t>
      </w:r>
    </w:p>
    <w:p w14:paraId="77601723" w14:textId="77777777" w:rsidR="00FC217B" w:rsidRPr="00015237" w:rsidRDefault="00FC217B" w:rsidP="006873E0">
      <w:pPr>
        <w:pStyle w:val="ListParagraph"/>
        <w:numPr>
          <w:ilvl w:val="1"/>
          <w:numId w:val="22"/>
        </w:numPr>
        <w:spacing w:before="220" w:after="0" w:line="259" w:lineRule="auto"/>
        <w:ind w:left="1134" w:hanging="425"/>
        <w:contextualSpacing w:val="0"/>
        <w:jc w:val="both"/>
      </w:pPr>
      <w:r w:rsidRPr="008B0AE9">
        <w:t>brokering solutions to challenging relationship issues with Māori; and</w:t>
      </w:r>
    </w:p>
    <w:p w14:paraId="3C64A18F" w14:textId="0D22CC0B" w:rsidR="00FC217B" w:rsidRPr="00015237" w:rsidRDefault="00FC217B" w:rsidP="006873E0">
      <w:pPr>
        <w:pStyle w:val="ListParagraph"/>
        <w:numPr>
          <w:ilvl w:val="1"/>
          <w:numId w:val="22"/>
        </w:numPr>
        <w:spacing w:before="220" w:after="0" w:line="259" w:lineRule="auto"/>
        <w:ind w:left="1134" w:hanging="425"/>
        <w:contextualSpacing w:val="0"/>
        <w:jc w:val="both"/>
      </w:pPr>
      <w:r w:rsidRPr="008B0AE9">
        <w:t>develop</w:t>
      </w:r>
      <w:r w:rsidR="0005368E" w:rsidRPr="008B0AE9">
        <w:t>ing</w:t>
      </w:r>
      <w:r w:rsidRPr="008B0AE9">
        <w:t xml:space="preserve"> collaborative partnership principles to support agencies to deliver optimal social, environmental, cultural and economic development solutions. </w:t>
      </w:r>
    </w:p>
    <w:p w14:paraId="15F39C6C" w14:textId="6D5273F1" w:rsidR="00C131CD" w:rsidRPr="00015237" w:rsidRDefault="00A9569C" w:rsidP="006873E0">
      <w:pPr>
        <w:pStyle w:val="Heading2"/>
        <w:spacing w:line="276" w:lineRule="auto"/>
        <w:jc w:val="both"/>
      </w:pPr>
      <w:bookmarkStart w:id="6" w:name="_Hlk87964474"/>
      <w:r w:rsidRPr="00015237">
        <w:t>The Public Service Act 2020</w:t>
      </w:r>
    </w:p>
    <w:p w14:paraId="3DAD96EF" w14:textId="4E2BB98C" w:rsidR="00C5307F" w:rsidRPr="006A481E" w:rsidRDefault="00C5307F" w:rsidP="006873E0">
      <w:pPr>
        <w:pStyle w:val="ListParagraph"/>
        <w:numPr>
          <w:ilvl w:val="0"/>
          <w:numId w:val="1"/>
        </w:numPr>
        <w:spacing w:before="220" w:after="0" w:line="259" w:lineRule="auto"/>
        <w:ind w:left="709" w:hanging="709"/>
        <w:contextualSpacing w:val="0"/>
        <w:jc w:val="both"/>
        <w:rPr>
          <w:lang w:val="en-NZ"/>
        </w:rPr>
      </w:pPr>
      <w:bookmarkStart w:id="7" w:name="_Hlk88129129"/>
      <w:r w:rsidRPr="008B0AE9">
        <w:rPr>
          <w:lang w:val="en-NZ"/>
        </w:rPr>
        <w:t xml:space="preserve">The Public Service Act 2020 </w:t>
      </w:r>
      <w:bookmarkEnd w:id="7"/>
      <w:r w:rsidR="006A481E">
        <w:rPr>
          <w:lang w:val="en-NZ"/>
        </w:rPr>
        <w:t xml:space="preserve">repealed and replaced the State Sector Act 1998, </w:t>
      </w:r>
      <w:r w:rsidRPr="006A481E">
        <w:rPr>
          <w:lang w:val="en-NZ"/>
        </w:rPr>
        <w:t>strengthen</w:t>
      </w:r>
      <w:r w:rsidR="00D94A3F">
        <w:rPr>
          <w:lang w:val="en-NZ"/>
        </w:rPr>
        <w:t>ing</w:t>
      </w:r>
      <w:r w:rsidRPr="006A481E">
        <w:rPr>
          <w:lang w:val="en-NZ"/>
        </w:rPr>
        <w:t xml:space="preserve"> the consideration of indigenous rights by recognising the role of the public service in supporting the Crown’s relationships with Māori under te Tiriti. Under the Act, public service leaders </w:t>
      </w:r>
      <w:r w:rsidR="000C6AF5" w:rsidRPr="006A481E">
        <w:rPr>
          <w:lang w:val="en-NZ"/>
        </w:rPr>
        <w:t>are</w:t>
      </w:r>
      <w:r w:rsidRPr="006A481E">
        <w:rPr>
          <w:lang w:val="en-NZ"/>
        </w:rPr>
        <w:t xml:space="preserve"> responsib</w:t>
      </w:r>
      <w:r w:rsidR="000C6AF5" w:rsidRPr="006A481E">
        <w:rPr>
          <w:lang w:val="en-NZ"/>
        </w:rPr>
        <w:t>le</w:t>
      </w:r>
      <w:r w:rsidRPr="006A481E">
        <w:rPr>
          <w:lang w:val="en-NZ"/>
        </w:rPr>
        <w:t xml:space="preserve"> </w:t>
      </w:r>
      <w:r w:rsidR="000C6AF5" w:rsidRPr="006A481E">
        <w:rPr>
          <w:lang w:val="en-NZ"/>
        </w:rPr>
        <w:t>for</w:t>
      </w:r>
      <w:r w:rsidRPr="006A481E">
        <w:rPr>
          <w:lang w:val="en-NZ"/>
        </w:rPr>
        <w:t xml:space="preserve"> develop</w:t>
      </w:r>
      <w:r w:rsidR="000C6AF5" w:rsidRPr="006A481E">
        <w:rPr>
          <w:lang w:val="en-NZ"/>
        </w:rPr>
        <w:t>ing</w:t>
      </w:r>
      <w:r w:rsidRPr="006A481E">
        <w:rPr>
          <w:lang w:val="en-NZ"/>
        </w:rPr>
        <w:t xml:space="preserve"> and maintain</w:t>
      </w:r>
      <w:r w:rsidR="000C6AF5" w:rsidRPr="006A481E">
        <w:rPr>
          <w:lang w:val="en-NZ"/>
        </w:rPr>
        <w:t>ing</w:t>
      </w:r>
      <w:r w:rsidRPr="006A481E">
        <w:rPr>
          <w:lang w:val="en-NZ"/>
        </w:rPr>
        <w:t xml:space="preserve"> the capability of the public service to engage with Māori and understand Māori perspectives.</w:t>
      </w:r>
    </w:p>
    <w:p w14:paraId="21185167" w14:textId="67922512" w:rsidR="005356E3" w:rsidRPr="008B0AE9" w:rsidRDefault="00C5307F" w:rsidP="006873E0">
      <w:pPr>
        <w:pStyle w:val="ListParagraph"/>
        <w:numPr>
          <w:ilvl w:val="0"/>
          <w:numId w:val="1"/>
        </w:numPr>
        <w:spacing w:before="220" w:after="0" w:line="259" w:lineRule="auto"/>
        <w:ind w:left="709" w:hanging="709"/>
        <w:contextualSpacing w:val="0"/>
        <w:jc w:val="both"/>
        <w:rPr>
          <w:lang w:val="en-NZ"/>
        </w:rPr>
      </w:pPr>
      <w:r w:rsidRPr="008B0AE9">
        <w:rPr>
          <w:lang w:val="en-NZ"/>
        </w:rPr>
        <w:t xml:space="preserve">The Public Service Commissioner and other public service leaders also have a responsibility to operate employment policies that recognise the aspirations and employment requirements of Māori, and the need for greater involvement of Māori in the public service. The Commissioner has appointed a statutory Māori advisory committee to assist on the implementation of the Act, in particular, the provisions regarding the Crown’s obligations to and relationships with Māori. </w:t>
      </w:r>
    </w:p>
    <w:p w14:paraId="0D12B0E1" w14:textId="0C99E449" w:rsidR="005356E3" w:rsidRPr="008B0AE9" w:rsidRDefault="005356E3" w:rsidP="006873E0">
      <w:pPr>
        <w:pStyle w:val="ListParagraph"/>
        <w:numPr>
          <w:ilvl w:val="0"/>
          <w:numId w:val="1"/>
        </w:numPr>
        <w:spacing w:before="220" w:after="0" w:line="259" w:lineRule="auto"/>
        <w:ind w:left="709" w:hanging="709"/>
        <w:contextualSpacing w:val="0"/>
        <w:jc w:val="both"/>
        <w:rPr>
          <w:lang w:val="en-NZ"/>
        </w:rPr>
      </w:pPr>
      <w:r w:rsidRPr="008B0AE9">
        <w:rPr>
          <w:lang w:val="en-NZ"/>
        </w:rPr>
        <w:t>The</w:t>
      </w:r>
      <w:r w:rsidR="004568C4">
        <w:rPr>
          <w:lang w:val="en-NZ"/>
        </w:rPr>
        <w:t>re are now six</w:t>
      </w:r>
      <w:r w:rsidRPr="008B0AE9">
        <w:rPr>
          <w:lang w:val="en-NZ"/>
        </w:rPr>
        <w:t xml:space="preserve"> Māori chief executives in the public service</w:t>
      </w:r>
      <w:r w:rsidR="00D94A3F">
        <w:rPr>
          <w:lang w:val="en-NZ"/>
        </w:rPr>
        <w:t xml:space="preserve"> (more than doubled over the last four years),</w:t>
      </w:r>
      <w:r w:rsidRPr="008B0AE9">
        <w:rPr>
          <w:lang w:val="en-NZ"/>
        </w:rPr>
        <w:t xml:space="preserve"> </w:t>
      </w:r>
      <w:r w:rsidR="004568C4">
        <w:rPr>
          <w:lang w:val="en-NZ"/>
        </w:rPr>
        <w:t>and</w:t>
      </w:r>
      <w:r w:rsidRPr="008B0AE9">
        <w:rPr>
          <w:lang w:val="en-NZ"/>
        </w:rPr>
        <w:t xml:space="preserve"> 28 Māori in tier</w:t>
      </w:r>
      <w:r w:rsidR="004568C4">
        <w:rPr>
          <w:lang w:val="en-NZ"/>
        </w:rPr>
        <w:t>-two</w:t>
      </w:r>
      <w:r w:rsidRPr="008B0AE9">
        <w:rPr>
          <w:lang w:val="en-NZ"/>
        </w:rPr>
        <w:t xml:space="preserve"> leadership positions, up from </w:t>
      </w:r>
      <w:r w:rsidR="004568C4">
        <w:rPr>
          <w:lang w:val="en-NZ"/>
        </w:rPr>
        <w:t>nine</w:t>
      </w:r>
      <w:r w:rsidRPr="008B0AE9">
        <w:rPr>
          <w:lang w:val="en-NZ"/>
        </w:rPr>
        <w:t xml:space="preserve"> in 2016. </w:t>
      </w:r>
    </w:p>
    <w:bookmarkEnd w:id="6"/>
    <w:p w14:paraId="7E08D6E0" w14:textId="47D20AC0" w:rsidR="002D0055" w:rsidRPr="00015237" w:rsidRDefault="00A9569C" w:rsidP="006873E0">
      <w:pPr>
        <w:pStyle w:val="Heading2"/>
        <w:jc w:val="both"/>
      </w:pPr>
      <w:r w:rsidRPr="00015237">
        <w:t>Important Waitangi Tribunal decisions</w:t>
      </w:r>
      <w:r w:rsidR="00660D02" w:rsidRPr="00015237">
        <w:t xml:space="preserve"> </w:t>
      </w:r>
      <w:r w:rsidR="004568C4">
        <w:t>since January 2019</w:t>
      </w:r>
    </w:p>
    <w:p w14:paraId="5F368202" w14:textId="6717AE22" w:rsidR="00FC1112" w:rsidRPr="00015237" w:rsidRDefault="00C131CD" w:rsidP="006873E0">
      <w:pPr>
        <w:pStyle w:val="ListParagraph"/>
        <w:numPr>
          <w:ilvl w:val="0"/>
          <w:numId w:val="1"/>
        </w:numPr>
        <w:spacing w:before="220" w:after="0" w:line="259" w:lineRule="auto"/>
        <w:ind w:left="709" w:hanging="709"/>
        <w:contextualSpacing w:val="0"/>
        <w:jc w:val="both"/>
      </w:pPr>
      <w:bookmarkStart w:id="8" w:name="_Hlk88129139"/>
      <w:r w:rsidRPr="00015237">
        <w:t xml:space="preserve">The Waitangi Tribunal </w:t>
      </w:r>
      <w:bookmarkEnd w:id="8"/>
      <w:r w:rsidRPr="00015237">
        <w:t xml:space="preserve">is a standing commission of inquiry with the statutory jurisdiction to consider claims that the Crown has breached the principles of </w:t>
      </w:r>
      <w:r w:rsidR="0005368E" w:rsidRPr="00015237">
        <w:t>te Tiriti</w:t>
      </w:r>
      <w:r w:rsidRPr="00015237">
        <w:t xml:space="preserve"> and, if the Tribunal so finds, to </w:t>
      </w:r>
      <w:r w:rsidR="00DC4FE9" w:rsidRPr="00015237">
        <w:t xml:space="preserve">make </w:t>
      </w:r>
      <w:r w:rsidR="00DC4FE9" w:rsidRPr="008B0AE9">
        <w:rPr>
          <w:lang w:val="en-NZ"/>
        </w:rPr>
        <w:t>recommendations</w:t>
      </w:r>
      <w:r w:rsidRPr="00015237">
        <w:t xml:space="preserve"> to the Crown to remedy the breach.</w:t>
      </w:r>
      <w:r w:rsidR="00A9569C" w:rsidRPr="00015237">
        <w:t xml:space="preserve"> These are generally non-binding but of highly recognised authority.</w:t>
      </w:r>
    </w:p>
    <w:p w14:paraId="4DF60B72" w14:textId="3DFCFCEE" w:rsidR="00FC1112" w:rsidRDefault="00953752" w:rsidP="006873E0">
      <w:pPr>
        <w:keepNext/>
        <w:spacing w:before="220" w:after="0" w:line="259" w:lineRule="auto"/>
        <w:jc w:val="both"/>
        <w:rPr>
          <w:lang w:val="en-NZ"/>
        </w:rPr>
      </w:pPr>
      <w:r w:rsidRPr="008B0AE9">
        <w:rPr>
          <w:lang w:val="en-NZ"/>
        </w:rPr>
        <w:t>UPR Recommendation</w:t>
      </w:r>
      <w:r w:rsidR="002C0484" w:rsidRPr="008B0AE9">
        <w:rPr>
          <w:lang w:val="en-NZ"/>
        </w:rPr>
        <w:t>s</w:t>
      </w:r>
      <w:r w:rsidR="005A665B" w:rsidRPr="008B0AE9">
        <w:rPr>
          <w:lang w:val="en-NZ"/>
        </w:rPr>
        <w:t>:</w:t>
      </w:r>
      <w:r w:rsidR="00FC1112" w:rsidRPr="008B0AE9">
        <w:rPr>
          <w:lang w:val="en-NZ"/>
        </w:rPr>
        <w:t xml:space="preserve"> 167</w:t>
      </w:r>
      <w:r w:rsidR="00C72468" w:rsidRPr="008B0AE9">
        <w:rPr>
          <w:lang w:val="en-NZ"/>
        </w:rPr>
        <w:t xml:space="preserve">- </w:t>
      </w:r>
      <w:r w:rsidR="00FC1112" w:rsidRPr="008B0AE9">
        <w:rPr>
          <w:lang w:val="en-NZ"/>
        </w:rPr>
        <w:t>169</w:t>
      </w:r>
    </w:p>
    <w:p w14:paraId="2D800703" w14:textId="6FA4B93E" w:rsidR="00D94A3F" w:rsidRPr="008B0AE9" w:rsidRDefault="00D94A3F" w:rsidP="006873E0">
      <w:pPr>
        <w:keepNext/>
        <w:spacing w:before="220" w:after="0" w:line="259" w:lineRule="auto"/>
        <w:jc w:val="both"/>
        <w:rPr>
          <w:lang w:val="en-NZ"/>
        </w:rPr>
      </w:pPr>
      <w:r w:rsidRPr="008B0AE9">
        <w:rPr>
          <w:i/>
          <w:iCs/>
        </w:rPr>
        <w:t>He Pāharakeke, he Rito Whakakīkinga Whāruarua</w:t>
      </w:r>
    </w:p>
    <w:p w14:paraId="0ABF4BBF" w14:textId="167913E5" w:rsidR="00135560" w:rsidRPr="00015237" w:rsidRDefault="00FC1112" w:rsidP="006873E0">
      <w:pPr>
        <w:pStyle w:val="ListParagraph"/>
        <w:numPr>
          <w:ilvl w:val="0"/>
          <w:numId w:val="1"/>
        </w:numPr>
        <w:spacing w:before="220" w:after="0" w:line="259" w:lineRule="auto"/>
        <w:ind w:left="709" w:hanging="709"/>
        <w:contextualSpacing w:val="0"/>
        <w:jc w:val="both"/>
      </w:pPr>
      <w:r w:rsidRPr="00015237">
        <w:t xml:space="preserve">In 2019, the Waitangi Tribunal </w:t>
      </w:r>
      <w:r w:rsidR="00F861AF" w:rsidRPr="00015237">
        <w:t>commenced</w:t>
      </w:r>
      <w:r w:rsidRPr="00015237">
        <w:t xml:space="preserve"> an urgent inquiry into the </w:t>
      </w:r>
      <w:r w:rsidR="004568C4" w:rsidRPr="00015237">
        <w:t xml:space="preserve">policies and practices </w:t>
      </w:r>
      <w:r w:rsidRPr="00015237">
        <w:t>of Oranga Tamariki</w:t>
      </w:r>
      <w:r w:rsidR="00F861AF" w:rsidRPr="00015237">
        <w:t xml:space="preserve"> </w:t>
      </w:r>
      <w:r w:rsidR="009D776F">
        <w:t>(</w:t>
      </w:r>
      <w:r w:rsidR="004568C4">
        <w:t xml:space="preserve">the </w:t>
      </w:r>
      <w:r w:rsidR="00F861AF" w:rsidRPr="00015237">
        <w:t>Ministry for Children</w:t>
      </w:r>
      <w:r w:rsidR="009D776F">
        <w:t>)</w:t>
      </w:r>
      <w:r w:rsidRPr="00015237">
        <w:t xml:space="preserve"> </w:t>
      </w:r>
      <w:r w:rsidR="00A9569C" w:rsidRPr="00015237">
        <w:t>regarding children in state car</w:t>
      </w:r>
      <w:r w:rsidR="00F861AF" w:rsidRPr="00015237">
        <w:t xml:space="preserve">e. This included </w:t>
      </w:r>
      <w:r w:rsidR="00F861AF" w:rsidRPr="00015237">
        <w:lastRenderedPageBreak/>
        <w:t xml:space="preserve">consideration of </w:t>
      </w:r>
      <w:r w:rsidR="00CE618E">
        <w:t xml:space="preserve">the </w:t>
      </w:r>
      <w:r w:rsidRPr="00015237">
        <w:t xml:space="preserve">significant and consistent disparity between the number of </w:t>
      </w:r>
      <w:bookmarkStart w:id="9" w:name="_Hlk87880163"/>
      <w:r w:rsidRPr="00015237">
        <w:t>tamariki</w:t>
      </w:r>
      <w:bookmarkEnd w:id="9"/>
      <w:r w:rsidRPr="00015237">
        <w:t xml:space="preserve"> Māori</w:t>
      </w:r>
      <w:r w:rsidR="001B3B13">
        <w:t xml:space="preserve"> (Māori </w:t>
      </w:r>
      <w:r w:rsidR="00D94A3F">
        <w:t>c</w:t>
      </w:r>
      <w:r w:rsidR="001B3B13">
        <w:t>hildren)</w:t>
      </w:r>
      <w:r w:rsidRPr="00015237">
        <w:t xml:space="preserve"> and non-Māori children being taken into state care</w:t>
      </w:r>
      <w:r w:rsidR="00F861AF" w:rsidRPr="00015237">
        <w:t xml:space="preserve">. </w:t>
      </w:r>
      <w:r w:rsidR="00135560" w:rsidRPr="00015237">
        <w:t>The report</w:t>
      </w:r>
      <w:r w:rsidR="0005368E" w:rsidRPr="00015237">
        <w:t>,</w:t>
      </w:r>
      <w:r w:rsidR="00135560" w:rsidRPr="00015237">
        <w:t xml:space="preserve"> </w:t>
      </w:r>
      <w:r w:rsidR="00135560" w:rsidRPr="008B0AE9">
        <w:rPr>
          <w:i/>
          <w:iCs/>
        </w:rPr>
        <w:t>He Pāharakeke, he Rito Whakakīkinga Whāruarua</w:t>
      </w:r>
      <w:r w:rsidR="0005368E" w:rsidRPr="00015237">
        <w:t>,</w:t>
      </w:r>
      <w:r w:rsidR="00135560" w:rsidRPr="00015237">
        <w:t xml:space="preserve"> </w:t>
      </w:r>
      <w:r w:rsidR="00CF4396" w:rsidRPr="00015237">
        <w:t>released in 2021</w:t>
      </w:r>
      <w:r w:rsidR="00CE618E">
        <w:t>,</w:t>
      </w:r>
      <w:r w:rsidR="00CF4396" w:rsidRPr="00015237">
        <w:t xml:space="preserve"> found the Crown had breached its </w:t>
      </w:r>
      <w:r w:rsidR="00CE618E">
        <w:t xml:space="preserve">obligations under </w:t>
      </w:r>
      <w:r w:rsidR="0005368E" w:rsidRPr="00015237">
        <w:t>t</w:t>
      </w:r>
      <w:r w:rsidR="00CF4396" w:rsidRPr="00015237">
        <w:t xml:space="preserve">e </w:t>
      </w:r>
      <w:r w:rsidR="00551C9F" w:rsidRPr="00015237">
        <w:t>Tiriti</w:t>
      </w:r>
      <w:r w:rsidR="00CF4396" w:rsidRPr="00015237">
        <w:t xml:space="preserve"> to honour the right of </w:t>
      </w:r>
      <w:r w:rsidR="00C538BD" w:rsidRPr="00015237">
        <w:t xml:space="preserve">Māori to exercise </w:t>
      </w:r>
      <w:bookmarkStart w:id="10" w:name="_Hlk87880184"/>
      <w:r w:rsidR="00C538BD" w:rsidRPr="00015237">
        <w:t xml:space="preserve">tino rangatiratanga </w:t>
      </w:r>
      <w:bookmarkEnd w:id="10"/>
      <w:r w:rsidR="00C538BD" w:rsidRPr="00015237">
        <w:t xml:space="preserve">over their </w:t>
      </w:r>
      <w:bookmarkStart w:id="11" w:name="_Hlk87880190"/>
      <w:r w:rsidR="00C538BD" w:rsidRPr="00015237">
        <w:t>kāinga</w:t>
      </w:r>
      <w:bookmarkEnd w:id="11"/>
      <w:r w:rsidR="00C538BD" w:rsidRPr="00015237">
        <w:t xml:space="preserve"> and</w:t>
      </w:r>
      <w:bookmarkStart w:id="12" w:name="_Hlk87880197"/>
      <w:r w:rsidR="00C538BD" w:rsidRPr="00015237">
        <w:t xml:space="preserve"> taonga</w:t>
      </w:r>
      <w:bookmarkEnd w:id="12"/>
      <w:r w:rsidR="004568C4">
        <w:t>.</w:t>
      </w:r>
      <w:r w:rsidR="00C538BD" w:rsidRPr="00015237">
        <w:rPr>
          <w:rStyle w:val="FootnoteReference"/>
        </w:rPr>
        <w:footnoteReference w:id="4"/>
      </w:r>
      <w:r w:rsidR="00C538BD" w:rsidRPr="00015237">
        <w:t xml:space="preserve"> </w:t>
      </w:r>
    </w:p>
    <w:p w14:paraId="74FE80B2" w14:textId="77777777" w:rsidR="00C538BD" w:rsidRPr="00015237" w:rsidRDefault="00C538BD" w:rsidP="006873E0">
      <w:pPr>
        <w:pStyle w:val="ListParagraph"/>
        <w:spacing w:before="240" w:line="276" w:lineRule="auto"/>
        <w:jc w:val="both"/>
      </w:pPr>
    </w:p>
    <w:p w14:paraId="668B2C24" w14:textId="03182D6C" w:rsidR="00D94A3F" w:rsidRDefault="00C538BD" w:rsidP="006873E0">
      <w:pPr>
        <w:pStyle w:val="ListParagraph"/>
        <w:numPr>
          <w:ilvl w:val="0"/>
          <w:numId w:val="1"/>
        </w:numPr>
        <w:spacing w:before="220" w:after="0" w:line="259" w:lineRule="auto"/>
        <w:ind w:left="709" w:hanging="709"/>
        <w:contextualSpacing w:val="0"/>
        <w:jc w:val="both"/>
      </w:pPr>
      <w:r w:rsidRPr="00015237">
        <w:t xml:space="preserve">In 2021 Cabinet agreed to the Future Direction </w:t>
      </w:r>
      <w:r w:rsidR="00F861AF" w:rsidRPr="00015237">
        <w:t xml:space="preserve">Plan </w:t>
      </w:r>
      <w:r w:rsidRPr="00015237">
        <w:t>of Oranga Tamariki</w:t>
      </w:r>
      <w:r w:rsidR="00F861AF" w:rsidRPr="00015237">
        <w:t xml:space="preserve"> for </w:t>
      </w:r>
      <w:r w:rsidRPr="00015237">
        <w:t>the next two years.</w:t>
      </w:r>
      <w:r w:rsidR="00F861AF" w:rsidRPr="00015237">
        <w:t xml:space="preserve"> It</w:t>
      </w:r>
      <w:r w:rsidRPr="00015237">
        <w:t xml:space="preserve"> sets out how Oranga Tamariki will work to</w:t>
      </w:r>
      <w:r w:rsidR="00F861AF" w:rsidRPr="00015237">
        <w:t>wards an operation that provides better support for, and input from</w:t>
      </w:r>
      <w:r w:rsidRPr="00015237">
        <w:t xml:space="preserve"> whānau and communities</w:t>
      </w:r>
      <w:r w:rsidR="00F861AF" w:rsidRPr="00015237">
        <w:t>, including through</w:t>
      </w:r>
      <w:r w:rsidRPr="00015237">
        <w:t xml:space="preserve"> resourcing and partnering. This plan will help Oranga Tamariki move to a model that is locally</w:t>
      </w:r>
      <w:r w:rsidR="00551C9F" w:rsidRPr="00015237">
        <w:t xml:space="preserve"> </w:t>
      </w:r>
      <w:r w:rsidRPr="00015237">
        <w:t>led, prevention focused, and restores authority back to Māori communities.</w:t>
      </w:r>
    </w:p>
    <w:p w14:paraId="10FADEEC" w14:textId="0346AB73" w:rsidR="00D94A3F" w:rsidRPr="00D94A3F" w:rsidRDefault="00D94A3F" w:rsidP="006873E0">
      <w:pPr>
        <w:spacing w:before="220" w:after="0" w:line="259" w:lineRule="auto"/>
        <w:jc w:val="both"/>
        <w:rPr>
          <w:i/>
          <w:iCs/>
        </w:rPr>
      </w:pPr>
      <w:r w:rsidRPr="008B0AE9">
        <w:rPr>
          <w:i/>
          <w:iCs/>
        </w:rPr>
        <w:t>He Aha I P</w:t>
      </w:r>
      <w:r w:rsidRPr="008B0AE9">
        <w:rPr>
          <w:i/>
          <w:iCs/>
          <w:lang w:val="mi-NZ"/>
        </w:rPr>
        <w:t>ērā</w:t>
      </w:r>
      <w:r w:rsidRPr="008B0AE9">
        <w:rPr>
          <w:i/>
          <w:iCs/>
          <w:lang w:val="en-NZ"/>
        </w:rPr>
        <w:t xml:space="preserve"> Ai</w:t>
      </w:r>
    </w:p>
    <w:p w14:paraId="207393DD" w14:textId="0A4CEBF6" w:rsidR="00A017E0" w:rsidRPr="00015237" w:rsidRDefault="002D0055" w:rsidP="006873E0">
      <w:pPr>
        <w:pStyle w:val="ListParagraph"/>
        <w:numPr>
          <w:ilvl w:val="0"/>
          <w:numId w:val="1"/>
        </w:numPr>
        <w:spacing w:before="220" w:after="0" w:line="259" w:lineRule="auto"/>
        <w:ind w:left="709" w:hanging="709"/>
        <w:contextualSpacing w:val="0"/>
        <w:jc w:val="both"/>
      </w:pPr>
      <w:r w:rsidRPr="00015237">
        <w:t>In 20</w:t>
      </w:r>
      <w:r w:rsidR="00CB4BD3">
        <w:t>19</w:t>
      </w:r>
      <w:r w:rsidRPr="00015237">
        <w:t xml:space="preserve"> the Waitangi Tribunal found that the</w:t>
      </w:r>
      <w:r w:rsidR="00A017E0" w:rsidRPr="00015237">
        <w:t xml:space="preserve"> 201</w:t>
      </w:r>
      <w:r w:rsidR="00CB4BD3">
        <w:t>0</w:t>
      </w:r>
      <w:r w:rsidRPr="00015237">
        <w:t xml:space="preserve"> law disqualifying all prisoners from being able to vote was inconsistent with the principles of t</w:t>
      </w:r>
      <w:r w:rsidR="0005368E" w:rsidRPr="00015237">
        <w:t>e Tiriti</w:t>
      </w:r>
      <w:r w:rsidRPr="00015237">
        <w:t>. The Tribunal report</w:t>
      </w:r>
      <w:r w:rsidR="00DC4FE9" w:rsidRPr="00015237">
        <w:t>,</w:t>
      </w:r>
      <w:r w:rsidRPr="00015237">
        <w:t xml:space="preserve"> </w:t>
      </w:r>
      <w:r w:rsidRPr="008B0AE9">
        <w:rPr>
          <w:i/>
          <w:iCs/>
        </w:rPr>
        <w:t xml:space="preserve">He Aha </w:t>
      </w:r>
      <w:r w:rsidR="00F116B3">
        <w:rPr>
          <w:i/>
          <w:iCs/>
        </w:rPr>
        <w:t>i</w:t>
      </w:r>
      <w:r w:rsidRPr="008B0AE9">
        <w:rPr>
          <w:i/>
          <w:iCs/>
        </w:rPr>
        <w:t xml:space="preserve"> P</w:t>
      </w:r>
      <w:r w:rsidRPr="008B0AE9">
        <w:rPr>
          <w:i/>
          <w:iCs/>
          <w:lang w:val="mi-NZ"/>
        </w:rPr>
        <w:t>ērā</w:t>
      </w:r>
      <w:r w:rsidRPr="008B0AE9">
        <w:rPr>
          <w:i/>
          <w:iCs/>
          <w:lang w:val="en-NZ"/>
        </w:rPr>
        <w:t xml:space="preserve"> Ai</w:t>
      </w:r>
      <w:r w:rsidR="00F116B3">
        <w:rPr>
          <w:i/>
          <w:iCs/>
          <w:lang w:val="en-NZ"/>
        </w:rPr>
        <w:t>?</w:t>
      </w:r>
      <w:r w:rsidR="000834FC">
        <w:rPr>
          <w:i/>
          <w:iCs/>
          <w:lang w:val="en-NZ"/>
        </w:rPr>
        <w:t>,</w:t>
      </w:r>
      <w:r w:rsidRPr="00015237">
        <w:rPr>
          <w:lang w:val="en-NZ"/>
        </w:rPr>
        <w:t xml:space="preserve"> found that the Crown had failed to properly consult</w:t>
      </w:r>
      <w:r w:rsidRPr="00015237">
        <w:t xml:space="preserve"> </w:t>
      </w:r>
      <w:r w:rsidR="00205462" w:rsidRPr="00015237">
        <w:t>Māori</w:t>
      </w:r>
      <w:r w:rsidRPr="00015237">
        <w:rPr>
          <w:lang w:val="en-NZ"/>
        </w:rPr>
        <w:t xml:space="preserve"> and provided insufficient advice around the effect of the legislation on </w:t>
      </w:r>
      <w:r w:rsidR="00205462" w:rsidRPr="00015237">
        <w:t>Māori</w:t>
      </w:r>
      <w:r w:rsidRPr="00015237">
        <w:rPr>
          <w:lang w:val="en-NZ"/>
        </w:rPr>
        <w:t>. The Tribunal found that the law had a disproportionate and prejudicial effect on</w:t>
      </w:r>
      <w:r w:rsidRPr="00015237">
        <w:t xml:space="preserve"> </w:t>
      </w:r>
      <w:r w:rsidR="00205462" w:rsidRPr="00015237">
        <w:t>Māori</w:t>
      </w:r>
      <w:r w:rsidRPr="00015237">
        <w:rPr>
          <w:lang w:val="en-NZ"/>
        </w:rPr>
        <w:t xml:space="preserve">, putting the Crown in breach of its duties as a </w:t>
      </w:r>
      <w:r w:rsidR="0005368E" w:rsidRPr="00015237">
        <w:rPr>
          <w:lang w:val="en-NZ"/>
        </w:rPr>
        <w:t xml:space="preserve">te Tiriti </w:t>
      </w:r>
      <w:r w:rsidRPr="00015237">
        <w:rPr>
          <w:lang w:val="en-NZ"/>
        </w:rPr>
        <w:t>partner. The Tribunal recommended that the legislation be amended to remove the disqualification of all prisoners from voting, irrespective of their sentence</w:t>
      </w:r>
      <w:r w:rsidR="00A017E0" w:rsidRPr="00015237">
        <w:rPr>
          <w:lang w:val="en-NZ"/>
        </w:rPr>
        <w:t>.</w:t>
      </w:r>
    </w:p>
    <w:p w14:paraId="0633968B" w14:textId="4405050C" w:rsidR="00CB4BD3" w:rsidRPr="00CB4BD3" w:rsidRDefault="002D0055" w:rsidP="006873E0">
      <w:pPr>
        <w:pStyle w:val="ListParagraph"/>
        <w:numPr>
          <w:ilvl w:val="0"/>
          <w:numId w:val="1"/>
        </w:numPr>
        <w:spacing w:before="220" w:after="0" w:line="259" w:lineRule="auto"/>
        <w:ind w:left="709" w:hanging="709"/>
        <w:contextualSpacing w:val="0"/>
        <w:jc w:val="both"/>
        <w:rPr>
          <w:i/>
          <w:iCs/>
        </w:rPr>
      </w:pPr>
      <w:r w:rsidRPr="00015237">
        <w:t xml:space="preserve">The Electoral (Registration of Sentenced Prisoners) Amendment Act 2020 amended the Electoral Act 1993, removing the </w:t>
      </w:r>
      <w:r w:rsidR="00A05109" w:rsidRPr="00015237">
        <w:t xml:space="preserve">law which disqualified all prisoners from being able to vote. The Act allows for those imprisoned for a term of less than three years to vote in elections and </w:t>
      </w:r>
      <w:r w:rsidR="00CB4BD3" w:rsidRPr="00015237">
        <w:t>referendums</w:t>
      </w:r>
      <w:r w:rsidR="00CB4BD3">
        <w:t>, reinstating the law prior to the 2010 amendment</w:t>
      </w:r>
      <w:r w:rsidR="00CB4BD3" w:rsidRPr="00015237">
        <w:t>. Additionally, it requires the</w:t>
      </w:r>
      <w:r w:rsidR="00CB4BD3">
        <w:t xml:space="preserve"> Department of Corrections to advise prisoners about their right to enrol to vote, either when first entering prison or, for those sentenced to three years or more, when they are released.</w:t>
      </w:r>
    </w:p>
    <w:p w14:paraId="16A05B3A" w14:textId="6F4DDC36" w:rsidR="00D94A3F" w:rsidRPr="00CB4BD3" w:rsidRDefault="00D94A3F" w:rsidP="006873E0">
      <w:pPr>
        <w:spacing w:before="220" w:after="0" w:line="259" w:lineRule="auto"/>
        <w:jc w:val="both"/>
        <w:rPr>
          <w:i/>
          <w:iCs/>
        </w:rPr>
      </w:pPr>
      <w:r w:rsidRPr="00CB4BD3">
        <w:rPr>
          <w:i/>
          <w:iCs/>
        </w:rPr>
        <w:t>Mana wāhine kaupapa inquiry</w:t>
      </w:r>
    </w:p>
    <w:p w14:paraId="157DA4BD" w14:textId="0F9F7E8B" w:rsidR="00A05109" w:rsidRPr="00015237" w:rsidRDefault="0005368E" w:rsidP="006873E0">
      <w:pPr>
        <w:pStyle w:val="ListParagraph"/>
        <w:numPr>
          <w:ilvl w:val="0"/>
          <w:numId w:val="1"/>
        </w:numPr>
        <w:spacing w:before="220" w:after="0" w:line="259" w:lineRule="auto"/>
        <w:ind w:left="709" w:hanging="709"/>
        <w:contextualSpacing w:val="0"/>
        <w:jc w:val="both"/>
      </w:pPr>
      <w:r w:rsidRPr="00015237">
        <w:t xml:space="preserve">The </w:t>
      </w:r>
      <w:r w:rsidR="000834FC">
        <w:t xml:space="preserve">Tribunal </w:t>
      </w:r>
      <w:r w:rsidR="009977FF" w:rsidRPr="00015237">
        <w:t>is currently investigating claims that the Crown has failed to protect the rangatiratanga</w:t>
      </w:r>
      <w:r w:rsidR="00B625AD">
        <w:rPr>
          <w:rStyle w:val="FootnoteReference"/>
        </w:rPr>
        <w:footnoteReference w:id="5"/>
      </w:r>
      <w:r w:rsidR="009977FF" w:rsidRPr="00015237">
        <w:t xml:space="preserve"> of </w:t>
      </w:r>
      <w:bookmarkStart w:id="13" w:name="_Hlk87880214"/>
      <w:r w:rsidR="009977FF" w:rsidRPr="00015237">
        <w:t>wāhine</w:t>
      </w:r>
      <w:bookmarkEnd w:id="13"/>
      <w:r w:rsidR="009977FF" w:rsidRPr="00015237">
        <w:t xml:space="preserve"> Māori </w:t>
      </w:r>
      <w:r w:rsidR="001B3B13">
        <w:t xml:space="preserve">(Māori women) </w:t>
      </w:r>
      <w:r w:rsidR="009977FF" w:rsidRPr="00015237">
        <w:t xml:space="preserve">and their right to non-discrimination on grounds of gender, with serious prejudicial consequences for their social, economic, cultural and spiritual well-being and access to leadership roles. While the Inquiry is progressing, an all of government policy framework is being developed to coordinate Government’s current work programme to focus on outcomes for wāhine Māori. This draft policy framework </w:t>
      </w:r>
      <w:r w:rsidR="000834FC">
        <w:t xml:space="preserve">was already underway and </w:t>
      </w:r>
      <w:r w:rsidR="009977FF" w:rsidRPr="00015237">
        <w:t xml:space="preserve">does not constitute a response to the Inquiry. </w:t>
      </w:r>
    </w:p>
    <w:p w14:paraId="4B3D97E6" w14:textId="77777777" w:rsidR="00727C9E" w:rsidRPr="00015237" w:rsidRDefault="00727C9E" w:rsidP="006873E0">
      <w:pPr>
        <w:pStyle w:val="Heading2"/>
        <w:spacing w:line="276" w:lineRule="auto"/>
        <w:jc w:val="both"/>
        <w:rPr>
          <w:lang w:val="en-NZ"/>
        </w:rPr>
      </w:pPr>
      <w:r w:rsidRPr="00015237">
        <w:t xml:space="preserve">Māori and the criminal justice </w:t>
      </w:r>
      <w:r w:rsidRPr="00015237">
        <w:rPr>
          <w:lang w:val="en-NZ"/>
        </w:rPr>
        <w:t>system</w:t>
      </w:r>
    </w:p>
    <w:p w14:paraId="14F93DDB" w14:textId="6DD1EA7C" w:rsidR="00727C9E" w:rsidRPr="008B0AE9" w:rsidRDefault="00953752" w:rsidP="006873E0">
      <w:pPr>
        <w:keepNext/>
        <w:spacing w:before="220" w:after="0" w:line="259" w:lineRule="auto"/>
        <w:jc w:val="both"/>
        <w:rPr>
          <w:lang w:val="en-NZ"/>
        </w:rPr>
      </w:pPr>
      <w:r>
        <w:rPr>
          <w:lang w:val="en-NZ"/>
        </w:rPr>
        <w:t>UPR Recommendation</w:t>
      </w:r>
      <w:r w:rsidR="00727C9E" w:rsidRPr="00015237">
        <w:rPr>
          <w:lang w:val="en-NZ"/>
        </w:rPr>
        <w:t>s: 60, 63-68</w:t>
      </w:r>
    </w:p>
    <w:p w14:paraId="39B059B3" w14:textId="6E017FCD" w:rsidR="00727C9E" w:rsidRPr="00015237" w:rsidRDefault="00727C9E" w:rsidP="006873E0">
      <w:pPr>
        <w:pStyle w:val="ListParagraph"/>
        <w:numPr>
          <w:ilvl w:val="0"/>
          <w:numId w:val="1"/>
        </w:numPr>
        <w:spacing w:before="220" w:after="0" w:line="259" w:lineRule="auto"/>
        <w:ind w:left="709" w:hanging="709"/>
        <w:contextualSpacing w:val="0"/>
        <w:jc w:val="both"/>
      </w:pPr>
      <w:r w:rsidRPr="00015237">
        <w:t xml:space="preserve">The Government acknowledges that the current </w:t>
      </w:r>
      <w:r w:rsidR="00936EC7">
        <w:t xml:space="preserve">criminal justice </w:t>
      </w:r>
      <w:r w:rsidRPr="00015237">
        <w:t xml:space="preserve">system is not working </w:t>
      </w:r>
      <w:r w:rsidR="00936EC7">
        <w:t>for Māori</w:t>
      </w:r>
      <w:r w:rsidRPr="00015237">
        <w:t xml:space="preserve"> and </w:t>
      </w:r>
      <w:r w:rsidR="00745140" w:rsidRPr="00015237">
        <w:t xml:space="preserve">there is a </w:t>
      </w:r>
      <w:r w:rsidRPr="00015237">
        <w:t xml:space="preserve">need to address the root causes </w:t>
      </w:r>
      <w:r w:rsidR="00C601E8">
        <w:t>of</w:t>
      </w:r>
      <w:r w:rsidRPr="00015237">
        <w:t xml:space="preserve"> disproportionate incarceration rates for </w:t>
      </w:r>
      <w:r w:rsidRPr="00015237">
        <w:lastRenderedPageBreak/>
        <w:t xml:space="preserve">Māori. </w:t>
      </w:r>
      <w:bookmarkStart w:id="14" w:name="_Hlk88129169"/>
      <w:r w:rsidRPr="00015237">
        <w:t>Māori</w:t>
      </w:r>
      <w:bookmarkEnd w:id="14"/>
      <w:r w:rsidRPr="00015237">
        <w:t xml:space="preserve"> </w:t>
      </w:r>
      <w:r w:rsidR="00745140" w:rsidRPr="00015237">
        <w:t xml:space="preserve">form </w:t>
      </w:r>
      <w:r w:rsidRPr="00015237">
        <w:t>58% of the remand population and</w:t>
      </w:r>
      <w:r w:rsidR="00745140" w:rsidRPr="00015237">
        <w:t xml:space="preserve"> </w:t>
      </w:r>
      <w:r w:rsidRPr="00015237">
        <w:t>52% of the total prison population as of November 2021.</w:t>
      </w:r>
    </w:p>
    <w:p w14:paraId="40223522" w14:textId="3950282E" w:rsidR="00727C9E" w:rsidRDefault="00727C9E" w:rsidP="006873E0">
      <w:pPr>
        <w:pStyle w:val="ListParagraph"/>
        <w:numPr>
          <w:ilvl w:val="0"/>
          <w:numId w:val="1"/>
        </w:numPr>
        <w:spacing w:before="220" w:after="0" w:line="259" w:lineRule="auto"/>
        <w:ind w:left="709" w:hanging="709"/>
        <w:contextualSpacing w:val="0"/>
        <w:jc w:val="both"/>
      </w:pPr>
      <w:r w:rsidRPr="00015237">
        <w:t xml:space="preserve">The following are some measures that aim to address the overrepresentation of Māori across all steps of the criminal justice system. </w:t>
      </w:r>
    </w:p>
    <w:p w14:paraId="53224C2B" w14:textId="35D98757" w:rsidR="00D94A3F" w:rsidRPr="00D94A3F" w:rsidRDefault="00D94A3F" w:rsidP="006873E0">
      <w:pPr>
        <w:spacing w:before="220" w:after="0" w:line="259" w:lineRule="auto"/>
        <w:jc w:val="both"/>
        <w:rPr>
          <w:i/>
          <w:iCs/>
        </w:rPr>
      </w:pPr>
      <w:r w:rsidRPr="00D94A3F">
        <w:rPr>
          <w:i/>
          <w:iCs/>
        </w:rPr>
        <w:t>Te Ao Mārama</w:t>
      </w:r>
    </w:p>
    <w:p w14:paraId="3E965219" w14:textId="7529F722" w:rsidR="00727C9E" w:rsidRDefault="00727C9E" w:rsidP="006873E0">
      <w:pPr>
        <w:pStyle w:val="ListParagraph"/>
        <w:numPr>
          <w:ilvl w:val="0"/>
          <w:numId w:val="1"/>
        </w:numPr>
        <w:spacing w:before="220" w:after="0" w:line="259" w:lineRule="auto"/>
        <w:ind w:left="709" w:hanging="709"/>
        <w:contextualSpacing w:val="0"/>
        <w:jc w:val="both"/>
      </w:pPr>
      <w:r w:rsidRPr="00015237">
        <w:t>Te Ao Mārama is the District Courts response to long standing calls for transformative change to the justice system. The vision was announced by the Chief District Court Judge</w:t>
      </w:r>
      <w:r w:rsidR="00814B4D">
        <w:t>,</w:t>
      </w:r>
      <w:r w:rsidRPr="00015237">
        <w:t xml:space="preserve"> Heemi Taumaunu</w:t>
      </w:r>
      <w:r w:rsidR="00814B4D">
        <w:t>,</w:t>
      </w:r>
      <w:r w:rsidRPr="00015237">
        <w:t xml:space="preserve"> in November 2020 and will be realised by incorporating best practice knowledge, skills and approaches learned from Aotearoa New Zealand’s specialist courts and by working in partnership with</w:t>
      </w:r>
      <w:r w:rsidR="00745140" w:rsidRPr="00015237">
        <w:t xml:space="preserve"> communities and with</w:t>
      </w:r>
      <w:r w:rsidRPr="00015237">
        <w:t xml:space="preserve"> iwi in a </w:t>
      </w:r>
      <w:bookmarkStart w:id="15" w:name="_Hlk87880229"/>
      <w:r w:rsidRPr="00015237">
        <w:t>rohe</w:t>
      </w:r>
      <w:bookmarkEnd w:id="15"/>
      <w:r w:rsidR="00C13E93" w:rsidRPr="00015237">
        <w:t xml:space="preserve"> (region)</w:t>
      </w:r>
      <w:r w:rsidRPr="00015237">
        <w:t xml:space="preserve"> specific context. The vison seeks to address continued overrepresentation of Māori in the justice system, address the underlying causes of offending with a vision to improve access to justice, </w:t>
      </w:r>
      <w:r w:rsidR="00745140" w:rsidRPr="00015237">
        <w:t xml:space="preserve">and </w:t>
      </w:r>
      <w:r w:rsidRPr="00015237">
        <w:t>enhance procedural and substantive fairness for all people who come into contact with the District Court. The District Court will become a place where all people can come to seek justice and be seen, heard and understood and meaningfully participate.</w:t>
      </w:r>
    </w:p>
    <w:p w14:paraId="65FACE15" w14:textId="0E236185" w:rsidR="00D94A3F" w:rsidRPr="00D94A3F" w:rsidRDefault="00D94A3F" w:rsidP="006873E0">
      <w:pPr>
        <w:spacing w:before="220" w:after="0" w:line="259" w:lineRule="auto"/>
        <w:jc w:val="both"/>
        <w:rPr>
          <w:i/>
          <w:iCs/>
        </w:rPr>
      </w:pPr>
      <w:r w:rsidRPr="00D94A3F">
        <w:rPr>
          <w:i/>
          <w:iCs/>
        </w:rPr>
        <w:t xml:space="preserve">Innovative </w:t>
      </w:r>
      <w:r w:rsidR="00CB4BD3">
        <w:rPr>
          <w:i/>
          <w:iCs/>
        </w:rPr>
        <w:t>c</w:t>
      </w:r>
      <w:r w:rsidRPr="00D94A3F">
        <w:rPr>
          <w:i/>
          <w:iCs/>
        </w:rPr>
        <w:t xml:space="preserve">ourts </w:t>
      </w:r>
    </w:p>
    <w:p w14:paraId="155FB6B9" w14:textId="028F6A29" w:rsidR="00CB4BD3" w:rsidRPr="00015237" w:rsidRDefault="00CB4BD3" w:rsidP="006873E0">
      <w:pPr>
        <w:pStyle w:val="ListParagraph"/>
        <w:numPr>
          <w:ilvl w:val="0"/>
          <w:numId w:val="1"/>
        </w:numPr>
        <w:spacing w:before="220" w:after="0" w:line="259" w:lineRule="auto"/>
        <w:ind w:left="709" w:hanging="709"/>
        <w:contextualSpacing w:val="0"/>
        <w:jc w:val="both"/>
      </w:pPr>
      <w:r w:rsidRPr="00015237">
        <w:t>In 2021, new funding was announced for three new</w:t>
      </w:r>
      <w:r w:rsidR="001944DC">
        <w:t xml:space="preserve"> specialist</w:t>
      </w:r>
      <w:r w:rsidRPr="00015237">
        <w:t xml:space="preserve"> courts</w:t>
      </w:r>
      <w:r>
        <w:t>. They are</w:t>
      </w:r>
      <w:r w:rsidRPr="00015237">
        <w:t xml:space="preserve"> to be designed and delivered in partnership with local iwi</w:t>
      </w:r>
      <w:r w:rsidR="00016FC6">
        <w:t>,</w:t>
      </w:r>
      <w:r w:rsidRPr="00015237">
        <w:t xml:space="preserve"> aiming to reduce the imprisonment and reoffending rates for Māori. </w:t>
      </w:r>
      <w:r>
        <w:t>They</w:t>
      </w:r>
      <w:r w:rsidRPr="00015237">
        <w:t xml:space="preserve"> will support the needs of Māori offenders, victims and their whānau by identifying and providing </w:t>
      </w:r>
      <w:r>
        <w:t xml:space="preserve">access to </w:t>
      </w:r>
      <w:r w:rsidRPr="00015237">
        <w:t xml:space="preserve">suitable social, health and wellbeing services. </w:t>
      </w:r>
    </w:p>
    <w:p w14:paraId="3F470219" w14:textId="1905F390" w:rsidR="00727C9E" w:rsidRPr="00015237" w:rsidRDefault="00727C9E" w:rsidP="006873E0">
      <w:pPr>
        <w:pStyle w:val="ListParagraph"/>
        <w:numPr>
          <w:ilvl w:val="0"/>
          <w:numId w:val="1"/>
        </w:numPr>
        <w:spacing w:before="220" w:after="0" w:line="259" w:lineRule="auto"/>
        <w:ind w:left="709" w:hanging="709"/>
        <w:contextualSpacing w:val="0"/>
        <w:jc w:val="both"/>
      </w:pPr>
      <w:r w:rsidRPr="00015237">
        <w:t xml:space="preserve">A new Alcohol and Other Drug Treatment </w:t>
      </w:r>
      <w:r w:rsidR="00C601E8" w:rsidRPr="00015237">
        <w:t xml:space="preserve">(AODT) </w:t>
      </w:r>
      <w:r w:rsidRPr="00015237">
        <w:t>Courts opened in Hamilton this year. The AODT Court aims to break the cycle of offending by treating the causes of offending. It provides an alternative to imprisonment for people whose offending is being driven by alcohol and</w:t>
      </w:r>
      <w:r w:rsidR="00F116B3">
        <w:t>/</w:t>
      </w:r>
      <w:r w:rsidRPr="00015237">
        <w:t xml:space="preserve">or substance use disorders. For example, the programme includes the integration of Māori cultural practices into Court processes, cultural advice and peer support. A Māori cultural advisor at the court provides advice on how to engage with Māori participants, while also ensuring that </w:t>
      </w:r>
      <w:bookmarkStart w:id="16" w:name="_Hlk87880269"/>
      <w:r w:rsidRPr="00015237">
        <w:t>kaupapa</w:t>
      </w:r>
      <w:r w:rsidR="00C13E93" w:rsidRPr="00015237">
        <w:rPr>
          <w:rStyle w:val="FootnoteReference"/>
        </w:rPr>
        <w:footnoteReference w:id="6"/>
      </w:r>
      <w:r w:rsidRPr="00015237">
        <w:t xml:space="preserve"> </w:t>
      </w:r>
      <w:bookmarkEnd w:id="16"/>
      <w:r w:rsidRPr="00015237">
        <w:t xml:space="preserve">Māori principles are included in the Court process and treatment plan. </w:t>
      </w:r>
    </w:p>
    <w:p w14:paraId="01C2653C" w14:textId="51399131" w:rsidR="00727C9E" w:rsidRDefault="00727C9E" w:rsidP="006873E0">
      <w:pPr>
        <w:pStyle w:val="ListParagraph"/>
        <w:numPr>
          <w:ilvl w:val="0"/>
          <w:numId w:val="1"/>
        </w:numPr>
        <w:spacing w:before="220" w:after="0" w:line="259" w:lineRule="auto"/>
        <w:ind w:left="709" w:hanging="709"/>
        <w:contextualSpacing w:val="0"/>
        <w:jc w:val="both"/>
      </w:pPr>
      <w:r w:rsidRPr="00015237">
        <w:t>New funding was announced this year</w:t>
      </w:r>
      <w:r w:rsidR="00B80D83" w:rsidRPr="00015237">
        <w:t xml:space="preserve"> for Police</w:t>
      </w:r>
      <w:r w:rsidRPr="00015237">
        <w:t xml:space="preserve"> to expand the number of restorative community panels (Te Pae Oranga) that can deal with lower level offending from 16 to 30 over the coming four years. Following arrest, individuals who meet defined criteria are provided with an option to go through a restorative community panel process rather than the Courts to deal with the harm caused by their offence. Te Pae Oranga use tikanga</w:t>
      </w:r>
      <w:r w:rsidR="00B625AD">
        <w:rPr>
          <w:rStyle w:val="FootnoteReference"/>
        </w:rPr>
        <w:footnoteReference w:id="7"/>
      </w:r>
      <w:r w:rsidRPr="00015237">
        <w:t>, kaupapa Māori and restorative justice practices focused on accountability, education and preventing reoffending. The panels are made up of three local community leaders, and their role is to decide on how to address the offending and support the person to develop and complete a plan.</w:t>
      </w:r>
    </w:p>
    <w:p w14:paraId="0192F6F8" w14:textId="7A26A9D0" w:rsidR="00CB4BD3" w:rsidRPr="00CB4BD3" w:rsidRDefault="00CB4BD3" w:rsidP="006873E0">
      <w:pPr>
        <w:spacing w:before="220" w:after="0" w:line="259" w:lineRule="auto"/>
        <w:jc w:val="both"/>
        <w:rPr>
          <w:i/>
          <w:iCs/>
        </w:rPr>
      </w:pPr>
      <w:r w:rsidRPr="00CB4BD3">
        <w:rPr>
          <w:i/>
          <w:iCs/>
        </w:rPr>
        <w:t xml:space="preserve">New Zealand Police’s new operating model </w:t>
      </w:r>
    </w:p>
    <w:p w14:paraId="6CC419D7" w14:textId="33511296" w:rsidR="00727C9E" w:rsidRPr="00015237" w:rsidRDefault="00727C9E" w:rsidP="006873E0">
      <w:pPr>
        <w:pStyle w:val="ListParagraph"/>
        <w:numPr>
          <w:ilvl w:val="0"/>
          <w:numId w:val="1"/>
        </w:numPr>
        <w:spacing w:before="220" w:after="0" w:line="259" w:lineRule="auto"/>
        <w:ind w:left="709" w:hanging="709"/>
        <w:contextualSpacing w:val="0"/>
        <w:jc w:val="both"/>
      </w:pPr>
      <w:r w:rsidRPr="00015237">
        <w:t>In 2019, New Zealand Police launched its new operating framework (</w:t>
      </w:r>
      <w:r w:rsidRPr="00015237">
        <w:rPr>
          <w:lang w:val="en"/>
        </w:rPr>
        <w:t xml:space="preserve">Prevention First Operating Model, Te </w:t>
      </w:r>
      <w:r w:rsidRPr="008B0AE9">
        <w:t>Huringa</w:t>
      </w:r>
      <w:r w:rsidRPr="00015237">
        <w:rPr>
          <w:lang w:val="en"/>
        </w:rPr>
        <w:t xml:space="preserve"> o Te Tai) which was developed by listening to the voices of the </w:t>
      </w:r>
      <w:r w:rsidRPr="00015237">
        <w:rPr>
          <w:lang w:val="en"/>
        </w:rPr>
        <w:lastRenderedPageBreak/>
        <w:t>community, staff and iwi Māori. It focusses</w:t>
      </w:r>
      <w:r w:rsidRPr="00015237">
        <w:t xml:space="preserve"> around three pou or pillars representing the increased recognition and understanding of Police’s commitment to </w:t>
      </w:r>
      <w:r w:rsidR="00745140" w:rsidRPr="00015237">
        <w:t>te Tiriti</w:t>
      </w:r>
      <w:r w:rsidRPr="00015237">
        <w:t xml:space="preserve"> and Māori:</w:t>
      </w:r>
    </w:p>
    <w:p w14:paraId="3A2049F0" w14:textId="77777777" w:rsidR="00727C9E" w:rsidRPr="00015237" w:rsidRDefault="00727C9E" w:rsidP="006873E0">
      <w:pPr>
        <w:pStyle w:val="ListParagraph"/>
        <w:numPr>
          <w:ilvl w:val="1"/>
          <w:numId w:val="22"/>
        </w:numPr>
        <w:spacing w:before="220" w:after="0" w:line="259" w:lineRule="auto"/>
        <w:ind w:left="1134" w:hanging="425"/>
        <w:contextualSpacing w:val="0"/>
        <w:jc w:val="both"/>
      </w:pPr>
      <w:r w:rsidRPr="00015237">
        <w:t xml:space="preserve">Pou Mataara – our people and our mindset, </w:t>
      </w:r>
    </w:p>
    <w:p w14:paraId="03C14758" w14:textId="77777777" w:rsidR="00727C9E" w:rsidRPr="00015237" w:rsidRDefault="00727C9E" w:rsidP="006873E0">
      <w:pPr>
        <w:pStyle w:val="ListParagraph"/>
        <w:numPr>
          <w:ilvl w:val="1"/>
          <w:numId w:val="22"/>
        </w:numPr>
        <w:spacing w:before="220" w:after="0" w:line="259" w:lineRule="auto"/>
        <w:ind w:left="1134" w:hanging="425"/>
        <w:contextualSpacing w:val="0"/>
        <w:jc w:val="both"/>
      </w:pPr>
      <w:r w:rsidRPr="00015237">
        <w:t xml:space="preserve">Pou Mataaho – effective initiatives and improved practice, and </w:t>
      </w:r>
    </w:p>
    <w:p w14:paraId="697430CC" w14:textId="4842CE55" w:rsidR="00727C9E" w:rsidRPr="00015237" w:rsidRDefault="00727C9E" w:rsidP="006873E0">
      <w:pPr>
        <w:pStyle w:val="ListParagraph"/>
        <w:numPr>
          <w:ilvl w:val="1"/>
          <w:numId w:val="22"/>
        </w:numPr>
        <w:spacing w:before="220" w:after="0" w:line="259" w:lineRule="auto"/>
        <w:ind w:left="1134" w:hanging="425"/>
        <w:contextualSpacing w:val="0"/>
        <w:jc w:val="both"/>
      </w:pPr>
      <w:r w:rsidRPr="00015237">
        <w:t>Pou Hourua – effective partnerships.</w:t>
      </w:r>
    </w:p>
    <w:p w14:paraId="27C2235F" w14:textId="032B8EFF" w:rsidR="002B02BC" w:rsidRPr="00BD0398" w:rsidRDefault="00727C9E" w:rsidP="006873E0">
      <w:pPr>
        <w:pStyle w:val="ListParagraph"/>
        <w:numPr>
          <w:ilvl w:val="0"/>
          <w:numId w:val="1"/>
        </w:numPr>
        <w:spacing w:before="220" w:after="0" w:line="259" w:lineRule="auto"/>
        <w:ind w:left="709" w:hanging="709"/>
        <w:contextualSpacing w:val="0"/>
        <w:jc w:val="both"/>
        <w:rPr>
          <w:lang w:val="en"/>
        </w:rPr>
      </w:pPr>
      <w:r w:rsidRPr="00015237">
        <w:rPr>
          <w:lang w:val="en"/>
        </w:rPr>
        <w:t xml:space="preserve">Te Huringa o Te Tai helps Police transform into an </w:t>
      </w:r>
      <w:r w:rsidRPr="008B0AE9">
        <w:rPr>
          <w:lang w:val="en-NZ"/>
        </w:rPr>
        <w:t>organi</w:t>
      </w:r>
      <w:r w:rsidR="00ED074C" w:rsidRPr="008B0AE9">
        <w:rPr>
          <w:lang w:val="en-NZ"/>
        </w:rPr>
        <w:t>s</w:t>
      </w:r>
      <w:r w:rsidRPr="008B0AE9">
        <w:rPr>
          <w:lang w:val="en-NZ"/>
        </w:rPr>
        <w:t>ation</w:t>
      </w:r>
      <w:r w:rsidRPr="00015237">
        <w:rPr>
          <w:lang w:val="en"/>
        </w:rPr>
        <w:t xml:space="preserve"> that is much better positioned to respond to the needs of the communities that they serve. It is used to deliver nationally led programs and initiatives developed and implemented in partnership with Māori based on the specific needs, and values of local </w:t>
      </w:r>
      <w:r w:rsidRPr="008B0AE9">
        <w:t>communities</w:t>
      </w:r>
      <w:r w:rsidRPr="00015237">
        <w:rPr>
          <w:lang w:val="en"/>
        </w:rPr>
        <w:t xml:space="preserve">. </w:t>
      </w:r>
      <w:bookmarkStart w:id="17" w:name="_Hlk87443968"/>
      <w:r w:rsidRPr="00015237">
        <w:rPr>
          <w:lang w:val="en"/>
        </w:rPr>
        <w:t xml:space="preserve">Te Huringa o Te Tai is the driving force behind Police’s work to improve outcomes for </w:t>
      </w:r>
      <w:r w:rsidR="00C13E93" w:rsidRPr="00015237">
        <w:t xml:space="preserve">Māori and reduce offending and victimisation </w:t>
      </w:r>
      <w:r w:rsidR="00C13E93" w:rsidRPr="00015237">
        <w:rPr>
          <w:lang w:val="mi-NZ"/>
        </w:rPr>
        <w:t>to</w:t>
      </w:r>
      <w:r w:rsidRPr="00015237">
        <w:rPr>
          <w:lang w:val="en"/>
        </w:rPr>
        <w:t xml:space="preserve"> ensure that people have trust and confidence in Police.</w:t>
      </w:r>
      <w:bookmarkEnd w:id="17"/>
    </w:p>
    <w:p w14:paraId="1C277AFD" w14:textId="4D011AF6" w:rsidR="002B02BC" w:rsidRPr="008B0AE9" w:rsidRDefault="002B02BC" w:rsidP="006873E0">
      <w:pPr>
        <w:pStyle w:val="ListParagraph"/>
        <w:numPr>
          <w:ilvl w:val="0"/>
          <w:numId w:val="1"/>
        </w:numPr>
        <w:spacing w:before="220" w:after="0" w:line="259" w:lineRule="auto"/>
        <w:ind w:left="709" w:hanging="709"/>
        <w:contextualSpacing w:val="0"/>
        <w:jc w:val="both"/>
        <w:rPr>
          <w:rFonts w:eastAsiaTheme="minorEastAsia"/>
          <w:lang w:val="en-NZ"/>
        </w:rPr>
      </w:pPr>
      <w:r w:rsidRPr="00015237">
        <w:t>This community-focused approach is also supported by the Reframe Strategy</w:t>
      </w:r>
      <w:r w:rsidR="00813306">
        <w:t xml:space="preserve">, </w:t>
      </w:r>
      <w:r w:rsidRPr="00015237">
        <w:t>Te Tārai Hou</w:t>
      </w:r>
      <w:r w:rsidR="00813306">
        <w:t>,</w:t>
      </w:r>
      <w:r w:rsidRPr="00015237">
        <w:t xml:space="preserve"> to improve frontline practices by creating an environment that enables improved quality and consistency of decision </w:t>
      </w:r>
      <w:r w:rsidRPr="008B0AE9">
        <w:rPr>
          <w:lang w:val="en"/>
        </w:rPr>
        <w:t>making</w:t>
      </w:r>
      <w:r w:rsidRPr="00015237">
        <w:t xml:space="preserve">, enhanced evidence collection practices, and interventions that reduce harm and reoffending in our communities. </w:t>
      </w:r>
    </w:p>
    <w:p w14:paraId="14C2947E" w14:textId="5C75572E" w:rsidR="00B80D83" w:rsidRPr="00015237" w:rsidRDefault="00B80D83" w:rsidP="006873E0">
      <w:pPr>
        <w:pStyle w:val="ListParagraph"/>
        <w:numPr>
          <w:ilvl w:val="0"/>
          <w:numId w:val="1"/>
        </w:numPr>
        <w:spacing w:before="220" w:after="0" w:line="259" w:lineRule="auto"/>
        <w:ind w:left="709" w:hanging="709"/>
        <w:contextualSpacing w:val="0"/>
        <w:jc w:val="both"/>
      </w:pPr>
      <w:r w:rsidRPr="00015237">
        <w:t xml:space="preserve">This will be further supported by the research programme New Zealand Police established in 2021, ‘Understanding </w:t>
      </w:r>
      <w:r w:rsidRPr="008B0AE9">
        <w:rPr>
          <w:lang w:val="en"/>
        </w:rPr>
        <w:t>Policing</w:t>
      </w:r>
      <w:r w:rsidRPr="00015237">
        <w:t xml:space="preserve"> Delivery’. The research programme looks to identify whether, where, and to what extent bias exists in Police’s operating environment. The research will focus not just on frontline staff interactions, but also on systemic bias throughout the Police organisation.  The programme will initially look at three key areas:</w:t>
      </w:r>
    </w:p>
    <w:p w14:paraId="07C772CE" w14:textId="11054A43" w:rsidR="00B80D83" w:rsidRPr="00015237" w:rsidRDefault="00B80D83" w:rsidP="006873E0">
      <w:pPr>
        <w:pStyle w:val="ListParagraph"/>
        <w:numPr>
          <w:ilvl w:val="1"/>
          <w:numId w:val="22"/>
        </w:numPr>
        <w:spacing w:before="220" w:after="0" w:line="259" w:lineRule="auto"/>
        <w:ind w:left="1134" w:hanging="425"/>
        <w:contextualSpacing w:val="0"/>
        <w:jc w:val="both"/>
      </w:pPr>
      <w:r w:rsidRPr="00015237">
        <w:t>who Police stop and speak to, and how Police engages with them</w:t>
      </w:r>
      <w:r w:rsidR="00BD0398">
        <w:t>;</w:t>
      </w:r>
    </w:p>
    <w:p w14:paraId="098BF1D3" w14:textId="25FFC795" w:rsidR="00B80D83" w:rsidRPr="00015237" w:rsidRDefault="00B80D83" w:rsidP="006873E0">
      <w:pPr>
        <w:pStyle w:val="ListParagraph"/>
        <w:numPr>
          <w:ilvl w:val="1"/>
          <w:numId w:val="22"/>
        </w:numPr>
        <w:spacing w:before="220" w:after="0" w:line="259" w:lineRule="auto"/>
        <w:ind w:left="1134" w:hanging="425"/>
        <w:contextualSpacing w:val="0"/>
        <w:jc w:val="both"/>
      </w:pPr>
      <w:r w:rsidRPr="00015237">
        <w:t>decision making around use of force</w:t>
      </w:r>
      <w:r w:rsidR="00BD0398">
        <w:t>; and</w:t>
      </w:r>
    </w:p>
    <w:p w14:paraId="2F32CEFF" w14:textId="384D7950" w:rsidR="00B80D83" w:rsidRPr="00CB4BD3" w:rsidRDefault="00B80D83" w:rsidP="006873E0">
      <w:pPr>
        <w:pStyle w:val="ListParagraph"/>
        <w:numPr>
          <w:ilvl w:val="1"/>
          <w:numId w:val="22"/>
        </w:numPr>
        <w:spacing w:before="220" w:after="0" w:line="259" w:lineRule="auto"/>
        <w:ind w:left="1134" w:hanging="425"/>
        <w:contextualSpacing w:val="0"/>
        <w:jc w:val="both"/>
        <w:rPr>
          <w:lang w:val="en-NZ"/>
        </w:rPr>
      </w:pPr>
      <w:r w:rsidRPr="00015237">
        <w:t>decision making around laying charges.</w:t>
      </w:r>
    </w:p>
    <w:p w14:paraId="0F33C982" w14:textId="7AD8BBB3" w:rsidR="00CB4BD3" w:rsidRPr="00CB4BD3" w:rsidRDefault="00CB4BD3" w:rsidP="006873E0">
      <w:pPr>
        <w:spacing w:before="220" w:after="0" w:line="259" w:lineRule="auto"/>
        <w:jc w:val="both"/>
        <w:rPr>
          <w:i/>
          <w:iCs/>
          <w:lang w:val="en-NZ"/>
        </w:rPr>
      </w:pPr>
      <w:r w:rsidRPr="00CB4BD3">
        <w:rPr>
          <w:i/>
          <w:iCs/>
          <w:lang w:val="en-NZ"/>
        </w:rPr>
        <w:t xml:space="preserve">Department of Corrections’ </w:t>
      </w:r>
      <w:r w:rsidR="00813306">
        <w:rPr>
          <w:i/>
          <w:iCs/>
          <w:lang w:val="en-NZ"/>
        </w:rPr>
        <w:t>s</w:t>
      </w:r>
      <w:r w:rsidRPr="00CB4BD3">
        <w:rPr>
          <w:i/>
          <w:iCs/>
          <w:lang w:val="en-NZ"/>
        </w:rPr>
        <w:t>trategies</w:t>
      </w:r>
    </w:p>
    <w:p w14:paraId="7061C37E" w14:textId="145D9D2D" w:rsidR="00727C9E" w:rsidRPr="00015237" w:rsidRDefault="00727C9E" w:rsidP="006873E0">
      <w:pPr>
        <w:pStyle w:val="ListParagraph"/>
        <w:numPr>
          <w:ilvl w:val="0"/>
          <w:numId w:val="1"/>
        </w:numPr>
        <w:spacing w:before="220" w:after="0" w:line="259" w:lineRule="auto"/>
        <w:ind w:left="709" w:hanging="709"/>
        <w:contextualSpacing w:val="0"/>
        <w:jc w:val="both"/>
      </w:pPr>
      <w:r w:rsidRPr="00015237">
        <w:t xml:space="preserve">The Department of Corrections (Corrections) also plays a vital role in the efforts to reduce reoffending. In response to the Waitangi Tribunal’s 2017 report </w:t>
      </w:r>
      <w:r w:rsidRPr="006056CB">
        <w:rPr>
          <w:i/>
          <w:iCs/>
        </w:rPr>
        <w:t>Tū Mai te Rangi!</w:t>
      </w:r>
      <w:r w:rsidRPr="00015237">
        <w:t xml:space="preserve">, which found that the Crown has a responsibility under </w:t>
      </w:r>
      <w:r w:rsidR="00745140" w:rsidRPr="00015237">
        <w:t>te Tiriti</w:t>
      </w:r>
      <w:r w:rsidRPr="00015237">
        <w:t xml:space="preserve"> to apply ‘a renewed strategic focus that gives appropriate priority to reducing the disproportionate rate of Māori reoffending’, Corrections developed Hōkai Rangi, Corrections’ Strategy for 2019-24</w:t>
      </w:r>
      <w:r w:rsidRPr="00015237">
        <w:rPr>
          <w:lang w:val="en-NZ"/>
        </w:rPr>
        <w:t>.</w:t>
      </w:r>
      <w:r w:rsidRPr="00015237">
        <w:t xml:space="preserve"> </w:t>
      </w:r>
    </w:p>
    <w:p w14:paraId="1414CC8A" w14:textId="50C187DE" w:rsidR="00727C9E" w:rsidRPr="00BD0398" w:rsidRDefault="00727C9E" w:rsidP="006873E0">
      <w:pPr>
        <w:pStyle w:val="ListParagraph"/>
        <w:numPr>
          <w:ilvl w:val="0"/>
          <w:numId w:val="1"/>
        </w:numPr>
        <w:spacing w:before="220" w:after="0" w:line="259" w:lineRule="auto"/>
        <w:ind w:left="709" w:hanging="709"/>
        <w:contextualSpacing w:val="0"/>
        <w:jc w:val="both"/>
        <w:rPr>
          <w:lang w:val="en-NZ"/>
        </w:rPr>
      </w:pPr>
      <w:r w:rsidRPr="00015237">
        <w:t>Hōkai Rangi is focussed on the prioritisation of the wellbeing of the people who come into Corrections’ management, and their wh</w:t>
      </w:r>
      <w:r w:rsidRPr="00015237">
        <w:rPr>
          <w:lang w:val="mi-NZ"/>
        </w:rPr>
        <w:t>ā</w:t>
      </w:r>
      <w:r w:rsidRPr="00015237">
        <w:rPr>
          <w:lang w:val="en-NZ"/>
        </w:rPr>
        <w:t>nau</w:t>
      </w:r>
      <w:r w:rsidR="0002084C" w:rsidRPr="00015237">
        <w:rPr>
          <w:lang w:val="en-NZ"/>
        </w:rPr>
        <w:t>.</w:t>
      </w:r>
      <w:r w:rsidRPr="00015237">
        <w:rPr>
          <w:lang w:val="en-NZ"/>
        </w:rPr>
        <w:t xml:space="preserve"> Its ultimate aim is to lower the proportion of </w:t>
      </w:r>
      <w:r w:rsidRPr="00015237">
        <w:t>Māori</w:t>
      </w:r>
      <w:r w:rsidRPr="00015237">
        <w:rPr>
          <w:lang w:val="en-NZ"/>
        </w:rPr>
        <w:t xml:space="preserve"> in </w:t>
      </w:r>
      <w:r w:rsidR="00BD0398">
        <w:rPr>
          <w:lang w:val="en-NZ"/>
        </w:rPr>
        <w:t>prison</w:t>
      </w:r>
      <w:r w:rsidRPr="00015237">
        <w:rPr>
          <w:lang w:val="en-NZ"/>
        </w:rPr>
        <w:t xml:space="preserve"> to a level that matches the </w:t>
      </w:r>
      <w:r w:rsidRPr="00015237">
        <w:t xml:space="preserve">Māori </w:t>
      </w:r>
      <w:r w:rsidRPr="00015237">
        <w:rPr>
          <w:lang w:val="en-NZ"/>
        </w:rPr>
        <w:t>share of the general population. Hokai Rangi was developed through co-design wānanga</w:t>
      </w:r>
      <w:r w:rsidR="007C2932">
        <w:rPr>
          <w:rStyle w:val="FootnoteReference"/>
          <w:lang w:val="en-NZ"/>
        </w:rPr>
        <w:t xml:space="preserve"> </w:t>
      </w:r>
      <w:r w:rsidR="007C2932">
        <w:rPr>
          <w:lang w:val="en-NZ"/>
        </w:rPr>
        <w:t>(workshops)</w:t>
      </w:r>
      <w:r w:rsidRPr="00015237">
        <w:rPr>
          <w:lang w:val="en-NZ"/>
        </w:rPr>
        <w:t xml:space="preserve"> with a reference group including </w:t>
      </w:r>
      <w:r w:rsidR="00C13E93" w:rsidRPr="00015237">
        <w:t>Māori</w:t>
      </w:r>
      <w:r w:rsidRPr="00015237">
        <w:rPr>
          <w:lang w:val="en-NZ"/>
        </w:rPr>
        <w:t xml:space="preserve"> staff, service providers, academics, partners and people with lived experience including men and women in prison, as well as wh</w:t>
      </w:r>
      <w:r w:rsidRPr="00015237">
        <w:rPr>
          <w:lang w:val="mi-NZ"/>
        </w:rPr>
        <w:t>ā</w:t>
      </w:r>
      <w:r w:rsidRPr="00015237">
        <w:rPr>
          <w:lang w:val="en-NZ"/>
        </w:rPr>
        <w:t xml:space="preserve">nau and </w:t>
      </w:r>
      <w:bookmarkStart w:id="18" w:name="_Hlk87880295"/>
      <w:r w:rsidRPr="00015237">
        <w:rPr>
          <w:lang w:val="en-NZ"/>
        </w:rPr>
        <w:t>kaiwhakamana</w:t>
      </w:r>
      <w:bookmarkEnd w:id="18"/>
      <w:r w:rsidRPr="00015237">
        <w:rPr>
          <w:rStyle w:val="FootnoteReference"/>
          <w:lang w:val="en-NZ"/>
        </w:rPr>
        <w:footnoteReference w:id="8"/>
      </w:r>
      <w:r w:rsidRPr="00015237">
        <w:rPr>
          <w:lang w:val="en-NZ"/>
        </w:rPr>
        <w:t xml:space="preserve"> in the community. </w:t>
      </w:r>
    </w:p>
    <w:p w14:paraId="49319995" w14:textId="57382EAC" w:rsidR="00727C9E" w:rsidRPr="00BD0398" w:rsidRDefault="00BD0398" w:rsidP="006873E0">
      <w:pPr>
        <w:pStyle w:val="ListParagraph"/>
        <w:numPr>
          <w:ilvl w:val="0"/>
          <w:numId w:val="1"/>
        </w:numPr>
        <w:spacing w:before="220" w:after="0" w:line="259" w:lineRule="auto"/>
        <w:ind w:left="709" w:hanging="709"/>
        <w:contextualSpacing w:val="0"/>
        <w:jc w:val="both"/>
        <w:rPr>
          <w:i/>
          <w:iCs/>
        </w:rPr>
      </w:pPr>
      <w:r>
        <w:rPr>
          <w:lang w:val="en-NZ"/>
        </w:rPr>
        <w:lastRenderedPageBreak/>
        <w:t>There are s</w:t>
      </w:r>
      <w:r w:rsidR="00727C9E" w:rsidRPr="00015237">
        <w:rPr>
          <w:lang w:val="en-NZ"/>
        </w:rPr>
        <w:t xml:space="preserve">ix key strategic focus areas in Hōkai Rangi: </w:t>
      </w:r>
      <w:r w:rsidR="0002084C" w:rsidRPr="00015237">
        <w:rPr>
          <w:lang w:val="en-NZ"/>
        </w:rPr>
        <w:t xml:space="preserve">partnership </w:t>
      </w:r>
      <w:r w:rsidR="00727C9E" w:rsidRPr="00015237">
        <w:rPr>
          <w:lang w:val="en-NZ"/>
        </w:rPr>
        <w:t xml:space="preserve">and leadership; </w:t>
      </w:r>
      <w:r w:rsidR="0002084C" w:rsidRPr="00015237">
        <w:rPr>
          <w:lang w:val="en-NZ"/>
        </w:rPr>
        <w:t>h</w:t>
      </w:r>
      <w:r w:rsidR="00727C9E" w:rsidRPr="00015237">
        <w:rPr>
          <w:lang w:val="en-NZ"/>
        </w:rPr>
        <w:t xml:space="preserve">umanising and </w:t>
      </w:r>
      <w:r w:rsidR="0002084C" w:rsidRPr="008B0AE9">
        <w:t>h</w:t>
      </w:r>
      <w:r w:rsidR="00727C9E" w:rsidRPr="008B0AE9">
        <w:t>ealing</w:t>
      </w:r>
      <w:r w:rsidR="00727C9E" w:rsidRPr="00015237">
        <w:rPr>
          <w:lang w:val="en-NZ"/>
        </w:rPr>
        <w:t xml:space="preserve">; </w:t>
      </w:r>
      <w:r w:rsidR="0002084C" w:rsidRPr="00015237">
        <w:rPr>
          <w:lang w:val="en-NZ"/>
        </w:rPr>
        <w:t>w</w:t>
      </w:r>
      <w:r w:rsidR="00727C9E" w:rsidRPr="00015237">
        <w:rPr>
          <w:lang w:val="en-NZ"/>
        </w:rPr>
        <w:t>hānau</w:t>
      </w:r>
      <w:r w:rsidR="0002084C" w:rsidRPr="00015237">
        <w:rPr>
          <w:lang w:val="en-NZ"/>
        </w:rPr>
        <w:t>;</w:t>
      </w:r>
      <w:r w:rsidR="00727C9E" w:rsidRPr="00015237">
        <w:rPr>
          <w:lang w:val="en-NZ"/>
        </w:rPr>
        <w:t xml:space="preserve"> </w:t>
      </w:r>
      <w:r w:rsidR="0002084C" w:rsidRPr="00015237">
        <w:rPr>
          <w:lang w:val="en-NZ"/>
        </w:rPr>
        <w:t>i</w:t>
      </w:r>
      <w:r w:rsidR="00727C9E" w:rsidRPr="00015237">
        <w:rPr>
          <w:lang w:val="en-NZ"/>
        </w:rPr>
        <w:t xml:space="preserve">ncorporating a </w:t>
      </w:r>
      <w:r w:rsidR="007C2932">
        <w:rPr>
          <w:lang w:val="en-NZ"/>
        </w:rPr>
        <w:t>T</w:t>
      </w:r>
      <w:r w:rsidR="00727C9E" w:rsidRPr="00015237">
        <w:rPr>
          <w:lang w:val="en-NZ"/>
        </w:rPr>
        <w:t xml:space="preserve">e </w:t>
      </w:r>
      <w:r w:rsidR="007C2932">
        <w:rPr>
          <w:lang w:val="en-NZ"/>
        </w:rPr>
        <w:t>A</w:t>
      </w:r>
      <w:r w:rsidR="00727C9E" w:rsidRPr="00015237">
        <w:rPr>
          <w:lang w:val="en-NZ"/>
        </w:rPr>
        <w:t xml:space="preserve">o Māori </w:t>
      </w:r>
      <w:r w:rsidR="007C2932">
        <w:rPr>
          <w:lang w:val="en-NZ"/>
        </w:rPr>
        <w:t>(</w:t>
      </w:r>
      <w:r w:rsidR="007C2932" w:rsidRPr="00015237">
        <w:t>Māori</w:t>
      </w:r>
      <w:r w:rsidR="007C2932">
        <w:t xml:space="preserve"> </w:t>
      </w:r>
      <w:r w:rsidR="00727C9E" w:rsidRPr="00015237">
        <w:rPr>
          <w:lang w:val="en-NZ"/>
        </w:rPr>
        <w:t>worldview</w:t>
      </w:r>
      <w:r w:rsidR="007C2932">
        <w:rPr>
          <w:lang w:val="en-NZ"/>
        </w:rPr>
        <w:t>)</w:t>
      </w:r>
      <w:r w:rsidR="00727C9E" w:rsidRPr="00015237">
        <w:rPr>
          <w:lang w:val="en-NZ"/>
        </w:rPr>
        <w:t xml:space="preserve">; </w:t>
      </w:r>
      <w:r w:rsidR="0002084C" w:rsidRPr="00015237">
        <w:rPr>
          <w:lang w:val="en-NZ"/>
        </w:rPr>
        <w:t>w</w:t>
      </w:r>
      <w:r w:rsidR="00727C9E" w:rsidRPr="00015237">
        <w:rPr>
          <w:lang w:val="en-NZ"/>
        </w:rPr>
        <w:t xml:space="preserve">hakapapa; and </w:t>
      </w:r>
      <w:r w:rsidR="0002084C" w:rsidRPr="00015237">
        <w:rPr>
          <w:lang w:val="en-NZ"/>
        </w:rPr>
        <w:t>f</w:t>
      </w:r>
      <w:r w:rsidR="00727C9E" w:rsidRPr="00015237">
        <w:rPr>
          <w:lang w:val="en-NZ"/>
        </w:rPr>
        <w:t xml:space="preserve">oundations for </w:t>
      </w:r>
      <w:r w:rsidR="0002084C" w:rsidRPr="00015237">
        <w:rPr>
          <w:lang w:val="en-NZ"/>
        </w:rPr>
        <w:t>p</w:t>
      </w:r>
      <w:r w:rsidR="00727C9E" w:rsidRPr="00015237">
        <w:rPr>
          <w:lang w:val="en-NZ"/>
        </w:rPr>
        <w:t>articipation.</w:t>
      </w:r>
      <w:r>
        <w:rPr>
          <w:i/>
          <w:iCs/>
        </w:rPr>
        <w:t xml:space="preserve"> </w:t>
      </w:r>
      <w:r w:rsidR="00727C9E" w:rsidRPr="00015237">
        <w:t xml:space="preserve">Through this </w:t>
      </w:r>
      <w:r w:rsidR="00727C9E" w:rsidRPr="008B0AE9">
        <w:rPr>
          <w:lang w:val="en-NZ"/>
        </w:rPr>
        <w:t>strategy</w:t>
      </w:r>
      <w:r w:rsidR="00727C9E" w:rsidRPr="00015237">
        <w:t xml:space="preserve"> and working with iwi partners, Corrections aims to better incorporate a Te Ao Māori worldview, support and enhance cultural identity, and deliver humanising and healing services to people in the corrections system. This includes:</w:t>
      </w:r>
    </w:p>
    <w:p w14:paraId="0EDDD794" w14:textId="72BE4114" w:rsidR="00727C9E" w:rsidRPr="00015237" w:rsidRDefault="00727C9E" w:rsidP="006873E0">
      <w:pPr>
        <w:pStyle w:val="ListParagraph"/>
        <w:numPr>
          <w:ilvl w:val="1"/>
          <w:numId w:val="22"/>
        </w:numPr>
        <w:spacing w:before="220" w:after="0" w:line="259" w:lineRule="auto"/>
        <w:ind w:left="1134" w:hanging="425"/>
        <w:contextualSpacing w:val="0"/>
        <w:jc w:val="both"/>
        <w:rPr>
          <w:i/>
          <w:iCs/>
        </w:rPr>
      </w:pPr>
      <w:bookmarkStart w:id="19" w:name="_Hlk88554950"/>
      <w:r w:rsidRPr="00015237">
        <w:rPr>
          <w:i/>
          <w:iCs/>
        </w:rPr>
        <w:t xml:space="preserve">Hikitia </w:t>
      </w:r>
      <w:r w:rsidRPr="00015237">
        <w:t>which ensures culturally and clinically effective mental health and addiction care for men in custody in the three prisons of the central region, through a mana whenua ahi kā</w:t>
      </w:r>
      <w:r w:rsidR="00BF7E76">
        <w:rPr>
          <w:rStyle w:val="FootnoteReference"/>
        </w:rPr>
        <w:footnoteReference w:id="9"/>
      </w:r>
      <w:r w:rsidRPr="00015237">
        <w:t xml:space="preserve"> model of care and an equitable person-</w:t>
      </w:r>
      <w:r w:rsidR="00C85E77" w:rsidRPr="00015237">
        <w:t>centred</w:t>
      </w:r>
      <w:r w:rsidRPr="00015237">
        <w:t xml:space="preserve"> service approach;</w:t>
      </w:r>
    </w:p>
    <w:bookmarkEnd w:id="19"/>
    <w:p w14:paraId="6FA3F233" w14:textId="079CE3F7" w:rsidR="00727C9E" w:rsidRPr="00015237" w:rsidRDefault="00727C9E" w:rsidP="006873E0">
      <w:pPr>
        <w:pStyle w:val="ListParagraph"/>
        <w:numPr>
          <w:ilvl w:val="1"/>
          <w:numId w:val="22"/>
        </w:numPr>
        <w:spacing w:before="220" w:after="0" w:line="259" w:lineRule="auto"/>
        <w:ind w:left="1134" w:hanging="425"/>
        <w:contextualSpacing w:val="0"/>
        <w:jc w:val="both"/>
        <w:rPr>
          <w:i/>
          <w:iCs/>
        </w:rPr>
      </w:pPr>
      <w:r w:rsidRPr="00015237">
        <w:rPr>
          <w:i/>
          <w:iCs/>
        </w:rPr>
        <w:t xml:space="preserve">Te Mauri Paihere ki Mangakootukutuku </w:t>
      </w:r>
      <w:r w:rsidRPr="00015237">
        <w:t>which provides transitional accommodation and reintegration support for wāhine who have recently left a corrections facility, and their whānau; and</w:t>
      </w:r>
    </w:p>
    <w:p w14:paraId="3E35F235" w14:textId="6847BA67" w:rsidR="00727C9E" w:rsidRPr="008B0AE9" w:rsidRDefault="00727C9E" w:rsidP="006873E0">
      <w:pPr>
        <w:pStyle w:val="ListParagraph"/>
        <w:numPr>
          <w:ilvl w:val="1"/>
          <w:numId w:val="22"/>
        </w:numPr>
        <w:spacing w:before="220" w:after="0" w:line="259" w:lineRule="auto"/>
        <w:ind w:left="1134" w:hanging="425"/>
        <w:contextualSpacing w:val="0"/>
        <w:jc w:val="both"/>
        <w:rPr>
          <w:i/>
          <w:iCs/>
        </w:rPr>
      </w:pPr>
      <w:r w:rsidRPr="00015237">
        <w:rPr>
          <w:i/>
          <w:iCs/>
        </w:rPr>
        <w:t xml:space="preserve">Māori Pathways Programme </w:t>
      </w:r>
      <w:r w:rsidRPr="00015237">
        <w:t xml:space="preserve">which supports the Corrections system to be more effective by using kaupapa Māori and whānau-centred approaches. </w:t>
      </w:r>
    </w:p>
    <w:p w14:paraId="3E4453BE" w14:textId="2163659C" w:rsidR="00727C9E" w:rsidRPr="00015237" w:rsidRDefault="0002084C" w:rsidP="006873E0">
      <w:pPr>
        <w:pStyle w:val="ListParagraph"/>
        <w:numPr>
          <w:ilvl w:val="0"/>
          <w:numId w:val="1"/>
        </w:numPr>
        <w:spacing w:before="220" w:after="0" w:line="259" w:lineRule="auto"/>
        <w:ind w:left="709" w:hanging="709"/>
        <w:contextualSpacing w:val="0"/>
        <w:jc w:val="both"/>
        <w:rPr>
          <w:i/>
          <w:iCs/>
        </w:rPr>
      </w:pPr>
      <w:r w:rsidRPr="00015237">
        <w:rPr>
          <w:bCs/>
        </w:rPr>
        <w:t>In</w:t>
      </w:r>
      <w:r w:rsidR="00727C9E" w:rsidRPr="00015237">
        <w:rPr>
          <w:bCs/>
        </w:rPr>
        <w:t xml:space="preserve"> October 2021, </w:t>
      </w:r>
      <w:r w:rsidR="00727C9E" w:rsidRPr="00015237">
        <w:t xml:space="preserve">Corrections launched </w:t>
      </w:r>
      <w:r w:rsidR="00727C9E" w:rsidRPr="00015237">
        <w:rPr>
          <w:i/>
          <w:iCs/>
        </w:rPr>
        <w:t xml:space="preserve">Wāhine - E rere ana ki te pae hou </w:t>
      </w:r>
      <w:r w:rsidR="00727C9E" w:rsidRPr="00015237">
        <w:t>(Women - rising above a new horizon)</w:t>
      </w:r>
      <w:r w:rsidR="00727C9E" w:rsidRPr="00015237">
        <w:rPr>
          <w:i/>
          <w:iCs/>
        </w:rPr>
        <w:t xml:space="preserve">, </w:t>
      </w:r>
      <w:r w:rsidRPr="00015237">
        <w:t xml:space="preserve">a </w:t>
      </w:r>
      <w:r w:rsidR="00727C9E" w:rsidRPr="00015237">
        <w:t xml:space="preserve">new women’s strategy for 2021-2025. This refreshed strategy aligns to </w:t>
      </w:r>
      <w:r w:rsidR="00727C9E" w:rsidRPr="00813306">
        <w:t>Hōkai Rangi</w:t>
      </w:r>
      <w:r w:rsidR="00727C9E" w:rsidRPr="00015237">
        <w:t xml:space="preserve"> and sets a clear vision for how we manage women in prisons and the community. It supports restoration and reclamation for women and their whānau through oranga (wellbeing).</w:t>
      </w:r>
    </w:p>
    <w:p w14:paraId="2C8F7521" w14:textId="77777777" w:rsidR="009F220D" w:rsidRPr="00015237" w:rsidRDefault="00660D02" w:rsidP="006873E0">
      <w:pPr>
        <w:pStyle w:val="Heading2"/>
        <w:spacing w:line="276" w:lineRule="auto"/>
        <w:jc w:val="both"/>
        <w:rPr>
          <w:lang w:val="en-NZ"/>
        </w:rPr>
      </w:pPr>
      <w:r w:rsidRPr="00015237">
        <w:rPr>
          <w:lang w:val="en-NZ"/>
        </w:rPr>
        <w:t>Health Sector reforms,</w:t>
      </w:r>
      <w:r w:rsidR="00860541" w:rsidRPr="00015237">
        <w:t xml:space="preserve"> Māori</w:t>
      </w:r>
      <w:r w:rsidR="00860541" w:rsidRPr="00015237">
        <w:rPr>
          <w:lang w:val="en-NZ"/>
        </w:rPr>
        <w:t xml:space="preserve"> </w:t>
      </w:r>
      <w:r w:rsidRPr="00015237">
        <w:rPr>
          <w:lang w:val="en-NZ"/>
        </w:rPr>
        <w:t>Health Authority</w:t>
      </w:r>
    </w:p>
    <w:p w14:paraId="37BD679A" w14:textId="40F5B4F5" w:rsidR="009D6CD4" w:rsidRPr="008B0AE9" w:rsidRDefault="00953752" w:rsidP="006873E0">
      <w:pPr>
        <w:keepNext/>
        <w:spacing w:before="220" w:after="0" w:line="259" w:lineRule="auto"/>
        <w:jc w:val="both"/>
        <w:rPr>
          <w:lang w:val="en-NZ"/>
        </w:rPr>
      </w:pPr>
      <w:r>
        <w:rPr>
          <w:lang w:val="en-NZ"/>
        </w:rPr>
        <w:t>UPR Recommendation</w:t>
      </w:r>
      <w:r w:rsidR="009F220D" w:rsidRPr="00015237">
        <w:rPr>
          <w:lang w:val="en-NZ"/>
        </w:rPr>
        <w:t>s</w:t>
      </w:r>
      <w:r w:rsidR="005A665B" w:rsidRPr="00015237">
        <w:rPr>
          <w:lang w:val="en-NZ"/>
        </w:rPr>
        <w:t>:</w:t>
      </w:r>
      <w:r w:rsidR="00235185" w:rsidRPr="00015237">
        <w:rPr>
          <w:lang w:val="en-NZ"/>
        </w:rPr>
        <w:t xml:space="preserve"> 177</w:t>
      </w:r>
      <w:r w:rsidR="00CE16F4" w:rsidRPr="00015237">
        <w:rPr>
          <w:lang w:val="en-NZ"/>
        </w:rPr>
        <w:t>-182</w:t>
      </w:r>
    </w:p>
    <w:p w14:paraId="0963E25A" w14:textId="2D2BEEED" w:rsidR="00087CEA" w:rsidRPr="00015237" w:rsidRDefault="00654B88" w:rsidP="006873E0">
      <w:pPr>
        <w:pStyle w:val="ListParagraph"/>
        <w:numPr>
          <w:ilvl w:val="0"/>
          <w:numId w:val="1"/>
        </w:numPr>
        <w:spacing w:before="220" w:after="0" w:line="259" w:lineRule="auto"/>
        <w:ind w:left="709" w:hanging="709"/>
        <w:contextualSpacing w:val="0"/>
        <w:jc w:val="both"/>
      </w:pPr>
      <w:r w:rsidRPr="00015237">
        <w:t xml:space="preserve">Although some health gains have been made in the past 20 years, addressing inequitable health outcomes for Māori has remained an ongoing challenge. The Crown recognises the </w:t>
      </w:r>
      <w:r w:rsidR="008C31CC">
        <w:t xml:space="preserve">large </w:t>
      </w:r>
      <w:r w:rsidRPr="00015237">
        <w:t>scale of change required</w:t>
      </w:r>
      <w:r w:rsidR="008C31CC">
        <w:t>. It requires a</w:t>
      </w:r>
      <w:r w:rsidRPr="00015237">
        <w:t xml:space="preserve"> long-term commitment and a deliberate focus on how the new system will meet </w:t>
      </w:r>
      <w:r w:rsidR="008C31CC">
        <w:t>the Crown’s</w:t>
      </w:r>
      <w:r w:rsidRPr="00015237">
        <w:t xml:space="preserve"> obligations under </w:t>
      </w:r>
      <w:r w:rsidR="0002084C" w:rsidRPr="00015237">
        <w:t>t</w:t>
      </w:r>
      <w:r w:rsidRPr="00015237">
        <w:t>e Tiriti</w:t>
      </w:r>
      <w:r w:rsidR="0002084C" w:rsidRPr="00015237">
        <w:t>.</w:t>
      </w:r>
    </w:p>
    <w:p w14:paraId="69B93A7F" w14:textId="12A7CDAE" w:rsidR="00817923" w:rsidRPr="00015237" w:rsidRDefault="00860541" w:rsidP="006873E0">
      <w:pPr>
        <w:pStyle w:val="ListParagraph"/>
        <w:numPr>
          <w:ilvl w:val="0"/>
          <w:numId w:val="1"/>
        </w:numPr>
        <w:spacing w:before="220" w:after="0" w:line="259" w:lineRule="auto"/>
        <w:ind w:left="709" w:hanging="709"/>
        <w:contextualSpacing w:val="0"/>
        <w:jc w:val="both"/>
      </w:pPr>
      <w:r w:rsidRPr="00015237">
        <w:t xml:space="preserve">In 2019, </w:t>
      </w:r>
      <w:r w:rsidR="009F220D" w:rsidRPr="00015237">
        <w:t xml:space="preserve">the Waitangi Tribunal </w:t>
      </w:r>
      <w:r w:rsidR="009477D7" w:rsidRPr="008B0AE9">
        <w:rPr>
          <w:i/>
          <w:iCs/>
        </w:rPr>
        <w:t>Hauora</w:t>
      </w:r>
      <w:r w:rsidR="009477D7" w:rsidRPr="00015237">
        <w:t xml:space="preserve"> report,</w:t>
      </w:r>
      <w:r w:rsidRPr="00015237">
        <w:t xml:space="preserve"> and the Health and Disability System Review</w:t>
      </w:r>
      <w:r w:rsidR="008C31CC">
        <w:t>,</w:t>
      </w:r>
      <w:r w:rsidRPr="00015237">
        <w:t xml:space="preserve"> identified Crown failures and breaches of </w:t>
      </w:r>
      <w:r w:rsidR="0002084C" w:rsidRPr="00015237">
        <w:t>t</w:t>
      </w:r>
      <w:r w:rsidRPr="00015237">
        <w:t>e Tiriti in the current health system</w:t>
      </w:r>
      <w:r w:rsidR="009F220D" w:rsidRPr="00015237">
        <w:t>. Th</w:t>
      </w:r>
      <w:r w:rsidR="005B6B3B">
        <w:t>ese</w:t>
      </w:r>
      <w:r w:rsidR="009F220D" w:rsidRPr="00015237">
        <w:t xml:space="preserve"> include</w:t>
      </w:r>
      <w:r w:rsidRPr="00015237">
        <w:t xml:space="preserve"> potentially inequitable funding for Māori led primary care, and a lack of accountability for the provision and outcomes of health services to</w:t>
      </w:r>
      <w:r w:rsidRPr="00015237">
        <w:rPr>
          <w:lang w:val="en-NZ"/>
        </w:rPr>
        <w:t xml:space="preserve"> </w:t>
      </w:r>
      <w:r w:rsidRPr="00015237">
        <w:t>Māori</w:t>
      </w:r>
      <w:r w:rsidR="00817923" w:rsidRPr="00015237">
        <w:rPr>
          <w:lang w:val="mi-NZ"/>
        </w:rPr>
        <w:t xml:space="preserve">. </w:t>
      </w:r>
    </w:p>
    <w:p w14:paraId="17A9BF21" w14:textId="2F1E2C42" w:rsidR="00412D10" w:rsidRPr="00015237" w:rsidRDefault="009477D7" w:rsidP="006873E0">
      <w:pPr>
        <w:pStyle w:val="ListParagraph"/>
        <w:numPr>
          <w:ilvl w:val="0"/>
          <w:numId w:val="1"/>
        </w:numPr>
        <w:spacing w:before="220" w:after="0" w:line="259" w:lineRule="auto"/>
        <w:ind w:left="709" w:hanging="709"/>
        <w:contextualSpacing w:val="0"/>
        <w:jc w:val="both"/>
      </w:pPr>
      <w:r w:rsidRPr="00015237">
        <w:t>In 2021, the Government outlined its plans and priorities to build a fairer, more equitable health and disability system</w:t>
      </w:r>
      <w:r w:rsidR="009F220D" w:rsidRPr="00015237">
        <w:t>, including</w:t>
      </w:r>
      <w:r w:rsidRPr="00015237">
        <w:t xml:space="preserve"> the establishment of an independent </w:t>
      </w:r>
      <w:r w:rsidR="005B6B3B">
        <w:rPr>
          <w:lang w:val="mi-NZ"/>
        </w:rPr>
        <w:t xml:space="preserve">Māori </w:t>
      </w:r>
      <w:r w:rsidR="000003BB" w:rsidRPr="00015237">
        <w:t>H</w:t>
      </w:r>
      <w:r w:rsidR="005B6B3B">
        <w:t xml:space="preserve">ealth </w:t>
      </w:r>
      <w:r w:rsidR="000003BB" w:rsidRPr="00015237">
        <w:t>A</w:t>
      </w:r>
      <w:r w:rsidR="005B6B3B">
        <w:t>uthority</w:t>
      </w:r>
      <w:r w:rsidRPr="00015237">
        <w:t xml:space="preserve"> to drive </w:t>
      </w:r>
      <w:r w:rsidR="000003BB" w:rsidRPr="00015237">
        <w:t xml:space="preserve">improvement </w:t>
      </w:r>
      <w:r w:rsidR="009F220D" w:rsidRPr="00015237">
        <w:t>for</w:t>
      </w:r>
      <w:r w:rsidR="000003BB" w:rsidRPr="00015237">
        <w:t xml:space="preserve"> Māori across </w:t>
      </w:r>
      <w:r w:rsidR="009F220D" w:rsidRPr="00015237">
        <w:t xml:space="preserve">the health </w:t>
      </w:r>
      <w:r w:rsidR="000003BB" w:rsidRPr="00015237">
        <w:t xml:space="preserve">system. </w:t>
      </w:r>
      <w:r w:rsidR="0006246D" w:rsidRPr="00015237">
        <w:t xml:space="preserve">The </w:t>
      </w:r>
      <w:r w:rsidR="005B6B3B">
        <w:rPr>
          <w:lang w:val="mi-NZ"/>
        </w:rPr>
        <w:t xml:space="preserve">Māori </w:t>
      </w:r>
      <w:r w:rsidR="005B6B3B" w:rsidRPr="00015237">
        <w:t>H</w:t>
      </w:r>
      <w:r w:rsidR="005B6B3B">
        <w:t xml:space="preserve">ealth </w:t>
      </w:r>
      <w:r w:rsidR="005B6B3B" w:rsidRPr="00015237">
        <w:t>A</w:t>
      </w:r>
      <w:r w:rsidR="005B6B3B">
        <w:t>uthority</w:t>
      </w:r>
      <w:r w:rsidR="0006246D" w:rsidRPr="00015237">
        <w:t xml:space="preserve"> will have commissioning powers and </w:t>
      </w:r>
      <w:r w:rsidR="00C601E8">
        <w:t xml:space="preserve">will </w:t>
      </w:r>
      <w:r w:rsidR="0006246D" w:rsidRPr="00015237">
        <w:t>make joint decisions alongside the Ministry of Health and Health N</w:t>
      </w:r>
      <w:r w:rsidR="00C601E8">
        <w:t xml:space="preserve">ew </w:t>
      </w:r>
      <w:r w:rsidR="0006246D" w:rsidRPr="00015237">
        <w:t>Z</w:t>
      </w:r>
      <w:r w:rsidR="00C601E8">
        <w:t>ealand</w:t>
      </w:r>
      <w:r w:rsidR="009F220D" w:rsidRPr="00015237">
        <w:t xml:space="preserve"> (replacing</w:t>
      </w:r>
      <w:r w:rsidR="0006246D" w:rsidRPr="00015237">
        <w:t xml:space="preserve"> District Health Boards</w:t>
      </w:r>
      <w:r w:rsidR="009F220D" w:rsidRPr="00015237">
        <w:t>)</w:t>
      </w:r>
      <w:r w:rsidR="0006246D" w:rsidRPr="00015237">
        <w:t xml:space="preserve">. </w:t>
      </w:r>
      <w:r w:rsidR="000003BB" w:rsidRPr="00015237">
        <w:t>This is to ensure Māori can exercise tino rangatiratanga, enabling investment in the design and delivery of kaupapa Māori health services, and improving system performance and accountability for</w:t>
      </w:r>
      <w:r w:rsidR="000003BB" w:rsidRPr="00015237">
        <w:rPr>
          <w:lang w:val="en-NZ"/>
        </w:rPr>
        <w:t xml:space="preserve"> </w:t>
      </w:r>
      <w:r w:rsidR="000003BB" w:rsidRPr="00015237">
        <w:t xml:space="preserve">Māori health outcomes. </w:t>
      </w:r>
    </w:p>
    <w:p w14:paraId="1DF6B3F5" w14:textId="588659A3" w:rsidR="009A10A4" w:rsidRDefault="00412D10" w:rsidP="006873E0">
      <w:pPr>
        <w:pStyle w:val="ListParagraph"/>
        <w:numPr>
          <w:ilvl w:val="0"/>
          <w:numId w:val="1"/>
        </w:numPr>
        <w:spacing w:before="220" w:after="0" w:line="259" w:lineRule="auto"/>
        <w:ind w:left="709" w:hanging="709"/>
        <w:contextualSpacing w:val="0"/>
        <w:jc w:val="both"/>
      </w:pPr>
      <w:r w:rsidRPr="00015237">
        <w:lastRenderedPageBreak/>
        <w:t xml:space="preserve">On 27 October 2021, the Government introduced the Pae Ora (Healthy Futures) Bill </w:t>
      </w:r>
      <w:r w:rsidR="008C31CC">
        <w:t>in</w:t>
      </w:r>
      <w:r w:rsidRPr="00015237">
        <w:t>to Parliament. The Bill outlines the roles and functions</w:t>
      </w:r>
      <w:r w:rsidR="00ED31A8" w:rsidRPr="00015237">
        <w:t xml:space="preserve"> of the MHA and other entities</w:t>
      </w:r>
      <w:r w:rsidR="00C601E8">
        <w:t xml:space="preserve"> that are</w:t>
      </w:r>
      <w:r w:rsidR="00ED31A8" w:rsidRPr="00015237">
        <w:t xml:space="preserve"> part of the current health reforms. The Bill also includes a section that </w:t>
      </w:r>
      <w:r w:rsidR="00542748">
        <w:t>sets out</w:t>
      </w:r>
      <w:r w:rsidR="00ED31A8" w:rsidRPr="00015237">
        <w:t xml:space="preserve"> how the Crown will uphold </w:t>
      </w:r>
      <w:r w:rsidR="00542748">
        <w:t>its</w:t>
      </w:r>
      <w:r w:rsidR="00ED31A8" w:rsidRPr="00015237">
        <w:t xml:space="preserve"> obligations under </w:t>
      </w:r>
      <w:r w:rsidR="0002084C" w:rsidRPr="00015237">
        <w:t>t</w:t>
      </w:r>
      <w:r w:rsidR="00ED31A8" w:rsidRPr="00015237">
        <w:t>e Tiriti. The Bill is currently with the Pae Ora Legislation Committee</w:t>
      </w:r>
      <w:r w:rsidR="00542748">
        <w:t>, which is hearing public submissions on the Bill</w:t>
      </w:r>
      <w:r w:rsidR="00ED31A8" w:rsidRPr="00015237">
        <w:t xml:space="preserve">. </w:t>
      </w:r>
    </w:p>
    <w:p w14:paraId="61628480" w14:textId="657EA281" w:rsidR="009A10A4" w:rsidRDefault="009A10A4" w:rsidP="006873E0">
      <w:pPr>
        <w:pStyle w:val="Heading1"/>
        <w:spacing w:line="276" w:lineRule="auto"/>
      </w:pPr>
      <w:r w:rsidRPr="00015237">
        <w:t>Rights of Women</w:t>
      </w:r>
    </w:p>
    <w:p w14:paraId="337A97CD" w14:textId="3E876CE6" w:rsidR="005A665B" w:rsidRPr="00966C69" w:rsidRDefault="00847259" w:rsidP="006873E0">
      <w:pPr>
        <w:pStyle w:val="ListParagraph"/>
        <w:numPr>
          <w:ilvl w:val="0"/>
          <w:numId w:val="1"/>
        </w:numPr>
        <w:spacing w:before="220" w:after="0" w:line="259" w:lineRule="auto"/>
        <w:ind w:left="709" w:hanging="709"/>
        <w:contextualSpacing w:val="0"/>
        <w:jc w:val="both"/>
      </w:pPr>
      <w:r>
        <w:t>The Government continues to address inequities and issues women are facing.</w:t>
      </w:r>
      <w:r w:rsidR="008B0AE9">
        <w:t xml:space="preserve"> Women and girls from diverse backgrounds can face multiple, intersecting forms of discrimination, affecting their </w:t>
      </w:r>
      <w:r w:rsidR="008322BC">
        <w:t xml:space="preserve">ability to participate and thrive. </w:t>
      </w:r>
      <w:r>
        <w:t>Such inequities are frequently more significant for women belonging to generally disadvantaged population groups, for example, health outcomes for M</w:t>
      </w:r>
      <w:r w:rsidRPr="008322BC">
        <w:rPr>
          <w:lang w:val="mi-NZ"/>
        </w:rPr>
        <w:t>āori and</w:t>
      </w:r>
      <w:r w:rsidR="008322BC">
        <w:rPr>
          <w:lang w:val="mi-NZ"/>
        </w:rPr>
        <w:t xml:space="preserve"> </w:t>
      </w:r>
      <w:r w:rsidRPr="008322BC">
        <w:rPr>
          <w:lang w:val="mi-NZ"/>
        </w:rPr>
        <w:t xml:space="preserve">Pacific women </w:t>
      </w:r>
      <w:r w:rsidR="00986179" w:rsidRPr="008322BC">
        <w:rPr>
          <w:lang w:val="mi-NZ"/>
        </w:rPr>
        <w:t>are</w:t>
      </w:r>
      <w:r w:rsidRPr="008322BC">
        <w:rPr>
          <w:lang w:val="mi-NZ"/>
        </w:rPr>
        <w:t xml:space="preserve"> worse than for </w:t>
      </w:r>
      <w:r w:rsidR="00986179" w:rsidRPr="008322BC">
        <w:rPr>
          <w:lang w:val="mi-NZ"/>
        </w:rPr>
        <w:t>P</w:t>
      </w:r>
      <w:r w:rsidRPr="008322BC">
        <w:rPr>
          <w:lang w:val="mi-NZ"/>
        </w:rPr>
        <w:t>ākeha</w:t>
      </w:r>
      <w:r w:rsidR="00C601E8">
        <w:rPr>
          <w:lang w:val="mi-NZ"/>
        </w:rPr>
        <w:t xml:space="preserve"> women</w:t>
      </w:r>
      <w:r w:rsidRPr="008322BC">
        <w:rPr>
          <w:lang w:val="mi-NZ"/>
        </w:rPr>
        <w:t xml:space="preserve">. </w:t>
      </w:r>
    </w:p>
    <w:p w14:paraId="619D1425" w14:textId="77777777" w:rsidR="00160398" w:rsidRPr="007E009F" w:rsidRDefault="00E94C66" w:rsidP="006873E0">
      <w:pPr>
        <w:pStyle w:val="Heading2"/>
        <w:jc w:val="both"/>
      </w:pPr>
      <w:r w:rsidRPr="007E009F">
        <w:t>Combatting family violence</w:t>
      </w:r>
    </w:p>
    <w:p w14:paraId="5C13DFCD" w14:textId="270ACD67" w:rsidR="009D6CD4" w:rsidRPr="008322BC" w:rsidRDefault="00953752" w:rsidP="006873E0">
      <w:pPr>
        <w:keepNext/>
        <w:spacing w:before="220" w:after="0" w:line="259" w:lineRule="auto"/>
        <w:jc w:val="both"/>
        <w:rPr>
          <w:lang w:val="en-NZ"/>
        </w:rPr>
      </w:pPr>
      <w:r w:rsidRPr="008322BC">
        <w:rPr>
          <w:lang w:val="en-NZ"/>
        </w:rPr>
        <w:t>UPR Recommendation</w:t>
      </w:r>
      <w:r w:rsidR="00160398" w:rsidRPr="008322BC">
        <w:rPr>
          <w:lang w:val="en-NZ"/>
        </w:rPr>
        <w:t>s</w:t>
      </w:r>
      <w:r w:rsidR="005A665B" w:rsidRPr="008322BC">
        <w:rPr>
          <w:lang w:val="en-NZ"/>
        </w:rPr>
        <w:t>:</w:t>
      </w:r>
      <w:r w:rsidR="00235185" w:rsidRPr="008322BC">
        <w:rPr>
          <w:lang w:val="en-NZ"/>
        </w:rPr>
        <w:t xml:space="preserve"> 10</w:t>
      </w:r>
      <w:r w:rsidR="00E866B0" w:rsidRPr="008322BC">
        <w:rPr>
          <w:lang w:val="en-NZ"/>
        </w:rPr>
        <w:t>9</w:t>
      </w:r>
      <w:r w:rsidR="00235185" w:rsidRPr="008322BC">
        <w:rPr>
          <w:lang w:val="en-NZ"/>
        </w:rPr>
        <w:t>-145, 176</w:t>
      </w:r>
    </w:p>
    <w:p w14:paraId="119C58AA" w14:textId="202EA73B" w:rsidR="009D6CD4" w:rsidRPr="00015237" w:rsidRDefault="00FA1FD1" w:rsidP="006873E0">
      <w:pPr>
        <w:pStyle w:val="ListParagraph"/>
        <w:numPr>
          <w:ilvl w:val="0"/>
          <w:numId w:val="1"/>
        </w:numPr>
        <w:spacing w:before="220" w:after="0" w:line="259" w:lineRule="auto"/>
        <w:ind w:left="709" w:hanging="709"/>
        <w:contextualSpacing w:val="0"/>
        <w:jc w:val="both"/>
      </w:pPr>
      <w:r>
        <w:t>F</w:t>
      </w:r>
      <w:r w:rsidR="005B2354" w:rsidRPr="00015237">
        <w:t xml:space="preserve">amily violence and sexual violence </w:t>
      </w:r>
      <w:r>
        <w:t xml:space="preserve">remain a serious problem </w:t>
      </w:r>
      <w:r w:rsidR="005B2354" w:rsidRPr="00015237">
        <w:t xml:space="preserve">in Aotearoa New Zealand. </w:t>
      </w:r>
      <w:r w:rsidRPr="00015237">
        <w:t>Action to prevent</w:t>
      </w:r>
      <w:r w:rsidR="006A16EF">
        <w:t xml:space="preserve"> it</w:t>
      </w:r>
      <w:r w:rsidRPr="00015237">
        <w:t xml:space="preserve">, respond </w:t>
      </w:r>
      <w:r w:rsidR="006A16EF">
        <w:t xml:space="preserve">to it, </w:t>
      </w:r>
      <w:r w:rsidRPr="00015237">
        <w:t xml:space="preserve">and heal </w:t>
      </w:r>
      <w:r w:rsidR="006A16EF">
        <w:t xml:space="preserve">from it </w:t>
      </w:r>
      <w:r w:rsidRPr="00015237">
        <w:t>are required at all levels (individual, family, community, organisational and societal).</w:t>
      </w:r>
    </w:p>
    <w:p w14:paraId="03E83224" w14:textId="77777777" w:rsidR="005B6B3B" w:rsidRPr="00015237" w:rsidRDefault="005B6B3B" w:rsidP="006873E0">
      <w:pPr>
        <w:pStyle w:val="ListParagraph"/>
        <w:numPr>
          <w:ilvl w:val="0"/>
          <w:numId w:val="1"/>
        </w:numPr>
        <w:spacing w:before="220" w:after="0" w:line="259" w:lineRule="auto"/>
        <w:ind w:left="709" w:hanging="709"/>
        <w:contextualSpacing w:val="0"/>
        <w:jc w:val="both"/>
      </w:pPr>
      <w:bookmarkStart w:id="20" w:name="_Hlk88209181"/>
      <w:r w:rsidRPr="00015237">
        <w:t xml:space="preserve">Through Budgets 2018 to 2021, the government has significantly increased funding for actions to address family violence and sexual violence by more than $200 million per year. This investment has increased prevention and early intervention support, improved responses and long-term recovery support to victims of violence, expansion of community-led services and whānau-centred facilitation, and more early support to help people stop using violence. </w:t>
      </w:r>
      <w:r>
        <w:t>T</w:t>
      </w:r>
      <w:r w:rsidRPr="00015237">
        <w:t>his investment lays the foundations to deliver strong, nationally enabled, community-led and whānau-centred responses to family violence and sexual violence in Aotearoa</w:t>
      </w:r>
      <w:r>
        <w:t xml:space="preserve"> New Zealand</w:t>
      </w:r>
      <w:r w:rsidRPr="00015237">
        <w:t xml:space="preserve">. </w:t>
      </w:r>
    </w:p>
    <w:p w14:paraId="315F4490" w14:textId="3DA5B5A9" w:rsidR="008B673C" w:rsidRPr="00015237" w:rsidRDefault="008B673C" w:rsidP="006873E0">
      <w:pPr>
        <w:pStyle w:val="ListParagraph"/>
        <w:numPr>
          <w:ilvl w:val="0"/>
          <w:numId w:val="1"/>
        </w:numPr>
        <w:spacing w:before="220" w:after="0" w:line="259" w:lineRule="auto"/>
        <w:ind w:left="709" w:hanging="709"/>
        <w:contextualSpacing w:val="0"/>
        <w:jc w:val="both"/>
      </w:pPr>
      <w:r w:rsidRPr="00015237">
        <w:t xml:space="preserve">A comprehensive national strategy (Te Aorerekura: National Strategy for the elimination of Family Violence and Sexual Violence), and action plan have been developed by a Joint Venture of government agencies working extensively with </w:t>
      </w:r>
      <w:bookmarkStart w:id="21" w:name="_Hlk87880360"/>
      <w:r w:rsidR="005A1F64" w:rsidRPr="00015237">
        <w:t>t</w:t>
      </w:r>
      <w:r w:rsidRPr="00015237">
        <w:t xml:space="preserve">angata </w:t>
      </w:r>
      <w:r w:rsidR="005A1F64" w:rsidRPr="00015237">
        <w:t>w</w:t>
      </w:r>
      <w:r w:rsidRPr="00015237">
        <w:t>henua</w:t>
      </w:r>
      <w:r w:rsidR="007E009F">
        <w:t>,</w:t>
      </w:r>
      <w:r w:rsidR="00EC5031" w:rsidRPr="00015237">
        <w:rPr>
          <w:rStyle w:val="FootnoteReference"/>
        </w:rPr>
        <w:footnoteReference w:id="10"/>
      </w:r>
      <w:r w:rsidRPr="00015237">
        <w:t xml:space="preserve"> </w:t>
      </w:r>
      <w:bookmarkEnd w:id="21"/>
      <w:r w:rsidRPr="00015237">
        <w:t>communities and the family violence and sexual violence sectors</w:t>
      </w:r>
      <w:r w:rsidR="00551129" w:rsidRPr="00015237">
        <w:t xml:space="preserve"> (specialist NGOs and professional providers)</w:t>
      </w:r>
      <w:r w:rsidRPr="00015237">
        <w:t xml:space="preserve">. </w:t>
      </w:r>
      <w:r w:rsidR="007E009F">
        <w:t>C</w:t>
      </w:r>
      <w:r w:rsidRPr="00015237">
        <w:t>ommunity-led engagement between May and July 2021</w:t>
      </w:r>
      <w:r w:rsidR="007E009F">
        <w:t xml:space="preserve"> included 120</w:t>
      </w:r>
      <w:r w:rsidRPr="00015237">
        <w:t xml:space="preserve"> hui (meetings), involving over 2000 people. </w:t>
      </w:r>
      <w:r w:rsidR="007E009F">
        <w:t>The Joint Venture received a</w:t>
      </w:r>
      <w:r w:rsidRPr="00015237">
        <w:t>lmost 1000 online, email, written and survey-based submissions.</w:t>
      </w:r>
    </w:p>
    <w:bookmarkEnd w:id="20"/>
    <w:p w14:paraId="604E1537" w14:textId="14243887" w:rsidR="002C6F76" w:rsidRPr="00015237" w:rsidRDefault="008B673C" w:rsidP="006873E0">
      <w:pPr>
        <w:pStyle w:val="ListParagraph"/>
        <w:numPr>
          <w:ilvl w:val="0"/>
          <w:numId w:val="1"/>
        </w:numPr>
        <w:spacing w:before="220" w:after="0" w:line="259" w:lineRule="auto"/>
        <w:ind w:left="709" w:hanging="709"/>
        <w:contextualSpacing w:val="0"/>
        <w:jc w:val="both"/>
      </w:pPr>
      <w:r w:rsidRPr="00015237">
        <w:t xml:space="preserve">The Te Aorerekura Action Plan includes an annual community-led progress and learning hui. The hui will enable tangata whenua, community and the family violence and sexual </w:t>
      </w:r>
      <w:r w:rsidR="005A1F64" w:rsidRPr="00015237">
        <w:t xml:space="preserve">violence </w:t>
      </w:r>
      <w:r w:rsidRPr="00015237">
        <w:t>sectors to be actively engaged in the development and review of the Action Plan.</w:t>
      </w:r>
    </w:p>
    <w:p w14:paraId="161BE957" w14:textId="067649CE" w:rsidR="0059504C" w:rsidRPr="00015237" w:rsidRDefault="0059504C" w:rsidP="006873E0">
      <w:pPr>
        <w:pStyle w:val="Heading2"/>
        <w:spacing w:line="276" w:lineRule="auto"/>
        <w:jc w:val="both"/>
      </w:pPr>
      <w:r w:rsidRPr="00015237">
        <w:t>Addressing</w:t>
      </w:r>
      <w:r w:rsidR="005A1F64" w:rsidRPr="00015237">
        <w:t xml:space="preserve"> the</w:t>
      </w:r>
      <w:r w:rsidRPr="00015237">
        <w:t xml:space="preserve"> gender pay gap</w:t>
      </w:r>
    </w:p>
    <w:p w14:paraId="382C425B" w14:textId="6476C241" w:rsidR="0059504C" w:rsidRPr="008322BC" w:rsidRDefault="00953752" w:rsidP="006873E0">
      <w:pPr>
        <w:keepNext/>
        <w:spacing w:before="220" w:after="0" w:line="259" w:lineRule="auto"/>
        <w:jc w:val="both"/>
        <w:rPr>
          <w:lang w:val="en-NZ"/>
        </w:rPr>
      </w:pPr>
      <w:r w:rsidRPr="008322BC">
        <w:rPr>
          <w:lang w:val="en-NZ"/>
        </w:rPr>
        <w:t>UPR Recommendation</w:t>
      </w:r>
      <w:r w:rsidR="0059504C" w:rsidRPr="008322BC">
        <w:rPr>
          <w:lang w:val="en-NZ"/>
        </w:rPr>
        <w:t>s</w:t>
      </w:r>
      <w:r w:rsidR="005A665B" w:rsidRPr="008322BC">
        <w:rPr>
          <w:lang w:val="en-NZ"/>
        </w:rPr>
        <w:t>:</w:t>
      </w:r>
      <w:r w:rsidR="0059504C" w:rsidRPr="008322BC">
        <w:rPr>
          <w:lang w:val="en-NZ"/>
        </w:rPr>
        <w:t xml:space="preserve"> 80, 82-88, 105-108</w:t>
      </w:r>
    </w:p>
    <w:p w14:paraId="3E72CAAF" w14:textId="1B338AB4" w:rsidR="007D59F4" w:rsidRPr="00015237" w:rsidRDefault="007D59F4" w:rsidP="006873E0">
      <w:pPr>
        <w:pStyle w:val="ListParagraph"/>
        <w:numPr>
          <w:ilvl w:val="0"/>
          <w:numId w:val="1"/>
        </w:numPr>
        <w:spacing w:before="220" w:after="0" w:line="259" w:lineRule="auto"/>
        <w:ind w:left="709" w:hanging="709"/>
        <w:contextualSpacing w:val="0"/>
        <w:jc w:val="both"/>
        <w:rPr>
          <w:rFonts w:eastAsia="Times New Roman"/>
        </w:rPr>
      </w:pPr>
      <w:r w:rsidRPr="00015237">
        <w:rPr>
          <w:rFonts w:eastAsia="Times New Roman"/>
        </w:rPr>
        <w:t xml:space="preserve">The Government’s ‘Eliminating the Gender Pay Gap in the Public Service 2018-20 Action </w:t>
      </w:r>
      <w:r w:rsidR="005A1F64" w:rsidRPr="00015237">
        <w:rPr>
          <w:rFonts w:eastAsia="Times New Roman"/>
        </w:rPr>
        <w:t>P</w:t>
      </w:r>
      <w:r w:rsidRPr="00015237">
        <w:rPr>
          <w:rFonts w:eastAsia="Times New Roman"/>
        </w:rPr>
        <w:t xml:space="preserve">lan’ </w:t>
      </w:r>
      <w:r w:rsidR="005A1F64" w:rsidRPr="00015237">
        <w:rPr>
          <w:rFonts w:eastAsia="Times New Roman"/>
        </w:rPr>
        <w:t xml:space="preserve">(the GPG Action Plan) </w:t>
      </w:r>
      <w:r w:rsidRPr="00015237">
        <w:rPr>
          <w:rFonts w:eastAsia="Times New Roman"/>
        </w:rPr>
        <w:t>h</w:t>
      </w:r>
      <w:r w:rsidR="003E1336">
        <w:rPr>
          <w:rFonts w:eastAsia="Times New Roman"/>
        </w:rPr>
        <w:t xml:space="preserve">elped move </w:t>
      </w:r>
      <w:r w:rsidRPr="00015237">
        <w:rPr>
          <w:rFonts w:eastAsia="Times New Roman"/>
        </w:rPr>
        <w:t xml:space="preserve">towards eliminating the gender pay gap in the public service. The public service gender pay gap is now the lowest it has been since measurement </w:t>
      </w:r>
      <w:r w:rsidRPr="00015237">
        <w:rPr>
          <w:rFonts w:eastAsia="Times New Roman"/>
        </w:rPr>
        <w:lastRenderedPageBreak/>
        <w:t xml:space="preserve">began in 2000. </w:t>
      </w:r>
      <w:r w:rsidR="003E1336">
        <w:rPr>
          <w:rFonts w:eastAsia="Times New Roman"/>
        </w:rPr>
        <w:t>T</w:t>
      </w:r>
      <w:r w:rsidRPr="00015237">
        <w:rPr>
          <w:rFonts w:eastAsia="Times New Roman"/>
        </w:rPr>
        <w:t xml:space="preserve">he three-year drop since the launch of the </w:t>
      </w:r>
      <w:r w:rsidR="005A1F64" w:rsidRPr="00015237">
        <w:rPr>
          <w:rFonts w:eastAsia="Times New Roman"/>
        </w:rPr>
        <w:t xml:space="preserve">GPG </w:t>
      </w:r>
      <w:r w:rsidRPr="00015237">
        <w:rPr>
          <w:rFonts w:eastAsia="Times New Roman"/>
        </w:rPr>
        <w:t xml:space="preserve">Action Plan in 2018 is the biggest three-year drop since 2000. </w:t>
      </w:r>
      <w:r w:rsidR="00BC24D8" w:rsidRPr="00015237">
        <w:rPr>
          <w:rFonts w:eastAsia="Times New Roman"/>
        </w:rPr>
        <w:t xml:space="preserve">The public service gender pay gap for 2021 was 8.6 percent, down from 9.6 percent in 2020. </w:t>
      </w:r>
    </w:p>
    <w:p w14:paraId="38B2C612" w14:textId="62FA909E" w:rsidR="007D59F4" w:rsidRPr="00015237" w:rsidRDefault="00657972" w:rsidP="006873E0">
      <w:pPr>
        <w:pStyle w:val="ListParagraph"/>
        <w:numPr>
          <w:ilvl w:val="0"/>
          <w:numId w:val="1"/>
        </w:numPr>
        <w:spacing w:before="220" w:after="0" w:line="259" w:lineRule="auto"/>
        <w:ind w:left="709" w:hanging="709"/>
        <w:contextualSpacing w:val="0"/>
        <w:jc w:val="both"/>
        <w:rPr>
          <w:rFonts w:eastAsia="Times New Roman"/>
        </w:rPr>
      </w:pPr>
      <w:r w:rsidRPr="00015237">
        <w:rPr>
          <w:rFonts w:eastAsia="Times New Roman"/>
        </w:rPr>
        <w:t xml:space="preserve">The Gender Pay Taskforce has identified </w:t>
      </w:r>
      <w:r w:rsidR="000B6574" w:rsidRPr="00015237">
        <w:rPr>
          <w:rFonts w:eastAsia="Times New Roman"/>
        </w:rPr>
        <w:t xml:space="preserve">the compounding impacts of gender and ethnicity as a future challenge in this area. Pacific women experience the highest earning disparities in the public service, with a pay gap of 20 </w:t>
      </w:r>
      <w:r w:rsidR="000B6574" w:rsidRPr="008322BC">
        <w:t>percent</w:t>
      </w:r>
      <w:r w:rsidR="000B6574" w:rsidRPr="00015237">
        <w:rPr>
          <w:rFonts w:eastAsia="Times New Roman"/>
        </w:rPr>
        <w:t xml:space="preserve">. </w:t>
      </w:r>
      <w:r w:rsidR="00BC24D8" w:rsidRPr="00015237">
        <w:t xml:space="preserve">Māori, Pacific and Asian women are also under-represented in leadership and are even more over-represented in lower-paid occupations in the </w:t>
      </w:r>
      <w:r w:rsidR="005A1F64" w:rsidRPr="00015237">
        <w:t>p</w:t>
      </w:r>
      <w:r w:rsidR="00BC24D8" w:rsidRPr="00015237">
        <w:t xml:space="preserve">ublic </w:t>
      </w:r>
      <w:r w:rsidR="005A1F64" w:rsidRPr="00015237">
        <w:t>s</w:t>
      </w:r>
      <w:r w:rsidR="00BC24D8" w:rsidRPr="00015237">
        <w:t>ervice than are women overall.</w:t>
      </w:r>
    </w:p>
    <w:p w14:paraId="4592CE9A" w14:textId="45CB978D" w:rsidR="000B6574" w:rsidRPr="00015237" w:rsidRDefault="000B6574" w:rsidP="006873E0">
      <w:pPr>
        <w:pStyle w:val="ListParagraph"/>
        <w:numPr>
          <w:ilvl w:val="0"/>
          <w:numId w:val="1"/>
        </w:numPr>
        <w:spacing w:before="220" w:after="0" w:line="259" w:lineRule="auto"/>
        <w:ind w:left="709" w:hanging="709"/>
        <w:contextualSpacing w:val="0"/>
        <w:jc w:val="both"/>
        <w:rPr>
          <w:rFonts w:eastAsia="Times New Roman"/>
        </w:rPr>
      </w:pPr>
      <w:r w:rsidRPr="00015237">
        <w:rPr>
          <w:rFonts w:eastAsia="Times New Roman"/>
        </w:rPr>
        <w:t xml:space="preserve">The GPG Action Plan has shown that </w:t>
      </w:r>
      <w:r w:rsidRPr="008322BC">
        <w:t>taking</w:t>
      </w:r>
      <w:r w:rsidRPr="00015237">
        <w:rPr>
          <w:rFonts w:eastAsia="Times New Roman"/>
        </w:rPr>
        <w:t xml:space="preserve"> comprehensive and coordinated action across our 34 </w:t>
      </w:r>
      <w:r w:rsidR="005A1F64" w:rsidRPr="00015237">
        <w:rPr>
          <w:rFonts w:eastAsia="Times New Roman"/>
        </w:rPr>
        <w:t>p</w:t>
      </w:r>
      <w:r w:rsidRPr="00015237">
        <w:rPr>
          <w:rFonts w:eastAsia="Times New Roman"/>
        </w:rPr>
        <w:t xml:space="preserve">ublic </w:t>
      </w:r>
      <w:r w:rsidR="005A1F64" w:rsidRPr="00015237">
        <w:rPr>
          <w:rFonts w:eastAsia="Times New Roman"/>
        </w:rPr>
        <w:t>s</w:t>
      </w:r>
      <w:r w:rsidRPr="00015237">
        <w:rPr>
          <w:rFonts w:eastAsia="Times New Roman"/>
        </w:rPr>
        <w:t xml:space="preserve">ervice agencies works. This approach has focused on: measuring Government action and reporting, setting milestones to address the key drivers, and supporting </w:t>
      </w:r>
      <w:r w:rsidR="005A1F64" w:rsidRPr="00015237">
        <w:rPr>
          <w:rFonts w:eastAsia="Times New Roman"/>
        </w:rPr>
        <w:t>p</w:t>
      </w:r>
      <w:r w:rsidRPr="00015237">
        <w:rPr>
          <w:rFonts w:eastAsia="Times New Roman"/>
        </w:rPr>
        <w:t xml:space="preserve">ublic </w:t>
      </w:r>
      <w:r w:rsidR="005A1F64" w:rsidRPr="00015237">
        <w:rPr>
          <w:rFonts w:eastAsia="Times New Roman"/>
        </w:rPr>
        <w:t>s</w:t>
      </w:r>
      <w:r w:rsidRPr="00015237">
        <w:rPr>
          <w:rFonts w:eastAsia="Times New Roman"/>
        </w:rPr>
        <w:t>ervice agencies to meet these milestones, with</w:t>
      </w:r>
      <w:r w:rsidR="005A1F64" w:rsidRPr="00015237">
        <w:rPr>
          <w:rFonts w:eastAsia="Times New Roman"/>
        </w:rPr>
        <w:t xml:space="preserve"> detailed,</w:t>
      </w:r>
      <w:r w:rsidRPr="00015237">
        <w:rPr>
          <w:rFonts w:eastAsia="Times New Roman"/>
        </w:rPr>
        <w:t xml:space="preserve"> evidence-informed guidance. </w:t>
      </w:r>
    </w:p>
    <w:p w14:paraId="51E7321A" w14:textId="37239F4F" w:rsidR="005B6B3B" w:rsidRPr="00C73189" w:rsidRDefault="000B6574" w:rsidP="006873E0">
      <w:pPr>
        <w:pStyle w:val="ListParagraph"/>
        <w:numPr>
          <w:ilvl w:val="0"/>
          <w:numId w:val="1"/>
        </w:numPr>
        <w:spacing w:before="220" w:after="0" w:line="259" w:lineRule="auto"/>
        <w:ind w:left="709" w:hanging="709"/>
        <w:contextualSpacing w:val="0"/>
        <w:jc w:val="both"/>
        <w:rPr>
          <w:rFonts w:eastAsia="Times New Roman"/>
        </w:rPr>
      </w:pPr>
      <w:r w:rsidRPr="00015237">
        <w:rPr>
          <w:rFonts w:eastAsia="Times New Roman"/>
        </w:rPr>
        <w:t xml:space="preserve">On 15 November 2021, the new Pay Gaps Action Plan 2021-24, </w:t>
      </w:r>
      <w:r w:rsidRPr="008322BC">
        <w:rPr>
          <w:rFonts w:eastAsia="Times New Roman"/>
          <w:i/>
          <w:iCs/>
        </w:rPr>
        <w:t>Kia Toipoto</w:t>
      </w:r>
      <w:r w:rsidRPr="00015237">
        <w:rPr>
          <w:rFonts w:eastAsia="Times New Roman"/>
        </w:rPr>
        <w:t xml:space="preserve">, </w:t>
      </w:r>
      <w:r w:rsidR="005B6B3B">
        <w:rPr>
          <w:rFonts w:eastAsia="Times New Roman"/>
        </w:rPr>
        <w:t>was</w:t>
      </w:r>
      <w:r w:rsidR="00C73189">
        <w:rPr>
          <w:rFonts w:eastAsia="Times New Roman"/>
        </w:rPr>
        <w:t xml:space="preserve"> </w:t>
      </w:r>
      <w:r w:rsidRPr="00015237">
        <w:rPr>
          <w:rFonts w:eastAsia="Times New Roman"/>
        </w:rPr>
        <w:t xml:space="preserve">launched. Building on the success of the GPG Action Plan, it seeks to close gender, </w:t>
      </w:r>
      <w:r w:rsidR="00705A55" w:rsidRPr="00015237">
        <w:t xml:space="preserve">Māori, Pacific and ethnic pay gaps across both </w:t>
      </w:r>
      <w:r w:rsidR="005A1F64" w:rsidRPr="00015237">
        <w:t>p</w:t>
      </w:r>
      <w:r w:rsidR="00705A55" w:rsidRPr="00015237">
        <w:t xml:space="preserve">ublic </w:t>
      </w:r>
      <w:r w:rsidR="005A1F64" w:rsidRPr="00015237">
        <w:t>s</w:t>
      </w:r>
      <w:r w:rsidR="00705A55" w:rsidRPr="00015237">
        <w:t xml:space="preserve">ervice agencies and Crown </w:t>
      </w:r>
      <w:r w:rsidR="005B6B3B">
        <w:t>e</w:t>
      </w:r>
      <w:r w:rsidR="00705A55" w:rsidRPr="00015237">
        <w:t xml:space="preserve">ntities. Agencies that have implemented the GPG Action Plan over the last three years, will be asked to embed the gains they have already made and work on a range of milestones to accelerate progress towards </w:t>
      </w:r>
      <w:r w:rsidR="00BC24D8" w:rsidRPr="00015237">
        <w:t xml:space="preserve">closing ethnic pay gaps. Crown </w:t>
      </w:r>
      <w:r w:rsidR="005B6B3B">
        <w:t>e</w:t>
      </w:r>
      <w:r w:rsidR="00BC24D8" w:rsidRPr="00015237">
        <w:t>ntities that are new to this work will be asked to take similar action as agencies have been taking, b</w:t>
      </w:r>
      <w:r w:rsidR="005A1F64" w:rsidRPr="00015237">
        <w:t>u</w:t>
      </w:r>
      <w:r w:rsidR="00BC24D8" w:rsidRPr="00015237">
        <w:t>t with both a gender and ethnic lens.</w:t>
      </w:r>
    </w:p>
    <w:p w14:paraId="70457CB2" w14:textId="4A8A514B" w:rsidR="005B6B3B" w:rsidRPr="00C73189" w:rsidRDefault="005B6B3B" w:rsidP="006873E0">
      <w:pPr>
        <w:pStyle w:val="Heading2"/>
        <w:jc w:val="both"/>
        <w:rPr>
          <w:rFonts w:eastAsia="Times New Roman"/>
        </w:rPr>
      </w:pPr>
      <w:r w:rsidRPr="00C73189">
        <w:rPr>
          <w:rFonts w:eastAsia="Times New Roman"/>
        </w:rPr>
        <w:t>New gender analysis tool</w:t>
      </w:r>
    </w:p>
    <w:p w14:paraId="0B261B7D" w14:textId="3394B8EB" w:rsidR="0059504C" w:rsidRPr="00015237" w:rsidRDefault="00BC24D8" w:rsidP="006873E0">
      <w:pPr>
        <w:pStyle w:val="ListParagraph"/>
        <w:numPr>
          <w:ilvl w:val="0"/>
          <w:numId w:val="1"/>
        </w:numPr>
        <w:spacing w:before="220" w:after="0" w:line="259" w:lineRule="auto"/>
        <w:ind w:left="709" w:hanging="709"/>
        <w:contextualSpacing w:val="0"/>
        <w:jc w:val="both"/>
        <w:rPr>
          <w:rFonts w:eastAsia="Times New Roman"/>
        </w:rPr>
      </w:pPr>
      <w:r w:rsidRPr="00015237">
        <w:t xml:space="preserve">The ‘Bringing Gender In’ online gender analysis tool was launched </w:t>
      </w:r>
      <w:r w:rsidR="006D2083" w:rsidRPr="00015237">
        <w:t xml:space="preserve">by the Ministry for Women </w:t>
      </w:r>
      <w:r w:rsidRPr="00015237">
        <w:t>in 2019</w:t>
      </w:r>
      <w:r w:rsidR="00E57024" w:rsidRPr="00015237">
        <w:t xml:space="preserve">. The tool provides policy analysts with key questions, examples and links to useful data and other relevant material. There is ongoing work to increase gender analysis awareness across </w:t>
      </w:r>
      <w:r w:rsidR="005B6B3B">
        <w:t>g</w:t>
      </w:r>
      <w:r w:rsidR="00E57024" w:rsidRPr="00015237">
        <w:t xml:space="preserve">overnment and encourage agencies to voluntarily use the </w:t>
      </w:r>
      <w:r w:rsidR="006D2083" w:rsidRPr="00015237">
        <w:t>t</w:t>
      </w:r>
      <w:r w:rsidR="00E57024" w:rsidRPr="00015237">
        <w:t>ool in their policy development. The Ministry for Women has provided training to agencies on the use of the tool</w:t>
      </w:r>
      <w:r w:rsidR="005B6B3B">
        <w:t>.</w:t>
      </w:r>
      <w:r w:rsidR="00E57024" w:rsidRPr="00015237">
        <w:t xml:space="preserve"> </w:t>
      </w:r>
    </w:p>
    <w:p w14:paraId="2581E332" w14:textId="77777777" w:rsidR="0059504C" w:rsidRPr="00015237" w:rsidRDefault="0059504C" w:rsidP="006873E0">
      <w:pPr>
        <w:pStyle w:val="Heading2"/>
        <w:spacing w:line="276" w:lineRule="auto"/>
        <w:jc w:val="both"/>
      </w:pPr>
      <w:r w:rsidRPr="00015237">
        <w:t xml:space="preserve">Decriminalisation of abortion </w:t>
      </w:r>
    </w:p>
    <w:p w14:paraId="61C3308C" w14:textId="1DBBCCB2" w:rsidR="0059504C" w:rsidRPr="008322BC" w:rsidRDefault="00953752" w:rsidP="006873E0">
      <w:pPr>
        <w:keepNext/>
        <w:spacing w:before="220" w:after="0" w:line="259" w:lineRule="auto"/>
        <w:jc w:val="both"/>
        <w:rPr>
          <w:lang w:val="en-NZ"/>
        </w:rPr>
      </w:pPr>
      <w:r w:rsidRPr="008322BC">
        <w:rPr>
          <w:lang w:val="en-NZ"/>
        </w:rPr>
        <w:t>UPR Recommendation</w:t>
      </w:r>
      <w:r w:rsidR="0059504C" w:rsidRPr="008322BC">
        <w:rPr>
          <w:lang w:val="en-NZ"/>
        </w:rPr>
        <w:t>s: 93, 95-98</w:t>
      </w:r>
    </w:p>
    <w:p w14:paraId="6833B4D2" w14:textId="7CAF6989" w:rsidR="00BF61E7" w:rsidRPr="00015237" w:rsidRDefault="00BF61E7" w:rsidP="006873E0">
      <w:pPr>
        <w:pStyle w:val="ListParagraph"/>
        <w:numPr>
          <w:ilvl w:val="0"/>
          <w:numId w:val="1"/>
        </w:numPr>
        <w:spacing w:before="220" w:after="0" w:line="259" w:lineRule="auto"/>
        <w:ind w:left="709" w:hanging="709"/>
        <w:contextualSpacing w:val="0"/>
        <w:jc w:val="both"/>
        <w:rPr>
          <w:rFonts w:eastAsia="Times New Roman"/>
        </w:rPr>
      </w:pPr>
      <w:r w:rsidRPr="00015237">
        <w:t>In March 2020, abortion was removed from the Crimes Act 1961</w:t>
      </w:r>
      <w:r w:rsidR="00F94468">
        <w:t>,</w:t>
      </w:r>
      <w:r w:rsidRPr="00015237">
        <w:t xml:space="preserve"> </w:t>
      </w:r>
      <w:r w:rsidR="005B6B3B">
        <w:t>signalling</w:t>
      </w:r>
      <w:r w:rsidRPr="00015237">
        <w:t xml:space="preserve"> that abortion is</w:t>
      </w:r>
      <w:r w:rsidR="005B6B3B">
        <w:t xml:space="preserve"> now</w:t>
      </w:r>
      <w:r w:rsidRPr="00015237">
        <w:t xml:space="preserve"> to be treated as a health issue, not a criminal law issue. </w:t>
      </w:r>
    </w:p>
    <w:p w14:paraId="58BF6B8B" w14:textId="600E910F" w:rsidR="00BF61E7" w:rsidRPr="00015237" w:rsidRDefault="00BF61E7" w:rsidP="006873E0">
      <w:pPr>
        <w:pStyle w:val="ListParagraph"/>
        <w:numPr>
          <w:ilvl w:val="0"/>
          <w:numId w:val="1"/>
        </w:numPr>
        <w:spacing w:before="220" w:after="0" w:line="259" w:lineRule="auto"/>
        <w:ind w:left="709" w:hanging="709"/>
        <w:contextualSpacing w:val="0"/>
        <w:jc w:val="both"/>
        <w:rPr>
          <w:rFonts w:eastAsia="Times New Roman"/>
        </w:rPr>
      </w:pPr>
      <w:r w:rsidRPr="00015237">
        <w:t>The changes make abortions safer</w:t>
      </w:r>
      <w:r w:rsidR="005C08EB">
        <w:t>,</w:t>
      </w:r>
      <w:r w:rsidRPr="00015237">
        <w:t xml:space="preserve"> including by supporting timely access to advice and services. The changes also sought to remove the stigma of criminalisation for pregnant people and health practitioners. They help</w:t>
      </w:r>
      <w:r w:rsidR="006D2083" w:rsidRPr="00015237">
        <w:t xml:space="preserve"> to</w:t>
      </w:r>
      <w:r w:rsidRPr="00015237">
        <w:t xml:space="preserve"> reduce barriers and address equity issues surrounding access to reproductive health services.</w:t>
      </w:r>
    </w:p>
    <w:p w14:paraId="4F0324EB" w14:textId="3BC933DD" w:rsidR="00BF61E7" w:rsidRPr="00015237" w:rsidRDefault="00BF61E7" w:rsidP="006873E0">
      <w:pPr>
        <w:pStyle w:val="ListParagraph"/>
        <w:numPr>
          <w:ilvl w:val="0"/>
          <w:numId w:val="1"/>
        </w:numPr>
        <w:spacing w:before="220" w:after="0" w:line="259" w:lineRule="auto"/>
        <w:ind w:left="709" w:hanging="709"/>
        <w:contextualSpacing w:val="0"/>
        <w:jc w:val="both"/>
        <w:rPr>
          <w:rFonts w:eastAsia="Times New Roman"/>
        </w:rPr>
      </w:pPr>
      <w:r w:rsidRPr="00015237">
        <w:t>For pregnancies up to 20 weeks’ gestation, the new health legislation allows for the decision to have an abortion to be made by the woman in consultation with a qualified health practitioner but without any further statutory requirements. This prioritises a woman’s autonomy to make an informed decision about what is appropriate for the circumstances.</w:t>
      </w:r>
    </w:p>
    <w:p w14:paraId="54BD7E8E" w14:textId="27736078" w:rsidR="00BF61E7" w:rsidRPr="005B6B3B" w:rsidRDefault="00BF61E7" w:rsidP="006873E0">
      <w:pPr>
        <w:pStyle w:val="ListParagraph"/>
        <w:numPr>
          <w:ilvl w:val="0"/>
          <w:numId w:val="1"/>
        </w:numPr>
        <w:spacing w:before="220" w:after="0" w:line="259" w:lineRule="auto"/>
        <w:ind w:left="709" w:hanging="709"/>
        <w:contextualSpacing w:val="0"/>
        <w:jc w:val="both"/>
        <w:rPr>
          <w:rFonts w:eastAsia="Times New Roman"/>
        </w:rPr>
      </w:pPr>
      <w:r w:rsidRPr="00015237">
        <w:t>For pregnancies beyond</w:t>
      </w:r>
      <w:r w:rsidR="00F94468">
        <w:t xml:space="preserve"> </w:t>
      </w:r>
      <w:r w:rsidR="005B6B3B">
        <w:t>20 week’s gestation</w:t>
      </w:r>
      <w:r w:rsidRPr="00015237">
        <w:t xml:space="preserve">, the law provides for a statutory test. This test includes the involvement of at least two qualified health practitioners and an assessment of whether an abortion is clinically appropriate in the circumstances. This assessment </w:t>
      </w:r>
      <w:r w:rsidR="005B6B3B">
        <w:t>considers</w:t>
      </w:r>
      <w:r w:rsidR="00C73189">
        <w:t xml:space="preserve"> </w:t>
      </w:r>
      <w:r w:rsidRPr="00015237">
        <w:t xml:space="preserve">relevant legal, professional and ethical standards, the woman’s physical health, mental health and overall wellbeing and the gestational age of the foetus. This reflects the greater complexity </w:t>
      </w:r>
      <w:r w:rsidRPr="00015237">
        <w:lastRenderedPageBreak/>
        <w:t>for abortions being considered at a later gestational stage, in both the medical care required and the underlying health reasons for the procedure.</w:t>
      </w:r>
    </w:p>
    <w:p w14:paraId="7E385638" w14:textId="0661B40C" w:rsidR="0059504C" w:rsidRPr="00015237" w:rsidRDefault="00BF61E7" w:rsidP="006873E0">
      <w:pPr>
        <w:pStyle w:val="ListParagraph"/>
        <w:numPr>
          <w:ilvl w:val="0"/>
          <w:numId w:val="1"/>
        </w:numPr>
        <w:spacing w:before="220" w:after="0" w:line="259" w:lineRule="auto"/>
        <w:ind w:left="709" w:hanging="709"/>
        <w:contextualSpacing w:val="0"/>
        <w:jc w:val="both"/>
        <w:rPr>
          <w:rFonts w:eastAsia="Times New Roman"/>
        </w:rPr>
      </w:pPr>
      <w:r w:rsidRPr="00015237">
        <w:t>The legislation further strengthens women’s rights by ensuring they know that counselling is available both before and after an abortion, but that it is not mandatory to access care. Removing statutory restrictions on who can perform abortions means that a wider range of registered health practitioners can provide abortions.</w:t>
      </w:r>
      <w:r w:rsidR="006D65F6" w:rsidRPr="00015237">
        <w:t xml:space="preserve"> </w:t>
      </w:r>
    </w:p>
    <w:p w14:paraId="106A9A6C" w14:textId="619AE8A6" w:rsidR="009F7596" w:rsidRPr="00015237" w:rsidRDefault="00E96182" w:rsidP="006873E0">
      <w:pPr>
        <w:pStyle w:val="Heading2"/>
        <w:spacing w:line="276" w:lineRule="auto"/>
        <w:jc w:val="both"/>
      </w:pPr>
      <w:r w:rsidRPr="00015237">
        <w:t xml:space="preserve">Addressing </w:t>
      </w:r>
      <w:r w:rsidR="009F7596" w:rsidRPr="00015237">
        <w:t xml:space="preserve">further </w:t>
      </w:r>
      <w:r w:rsidRPr="00015237">
        <w:t>sexual and reproductive health outcomes</w:t>
      </w:r>
    </w:p>
    <w:p w14:paraId="4DA069B9" w14:textId="48A896E4" w:rsidR="00235D4C" w:rsidRPr="008322BC" w:rsidRDefault="00953752" w:rsidP="006873E0">
      <w:pPr>
        <w:keepNext/>
        <w:spacing w:before="220" w:after="0" w:line="259" w:lineRule="auto"/>
        <w:jc w:val="both"/>
        <w:rPr>
          <w:lang w:val="en-NZ"/>
        </w:rPr>
      </w:pPr>
      <w:r w:rsidRPr="008322BC">
        <w:rPr>
          <w:lang w:val="en-NZ"/>
        </w:rPr>
        <w:t>UPR Recommendation</w:t>
      </w:r>
      <w:r w:rsidR="005A665B" w:rsidRPr="008322BC">
        <w:rPr>
          <w:lang w:val="en-NZ"/>
        </w:rPr>
        <w:t>:</w:t>
      </w:r>
      <w:r w:rsidR="00E866B0" w:rsidRPr="008322BC">
        <w:rPr>
          <w:lang w:val="en-NZ"/>
        </w:rPr>
        <w:t xml:space="preserve"> 93</w:t>
      </w:r>
      <w:r w:rsidR="00EC4F66" w:rsidRPr="008322BC">
        <w:rPr>
          <w:lang w:val="en-NZ"/>
        </w:rPr>
        <w:t>, 176-182</w:t>
      </w:r>
      <w:r w:rsidR="00DB7D48" w:rsidRPr="008322BC">
        <w:rPr>
          <w:lang w:val="en-NZ"/>
        </w:rPr>
        <w:t xml:space="preserve"> </w:t>
      </w:r>
    </w:p>
    <w:p w14:paraId="4D6EFFA7" w14:textId="6A0A5FCA" w:rsidR="00512EC6" w:rsidRPr="00015237" w:rsidRDefault="00551129" w:rsidP="006873E0">
      <w:pPr>
        <w:pStyle w:val="ListParagraph"/>
        <w:numPr>
          <w:ilvl w:val="0"/>
          <w:numId w:val="1"/>
        </w:numPr>
        <w:spacing w:before="220" w:after="0" w:line="259" w:lineRule="auto"/>
        <w:ind w:left="709" w:hanging="709"/>
        <w:contextualSpacing w:val="0"/>
        <w:jc w:val="both"/>
      </w:pPr>
      <w:r w:rsidRPr="00015237">
        <w:t>The strategy for sexual health and blood borne infections, due to be published in 2022, is aligned with the World Health Organisation’s updated communicable disease approach. The strategy will address barriers to women and girls</w:t>
      </w:r>
      <w:r w:rsidR="00372EF5">
        <w:t>’</w:t>
      </w:r>
      <w:r w:rsidRPr="00015237">
        <w:t xml:space="preserve"> equitable sexual health outcomes. </w:t>
      </w:r>
    </w:p>
    <w:p w14:paraId="0E19E5AF" w14:textId="39E10F14" w:rsidR="001336BA" w:rsidRPr="00015237" w:rsidRDefault="001336BA" w:rsidP="006873E0">
      <w:pPr>
        <w:pStyle w:val="ListParagraph"/>
        <w:numPr>
          <w:ilvl w:val="0"/>
          <w:numId w:val="1"/>
        </w:numPr>
        <w:spacing w:before="220" w:after="0" w:line="259" w:lineRule="auto"/>
        <w:ind w:left="709" w:hanging="709"/>
        <w:contextualSpacing w:val="0"/>
        <w:jc w:val="both"/>
      </w:pPr>
      <w:r w:rsidRPr="00015237">
        <w:t xml:space="preserve">The Government is </w:t>
      </w:r>
      <w:r w:rsidR="009F7596" w:rsidRPr="00015237">
        <w:t xml:space="preserve">also </w:t>
      </w:r>
      <w:r w:rsidRPr="00015237">
        <w:t xml:space="preserve">addressing unmet need for contraception including provision of low-cost consultations and improving access for women to long-acting reversible contraceptives (LARC) through the Government funded Contraceptive Access Initiative. </w:t>
      </w:r>
      <w:r w:rsidR="00D23EF3" w:rsidRPr="00015237">
        <w:t>This</w:t>
      </w:r>
      <w:r w:rsidRPr="00015237">
        <w:t xml:space="preserve"> </w:t>
      </w:r>
      <w:r w:rsidR="00D23EF3" w:rsidRPr="00015237">
        <w:t>I</w:t>
      </w:r>
      <w:r w:rsidRPr="00015237">
        <w:t xml:space="preserve">nitiative </w:t>
      </w:r>
      <w:r w:rsidR="00D23EF3" w:rsidRPr="00015237">
        <w:t>also</w:t>
      </w:r>
      <w:r w:rsidRPr="00015237">
        <w:t xml:space="preserve"> improve</w:t>
      </w:r>
      <w:r w:rsidR="00D23EF3" w:rsidRPr="00015237">
        <w:t>s</w:t>
      </w:r>
      <w:r w:rsidRPr="00015237">
        <w:t xml:space="preserve"> the quality and consistency of contraceptive services</w:t>
      </w:r>
      <w:r w:rsidR="00D23EF3" w:rsidRPr="00015237">
        <w:t>, including through</w:t>
      </w:r>
      <w:r w:rsidRPr="00015237">
        <w:t xml:space="preserve"> new contraception guidelines and </w:t>
      </w:r>
      <w:r w:rsidR="00D23EF3" w:rsidRPr="00015237">
        <w:t xml:space="preserve">enhanced </w:t>
      </w:r>
      <w:r w:rsidRPr="00015237">
        <w:t>training for health professionals</w:t>
      </w:r>
      <w:r w:rsidR="00D23EF3" w:rsidRPr="00015237">
        <w:t xml:space="preserve"> through</w:t>
      </w:r>
      <w:r w:rsidRPr="00015237">
        <w:t xml:space="preserve"> National LARC Training Standards</w:t>
      </w:r>
      <w:r w:rsidR="00D23EF3" w:rsidRPr="00015237">
        <w:t xml:space="preserve"> which are </w:t>
      </w:r>
      <w:r w:rsidRPr="00015237">
        <w:t>endorsed by the medical and nursing colleges.</w:t>
      </w:r>
    </w:p>
    <w:p w14:paraId="347F28D2" w14:textId="6B86DA26" w:rsidR="00C16AEA" w:rsidRPr="00015237" w:rsidRDefault="00D23EF3" w:rsidP="006873E0">
      <w:pPr>
        <w:pStyle w:val="ListParagraph"/>
        <w:numPr>
          <w:ilvl w:val="0"/>
          <w:numId w:val="1"/>
        </w:numPr>
        <w:spacing w:before="220" w:after="0" w:line="259" w:lineRule="auto"/>
        <w:ind w:left="709" w:hanging="709"/>
        <w:contextualSpacing w:val="0"/>
        <w:jc w:val="both"/>
      </w:pPr>
      <w:r w:rsidRPr="00015237">
        <w:t xml:space="preserve">The </w:t>
      </w:r>
      <w:r w:rsidR="00147226" w:rsidRPr="00015237">
        <w:t xml:space="preserve">Government </w:t>
      </w:r>
      <w:r w:rsidR="00512EC6" w:rsidRPr="00015237">
        <w:t xml:space="preserve">continues to support and fund sexual and reproductive services, including: promotion of sexual and reproductive health, being available in a range of settings and delivered by range of healthcare service providers including </w:t>
      </w:r>
      <w:r w:rsidR="00EC5031" w:rsidRPr="00015237">
        <w:t>Māori</w:t>
      </w:r>
      <w:r w:rsidR="00512EC6" w:rsidRPr="00015237">
        <w:rPr>
          <w:lang w:val="en-NZ"/>
        </w:rPr>
        <w:t xml:space="preserve"> and Pacific providers, general practice</w:t>
      </w:r>
      <w:r w:rsidR="006D2083" w:rsidRPr="00015237">
        <w:rPr>
          <w:lang w:val="en-NZ"/>
        </w:rPr>
        <w:t>s</w:t>
      </w:r>
      <w:r w:rsidR="00512EC6" w:rsidRPr="00015237">
        <w:rPr>
          <w:lang w:val="en-NZ"/>
        </w:rPr>
        <w:t>, HIV</w:t>
      </w:r>
      <w:r w:rsidR="00F94468">
        <w:rPr>
          <w:lang w:val="en-NZ"/>
        </w:rPr>
        <w:t>-s</w:t>
      </w:r>
      <w:r w:rsidR="00512EC6" w:rsidRPr="00015237">
        <w:rPr>
          <w:lang w:val="en-NZ"/>
        </w:rPr>
        <w:t xml:space="preserve">pecific organisations, and youth health services. </w:t>
      </w:r>
    </w:p>
    <w:p w14:paraId="3B057625" w14:textId="43246047" w:rsidR="00321E4F" w:rsidRPr="00015237" w:rsidRDefault="00321E4F" w:rsidP="006873E0">
      <w:pPr>
        <w:pStyle w:val="Heading1"/>
        <w:spacing w:line="276" w:lineRule="auto"/>
      </w:pPr>
      <w:r w:rsidRPr="00015237">
        <w:t>Right to adequate Housing</w:t>
      </w:r>
      <w:r w:rsidR="00734491" w:rsidRPr="00015237">
        <w:t xml:space="preserve"> </w:t>
      </w:r>
    </w:p>
    <w:p w14:paraId="4DFEED9A" w14:textId="60D2441B" w:rsidR="00E96640" w:rsidRPr="008322BC" w:rsidRDefault="00953752" w:rsidP="006873E0">
      <w:pPr>
        <w:keepNext/>
        <w:spacing w:before="220" w:after="0" w:line="259" w:lineRule="auto"/>
        <w:jc w:val="both"/>
        <w:rPr>
          <w:lang w:val="en-NZ"/>
        </w:rPr>
      </w:pPr>
      <w:r w:rsidRPr="008322BC">
        <w:rPr>
          <w:lang w:val="en-NZ"/>
        </w:rPr>
        <w:t>UPR Recommendation</w:t>
      </w:r>
      <w:r w:rsidR="00C640DD" w:rsidRPr="008322BC">
        <w:rPr>
          <w:lang w:val="en-NZ"/>
        </w:rPr>
        <w:t>s</w:t>
      </w:r>
      <w:r w:rsidR="005A665B" w:rsidRPr="008322BC">
        <w:rPr>
          <w:lang w:val="en-NZ"/>
        </w:rPr>
        <w:t>:</w:t>
      </w:r>
      <w:r w:rsidR="00734491" w:rsidRPr="008322BC">
        <w:rPr>
          <w:lang w:val="en-NZ"/>
        </w:rPr>
        <w:t xml:space="preserve"> 9</w:t>
      </w:r>
      <w:r w:rsidR="00C72468" w:rsidRPr="008322BC">
        <w:rPr>
          <w:lang w:val="en-NZ"/>
        </w:rPr>
        <w:t>0</w:t>
      </w:r>
      <w:r w:rsidR="00734491" w:rsidRPr="008322BC">
        <w:rPr>
          <w:lang w:val="en-NZ"/>
        </w:rPr>
        <w:t>-92</w:t>
      </w:r>
    </w:p>
    <w:p w14:paraId="151A1448" w14:textId="2F6BC849" w:rsidR="009A10A4" w:rsidRDefault="009A10A4" w:rsidP="006873E0">
      <w:pPr>
        <w:pStyle w:val="ListParagraph"/>
        <w:numPr>
          <w:ilvl w:val="0"/>
          <w:numId w:val="1"/>
        </w:numPr>
        <w:spacing w:before="220" w:after="0" w:line="259" w:lineRule="auto"/>
        <w:ind w:left="709" w:hanging="709"/>
        <w:contextualSpacing w:val="0"/>
        <w:jc w:val="both"/>
      </w:pPr>
      <w:r>
        <w:t xml:space="preserve">The housing crisis is a problem </w:t>
      </w:r>
      <w:r w:rsidR="000E3EB8">
        <w:t xml:space="preserve">that has been </w:t>
      </w:r>
      <w:r>
        <w:t xml:space="preserve">decades in the making </w:t>
      </w:r>
      <w:r w:rsidR="000E3EB8">
        <w:t>and it</w:t>
      </w:r>
      <w:r>
        <w:t xml:space="preserve"> will take time to turn</w:t>
      </w:r>
      <w:r w:rsidR="000E3EB8">
        <w:t xml:space="preserve"> it</w:t>
      </w:r>
      <w:r>
        <w:t xml:space="preserve"> around. To </w:t>
      </w:r>
      <w:r w:rsidR="00372EF5">
        <w:t xml:space="preserve">improve housing </w:t>
      </w:r>
      <w:r>
        <w:t xml:space="preserve">outcomes, </w:t>
      </w:r>
      <w:r w:rsidR="000E3EB8">
        <w:t xml:space="preserve">the </w:t>
      </w:r>
      <w:r>
        <w:t xml:space="preserve">Government </w:t>
      </w:r>
      <w:r w:rsidR="00D13B2A">
        <w:t xml:space="preserve">is pursing meaningful partnerships with iwi and </w:t>
      </w:r>
      <w:r w:rsidR="00D13B2A" w:rsidRPr="00D13B2A">
        <w:t>M</w:t>
      </w:r>
      <w:r w:rsidR="00D13B2A" w:rsidRPr="00D13B2A">
        <w:rPr>
          <w:lang w:val="mi-NZ"/>
        </w:rPr>
        <w:t xml:space="preserve">āori </w:t>
      </w:r>
      <w:r w:rsidR="00D13B2A" w:rsidRPr="00D13B2A">
        <w:rPr>
          <w:shd w:val="clear" w:color="auto" w:fill="FFFFFF"/>
        </w:rPr>
        <w:t xml:space="preserve">as </w:t>
      </w:r>
      <w:r w:rsidR="00F94468">
        <w:rPr>
          <w:shd w:val="clear" w:color="auto" w:fill="FFFFFF"/>
        </w:rPr>
        <w:t>t</w:t>
      </w:r>
      <w:r w:rsidR="00D13B2A" w:rsidRPr="00D13B2A">
        <w:rPr>
          <w:shd w:val="clear" w:color="auto" w:fill="FFFFFF"/>
        </w:rPr>
        <w:t>e Tiriti o Waitangi partners</w:t>
      </w:r>
      <w:r w:rsidR="00D13B2A" w:rsidRPr="000E3EB8">
        <w:rPr>
          <w:shd w:val="clear" w:color="auto" w:fill="FFFFFF"/>
        </w:rPr>
        <w:t xml:space="preserve">. </w:t>
      </w:r>
      <w:r w:rsidR="000E3EB8">
        <w:rPr>
          <w:shd w:val="clear" w:color="auto" w:fill="FFFFFF"/>
        </w:rPr>
        <w:t>The Government</w:t>
      </w:r>
      <w:r w:rsidR="00D13B2A" w:rsidRPr="000E3EB8">
        <w:rPr>
          <w:shd w:val="clear" w:color="auto" w:fill="FFFFFF"/>
        </w:rPr>
        <w:t xml:space="preserve"> also need</w:t>
      </w:r>
      <w:r w:rsidR="000E3EB8">
        <w:rPr>
          <w:shd w:val="clear" w:color="auto" w:fill="FFFFFF"/>
        </w:rPr>
        <w:t>s</w:t>
      </w:r>
      <w:r w:rsidR="00D13B2A" w:rsidRPr="000E3EB8">
        <w:rPr>
          <w:shd w:val="clear" w:color="auto" w:fill="FFFFFF"/>
        </w:rPr>
        <w:t xml:space="preserve"> to cement resilient relationships with community </w:t>
      </w:r>
      <w:r w:rsidR="00D13B2A" w:rsidRPr="008322BC">
        <w:t>housing</w:t>
      </w:r>
      <w:r w:rsidR="00D13B2A" w:rsidRPr="000E3EB8">
        <w:rPr>
          <w:shd w:val="clear" w:color="auto" w:fill="FFFFFF"/>
        </w:rPr>
        <w:t xml:space="preserve"> providers and other non-government organisations, local government, the private sector, and communities</w:t>
      </w:r>
      <w:r w:rsidR="000E3EB8">
        <w:rPr>
          <w:shd w:val="clear" w:color="auto" w:fill="FFFFFF"/>
        </w:rPr>
        <w:t>.</w:t>
      </w:r>
    </w:p>
    <w:p w14:paraId="3C421863" w14:textId="078D9C7D" w:rsidR="0058044A" w:rsidRPr="00015237" w:rsidRDefault="0058044A" w:rsidP="006873E0">
      <w:pPr>
        <w:pStyle w:val="ListParagraph"/>
        <w:numPr>
          <w:ilvl w:val="0"/>
          <w:numId w:val="1"/>
        </w:numPr>
        <w:spacing w:before="220" w:after="0" w:line="259" w:lineRule="auto"/>
        <w:ind w:left="709" w:hanging="709"/>
        <w:contextualSpacing w:val="0"/>
        <w:jc w:val="both"/>
      </w:pPr>
      <w:r w:rsidRPr="00015237">
        <w:t xml:space="preserve">In 2020, </w:t>
      </w:r>
      <w:r w:rsidR="00D849B8" w:rsidRPr="00015237">
        <w:t>Aotearoa</w:t>
      </w:r>
      <w:r w:rsidR="00D849B8" w:rsidRPr="00015237">
        <w:rPr>
          <w:lang w:val="en-NZ"/>
        </w:rPr>
        <w:t xml:space="preserve"> </w:t>
      </w:r>
      <w:r w:rsidRPr="00015237">
        <w:t xml:space="preserve">New Zealand hosted a visit by the </w:t>
      </w:r>
      <w:r w:rsidR="000E3EB8">
        <w:t xml:space="preserve">then </w:t>
      </w:r>
      <w:r w:rsidRPr="00015237">
        <w:t xml:space="preserve">Special Rapporteur on </w:t>
      </w:r>
      <w:r w:rsidR="00B466CA">
        <w:t xml:space="preserve">the right to </w:t>
      </w:r>
      <w:r w:rsidRPr="00015237">
        <w:t>adequate housing</w:t>
      </w:r>
      <w:r w:rsidR="00B466CA">
        <w:t>, Leilani Farha</w:t>
      </w:r>
      <w:r w:rsidRPr="00015237">
        <w:t xml:space="preserve">. </w:t>
      </w:r>
      <w:r w:rsidR="008709B6">
        <w:t>T</w:t>
      </w:r>
      <w:r w:rsidRPr="00015237">
        <w:t>he Government share</w:t>
      </w:r>
      <w:r w:rsidR="008709B6">
        <w:t>s</w:t>
      </w:r>
      <w:r w:rsidRPr="00015237">
        <w:t xml:space="preserve"> her view that the housing crisis must be addressed urgently </w:t>
      </w:r>
      <w:r w:rsidR="008709B6">
        <w:t xml:space="preserve">and </w:t>
      </w:r>
      <w:r w:rsidRPr="00015237">
        <w:t>in an enduring way</w:t>
      </w:r>
      <w:r w:rsidR="00372EF5">
        <w:t xml:space="preserve"> and has made this a central priority.</w:t>
      </w:r>
    </w:p>
    <w:p w14:paraId="38710D92" w14:textId="3CEF3DA8" w:rsidR="00903CAA" w:rsidRPr="00015237" w:rsidRDefault="002930AF" w:rsidP="006873E0">
      <w:pPr>
        <w:pStyle w:val="ListParagraph"/>
        <w:numPr>
          <w:ilvl w:val="0"/>
          <w:numId w:val="1"/>
        </w:numPr>
        <w:spacing w:before="220" w:after="0" w:line="259" w:lineRule="auto"/>
        <w:ind w:left="709" w:hanging="709"/>
        <w:contextualSpacing w:val="0"/>
        <w:jc w:val="both"/>
      </w:pPr>
      <w:r w:rsidRPr="00015237">
        <w:t>The visit by the Specia</w:t>
      </w:r>
      <w:r w:rsidR="005F6DA5" w:rsidRPr="00015237">
        <w:t xml:space="preserve">l Rapporteur was hosted in the context of an expanding </w:t>
      </w:r>
      <w:r w:rsidR="00C640DD" w:rsidRPr="00015237">
        <w:t>G</w:t>
      </w:r>
      <w:r w:rsidR="005F6DA5" w:rsidRPr="00015237">
        <w:t xml:space="preserve">overnment work programme on housing, and active engagement between Government and stakeholders, which resulted in </w:t>
      </w:r>
      <w:r w:rsidR="00C640DD" w:rsidRPr="00015237">
        <w:t xml:space="preserve">the 2021 </w:t>
      </w:r>
      <w:r w:rsidR="005F6DA5" w:rsidRPr="00015237">
        <w:t>Government Policy Statement on Housing and Urban Development (GPS-HUD)</w:t>
      </w:r>
      <w:r w:rsidR="000812CC" w:rsidRPr="00015237">
        <w:t>. It sets</w:t>
      </w:r>
      <w:r w:rsidR="005F6DA5" w:rsidRPr="00015237">
        <w:t xml:space="preserve"> a long-term direction not only </w:t>
      </w:r>
      <w:r w:rsidR="00680DED">
        <w:t xml:space="preserve">for </w:t>
      </w:r>
      <w:r w:rsidR="000812CC" w:rsidRPr="00015237">
        <w:t>G</w:t>
      </w:r>
      <w:r w:rsidR="005F6DA5" w:rsidRPr="00015237">
        <w:t xml:space="preserve">overnment policy and investment but also </w:t>
      </w:r>
      <w:r w:rsidR="00B832E7" w:rsidRPr="00015237">
        <w:t xml:space="preserve">the </w:t>
      </w:r>
      <w:r w:rsidR="005F6DA5" w:rsidRPr="00015237">
        <w:t>efforts of everyone who contributes to the future of housing</w:t>
      </w:r>
      <w:r w:rsidR="00903CAA" w:rsidRPr="00015237">
        <w:t xml:space="preserve"> and urban development</w:t>
      </w:r>
      <w:r w:rsidR="005F6DA5" w:rsidRPr="00015237">
        <w:t xml:space="preserve"> in</w:t>
      </w:r>
      <w:r w:rsidR="00D849B8" w:rsidRPr="00015237">
        <w:t xml:space="preserve"> Aotearoa</w:t>
      </w:r>
      <w:r w:rsidR="005F6DA5" w:rsidRPr="00015237">
        <w:t xml:space="preserve"> New Zealand.</w:t>
      </w:r>
    </w:p>
    <w:p w14:paraId="215B83AF" w14:textId="36424855" w:rsidR="00903CAA" w:rsidRPr="00015237" w:rsidRDefault="00903CAA" w:rsidP="006873E0">
      <w:pPr>
        <w:pStyle w:val="ListParagraph"/>
        <w:numPr>
          <w:ilvl w:val="0"/>
          <w:numId w:val="1"/>
        </w:numPr>
        <w:spacing w:before="220" w:after="0" w:line="259" w:lineRule="auto"/>
        <w:ind w:left="709" w:hanging="709"/>
        <w:contextualSpacing w:val="0"/>
        <w:jc w:val="both"/>
      </w:pPr>
      <w:r w:rsidRPr="00015237">
        <w:rPr>
          <w:lang w:val="en-NZ"/>
        </w:rPr>
        <w:t xml:space="preserve">The GPS-HUD contains a vision where everyone lives in a home, and within a community, that meets their needs and aspirations. </w:t>
      </w:r>
      <w:r w:rsidRPr="008322BC">
        <w:t>This</w:t>
      </w:r>
      <w:r w:rsidRPr="00015237">
        <w:rPr>
          <w:lang w:val="en-NZ"/>
        </w:rPr>
        <w:t xml:space="preserve"> is in line with the concept of the right to a decent home, and also speaks to the broader issue of housing adequacy – that it is not just about the physical </w:t>
      </w:r>
      <w:r w:rsidRPr="00015237">
        <w:rPr>
          <w:lang w:val="en-NZ"/>
        </w:rPr>
        <w:lastRenderedPageBreak/>
        <w:t>building but also other essential elements, including the features of the communities within which people live.</w:t>
      </w:r>
    </w:p>
    <w:p w14:paraId="796B0E32" w14:textId="77777777" w:rsidR="00903CAA" w:rsidRPr="00015237" w:rsidRDefault="00903CAA" w:rsidP="006873E0">
      <w:pPr>
        <w:pStyle w:val="ListParagraph"/>
        <w:spacing w:before="240" w:line="276" w:lineRule="auto"/>
        <w:jc w:val="both"/>
      </w:pPr>
    </w:p>
    <w:p w14:paraId="5AAEA7DF" w14:textId="5EB90A53" w:rsidR="00903CAA" w:rsidRPr="00015237" w:rsidRDefault="00903CAA" w:rsidP="006873E0">
      <w:pPr>
        <w:pStyle w:val="ListParagraph"/>
        <w:numPr>
          <w:ilvl w:val="0"/>
          <w:numId w:val="1"/>
        </w:numPr>
        <w:spacing w:before="220" w:after="0" w:line="259" w:lineRule="auto"/>
        <w:ind w:left="709" w:hanging="709"/>
        <w:contextualSpacing w:val="0"/>
        <w:jc w:val="both"/>
      </w:pPr>
      <w:r w:rsidRPr="00015237">
        <w:t>The GPS-HUD has six focus areas, which also address the UPR and Special Rapporteur’s recommendations</w:t>
      </w:r>
      <w:r w:rsidR="00372EF5">
        <w:t>, and are addressed below.</w:t>
      </w:r>
    </w:p>
    <w:p w14:paraId="5559770F" w14:textId="4A35D26F" w:rsidR="00A27586" w:rsidRPr="002148CA" w:rsidRDefault="004B6EE4" w:rsidP="006873E0">
      <w:pPr>
        <w:pStyle w:val="Heading2"/>
        <w:jc w:val="both"/>
      </w:pPr>
      <w:r w:rsidRPr="002148CA">
        <w:t xml:space="preserve">Ensure more affordable homes are built </w:t>
      </w:r>
    </w:p>
    <w:p w14:paraId="691B08B1" w14:textId="5D522C3D" w:rsidR="001A6B60" w:rsidRPr="00015237" w:rsidRDefault="00567B85" w:rsidP="006873E0">
      <w:pPr>
        <w:pStyle w:val="ListParagraph"/>
        <w:numPr>
          <w:ilvl w:val="0"/>
          <w:numId w:val="1"/>
        </w:numPr>
        <w:spacing w:before="220" w:after="0" w:line="259" w:lineRule="auto"/>
        <w:ind w:left="709" w:hanging="709"/>
        <w:contextualSpacing w:val="0"/>
        <w:jc w:val="both"/>
      </w:pPr>
      <w:r>
        <w:t>M</w:t>
      </w:r>
      <w:r w:rsidR="004B6EE4" w:rsidRPr="00015237">
        <w:t>ore homes are</w:t>
      </w:r>
      <w:r w:rsidR="00B832E7" w:rsidRPr="00015237">
        <w:t xml:space="preserve"> being</w:t>
      </w:r>
      <w:r w:rsidR="004B6EE4" w:rsidRPr="00015237">
        <w:t xml:space="preserve"> built in </w:t>
      </w:r>
      <w:r w:rsidR="00D849B8" w:rsidRPr="00015237">
        <w:t>Aotearoa</w:t>
      </w:r>
      <w:r w:rsidR="00D849B8" w:rsidRPr="00015237">
        <w:rPr>
          <w:lang w:val="en-NZ"/>
        </w:rPr>
        <w:t xml:space="preserve"> </w:t>
      </w:r>
      <w:r w:rsidR="004B6EE4" w:rsidRPr="00015237">
        <w:t xml:space="preserve">New Zealand </w:t>
      </w:r>
      <w:r w:rsidR="004B6EE4" w:rsidRPr="008322BC">
        <w:rPr>
          <w:lang w:val="en-NZ"/>
        </w:rPr>
        <w:t>now</w:t>
      </w:r>
      <w:r w:rsidR="004B6EE4" w:rsidRPr="00015237">
        <w:t xml:space="preserve"> than</w:t>
      </w:r>
      <w:r w:rsidR="00372EF5">
        <w:t xml:space="preserve"> at</w:t>
      </w:r>
      <w:r w:rsidR="004B6EE4" w:rsidRPr="00015237">
        <w:t xml:space="preserve"> any time since the 1970s</w:t>
      </w:r>
      <w:r w:rsidR="001B68DD">
        <w:t xml:space="preserve"> but</w:t>
      </w:r>
      <w:r w:rsidR="004B6EE4" w:rsidRPr="00015237">
        <w:t xml:space="preserve"> there is </w:t>
      </w:r>
      <w:r w:rsidR="001A6B60" w:rsidRPr="00015237">
        <w:t xml:space="preserve">more </w:t>
      </w:r>
      <w:r>
        <w:t>that can be done to increase the supply of affordable homes</w:t>
      </w:r>
      <w:r w:rsidR="001A6B60" w:rsidRPr="00015237">
        <w:t xml:space="preserve">. The Government </w:t>
      </w:r>
      <w:r>
        <w:t xml:space="preserve">is </w:t>
      </w:r>
      <w:r w:rsidR="001A6B60" w:rsidRPr="00015237">
        <w:t>focus</w:t>
      </w:r>
      <w:r>
        <w:t>sed</w:t>
      </w:r>
      <w:r w:rsidR="001A6B60" w:rsidRPr="00015237">
        <w:t xml:space="preserve"> on reforming the system settings that constrain housing supply, particularly affordable supply, and </w:t>
      </w:r>
      <w:r>
        <w:t>that</w:t>
      </w:r>
      <w:r w:rsidR="001A6B60" w:rsidRPr="00015237">
        <w:t xml:space="preserve"> exclude people from having access to adequate housing. The Government also continues to increase the role it plays in facilitating and coordinating housing and urban development projects; investing in infrastructure, and partnering with others to help drive scale, stability and productivity in the residential construction sector over the long term. For this purpose, the borrowing capacity of the public housing provider and lead urban developer, Kāinga Ora, has been increased by $2</w:t>
      </w:r>
      <w:r w:rsidR="00C37E63" w:rsidRPr="00015237">
        <w:t xml:space="preserve"> </w:t>
      </w:r>
      <w:r w:rsidR="001A6B60" w:rsidRPr="00015237">
        <w:t xml:space="preserve">billion, and $3.8 billion has been set aside for the Housing Acceleration Fund in Budget 2021. </w:t>
      </w:r>
    </w:p>
    <w:p w14:paraId="39539B38" w14:textId="0D3A8D57" w:rsidR="001A6B60" w:rsidRPr="002C3044" w:rsidRDefault="001A6B60" w:rsidP="006873E0">
      <w:pPr>
        <w:pStyle w:val="Heading2"/>
        <w:jc w:val="both"/>
      </w:pPr>
      <w:r w:rsidRPr="002C3044">
        <w:t>Ensure house</w:t>
      </w:r>
      <w:r w:rsidR="00C37E63" w:rsidRPr="002C3044">
        <w:t>s</w:t>
      </w:r>
      <w:r w:rsidRPr="002C3044">
        <w:t xml:space="preserve"> meet </w:t>
      </w:r>
      <w:r w:rsidR="00C37E63" w:rsidRPr="002C3044">
        <w:t xml:space="preserve">everybody’s </w:t>
      </w:r>
      <w:r w:rsidRPr="002C3044">
        <w:t>needs</w:t>
      </w:r>
    </w:p>
    <w:p w14:paraId="735D1772" w14:textId="56AB337A" w:rsidR="00A27586" w:rsidRPr="00015237" w:rsidRDefault="006B276E" w:rsidP="006873E0">
      <w:pPr>
        <w:pStyle w:val="ListParagraph"/>
        <w:numPr>
          <w:ilvl w:val="0"/>
          <w:numId w:val="1"/>
        </w:numPr>
        <w:spacing w:before="220" w:after="0" w:line="259" w:lineRule="auto"/>
        <w:ind w:left="709" w:hanging="709"/>
        <w:contextualSpacing w:val="0"/>
        <w:jc w:val="both"/>
      </w:pPr>
      <w:r>
        <w:t xml:space="preserve">The Government has implemented </w:t>
      </w:r>
      <w:r w:rsidR="00B64DD3" w:rsidRPr="00015237">
        <w:t xml:space="preserve">measures to improve the quality of rental </w:t>
      </w:r>
      <w:r w:rsidR="00135D84" w:rsidRPr="00015237">
        <w:t>accommodation, including improving the standards to make rental homes warmer and drier. The GPS-HUD commits the Government to provide stronger leadership around housing quality, and to work with disabled people</w:t>
      </w:r>
      <w:r w:rsidR="00C17301" w:rsidRPr="00015237">
        <w:t>,</w:t>
      </w:r>
      <w:r w:rsidR="00135D84" w:rsidRPr="00015237">
        <w:t xml:space="preserve"> disability advocates, iwi, Māori and industry to increase the supply of </w:t>
      </w:r>
      <w:r w:rsidR="00D84335" w:rsidRPr="00015237">
        <w:t>universally designed</w:t>
      </w:r>
      <w:r w:rsidR="00135D84" w:rsidRPr="00015237">
        <w:t xml:space="preserve"> and accessible housing. </w:t>
      </w:r>
    </w:p>
    <w:p w14:paraId="4032C970" w14:textId="6DA1B1A1" w:rsidR="005F6DA5" w:rsidRPr="006B276E" w:rsidRDefault="00135D84" w:rsidP="006873E0">
      <w:pPr>
        <w:pStyle w:val="Heading2"/>
        <w:jc w:val="both"/>
      </w:pPr>
      <w:r w:rsidRPr="006B276E">
        <w:t xml:space="preserve">Enable people into stable, affordable homes </w:t>
      </w:r>
    </w:p>
    <w:p w14:paraId="0C151596" w14:textId="5F8EEA37" w:rsidR="00135D84" w:rsidRPr="00015237" w:rsidRDefault="0011064A" w:rsidP="006873E0">
      <w:pPr>
        <w:pStyle w:val="ListParagraph"/>
        <w:numPr>
          <w:ilvl w:val="0"/>
          <w:numId w:val="1"/>
        </w:numPr>
        <w:spacing w:before="220" w:after="0" w:line="259" w:lineRule="auto"/>
        <w:ind w:left="709" w:hanging="709"/>
        <w:contextualSpacing w:val="0"/>
        <w:jc w:val="both"/>
      </w:pPr>
      <w:r>
        <w:t>The Government has introduced m</w:t>
      </w:r>
      <w:r w:rsidR="00135D84" w:rsidRPr="00015237">
        <w:t xml:space="preserve">easures to improve the security of rental accommodation, including limiting when landlords can increase rents. The funding available for affordable housing has also increased. The Government is partnering with community housing providers, iwi and others to take a place-based approach to increasing supply of affordable, accessible housing, through purpose-built rental housing and alternative pathways to home ownership. </w:t>
      </w:r>
    </w:p>
    <w:p w14:paraId="2A9A5A45" w14:textId="08BC2E21" w:rsidR="00135D84" w:rsidRPr="00015237" w:rsidRDefault="00903CAA" w:rsidP="006873E0">
      <w:pPr>
        <w:pStyle w:val="ListParagraph"/>
        <w:numPr>
          <w:ilvl w:val="0"/>
          <w:numId w:val="1"/>
        </w:numPr>
        <w:spacing w:before="220" w:after="0" w:line="259" w:lineRule="auto"/>
        <w:ind w:left="709" w:hanging="709"/>
        <w:contextualSpacing w:val="0"/>
        <w:jc w:val="both"/>
      </w:pPr>
      <w:r w:rsidRPr="00015237">
        <w:t>T</w:t>
      </w:r>
      <w:r w:rsidR="00135D84" w:rsidRPr="00015237">
        <w:t>he Aotearoa New Zealand Homeless Action Plan</w:t>
      </w:r>
      <w:r w:rsidRPr="00015237">
        <w:t xml:space="preserve"> </w:t>
      </w:r>
      <w:r w:rsidR="002238BB">
        <w:t>was published in February 2020 to deliver on the Government’s vision that homelessness is prevented where possible, or is rare, brief and non-recurring</w:t>
      </w:r>
      <w:r w:rsidR="00135D84" w:rsidRPr="00015237">
        <w:t xml:space="preserve">. By working in partnership with the community, the </w:t>
      </w:r>
      <w:r w:rsidR="001F7D23" w:rsidRPr="00015237">
        <w:t>G</w:t>
      </w:r>
      <w:r w:rsidR="00135D84" w:rsidRPr="00015237">
        <w:t xml:space="preserve">overnment </w:t>
      </w:r>
      <w:r w:rsidRPr="00015237">
        <w:t>i</w:t>
      </w:r>
      <w:r w:rsidR="00135D84" w:rsidRPr="00015237">
        <w:t xml:space="preserve">s increasing the supply of housing, supporting people with services to help them sustain suitable housing, and build better lives. By 2024, the Government will have delivered more than 18,000 new public and transitional housing places and is committed to increasing further supply. </w:t>
      </w:r>
    </w:p>
    <w:p w14:paraId="7B103FED" w14:textId="5EDD0A91" w:rsidR="00135D84" w:rsidRPr="006B276E" w:rsidRDefault="00135D84" w:rsidP="006873E0">
      <w:pPr>
        <w:pStyle w:val="Heading2"/>
        <w:jc w:val="both"/>
      </w:pPr>
      <w:r w:rsidRPr="006B276E">
        <w:t xml:space="preserve">Plan and invest in our places </w:t>
      </w:r>
    </w:p>
    <w:p w14:paraId="66C5574C" w14:textId="3DCF5EA0" w:rsidR="00032E6A" w:rsidRPr="00015237" w:rsidRDefault="00C17301" w:rsidP="006873E0">
      <w:pPr>
        <w:pStyle w:val="ListParagraph"/>
        <w:numPr>
          <w:ilvl w:val="0"/>
          <w:numId w:val="1"/>
        </w:numPr>
        <w:spacing w:before="220" w:after="0" w:line="259" w:lineRule="auto"/>
        <w:ind w:left="709" w:hanging="709"/>
        <w:contextualSpacing w:val="0"/>
        <w:jc w:val="both"/>
      </w:pPr>
      <w:r w:rsidRPr="00015237">
        <w:t>T</w:t>
      </w:r>
      <w:r w:rsidR="00032E6A" w:rsidRPr="00015237">
        <w:t xml:space="preserve">he Government </w:t>
      </w:r>
      <w:r w:rsidR="00903CAA" w:rsidRPr="00015237">
        <w:t>is</w:t>
      </w:r>
      <w:r w:rsidR="00032E6A" w:rsidRPr="00015237">
        <w:t xml:space="preserve"> </w:t>
      </w:r>
      <w:r w:rsidR="00372EF5">
        <w:t>aims to</w:t>
      </w:r>
      <w:r w:rsidR="00C73189">
        <w:t xml:space="preserve"> </w:t>
      </w:r>
      <w:r w:rsidRPr="00015237">
        <w:t xml:space="preserve">deliver more affordable housing </w:t>
      </w:r>
      <w:r w:rsidR="00032E6A" w:rsidRPr="00015237">
        <w:t xml:space="preserve">in a way that </w:t>
      </w:r>
      <w:r w:rsidR="00903CAA" w:rsidRPr="00015237">
        <w:t xml:space="preserve">focuses on the needs of different communities, and </w:t>
      </w:r>
      <w:r w:rsidR="00032E6A" w:rsidRPr="00015237">
        <w:t xml:space="preserve">gives people good access to services, jobs and social connections. </w:t>
      </w:r>
      <w:r w:rsidR="00372EF5">
        <w:t>It</w:t>
      </w:r>
      <w:r w:rsidR="00C73189">
        <w:t xml:space="preserve"> </w:t>
      </w:r>
      <w:r w:rsidR="00032E6A" w:rsidRPr="00015237">
        <w:t xml:space="preserve">recognises that </w:t>
      </w:r>
      <w:r w:rsidR="00C37E63" w:rsidRPr="00015237">
        <w:t>there has not been enough planning and investment</w:t>
      </w:r>
      <w:r w:rsidR="00032E6A" w:rsidRPr="00015237">
        <w:t xml:space="preserve"> for communities to grow and</w:t>
      </w:r>
      <w:r w:rsidR="00372EF5">
        <w:t xml:space="preserve"> to</w:t>
      </w:r>
      <w:r w:rsidR="00032E6A" w:rsidRPr="00015237">
        <w:t xml:space="preserve"> meet </w:t>
      </w:r>
      <w:r w:rsidR="00372EF5">
        <w:t>Aotearoa New Zealand’s</w:t>
      </w:r>
      <w:r w:rsidR="00032E6A" w:rsidRPr="00015237">
        <w:t xml:space="preserve"> ongoing needs sustainably and equitably. </w:t>
      </w:r>
      <w:r w:rsidR="005C724A">
        <w:t>The Government plans to propose n</w:t>
      </w:r>
      <w:r w:rsidR="00032E6A" w:rsidRPr="00015237">
        <w:t xml:space="preserve">ew legislation that will require local authorities to plan adequately for more housing density in our main urban centres, so that people have more housing choices in the places where growth is occurring, and which offer good access to services, amenities and employment to support their wellbeing. </w:t>
      </w:r>
    </w:p>
    <w:p w14:paraId="64B20B59" w14:textId="200822EC" w:rsidR="00032E6A" w:rsidRPr="006B276E" w:rsidRDefault="00032E6A" w:rsidP="006873E0">
      <w:pPr>
        <w:pStyle w:val="Heading2"/>
        <w:jc w:val="both"/>
      </w:pPr>
      <w:r w:rsidRPr="006B276E">
        <w:lastRenderedPageBreak/>
        <w:t xml:space="preserve">Support whānau to have safe, healthy, affordable homes with secure tenure </w:t>
      </w:r>
    </w:p>
    <w:p w14:paraId="46B6F2E9" w14:textId="54EF6253" w:rsidR="00F025A5" w:rsidRPr="00015237" w:rsidRDefault="00F025A5" w:rsidP="006873E0">
      <w:pPr>
        <w:pStyle w:val="ListParagraph"/>
        <w:numPr>
          <w:ilvl w:val="0"/>
          <w:numId w:val="1"/>
        </w:numPr>
        <w:spacing w:before="220" w:after="0" w:line="259" w:lineRule="auto"/>
        <w:ind w:left="709" w:hanging="709"/>
        <w:contextualSpacing w:val="0"/>
        <w:jc w:val="both"/>
      </w:pPr>
      <w:r w:rsidRPr="00015237">
        <w:t xml:space="preserve">The Government has also co-designed with Māori a new National Māori Housing Strategy, </w:t>
      </w:r>
      <w:r w:rsidR="00F94468">
        <w:t>the Māori and Iwi Housing Innovation Framework (MAIHI</w:t>
      </w:r>
      <w:r w:rsidRPr="00015237">
        <w:t xml:space="preserve"> Ka Ora</w:t>
      </w:r>
      <w:r w:rsidR="00F94468">
        <w:t>)</w:t>
      </w:r>
      <w:r w:rsidRPr="00015237">
        <w:t>. MAIHI Ka Ora</w:t>
      </w:r>
      <w:r w:rsidRPr="00015237">
        <w:rPr>
          <w:lang w:val="en-NZ"/>
        </w:rPr>
        <w:t xml:space="preserve"> responds to the Māori housing crisis by </w:t>
      </w:r>
      <w:r w:rsidRPr="00F6790D">
        <w:t>enabl</w:t>
      </w:r>
      <w:r>
        <w:t>ing</w:t>
      </w:r>
      <w:r w:rsidRPr="00015237">
        <w:rPr>
          <w:lang w:val="en-NZ"/>
        </w:rPr>
        <w:t xml:space="preserve"> </w:t>
      </w:r>
      <w:r>
        <w:rPr>
          <w:lang w:val="en-NZ"/>
        </w:rPr>
        <w:t xml:space="preserve">the </w:t>
      </w:r>
      <w:r w:rsidRPr="00015237">
        <w:rPr>
          <w:lang w:val="en-NZ"/>
        </w:rPr>
        <w:t xml:space="preserve">Māori-led housing solutions </w:t>
      </w:r>
      <w:r>
        <w:rPr>
          <w:lang w:val="en-NZ"/>
        </w:rPr>
        <w:t xml:space="preserve">that are </w:t>
      </w:r>
      <w:r w:rsidRPr="00015237">
        <w:rPr>
          <w:lang w:val="en-NZ"/>
        </w:rPr>
        <w:t xml:space="preserve">needed to address the causes and effects of poor and inadequate housing for Māori. </w:t>
      </w:r>
    </w:p>
    <w:p w14:paraId="55BE7AA2" w14:textId="6536CE08" w:rsidR="003B4EE4" w:rsidRDefault="00903CAA" w:rsidP="006873E0">
      <w:pPr>
        <w:pStyle w:val="ListParagraph"/>
        <w:numPr>
          <w:ilvl w:val="0"/>
          <w:numId w:val="1"/>
        </w:numPr>
        <w:spacing w:before="220" w:after="0" w:line="259" w:lineRule="auto"/>
        <w:ind w:left="709" w:hanging="709"/>
        <w:contextualSpacing w:val="0"/>
        <w:jc w:val="both"/>
      </w:pPr>
      <w:r w:rsidRPr="00015237">
        <w:t xml:space="preserve">Supporting the right of Māori to self-determine and realise better housing outcomes, and building a more effective </w:t>
      </w:r>
      <w:r w:rsidR="00C17301" w:rsidRPr="00015237">
        <w:t>t</w:t>
      </w:r>
      <w:r w:rsidRPr="00015237">
        <w:t xml:space="preserve">e Tiriti partnership, is a central element of GPS-HUD and MAIHI Ka Ora. The Government recognises </w:t>
      </w:r>
      <w:r w:rsidR="003B4EE4">
        <w:t>one</w:t>
      </w:r>
      <w:r w:rsidRPr="00015237">
        <w:t xml:space="preserve"> barrier for Māori </w:t>
      </w:r>
      <w:r w:rsidR="003B4EE4">
        <w:t xml:space="preserve">is the lack of </w:t>
      </w:r>
      <w:r w:rsidRPr="00015237">
        <w:t>access to financing for housing development and infrastructure on whenua Māori (Māori land) in particular</w:t>
      </w:r>
      <w:r w:rsidR="003B4EE4">
        <w:t>.</w:t>
      </w:r>
      <w:r w:rsidRPr="00015237">
        <w:t xml:space="preserve"> </w:t>
      </w:r>
      <w:r w:rsidR="003B4EE4">
        <w:t>D</w:t>
      </w:r>
      <w:r w:rsidRPr="00015237">
        <w:t xml:space="preserve">edicated funding </w:t>
      </w:r>
      <w:r w:rsidR="003B4EE4">
        <w:t xml:space="preserve">is needed </w:t>
      </w:r>
      <w:r w:rsidRPr="00015237">
        <w:t>to address this</w:t>
      </w:r>
      <w:r w:rsidR="003B4EE4">
        <w:t xml:space="preserve"> as well as</w:t>
      </w:r>
      <w:r w:rsidRPr="00015237">
        <w:t xml:space="preserve"> support </w:t>
      </w:r>
      <w:r w:rsidR="003B4EE4">
        <w:t xml:space="preserve">for </w:t>
      </w:r>
      <w:r w:rsidRPr="00015237">
        <w:t>collective models of Māori home ownership and communal living alternatives.</w:t>
      </w:r>
    </w:p>
    <w:p w14:paraId="1BC747B7" w14:textId="3E7465C9" w:rsidR="00903CAA" w:rsidRPr="00015237" w:rsidRDefault="00903CAA" w:rsidP="006873E0">
      <w:pPr>
        <w:pStyle w:val="ListParagraph"/>
        <w:numPr>
          <w:ilvl w:val="0"/>
          <w:numId w:val="1"/>
        </w:numPr>
        <w:spacing w:before="220" w:after="0" w:line="259" w:lineRule="auto"/>
        <w:ind w:left="709" w:hanging="709"/>
        <w:contextualSpacing w:val="0"/>
        <w:jc w:val="both"/>
      </w:pPr>
      <w:r w:rsidRPr="00015237">
        <w:t xml:space="preserve">In 2021 </w:t>
      </w:r>
      <w:r w:rsidRPr="008322BC">
        <w:rPr>
          <w:i/>
          <w:iCs/>
        </w:rPr>
        <w:t>Whai Kāinga Whai Oranga</w:t>
      </w:r>
      <w:r w:rsidRPr="00015237">
        <w:t xml:space="preserve"> was launched</w:t>
      </w:r>
      <w:r w:rsidR="003B4EE4">
        <w:t xml:space="preserve"> with a</w:t>
      </w:r>
      <w:r w:rsidRPr="00015237">
        <w:t xml:space="preserve"> combin</w:t>
      </w:r>
      <w:r w:rsidR="003B4EE4">
        <w:t>ed</w:t>
      </w:r>
      <w:r w:rsidRPr="00015237">
        <w:t xml:space="preserve"> investment from Budget 2021 ($380</w:t>
      </w:r>
      <w:r w:rsidR="00C17301" w:rsidRPr="00015237">
        <w:t xml:space="preserve"> </w:t>
      </w:r>
      <w:r w:rsidRPr="00015237">
        <w:t>m</w:t>
      </w:r>
      <w:r w:rsidR="00C17301" w:rsidRPr="00015237">
        <w:t>illion</w:t>
      </w:r>
      <w:r w:rsidRPr="00015237">
        <w:t>) and the Māori Infrastructure Fund ($350</w:t>
      </w:r>
      <w:r w:rsidR="00C17301" w:rsidRPr="00015237">
        <w:t xml:space="preserve"> </w:t>
      </w:r>
      <w:r w:rsidRPr="00015237">
        <w:t>m</w:t>
      </w:r>
      <w:r w:rsidR="00C17301" w:rsidRPr="00015237">
        <w:t>illion</w:t>
      </w:r>
      <w:r w:rsidRPr="00015237">
        <w:t>)</w:t>
      </w:r>
      <w:r w:rsidR="003B4EE4">
        <w:t xml:space="preserve">. This is </w:t>
      </w:r>
      <w:r w:rsidRPr="00015237">
        <w:t xml:space="preserve">the largest investment ever in Māori </w:t>
      </w:r>
      <w:r w:rsidR="003B4EE4">
        <w:t>h</w:t>
      </w:r>
      <w:r w:rsidRPr="00015237">
        <w:t>ousing.</w:t>
      </w:r>
      <w:r w:rsidRPr="00015237">
        <w:rPr>
          <w:color w:val="0B0B0B"/>
          <w:sz w:val="27"/>
          <w:szCs w:val="27"/>
          <w:shd w:val="clear" w:color="auto" w:fill="FFFFFF"/>
        </w:rPr>
        <w:t xml:space="preserve"> </w:t>
      </w:r>
      <w:r w:rsidRPr="00015237">
        <w:t>Through this investment, the Crown and Māori can build towards a future where Māori increasingly lead and deliver their whānau, hapū and iwi housing aspirations in their own communities and regions.</w:t>
      </w:r>
    </w:p>
    <w:p w14:paraId="248BEAF7" w14:textId="11A0F197" w:rsidR="00726A3E" w:rsidRPr="00720C23" w:rsidRDefault="00726A3E" w:rsidP="006873E0">
      <w:pPr>
        <w:pStyle w:val="Heading2"/>
        <w:jc w:val="both"/>
      </w:pPr>
      <w:r w:rsidRPr="00720C23">
        <w:t xml:space="preserve">Re-establish housing’s primary role as a home rather than a financial asset </w:t>
      </w:r>
    </w:p>
    <w:p w14:paraId="60192E05" w14:textId="410758F2" w:rsidR="008322BC" w:rsidRDefault="00726A3E" w:rsidP="006873E0">
      <w:pPr>
        <w:pStyle w:val="ListParagraph"/>
        <w:numPr>
          <w:ilvl w:val="0"/>
          <w:numId w:val="1"/>
        </w:numPr>
        <w:spacing w:before="220" w:after="0" w:line="259" w:lineRule="auto"/>
        <w:ind w:left="709" w:hanging="709"/>
        <w:contextualSpacing w:val="0"/>
        <w:jc w:val="both"/>
      </w:pPr>
      <w:r w:rsidRPr="00015237">
        <w:t xml:space="preserve">Housing speculation has fuelled housing unaffordability and social inequality in Aotearoa New Zealand. Addressing this is a focus for GPS-HUD and the subject of recent Government actions, including </w:t>
      </w:r>
      <w:r w:rsidR="004C316D" w:rsidRPr="00015237">
        <w:t xml:space="preserve">tax measures related to property investment and a direction to </w:t>
      </w:r>
      <w:r w:rsidR="00CD107D" w:rsidRPr="00015237">
        <w:t xml:space="preserve">the Reserve Bank requiring it to have regard to government policy on housing in relation to its financial policy functions. </w:t>
      </w:r>
      <w:r w:rsidR="004C316D" w:rsidRPr="00015237">
        <w:t>This means</w:t>
      </w:r>
      <w:r w:rsidR="00CD107D" w:rsidRPr="00015237">
        <w:t xml:space="preserve"> the Reserve Bank now </w:t>
      </w:r>
      <w:r w:rsidR="00B5408F" w:rsidRPr="00015237">
        <w:t>must</w:t>
      </w:r>
      <w:r w:rsidR="00CD107D" w:rsidRPr="00015237">
        <w:t xml:space="preserve"> take into account the Government’s objective to support more sustainable house prices, including by dampening investor demand for existing housing stock to help improve affordability.</w:t>
      </w:r>
    </w:p>
    <w:p w14:paraId="51EC21AA" w14:textId="34B3C0E0" w:rsidR="008322BC" w:rsidRDefault="008322BC" w:rsidP="006873E0">
      <w:pPr>
        <w:pStyle w:val="Heading1"/>
        <w:spacing w:line="276" w:lineRule="auto"/>
      </w:pPr>
      <w:r w:rsidRPr="00015237">
        <w:t xml:space="preserve">Rights of Children </w:t>
      </w:r>
    </w:p>
    <w:p w14:paraId="310B6077" w14:textId="576DFBFC" w:rsidR="00321E4F" w:rsidRDefault="00CD107D" w:rsidP="006873E0">
      <w:pPr>
        <w:pStyle w:val="ListParagraph"/>
        <w:numPr>
          <w:ilvl w:val="0"/>
          <w:numId w:val="1"/>
        </w:numPr>
        <w:spacing w:before="220" w:after="0" w:line="259" w:lineRule="auto"/>
        <w:ind w:left="709" w:hanging="709"/>
        <w:contextualSpacing w:val="0"/>
        <w:jc w:val="both"/>
      </w:pPr>
      <w:r w:rsidRPr="00015237">
        <w:t xml:space="preserve"> </w:t>
      </w:r>
      <w:r w:rsidR="008322BC">
        <w:t xml:space="preserve">While the majority of Aotearoa New Zealand’s children and young people are doing well, the distressing reality is that many are not experiencing </w:t>
      </w:r>
      <w:r w:rsidR="007275E4">
        <w:t xml:space="preserve">anything close to a good life. Too many children and young people and their families face social challenges like poverty, inequality, violence, addiction and poor mental wellbeing that impact them and their prospects. </w:t>
      </w:r>
    </w:p>
    <w:p w14:paraId="117097A3" w14:textId="28D1CF92" w:rsidR="00F9317B" w:rsidRPr="009C5BEF" w:rsidRDefault="0050715A" w:rsidP="006873E0">
      <w:pPr>
        <w:pStyle w:val="Heading2"/>
        <w:jc w:val="both"/>
      </w:pPr>
      <w:r w:rsidRPr="009C5BEF">
        <w:t>Optional Protocol to the Children’s Convention (individual communications)</w:t>
      </w:r>
    </w:p>
    <w:p w14:paraId="16CE84B5" w14:textId="797A7E1A" w:rsidR="0050715A" w:rsidRPr="007275E4" w:rsidRDefault="00953752" w:rsidP="006873E0">
      <w:pPr>
        <w:keepNext/>
        <w:spacing w:before="220" w:after="0" w:line="259" w:lineRule="auto"/>
        <w:jc w:val="both"/>
        <w:rPr>
          <w:lang w:val="en-NZ"/>
        </w:rPr>
      </w:pPr>
      <w:r w:rsidRPr="007275E4">
        <w:rPr>
          <w:lang w:val="en-NZ"/>
        </w:rPr>
        <w:t>UPR Recommendation</w:t>
      </w:r>
      <w:r w:rsidR="00F9317B" w:rsidRPr="007275E4">
        <w:rPr>
          <w:lang w:val="en-NZ"/>
        </w:rPr>
        <w:t>s</w:t>
      </w:r>
      <w:r w:rsidR="00823A1B" w:rsidRPr="007275E4">
        <w:rPr>
          <w:lang w:val="en-NZ"/>
        </w:rPr>
        <w:t>:</w:t>
      </w:r>
      <w:r w:rsidR="00A426BD" w:rsidRPr="007275E4">
        <w:rPr>
          <w:lang w:val="en-NZ"/>
        </w:rPr>
        <w:t xml:space="preserve"> </w:t>
      </w:r>
      <w:r w:rsidR="00903542" w:rsidRPr="007275E4">
        <w:rPr>
          <w:lang w:val="en-NZ"/>
        </w:rPr>
        <w:t xml:space="preserve">1, 2, </w:t>
      </w:r>
      <w:r w:rsidR="00A426BD" w:rsidRPr="007275E4">
        <w:rPr>
          <w:lang w:val="en-NZ"/>
        </w:rPr>
        <w:t>1</w:t>
      </w:r>
      <w:r w:rsidR="00823A1B" w:rsidRPr="007275E4">
        <w:rPr>
          <w:lang w:val="en-NZ"/>
        </w:rPr>
        <w:t>8-2</w:t>
      </w:r>
      <w:r w:rsidR="003F2331" w:rsidRPr="007275E4">
        <w:rPr>
          <w:lang w:val="en-NZ"/>
        </w:rPr>
        <w:t>2</w:t>
      </w:r>
      <w:r w:rsidR="00A426BD" w:rsidRPr="007275E4">
        <w:rPr>
          <w:lang w:val="en-NZ"/>
        </w:rPr>
        <w:t>, 40</w:t>
      </w:r>
    </w:p>
    <w:p w14:paraId="3C8633B8" w14:textId="7E9BE0C4" w:rsidR="0050715A" w:rsidRPr="00015237" w:rsidRDefault="002B6E5E" w:rsidP="006873E0">
      <w:pPr>
        <w:pStyle w:val="ListParagraph"/>
        <w:numPr>
          <w:ilvl w:val="0"/>
          <w:numId w:val="1"/>
        </w:numPr>
        <w:spacing w:before="220" w:after="0" w:line="259" w:lineRule="auto"/>
        <w:ind w:left="709" w:hanging="709"/>
        <w:contextualSpacing w:val="0"/>
        <w:jc w:val="both"/>
      </w:pPr>
      <w:r w:rsidRPr="00015237">
        <w:t>In</w:t>
      </w:r>
      <w:r w:rsidR="0050715A" w:rsidRPr="00015237">
        <w:t xml:space="preserve"> November 2021, </w:t>
      </w:r>
      <w:r w:rsidR="00890F7C">
        <w:t>the Government</w:t>
      </w:r>
      <w:r w:rsidR="0050715A" w:rsidRPr="00015237">
        <w:t xml:space="preserve"> agreed that New Zealand </w:t>
      </w:r>
      <w:r w:rsidR="00C03D9F">
        <w:t>should</w:t>
      </w:r>
      <w:r w:rsidR="0050715A" w:rsidRPr="00015237">
        <w:t xml:space="preserve"> </w:t>
      </w:r>
      <w:r w:rsidR="00C03D9F">
        <w:t xml:space="preserve">accede to </w:t>
      </w:r>
      <w:r w:rsidR="0050715A" w:rsidRPr="00015237">
        <w:t>the O</w:t>
      </w:r>
      <w:r w:rsidRPr="00015237">
        <w:t>ptional Protocol</w:t>
      </w:r>
      <w:r w:rsidR="00890F7C">
        <w:t xml:space="preserve"> to the Convention on the Rights of the Child</w:t>
      </w:r>
      <w:r w:rsidR="00C03D9F">
        <w:t xml:space="preserve"> </w:t>
      </w:r>
      <w:r w:rsidR="00C03D9F" w:rsidRPr="00C03D9F">
        <w:t>on a communications procedure</w:t>
      </w:r>
      <w:r w:rsidRPr="00015237">
        <w:t xml:space="preserve">. Following our usual process, </w:t>
      </w:r>
      <w:r w:rsidR="00C03D9F">
        <w:t xml:space="preserve">Parliament will now consider </w:t>
      </w:r>
      <w:r w:rsidRPr="00015237">
        <w:t>accession and its implications</w:t>
      </w:r>
      <w:r w:rsidR="0050715A" w:rsidRPr="00015237">
        <w:t xml:space="preserve">. </w:t>
      </w:r>
      <w:r w:rsidR="00C03D9F">
        <w:t xml:space="preserve"> </w:t>
      </w:r>
      <w:r w:rsidR="00C73189">
        <w:t xml:space="preserve">Once </w:t>
      </w:r>
      <w:r w:rsidR="00C73189" w:rsidRPr="00015237">
        <w:t>the</w:t>
      </w:r>
      <w:r w:rsidR="0050715A" w:rsidRPr="00015237">
        <w:t xml:space="preserve"> </w:t>
      </w:r>
      <w:r w:rsidR="00477CA2">
        <w:t>p</w:t>
      </w:r>
      <w:r w:rsidR="0050715A" w:rsidRPr="00015237">
        <w:t>arliamentary treaty examination</w:t>
      </w:r>
      <w:r w:rsidRPr="00015237">
        <w:t xml:space="preserve"> </w:t>
      </w:r>
      <w:r w:rsidR="00C03D9F">
        <w:t xml:space="preserve">is complete, </w:t>
      </w:r>
      <w:r w:rsidR="0050715A" w:rsidRPr="00015237">
        <w:t>New Zealand</w:t>
      </w:r>
      <w:r w:rsidR="00C73189">
        <w:t xml:space="preserve"> </w:t>
      </w:r>
      <w:r w:rsidR="00372EF5">
        <w:t>may</w:t>
      </w:r>
      <w:r w:rsidR="0050715A" w:rsidRPr="00015237">
        <w:t xml:space="preserve"> be in a position to deposit </w:t>
      </w:r>
      <w:r w:rsidR="00C03D9F">
        <w:t>the</w:t>
      </w:r>
      <w:r w:rsidR="0050715A" w:rsidRPr="00015237">
        <w:t xml:space="preserve"> </w:t>
      </w:r>
      <w:r w:rsidRPr="00015237">
        <w:t>i</w:t>
      </w:r>
      <w:r w:rsidR="0050715A" w:rsidRPr="00015237">
        <w:t xml:space="preserve">nstrument of </w:t>
      </w:r>
      <w:r w:rsidRPr="00015237">
        <w:t>a</w:t>
      </w:r>
      <w:r w:rsidR="0050715A" w:rsidRPr="00015237">
        <w:t xml:space="preserve">ccession by mid-2022, for entry into force by late 2022. </w:t>
      </w:r>
    </w:p>
    <w:p w14:paraId="1570FBB3" w14:textId="603B4C14" w:rsidR="00262FC2" w:rsidRPr="00015237" w:rsidRDefault="002B6E5E" w:rsidP="006873E0">
      <w:pPr>
        <w:pStyle w:val="ListParagraph"/>
        <w:numPr>
          <w:ilvl w:val="0"/>
          <w:numId w:val="1"/>
        </w:numPr>
        <w:spacing w:before="220" w:after="0" w:line="259" w:lineRule="auto"/>
        <w:ind w:left="709" w:hanging="709"/>
        <w:contextualSpacing w:val="0"/>
        <w:jc w:val="both"/>
      </w:pPr>
      <w:r w:rsidRPr="00015237">
        <w:t>Relevant agencies will also</w:t>
      </w:r>
      <w:r w:rsidR="0050715A" w:rsidRPr="00015237">
        <w:t xml:space="preserve"> develop a </w:t>
      </w:r>
      <w:r w:rsidR="00C03D9F">
        <w:t>c</w:t>
      </w:r>
      <w:r w:rsidR="0050715A" w:rsidRPr="00015237">
        <w:t xml:space="preserve">ommunications </w:t>
      </w:r>
      <w:r w:rsidR="00C03D9F">
        <w:t>p</w:t>
      </w:r>
      <w:r w:rsidR="0050715A" w:rsidRPr="00015237">
        <w:t xml:space="preserve">lan to ensure </w:t>
      </w:r>
      <w:r w:rsidR="00372EF5">
        <w:t>people</w:t>
      </w:r>
      <w:r w:rsidR="00C73189">
        <w:t xml:space="preserve"> </w:t>
      </w:r>
      <w:r w:rsidR="0050715A" w:rsidRPr="00015237">
        <w:t>are aware of their right to take</w:t>
      </w:r>
      <w:r w:rsidR="00372EF5">
        <w:t xml:space="preserve"> a</w:t>
      </w:r>
      <w:r w:rsidR="0050715A" w:rsidRPr="00015237">
        <w:t xml:space="preserve"> complain</w:t>
      </w:r>
      <w:r w:rsidR="00C63E14" w:rsidRPr="00015237">
        <w:t>t</w:t>
      </w:r>
      <w:r w:rsidR="0050715A" w:rsidRPr="00015237">
        <w:t xml:space="preserve"> to the United Nations under </w:t>
      </w:r>
      <w:r w:rsidRPr="00015237">
        <w:t>the Optional Protocol</w:t>
      </w:r>
      <w:r w:rsidR="00372EF5">
        <w:t>,</w:t>
      </w:r>
      <w:r w:rsidRPr="00015237">
        <w:t xml:space="preserve"> in addition </w:t>
      </w:r>
      <w:r w:rsidR="00262FC2" w:rsidRPr="00015237">
        <w:t>to raising</w:t>
      </w:r>
      <w:r w:rsidR="0050715A" w:rsidRPr="00015237">
        <w:t xml:space="preserve"> awareness about the </w:t>
      </w:r>
      <w:r w:rsidR="00C03D9F">
        <w:t>Children’s Convention</w:t>
      </w:r>
      <w:r w:rsidR="0050715A" w:rsidRPr="00015237">
        <w:t xml:space="preserve"> in general.</w:t>
      </w:r>
    </w:p>
    <w:p w14:paraId="225AA3F9" w14:textId="77777777" w:rsidR="00262FC2" w:rsidRPr="009C5BEF" w:rsidRDefault="00742B57" w:rsidP="006873E0">
      <w:pPr>
        <w:pStyle w:val="Heading2"/>
        <w:jc w:val="both"/>
      </w:pPr>
      <w:r w:rsidRPr="009C5BEF">
        <w:lastRenderedPageBreak/>
        <w:t>N</w:t>
      </w:r>
      <w:r w:rsidR="002B6E5E" w:rsidRPr="009C5BEF">
        <w:t>ew Zealand Child and Youth Wellbeing Strategy</w:t>
      </w:r>
      <w:r w:rsidR="00507561" w:rsidRPr="009C5BEF">
        <w:t xml:space="preserve"> </w:t>
      </w:r>
    </w:p>
    <w:p w14:paraId="15DA392B" w14:textId="6B44B204" w:rsidR="00742B57" w:rsidRPr="007275E4" w:rsidRDefault="00953752" w:rsidP="006873E0">
      <w:pPr>
        <w:keepNext/>
        <w:spacing w:before="220" w:after="0" w:line="259" w:lineRule="auto"/>
        <w:jc w:val="both"/>
        <w:rPr>
          <w:lang w:val="en-NZ"/>
        </w:rPr>
      </w:pPr>
      <w:r w:rsidRPr="007275E4">
        <w:rPr>
          <w:lang w:val="en-NZ"/>
        </w:rPr>
        <w:t>UPR Recommendation</w:t>
      </w:r>
      <w:r w:rsidR="005A665B" w:rsidRPr="007275E4">
        <w:rPr>
          <w:lang w:val="en-NZ"/>
        </w:rPr>
        <w:t>:</w:t>
      </w:r>
      <w:r w:rsidR="002B6E5E" w:rsidRPr="007275E4">
        <w:rPr>
          <w:lang w:val="en-NZ"/>
        </w:rPr>
        <w:t xml:space="preserve"> </w:t>
      </w:r>
      <w:r w:rsidR="00742B57" w:rsidRPr="007275E4">
        <w:rPr>
          <w:lang w:val="en-NZ"/>
        </w:rPr>
        <w:t>147</w:t>
      </w:r>
    </w:p>
    <w:p w14:paraId="15E8ABFF" w14:textId="5DE286B6" w:rsidR="00742B57" w:rsidRPr="00015237" w:rsidRDefault="00742B57" w:rsidP="006873E0">
      <w:pPr>
        <w:pStyle w:val="ListParagraph"/>
        <w:numPr>
          <w:ilvl w:val="0"/>
          <w:numId w:val="1"/>
        </w:numPr>
        <w:spacing w:before="220" w:after="0" w:line="259" w:lineRule="auto"/>
        <w:ind w:left="709" w:hanging="709"/>
        <w:contextualSpacing w:val="0"/>
        <w:jc w:val="both"/>
      </w:pPr>
      <w:r w:rsidRPr="00015237">
        <w:t xml:space="preserve">New Zealand’s first Child and Youth Wellbeing Strategy was launched in August 2019. It sets out a shared understanding of what is important for child and youth wellbeing, what </w:t>
      </w:r>
      <w:r w:rsidR="00477CA2">
        <w:t>the G</w:t>
      </w:r>
      <w:r w:rsidRPr="00015237">
        <w:t xml:space="preserve">overnment is doing, and how others can help. </w:t>
      </w:r>
    </w:p>
    <w:p w14:paraId="1AB7E985" w14:textId="5656E016" w:rsidR="00742B57" w:rsidRPr="00015237" w:rsidRDefault="00742B57" w:rsidP="006873E0">
      <w:pPr>
        <w:pStyle w:val="ListParagraph"/>
        <w:numPr>
          <w:ilvl w:val="0"/>
          <w:numId w:val="1"/>
        </w:numPr>
        <w:spacing w:before="220" w:after="0" w:line="259" w:lineRule="auto"/>
        <w:ind w:left="709" w:hanging="709"/>
        <w:contextualSpacing w:val="0"/>
        <w:jc w:val="both"/>
      </w:pPr>
      <w:r w:rsidRPr="00015237">
        <w:t xml:space="preserve">The </w:t>
      </w:r>
      <w:r w:rsidR="00477CA2">
        <w:t>s</w:t>
      </w:r>
      <w:r w:rsidRPr="00015237">
        <w:t xml:space="preserve">trategy features nine principles that reflect the values that are important to New Zealanders and that promote wellbeing and equity for all children and young people. One of the principles is a commitment to respecting and upholding children’s rights in New Zealand, including the rights derived from </w:t>
      </w:r>
      <w:r w:rsidR="00D71C43">
        <w:t>the Children’s Convention</w:t>
      </w:r>
      <w:r w:rsidRPr="00015237">
        <w:t xml:space="preserve"> and the Convention on the Rights of Persons with Disabilities. </w:t>
      </w:r>
    </w:p>
    <w:p w14:paraId="552F624E" w14:textId="5DDFA261" w:rsidR="00E41BD2" w:rsidRPr="00015237" w:rsidRDefault="00742B57" w:rsidP="006873E0">
      <w:pPr>
        <w:pStyle w:val="ListParagraph"/>
        <w:numPr>
          <w:ilvl w:val="0"/>
          <w:numId w:val="1"/>
        </w:numPr>
        <w:spacing w:before="220" w:after="0" w:line="259" w:lineRule="auto"/>
        <w:ind w:left="709" w:hanging="709"/>
        <w:contextualSpacing w:val="0"/>
        <w:jc w:val="both"/>
      </w:pPr>
      <w:r w:rsidRPr="00015237">
        <w:t xml:space="preserve">Actions </w:t>
      </w:r>
      <w:r w:rsidR="00E41BD2" w:rsidRPr="00015237">
        <w:t>under</w:t>
      </w:r>
      <w:r w:rsidRPr="00015237">
        <w:t xml:space="preserve"> the </w:t>
      </w:r>
      <w:r w:rsidR="00477CA2">
        <w:t>s</w:t>
      </w:r>
      <w:r w:rsidRPr="00015237">
        <w:t xml:space="preserve">trategy to respect and uphold children’s rights include: improving advocacy, building public service competency and capability; enhancing and promoting the use of tools to support children’s rights across government; </w:t>
      </w:r>
      <w:r w:rsidR="00372EF5">
        <w:t xml:space="preserve">and </w:t>
      </w:r>
      <w:r w:rsidRPr="00015237">
        <w:t xml:space="preserve">increasing youth voice and representation across government, including </w:t>
      </w:r>
      <w:r w:rsidR="00E41BD2" w:rsidRPr="00015237">
        <w:t xml:space="preserve">in </w:t>
      </w:r>
      <w:r w:rsidRPr="00015237">
        <w:t>policy development and decision making</w:t>
      </w:r>
      <w:r w:rsidR="00E41BD2" w:rsidRPr="00015237">
        <w:t xml:space="preserve">. </w:t>
      </w:r>
    </w:p>
    <w:p w14:paraId="6132EB94" w14:textId="67653CC7" w:rsidR="00E41BD2" w:rsidRPr="00015237" w:rsidRDefault="00372EF5" w:rsidP="006873E0">
      <w:pPr>
        <w:pStyle w:val="ListParagraph"/>
        <w:numPr>
          <w:ilvl w:val="0"/>
          <w:numId w:val="1"/>
        </w:numPr>
        <w:spacing w:before="220" w:after="0" w:line="259" w:lineRule="auto"/>
        <w:ind w:left="709" w:hanging="709"/>
        <w:contextualSpacing w:val="0"/>
        <w:jc w:val="both"/>
      </w:pPr>
      <w:r>
        <w:t xml:space="preserve">Legislation requires a review to the </w:t>
      </w:r>
      <w:r w:rsidR="00477CA2">
        <w:t>s</w:t>
      </w:r>
      <w:r>
        <w:t xml:space="preserve">trategy at </w:t>
      </w:r>
      <w:r w:rsidR="00E41BD2" w:rsidRPr="00015237">
        <w:t>least once every three years</w:t>
      </w:r>
      <w:r>
        <w:t>, and it’s</w:t>
      </w:r>
      <w:r w:rsidR="00E41BD2" w:rsidRPr="00015237">
        <w:t xml:space="preserve"> due to be completed by August 2022.</w:t>
      </w:r>
    </w:p>
    <w:p w14:paraId="35322197" w14:textId="2D29CC2E" w:rsidR="00262FC2" w:rsidRPr="00015237" w:rsidRDefault="00E41BD2" w:rsidP="006873E0">
      <w:pPr>
        <w:pStyle w:val="ListParagraph"/>
        <w:numPr>
          <w:ilvl w:val="0"/>
          <w:numId w:val="1"/>
        </w:numPr>
        <w:spacing w:before="220" w:after="0" w:line="259" w:lineRule="auto"/>
        <w:ind w:left="709" w:hanging="709"/>
        <w:contextualSpacing w:val="0"/>
        <w:jc w:val="both"/>
      </w:pPr>
      <w:r w:rsidRPr="00015237">
        <w:t>The legislation also outlines the minimum consultation requirements for any proposed changes to the</w:t>
      </w:r>
      <w:r w:rsidR="00477CA2">
        <w:t xml:space="preserve"> s</w:t>
      </w:r>
      <w:r w:rsidRPr="00015237">
        <w:t xml:space="preserve">trategy, including consultation with children and young people and with representatives of iwi and Māori. This will ensure the </w:t>
      </w:r>
      <w:r w:rsidR="00477CA2">
        <w:t>s</w:t>
      </w:r>
      <w:r w:rsidRPr="00015237">
        <w:t xml:space="preserve">trategy continues to address the issues and challenges facing </w:t>
      </w:r>
      <w:r w:rsidR="00F0283B" w:rsidRPr="00015237">
        <w:t>Aotearoa</w:t>
      </w:r>
      <w:r w:rsidR="00F0283B" w:rsidRPr="00015237">
        <w:rPr>
          <w:lang w:val="en-NZ"/>
        </w:rPr>
        <w:t xml:space="preserve"> </w:t>
      </w:r>
      <w:r w:rsidRPr="00015237">
        <w:t>New Zealand’s children and young people and their whānau.</w:t>
      </w:r>
    </w:p>
    <w:p w14:paraId="6C75CA7C" w14:textId="378ADA8D" w:rsidR="00742B57" w:rsidRPr="00D02D96" w:rsidRDefault="00E90F51" w:rsidP="006873E0">
      <w:pPr>
        <w:pStyle w:val="Heading2"/>
        <w:jc w:val="both"/>
      </w:pPr>
      <w:r w:rsidRPr="00D02D96">
        <w:t xml:space="preserve">Reducing </w:t>
      </w:r>
      <w:r w:rsidR="00477CA2">
        <w:t>c</w:t>
      </w:r>
      <w:r w:rsidRPr="00D02D96">
        <w:t xml:space="preserve">hild poverty </w:t>
      </w:r>
    </w:p>
    <w:p w14:paraId="09C4126A" w14:textId="6EC9C6F2" w:rsidR="000A47A7" w:rsidRPr="007275E4" w:rsidRDefault="00953752" w:rsidP="006873E0">
      <w:pPr>
        <w:keepNext/>
        <w:spacing w:before="220" w:after="0" w:line="259" w:lineRule="auto"/>
        <w:jc w:val="both"/>
        <w:rPr>
          <w:lang w:val="en-NZ"/>
        </w:rPr>
      </w:pPr>
      <w:r w:rsidRPr="007275E4">
        <w:rPr>
          <w:lang w:val="en-NZ"/>
        </w:rPr>
        <w:t>UPR Recommendation</w:t>
      </w:r>
      <w:r w:rsidR="00742B57" w:rsidRPr="007275E4">
        <w:rPr>
          <w:lang w:val="en-NZ"/>
        </w:rPr>
        <w:t>s</w:t>
      </w:r>
      <w:r w:rsidR="005A665B" w:rsidRPr="007275E4">
        <w:rPr>
          <w:lang w:val="en-NZ"/>
        </w:rPr>
        <w:t>:</w:t>
      </w:r>
      <w:r w:rsidR="00DA5D48" w:rsidRPr="007275E4">
        <w:rPr>
          <w:lang w:val="en-NZ"/>
        </w:rPr>
        <w:t xml:space="preserve"> 142, 148, 149-153</w:t>
      </w:r>
    </w:p>
    <w:p w14:paraId="0152D4E3" w14:textId="64EF24E4" w:rsidR="00E90F51" w:rsidRPr="00015237" w:rsidRDefault="00D02D96" w:rsidP="006873E0">
      <w:pPr>
        <w:pStyle w:val="ListParagraph"/>
        <w:numPr>
          <w:ilvl w:val="0"/>
          <w:numId w:val="1"/>
        </w:numPr>
        <w:spacing w:before="220" w:after="0" w:line="259" w:lineRule="auto"/>
        <w:ind w:left="709" w:hanging="709"/>
        <w:contextualSpacing w:val="0"/>
        <w:jc w:val="both"/>
      </w:pPr>
      <w:r>
        <w:t>T</w:t>
      </w:r>
      <w:r w:rsidR="00E90F51" w:rsidRPr="00015237">
        <w:t xml:space="preserve">he Child Poverty Reduction Act 2018 </w:t>
      </w:r>
      <w:r w:rsidR="00E90F51" w:rsidRPr="007275E4">
        <w:rPr>
          <w:lang w:val="en-NZ"/>
        </w:rPr>
        <w:t>establish</w:t>
      </w:r>
      <w:r>
        <w:rPr>
          <w:lang w:val="en-NZ"/>
        </w:rPr>
        <w:t>ed</w:t>
      </w:r>
      <w:r w:rsidR="00E90F51" w:rsidRPr="00015237">
        <w:t xml:space="preserve"> ongoing political accountability for child poverty reduction. The </w:t>
      </w:r>
      <w:r w:rsidR="00372EF5">
        <w:t>Act</w:t>
      </w:r>
      <w:r w:rsidR="00C73189">
        <w:t xml:space="preserve"> </w:t>
      </w:r>
      <w:r w:rsidR="00E90F51" w:rsidRPr="00015237">
        <w:t xml:space="preserve">requires successive </w:t>
      </w:r>
      <w:r w:rsidR="00477CA2">
        <w:t>g</w:t>
      </w:r>
      <w:r w:rsidR="00E90F51" w:rsidRPr="00015237">
        <w:t xml:space="preserve">overnments to set and report against three year and ten-year targets for reducing child poverty. It establishes a suite of measures used to track progress </w:t>
      </w:r>
      <w:r w:rsidR="00C63E14" w:rsidRPr="00015237">
        <w:t xml:space="preserve">against </w:t>
      </w:r>
      <w:r w:rsidR="00E90F51" w:rsidRPr="00015237">
        <w:t xml:space="preserve">the child poverty reduction targets, </w:t>
      </w:r>
      <w:r w:rsidR="00AA613F" w:rsidRPr="00015237">
        <w:t xml:space="preserve">and a </w:t>
      </w:r>
      <w:r w:rsidR="00E90F51" w:rsidRPr="00015237">
        <w:t xml:space="preserve">set of child poverty related indicators that measure key causes and consequences of poverty. </w:t>
      </w:r>
    </w:p>
    <w:p w14:paraId="3E220491" w14:textId="24D8A85B" w:rsidR="00DA5D48" w:rsidRPr="00015237" w:rsidRDefault="00E90F51" w:rsidP="006873E0">
      <w:pPr>
        <w:pStyle w:val="ListParagraph"/>
        <w:numPr>
          <w:ilvl w:val="0"/>
          <w:numId w:val="1"/>
        </w:numPr>
        <w:spacing w:before="220" w:after="0" w:line="259" w:lineRule="auto"/>
        <w:ind w:left="709" w:hanging="709"/>
        <w:contextualSpacing w:val="0"/>
        <w:jc w:val="both"/>
      </w:pPr>
      <w:r w:rsidRPr="00015237">
        <w:t xml:space="preserve">The Government’s goal is to at least halve child poverty within 10 years, </w:t>
      </w:r>
      <w:r w:rsidR="00DA5D48" w:rsidRPr="00015237">
        <w:t>taking the rate of poverty and hardship among our children to world-leading low levels. The child poverty rates for the 2019/20 financial year show that all nine child</w:t>
      </w:r>
      <w:r w:rsidR="00477CA2">
        <w:t xml:space="preserve"> </w:t>
      </w:r>
      <w:r w:rsidR="00DA5D48" w:rsidRPr="00015237">
        <w:t xml:space="preserve">poverty measures have been trending downwards over the two years since the 2017/18 baseline year. This translates to tens of thousands of children lifted out of poverty. </w:t>
      </w:r>
    </w:p>
    <w:p w14:paraId="183FFE23" w14:textId="26BF76D0" w:rsidR="00B559D7" w:rsidRPr="00015237" w:rsidRDefault="009F6DA1" w:rsidP="006873E0">
      <w:pPr>
        <w:pStyle w:val="ListParagraph"/>
        <w:numPr>
          <w:ilvl w:val="0"/>
          <w:numId w:val="1"/>
        </w:numPr>
        <w:spacing w:before="220" w:after="0" w:line="259" w:lineRule="auto"/>
        <w:ind w:left="709" w:hanging="709"/>
        <w:contextualSpacing w:val="0"/>
        <w:jc w:val="both"/>
      </w:pPr>
      <w:r w:rsidRPr="00015237">
        <w:t>The Government has taken action to support low-income families and children</w:t>
      </w:r>
      <w:r w:rsidR="00477CA2">
        <w:t>,</w:t>
      </w:r>
      <w:r w:rsidRPr="00015237">
        <w:t xml:space="preserve"> for example: lifting the minimum wage by a third; extending paid parental leave from 18</w:t>
      </w:r>
      <w:r w:rsidR="00507561" w:rsidRPr="00015237">
        <w:t xml:space="preserve"> to </w:t>
      </w:r>
      <w:r w:rsidRPr="00015237">
        <w:t>26 weeks; a Families Package</w:t>
      </w:r>
      <w:r w:rsidR="00507561" w:rsidRPr="00015237">
        <w:t xml:space="preserve"> (including</w:t>
      </w:r>
      <w:r w:rsidRPr="00015237">
        <w:t xml:space="preserve"> accommodation supplement changes, a winter energy payment, and extending </w:t>
      </w:r>
      <w:r w:rsidR="00507561" w:rsidRPr="00015237">
        <w:t>support</w:t>
      </w:r>
      <w:r w:rsidRPr="00015237">
        <w:t xml:space="preserve"> for low-income parents for the first three years of their baby’s life</w:t>
      </w:r>
      <w:r w:rsidR="00507561" w:rsidRPr="00015237">
        <w:t>). Also, benefits are</w:t>
      </w:r>
      <w:r w:rsidR="00AA613F" w:rsidRPr="00015237">
        <w:t xml:space="preserve"> now</w:t>
      </w:r>
      <w:r w:rsidR="00507561" w:rsidRPr="00015237">
        <w:t xml:space="preserve"> indexed</w:t>
      </w:r>
      <w:r w:rsidRPr="00015237">
        <w:t xml:space="preserve"> to wage growth</w:t>
      </w:r>
      <w:r w:rsidR="00AA613F" w:rsidRPr="00015237">
        <w:t>,</w:t>
      </w:r>
      <w:r w:rsidRPr="00015237">
        <w:t xml:space="preserve"> and</w:t>
      </w:r>
      <w:r w:rsidR="00AA613F" w:rsidRPr="00015237">
        <w:t xml:space="preserve"> there are additional</w:t>
      </w:r>
      <w:r w:rsidRPr="00015237">
        <w:t xml:space="preserve"> </w:t>
      </w:r>
      <w:r w:rsidR="00507561" w:rsidRPr="00015237">
        <w:t>rate</w:t>
      </w:r>
      <w:r w:rsidR="00AA613F" w:rsidRPr="00015237">
        <w:t xml:space="preserve"> increases over three</w:t>
      </w:r>
      <w:r w:rsidRPr="00015237">
        <w:t xml:space="preserve"> successive years (2020-2022).</w:t>
      </w:r>
      <w:r w:rsidR="00507561" w:rsidRPr="00015237">
        <w:t xml:space="preserve"> </w:t>
      </w:r>
    </w:p>
    <w:p w14:paraId="0227AFF1" w14:textId="3781E1D3" w:rsidR="009F6DA1" w:rsidRPr="00015237" w:rsidRDefault="00B559D7" w:rsidP="006873E0">
      <w:pPr>
        <w:pStyle w:val="ListParagraph"/>
        <w:numPr>
          <w:ilvl w:val="0"/>
          <w:numId w:val="1"/>
        </w:numPr>
        <w:spacing w:before="220" w:after="0" w:line="259" w:lineRule="auto"/>
        <w:ind w:left="709" w:hanging="709"/>
        <w:contextualSpacing w:val="0"/>
        <w:jc w:val="both"/>
      </w:pPr>
      <w:r w:rsidRPr="00015237">
        <w:rPr>
          <w:lang w:eastAsia="zh-TW"/>
        </w:rPr>
        <w:t xml:space="preserve">These measures will have a particular impact on women. Sole parents and their children are more likely to experience chronic </w:t>
      </w:r>
      <w:r w:rsidRPr="00015237">
        <w:t>low</w:t>
      </w:r>
      <w:r w:rsidRPr="00015237">
        <w:rPr>
          <w:lang w:eastAsia="zh-TW"/>
        </w:rPr>
        <w:t xml:space="preserve"> income and its associated effects, such as lower </w:t>
      </w:r>
      <w:r w:rsidRPr="00015237">
        <w:rPr>
          <w:lang w:eastAsia="zh-TW"/>
        </w:rPr>
        <w:lastRenderedPageBreak/>
        <w:t xml:space="preserve">wellbeing. </w:t>
      </w:r>
      <w:r w:rsidR="00C63E14" w:rsidRPr="00015237">
        <w:rPr>
          <w:lang w:eastAsia="zh-TW"/>
        </w:rPr>
        <w:t>Eighty</w:t>
      </w:r>
      <w:r w:rsidR="00D02D96">
        <w:rPr>
          <w:lang w:eastAsia="zh-TW"/>
        </w:rPr>
        <w:t>-</w:t>
      </w:r>
      <w:r w:rsidR="00C63E14" w:rsidRPr="00015237">
        <w:rPr>
          <w:lang w:eastAsia="zh-TW"/>
        </w:rPr>
        <w:t xml:space="preserve">two percent </w:t>
      </w:r>
      <w:r w:rsidRPr="00015237">
        <w:rPr>
          <w:lang w:eastAsia="zh-TW"/>
        </w:rPr>
        <w:t xml:space="preserve">of sole parents are women, </w:t>
      </w:r>
      <w:r w:rsidR="007E0BAA" w:rsidRPr="00015237">
        <w:rPr>
          <w:lang w:eastAsia="zh-TW"/>
        </w:rPr>
        <w:t>and 91</w:t>
      </w:r>
      <w:r w:rsidR="00C63E14" w:rsidRPr="00015237">
        <w:rPr>
          <w:lang w:eastAsia="zh-TW"/>
        </w:rPr>
        <w:t xml:space="preserve"> percent</w:t>
      </w:r>
      <w:r w:rsidRPr="00015237">
        <w:rPr>
          <w:lang w:eastAsia="zh-TW"/>
        </w:rPr>
        <w:t xml:space="preserve"> of recipients of Sole Parent Support benefits are women. </w:t>
      </w:r>
    </w:p>
    <w:p w14:paraId="519E39C0" w14:textId="3E4FEE1F" w:rsidR="009F6DA1" w:rsidRPr="00015237" w:rsidRDefault="009F6DA1" w:rsidP="006873E0">
      <w:pPr>
        <w:pStyle w:val="ListParagraph"/>
        <w:numPr>
          <w:ilvl w:val="0"/>
          <w:numId w:val="1"/>
        </w:numPr>
        <w:spacing w:before="220" w:after="0" w:line="259" w:lineRule="auto"/>
        <w:ind w:left="709" w:hanging="709"/>
        <w:contextualSpacing w:val="0"/>
        <w:jc w:val="both"/>
      </w:pPr>
      <w:r w:rsidRPr="00015237">
        <w:t xml:space="preserve">Other </w:t>
      </w:r>
      <w:r w:rsidR="00507561" w:rsidRPr="00015237">
        <w:t>support includes</w:t>
      </w:r>
      <w:r w:rsidRPr="00015237">
        <w:t xml:space="preserve"> expanded school-based health services</w:t>
      </w:r>
      <w:r w:rsidR="00AA613F" w:rsidRPr="00015237">
        <w:t xml:space="preserve"> and</w:t>
      </w:r>
      <w:r w:rsidR="00507561" w:rsidRPr="00015237">
        <w:t xml:space="preserve"> </w:t>
      </w:r>
      <w:r w:rsidRPr="00015237">
        <w:t>making doctors</w:t>
      </w:r>
      <w:r w:rsidR="00372EF5">
        <w:t>’</w:t>
      </w:r>
      <w:r w:rsidRPr="00015237">
        <w:t xml:space="preserve"> visits free for children under 14</w:t>
      </w:r>
      <w:r w:rsidR="00507561" w:rsidRPr="00015237">
        <w:t>,</w:t>
      </w:r>
      <w:r w:rsidRPr="00015237">
        <w:t xml:space="preserve"> </w:t>
      </w:r>
      <w:r w:rsidR="00507561" w:rsidRPr="00015237">
        <w:t xml:space="preserve">free </w:t>
      </w:r>
      <w:r w:rsidRPr="00015237">
        <w:t>lunches in schools programme</w:t>
      </w:r>
      <w:r w:rsidR="00507561" w:rsidRPr="00015237">
        <w:t>s,</w:t>
      </w:r>
      <w:r w:rsidRPr="00015237">
        <w:t xml:space="preserve"> reducing education costs and measures to stop predatory lending. </w:t>
      </w:r>
    </w:p>
    <w:p w14:paraId="58385B14" w14:textId="05574740" w:rsidR="009F6DA1" w:rsidRPr="00015237" w:rsidRDefault="009F6DA1" w:rsidP="006873E0">
      <w:pPr>
        <w:pStyle w:val="ListParagraph"/>
        <w:numPr>
          <w:ilvl w:val="0"/>
          <w:numId w:val="1"/>
        </w:numPr>
        <w:spacing w:before="220" w:after="0" w:line="259" w:lineRule="auto"/>
        <w:ind w:left="709" w:hanging="709"/>
        <w:contextualSpacing w:val="0"/>
        <w:jc w:val="both"/>
      </w:pPr>
      <w:r w:rsidRPr="00015237">
        <w:t xml:space="preserve">There has also been considerable activity and investment to mitigate the economic and social impacts of COVID-19. This includes measures to protect jobs and incomes through policies such as the wage subsidy, and increased income support and funding for social services; trades and apprenticeships training, re-training and employment support, with specific programmes targeting young people; and more public, transitional and emergency housing. </w:t>
      </w:r>
    </w:p>
    <w:p w14:paraId="737FFD41" w14:textId="59FE9FF3" w:rsidR="00370803" w:rsidRPr="00015237" w:rsidRDefault="009F6DA1" w:rsidP="006873E0">
      <w:pPr>
        <w:pStyle w:val="ListParagraph"/>
        <w:numPr>
          <w:ilvl w:val="0"/>
          <w:numId w:val="1"/>
        </w:numPr>
        <w:spacing w:before="220" w:after="0" w:line="259" w:lineRule="auto"/>
        <w:ind w:left="709" w:hanging="709"/>
        <w:contextualSpacing w:val="0"/>
        <w:jc w:val="both"/>
      </w:pPr>
      <w:r w:rsidRPr="00015237">
        <w:t>While these actions are beginning to make a real difference to children’s lives, sustained investment will be needed to achieve the Government</w:t>
      </w:r>
      <w:r w:rsidR="00007710" w:rsidRPr="00015237">
        <w:t>’s</w:t>
      </w:r>
      <w:r w:rsidRPr="00015237">
        <w:t xml:space="preserve"> 10-year child poverty reduction targets. It is also too soon to assess the longer-term social and economic impacts of COVID-19, </w:t>
      </w:r>
      <w:r w:rsidR="00370803" w:rsidRPr="00015237">
        <w:t xml:space="preserve">which has given rise to major challenges in the lives of many young people and their families. Those who were already disadvantaged before the pandemic have been disproportionately impacted, with </w:t>
      </w:r>
      <w:r w:rsidR="00AB37D1" w:rsidRPr="00015237">
        <w:t>Māori</w:t>
      </w:r>
      <w:r w:rsidR="00370803" w:rsidRPr="00015237">
        <w:rPr>
          <w:lang w:val="en-NZ"/>
        </w:rPr>
        <w:t>, Pasifika, rainbow and disabled children and young people more likely to face additional challenges.</w:t>
      </w:r>
    </w:p>
    <w:p w14:paraId="0A2355CB" w14:textId="1B47F071" w:rsidR="00E90F51" w:rsidRPr="00015237" w:rsidRDefault="00370803" w:rsidP="006873E0">
      <w:pPr>
        <w:pStyle w:val="ListParagraph"/>
        <w:numPr>
          <w:ilvl w:val="0"/>
          <w:numId w:val="1"/>
        </w:numPr>
        <w:spacing w:before="220" w:after="0" w:line="259" w:lineRule="auto"/>
        <w:ind w:left="709" w:hanging="709"/>
        <w:contextualSpacing w:val="0"/>
        <w:jc w:val="both"/>
      </w:pPr>
      <w:r w:rsidRPr="00015237">
        <w:t>The Child and Youth Wellbeing Strategy will continue to drive government policy to address inequity of outcomes and to lif</w:t>
      </w:r>
      <w:r w:rsidR="00507561" w:rsidRPr="00015237">
        <w:t>t</w:t>
      </w:r>
      <w:r w:rsidRPr="00015237">
        <w:t xml:space="preserve"> the wellbeing of all children and young people. Regular monitoring, evaluation and community engagement, including direct engagement with children and young people, will help to ensure that government services and supports are effective and that any emerging gaps or opportunities can be identified and responded to. </w:t>
      </w:r>
    </w:p>
    <w:p w14:paraId="308DE65F" w14:textId="1A3DD58B" w:rsidR="008B6D2C" w:rsidRPr="007275E4" w:rsidRDefault="00661A0D" w:rsidP="006873E0">
      <w:pPr>
        <w:pStyle w:val="Heading2"/>
        <w:jc w:val="both"/>
      </w:pPr>
      <w:r w:rsidRPr="004E73F7">
        <w:t xml:space="preserve">Addressing </w:t>
      </w:r>
      <w:r w:rsidR="00262FC2" w:rsidRPr="004E73F7">
        <w:t>Māori</w:t>
      </w:r>
      <w:r w:rsidRPr="007275E4">
        <w:t xml:space="preserve"> and Pacific </w:t>
      </w:r>
      <w:r w:rsidR="008B6D2C" w:rsidRPr="007275E4">
        <w:t>children’s inequities</w:t>
      </w:r>
    </w:p>
    <w:p w14:paraId="6D3E399C" w14:textId="4DE2277A" w:rsidR="00CE7A63" w:rsidRPr="00015237" w:rsidRDefault="00953752" w:rsidP="006873E0">
      <w:pPr>
        <w:keepNext/>
        <w:spacing w:before="220" w:after="0" w:line="259" w:lineRule="auto"/>
        <w:jc w:val="both"/>
        <w:rPr>
          <w:lang w:val="en-NZ"/>
        </w:rPr>
      </w:pPr>
      <w:r>
        <w:rPr>
          <w:lang w:val="en-NZ"/>
        </w:rPr>
        <w:t>UPR Recommendation</w:t>
      </w:r>
      <w:r w:rsidR="005A665B" w:rsidRPr="00015237">
        <w:rPr>
          <w:lang w:val="en-NZ"/>
        </w:rPr>
        <w:t>:</w:t>
      </w:r>
      <w:r w:rsidR="003F6636" w:rsidRPr="00015237">
        <w:rPr>
          <w:lang w:val="en-NZ"/>
        </w:rPr>
        <w:t xml:space="preserve"> 154</w:t>
      </w:r>
      <w:r w:rsidR="009E5B2A" w:rsidRPr="00015237">
        <w:rPr>
          <w:lang w:val="en-NZ"/>
        </w:rPr>
        <w:t>,</w:t>
      </w:r>
      <w:r w:rsidR="003F6636" w:rsidRPr="00015237">
        <w:rPr>
          <w:lang w:val="en-NZ"/>
        </w:rPr>
        <w:t xml:space="preserve"> 155, 177, 180-183</w:t>
      </w:r>
    </w:p>
    <w:p w14:paraId="069C0A19" w14:textId="184B1582" w:rsidR="003F6636" w:rsidRPr="00015237" w:rsidRDefault="003F6636" w:rsidP="006873E0">
      <w:pPr>
        <w:pStyle w:val="ListParagraph"/>
        <w:numPr>
          <w:ilvl w:val="0"/>
          <w:numId w:val="1"/>
        </w:numPr>
        <w:spacing w:before="220" w:after="0" w:line="259" w:lineRule="auto"/>
        <w:ind w:left="709" w:hanging="709"/>
        <w:contextualSpacing w:val="0"/>
        <w:jc w:val="both"/>
      </w:pPr>
      <w:r w:rsidRPr="00015237">
        <w:t xml:space="preserve">The Child and Youth Wellbeing Strategy reflects the strong need to reduce the current inequity of outcomes, and it includes a strong focus on improving outcomes for </w:t>
      </w:r>
      <w:r w:rsidR="00262FC2" w:rsidRPr="00015237">
        <w:t>Māori</w:t>
      </w:r>
      <w:r w:rsidRPr="00015237">
        <w:rPr>
          <w:lang w:val="en-NZ"/>
        </w:rPr>
        <w:t xml:space="preserve"> and Pacific </w:t>
      </w:r>
      <w:r w:rsidR="008B6D2C" w:rsidRPr="00015237">
        <w:rPr>
          <w:lang w:val="en-NZ"/>
        </w:rPr>
        <w:t>c</w:t>
      </w:r>
      <w:r w:rsidRPr="00015237">
        <w:rPr>
          <w:lang w:val="en-NZ"/>
        </w:rPr>
        <w:t xml:space="preserve">hildren and young people. </w:t>
      </w:r>
      <w:r w:rsidRPr="00015237">
        <w:t>The first Child and Youth Wellbeing Strategy Annual Report</w:t>
      </w:r>
      <w:r w:rsidR="00AA613F" w:rsidRPr="00015237">
        <w:t xml:space="preserve"> (for the year ended June 2020, published in May 2021) establishes baseline data for most of the indicators. It i</w:t>
      </w:r>
      <w:r w:rsidRPr="00015237">
        <w:t>ndicate</w:t>
      </w:r>
      <w:r w:rsidR="008B6D2C" w:rsidRPr="00015237">
        <w:t>s</w:t>
      </w:r>
      <w:r w:rsidRPr="00015237">
        <w:t xml:space="preserve"> that </w:t>
      </w:r>
      <w:r w:rsidR="00B42E0B" w:rsidRPr="00015237">
        <w:t>Māori</w:t>
      </w:r>
      <w:r w:rsidR="00B42E0B" w:rsidRPr="00015237">
        <w:rPr>
          <w:lang w:val="en-NZ"/>
        </w:rPr>
        <w:t xml:space="preserve"> </w:t>
      </w:r>
      <w:r w:rsidRPr="00015237">
        <w:rPr>
          <w:lang w:val="en-NZ"/>
        </w:rPr>
        <w:t xml:space="preserve">children and young people are experiencing inequitable outcomes across outcome areas. In some areas, the disparity is substantial. </w:t>
      </w:r>
    </w:p>
    <w:p w14:paraId="588AC012" w14:textId="1B6EE61E" w:rsidR="00CE7A63" w:rsidRPr="00015237" w:rsidRDefault="003F6636" w:rsidP="006873E0">
      <w:pPr>
        <w:pStyle w:val="ListParagraph"/>
        <w:numPr>
          <w:ilvl w:val="0"/>
          <w:numId w:val="1"/>
        </w:numPr>
        <w:spacing w:before="220" w:after="0" w:line="259" w:lineRule="auto"/>
        <w:ind w:left="709" w:hanging="709"/>
        <w:contextualSpacing w:val="0"/>
        <w:jc w:val="both"/>
      </w:pPr>
      <w:r w:rsidRPr="00015237">
        <w:t>Action</w:t>
      </w:r>
      <w:r w:rsidR="00AA613F" w:rsidRPr="00015237">
        <w:t>s</w:t>
      </w:r>
      <w:r w:rsidRPr="00015237">
        <w:t xml:space="preserve"> under the</w:t>
      </w:r>
      <w:r w:rsidR="008B6D2C" w:rsidRPr="00015237">
        <w:t xml:space="preserve"> S</w:t>
      </w:r>
      <w:r w:rsidRPr="00015237">
        <w:t xml:space="preserve">trategy that aim to improve outcomes for </w:t>
      </w:r>
      <w:r w:rsidR="00B42E0B" w:rsidRPr="00015237">
        <w:t>Māori</w:t>
      </w:r>
      <w:r w:rsidRPr="00015237">
        <w:t xml:space="preserve"> and Pacific children, young people and their families include:</w:t>
      </w:r>
      <w:r w:rsidR="00F614E0" w:rsidRPr="00015237">
        <w:t xml:space="preserve"> a</w:t>
      </w:r>
      <w:r w:rsidRPr="00015237">
        <w:t xml:space="preserve"> targeted programme to provide additional early support to life</w:t>
      </w:r>
      <w:r w:rsidR="005C08EB">
        <w:t>,</w:t>
      </w:r>
      <w:r w:rsidRPr="00015237">
        <w:t xml:space="preserve"> child and family wellbeing and resilience; a new model of intensive intervention for those at risk of entering </w:t>
      </w:r>
      <w:r w:rsidR="008B6D2C" w:rsidRPr="00015237">
        <w:t xml:space="preserve">state </w:t>
      </w:r>
      <w:r w:rsidRPr="00015237">
        <w:t>care being developed in collaboration with iwi,</w:t>
      </w:r>
      <w:r w:rsidR="00A92408" w:rsidRPr="00015237">
        <w:t xml:space="preserve"> </w:t>
      </w:r>
      <w:r w:rsidR="00B42E0B" w:rsidRPr="00015237">
        <w:t>Māori</w:t>
      </w:r>
      <w:r w:rsidR="00A92408" w:rsidRPr="00015237">
        <w:rPr>
          <w:lang w:val="en-NZ"/>
        </w:rPr>
        <w:t xml:space="preserve"> and Pacific organisations; </w:t>
      </w:r>
      <w:r w:rsidR="00A92408" w:rsidRPr="00015237">
        <w:t xml:space="preserve">more support for </w:t>
      </w:r>
      <w:r w:rsidR="00B42E0B" w:rsidRPr="00015237">
        <w:t>Māori</w:t>
      </w:r>
      <w:r w:rsidR="00A92408" w:rsidRPr="00015237">
        <w:rPr>
          <w:lang w:val="en-NZ"/>
        </w:rPr>
        <w:t xml:space="preserve"> learners and their families to</w:t>
      </w:r>
      <w:r w:rsidR="00CE7A63" w:rsidRPr="00015237">
        <w:rPr>
          <w:lang w:val="en-NZ"/>
        </w:rPr>
        <w:t xml:space="preserve"> engage and succeed in education; programmes to address </w:t>
      </w:r>
      <w:r w:rsidR="00CE7A63" w:rsidRPr="007275E4">
        <w:t>racism</w:t>
      </w:r>
      <w:r w:rsidR="00CE7A63" w:rsidRPr="00015237">
        <w:rPr>
          <w:lang w:val="en-NZ"/>
        </w:rPr>
        <w:t xml:space="preserve"> and discrimination </w:t>
      </w:r>
      <w:r w:rsidR="008B6D2C" w:rsidRPr="00015237">
        <w:rPr>
          <w:lang w:val="en-NZ"/>
        </w:rPr>
        <w:t>(</w:t>
      </w:r>
      <w:r w:rsidR="00CE7A63" w:rsidRPr="00015237">
        <w:rPr>
          <w:lang w:val="en-NZ"/>
        </w:rPr>
        <w:t>including cultural bias and racism in the education system</w:t>
      </w:r>
      <w:r w:rsidR="008B6D2C" w:rsidRPr="00015237">
        <w:rPr>
          <w:lang w:val="en-NZ"/>
        </w:rPr>
        <w:t>)</w:t>
      </w:r>
      <w:r w:rsidR="00CE7A63" w:rsidRPr="00015237">
        <w:rPr>
          <w:lang w:val="en-NZ"/>
        </w:rPr>
        <w:t xml:space="preserve">; and initiatives to increase </w:t>
      </w:r>
      <w:r w:rsidR="008B6D2C" w:rsidRPr="00015237">
        <w:rPr>
          <w:lang w:val="en-NZ"/>
        </w:rPr>
        <w:t>a</w:t>
      </w:r>
      <w:r w:rsidR="00CE7A63" w:rsidRPr="00015237">
        <w:rPr>
          <w:lang w:val="en-NZ"/>
        </w:rPr>
        <w:t xml:space="preserve"> sense of belonging</w:t>
      </w:r>
      <w:r w:rsidR="008B6D2C" w:rsidRPr="00015237">
        <w:rPr>
          <w:lang w:val="en-NZ"/>
        </w:rPr>
        <w:t>.</w:t>
      </w:r>
      <w:r w:rsidR="00CE7A63" w:rsidRPr="00015237">
        <w:rPr>
          <w:lang w:val="en-NZ"/>
        </w:rPr>
        <w:t xml:space="preserve"> </w:t>
      </w:r>
    </w:p>
    <w:p w14:paraId="5A78E34D" w14:textId="5A0FDDF8" w:rsidR="000F4D2D" w:rsidRPr="00015237" w:rsidRDefault="00CE7A63" w:rsidP="006873E0">
      <w:pPr>
        <w:pStyle w:val="ListParagraph"/>
        <w:numPr>
          <w:ilvl w:val="0"/>
          <w:numId w:val="1"/>
        </w:numPr>
        <w:spacing w:before="220" w:after="0" w:line="259" w:lineRule="auto"/>
        <w:ind w:left="709" w:hanging="709"/>
        <w:contextualSpacing w:val="0"/>
        <w:jc w:val="both"/>
      </w:pPr>
      <w:r w:rsidRPr="00015237">
        <w:t xml:space="preserve">There is also work underway to improve data collection, including developing </w:t>
      </w:r>
      <w:r w:rsidR="002330A5" w:rsidRPr="00015237">
        <w:t xml:space="preserve">more strength-based </w:t>
      </w:r>
      <w:r w:rsidRPr="00015237">
        <w:t xml:space="preserve">indicators and measures grounded in </w:t>
      </w:r>
      <w:r w:rsidR="00B42E0B" w:rsidRPr="00015237">
        <w:t>Māori</w:t>
      </w:r>
      <w:r w:rsidRPr="00015237">
        <w:rPr>
          <w:lang w:val="en-NZ"/>
        </w:rPr>
        <w:t xml:space="preserve"> perspectives of wellbeing. These c</w:t>
      </w:r>
      <w:r w:rsidR="003C3770" w:rsidRPr="00015237">
        <w:rPr>
          <w:lang w:val="en-NZ"/>
        </w:rPr>
        <w:t>an</w:t>
      </w:r>
      <w:r w:rsidRPr="00015237">
        <w:rPr>
          <w:lang w:val="en-NZ"/>
        </w:rPr>
        <w:t xml:space="preserve"> help guide future efforts to design effective </w:t>
      </w:r>
      <w:r w:rsidRPr="007275E4">
        <w:t>approaches</w:t>
      </w:r>
      <w:r w:rsidRPr="00015237">
        <w:rPr>
          <w:lang w:val="en-NZ"/>
        </w:rPr>
        <w:t xml:space="preserve"> and monitor progress</w:t>
      </w:r>
      <w:r w:rsidR="003C3770" w:rsidRPr="00015237">
        <w:rPr>
          <w:lang w:val="en-NZ"/>
        </w:rPr>
        <w:t>.</w:t>
      </w:r>
      <w:r w:rsidRPr="00015237">
        <w:rPr>
          <w:lang w:val="en-NZ"/>
        </w:rPr>
        <w:t xml:space="preserve"> </w:t>
      </w:r>
    </w:p>
    <w:p w14:paraId="362A5EF5" w14:textId="1D459DFA" w:rsidR="00F17CDE" w:rsidRPr="00ED13D3" w:rsidRDefault="00421C88" w:rsidP="006873E0">
      <w:pPr>
        <w:pStyle w:val="Heading2"/>
        <w:jc w:val="both"/>
      </w:pPr>
      <w:r w:rsidRPr="00ED13D3">
        <w:lastRenderedPageBreak/>
        <w:t>Child abuse</w:t>
      </w:r>
      <w:r w:rsidR="00477CA2">
        <w:t xml:space="preserve">, </w:t>
      </w:r>
      <w:r w:rsidRPr="00ED13D3">
        <w:t>neglect and family violence</w:t>
      </w:r>
      <w:r w:rsidR="00F17CDE" w:rsidRPr="00ED13D3">
        <w:t xml:space="preserve"> </w:t>
      </w:r>
    </w:p>
    <w:p w14:paraId="129F8E93" w14:textId="737AC3B1" w:rsidR="00CE7A63" w:rsidRPr="007275E4" w:rsidRDefault="00953752" w:rsidP="006873E0">
      <w:pPr>
        <w:keepNext/>
        <w:spacing w:before="220" w:after="0" w:line="259" w:lineRule="auto"/>
        <w:jc w:val="both"/>
        <w:rPr>
          <w:lang w:val="en-NZ"/>
        </w:rPr>
      </w:pPr>
      <w:r w:rsidRPr="007275E4">
        <w:rPr>
          <w:lang w:val="en-NZ"/>
        </w:rPr>
        <w:t>UPR Recommendation</w:t>
      </w:r>
      <w:r w:rsidR="00F17CDE" w:rsidRPr="007275E4">
        <w:rPr>
          <w:lang w:val="en-NZ"/>
        </w:rPr>
        <w:t>s</w:t>
      </w:r>
      <w:r w:rsidR="005A665B" w:rsidRPr="007275E4">
        <w:rPr>
          <w:lang w:val="en-NZ"/>
        </w:rPr>
        <w:t>:</w:t>
      </w:r>
      <w:r w:rsidR="003816ED">
        <w:rPr>
          <w:lang w:val="en-NZ"/>
        </w:rPr>
        <w:t xml:space="preserve"> 112, 115, 118, 121, 125, 127, 130-133,</w:t>
      </w:r>
      <w:r w:rsidR="00421C88" w:rsidRPr="007275E4">
        <w:rPr>
          <w:lang w:val="en-NZ"/>
        </w:rPr>
        <w:t xml:space="preserve"> 143-146, 150</w:t>
      </w:r>
    </w:p>
    <w:p w14:paraId="2A611F63" w14:textId="144A52DD" w:rsidR="005C2C7A" w:rsidRPr="00015237" w:rsidRDefault="00421C88" w:rsidP="006873E0">
      <w:pPr>
        <w:pStyle w:val="ListParagraph"/>
        <w:numPr>
          <w:ilvl w:val="0"/>
          <w:numId w:val="1"/>
        </w:numPr>
        <w:spacing w:before="220" w:after="0" w:line="259" w:lineRule="auto"/>
        <w:ind w:left="709" w:hanging="709"/>
        <w:contextualSpacing w:val="0"/>
        <w:jc w:val="both"/>
      </w:pPr>
      <w:r w:rsidRPr="00015237">
        <w:t xml:space="preserve">One of the key priorities </w:t>
      </w:r>
      <w:r w:rsidR="005C2C7A" w:rsidRPr="00015237">
        <w:t xml:space="preserve">of the Child and Youth Wellbeing Strategy is better support for those children and young people </w:t>
      </w:r>
      <w:r w:rsidR="00F17CDE" w:rsidRPr="00015237">
        <w:t>at risk of coming within the state care and protection system</w:t>
      </w:r>
      <w:r w:rsidR="005C2C7A" w:rsidRPr="00015237">
        <w:t xml:space="preserve"> and to address family </w:t>
      </w:r>
      <w:r w:rsidR="00F614E0" w:rsidRPr="00015237">
        <w:t xml:space="preserve">violence </w:t>
      </w:r>
      <w:r w:rsidR="005C2C7A" w:rsidRPr="00015237">
        <w:t xml:space="preserve">and sexual violence. </w:t>
      </w:r>
    </w:p>
    <w:p w14:paraId="1BC4EC93" w14:textId="0259AC79" w:rsidR="00E0033D" w:rsidRPr="00015237" w:rsidRDefault="005C2C7A" w:rsidP="006873E0">
      <w:pPr>
        <w:pStyle w:val="ListParagraph"/>
        <w:numPr>
          <w:ilvl w:val="0"/>
          <w:numId w:val="1"/>
        </w:numPr>
        <w:spacing w:before="220" w:after="0" w:line="259" w:lineRule="auto"/>
        <w:ind w:left="709" w:hanging="709"/>
        <w:contextualSpacing w:val="0"/>
        <w:jc w:val="both"/>
      </w:pPr>
      <w:r w:rsidRPr="00015237">
        <w:t xml:space="preserve">Actions under the Strategy to prevent </w:t>
      </w:r>
      <w:r w:rsidR="00E0033D" w:rsidRPr="00015237">
        <w:t xml:space="preserve">harm and abuse include: the development of </w:t>
      </w:r>
      <w:r w:rsidR="00F614E0" w:rsidRPr="00015237">
        <w:t xml:space="preserve">a </w:t>
      </w:r>
      <w:r w:rsidR="00E0033D" w:rsidRPr="00015237">
        <w:t>National Strategy and Action Plan for eliminating family violence and sexual violence; establishment of early years violence prevention sites</w:t>
      </w:r>
      <w:r w:rsidR="00F17CDE" w:rsidRPr="00015237">
        <w:t>;</w:t>
      </w:r>
      <w:r w:rsidR="00E0033D" w:rsidRPr="00015237">
        <w:t xml:space="preserve"> investment in family violence prevention activities; and a work programme to prevent online child sexual exploitation and abuse.</w:t>
      </w:r>
    </w:p>
    <w:p w14:paraId="60589674" w14:textId="453A5CAC" w:rsidR="00675558" w:rsidRPr="00015237" w:rsidRDefault="00BF673B" w:rsidP="006873E0">
      <w:pPr>
        <w:pStyle w:val="ListParagraph"/>
        <w:numPr>
          <w:ilvl w:val="0"/>
          <w:numId w:val="1"/>
        </w:numPr>
        <w:spacing w:before="220" w:after="0" w:line="259" w:lineRule="auto"/>
        <w:ind w:left="709" w:hanging="709"/>
        <w:contextualSpacing w:val="0"/>
        <w:jc w:val="both"/>
      </w:pPr>
      <w:r w:rsidRPr="00015237">
        <w:t>Further</w:t>
      </w:r>
      <w:r w:rsidR="00E0033D" w:rsidRPr="00015237">
        <w:t xml:space="preserve"> actions</w:t>
      </w:r>
      <w:r w:rsidR="002330A5" w:rsidRPr="00015237">
        <w:t xml:space="preserve"> to</w:t>
      </w:r>
      <w:r w:rsidR="00E0033D" w:rsidRPr="00015237">
        <w:t xml:space="preserve"> improve the quality of state care</w:t>
      </w:r>
      <w:r w:rsidR="002330A5" w:rsidRPr="00015237">
        <w:t xml:space="preserve"> include:</w:t>
      </w:r>
      <w:r w:rsidR="00E0033D" w:rsidRPr="00015237">
        <w:t xml:space="preserve"> a new cross-agency Action Plan to better support children and young people at risk of harm; introduction of National Care Standards; initiatives to improve outcomes for </w:t>
      </w:r>
      <w:r w:rsidR="00DC4FE9" w:rsidRPr="00015237">
        <w:t>Māori</w:t>
      </w:r>
      <w:r w:rsidR="00DC4FE9" w:rsidRPr="00015237">
        <w:rPr>
          <w:lang w:val="en-NZ"/>
        </w:rPr>
        <w:t xml:space="preserve"> </w:t>
      </w:r>
      <w:r w:rsidR="00E0033D" w:rsidRPr="00015237">
        <w:rPr>
          <w:lang w:val="en-NZ"/>
        </w:rPr>
        <w:t xml:space="preserve">within the system; and strengthening independent oversight of the Oranga Tamariki system and children’s issues. </w:t>
      </w:r>
    </w:p>
    <w:p w14:paraId="3E73DADA" w14:textId="049601A2" w:rsidR="00BF673B" w:rsidRPr="009E05FC" w:rsidRDefault="00BC569B" w:rsidP="006873E0">
      <w:pPr>
        <w:pStyle w:val="Heading2"/>
        <w:jc w:val="both"/>
      </w:pPr>
      <w:r w:rsidRPr="009E05FC">
        <w:t>Royal Commission</w:t>
      </w:r>
      <w:r w:rsidR="00617D3D" w:rsidRPr="009E05FC">
        <w:t xml:space="preserve"> of Inquiry</w:t>
      </w:r>
      <w:r w:rsidRPr="009E05FC">
        <w:t xml:space="preserve"> into </w:t>
      </w:r>
      <w:r w:rsidR="00617D3D" w:rsidRPr="009E05FC">
        <w:t xml:space="preserve">historical </w:t>
      </w:r>
      <w:r w:rsidRPr="009E05FC">
        <w:t xml:space="preserve">abuse in </w:t>
      </w:r>
      <w:r w:rsidR="009E05FC">
        <w:t>s</w:t>
      </w:r>
      <w:r w:rsidRPr="009E05FC">
        <w:t>tate</w:t>
      </w:r>
      <w:r w:rsidR="00617D3D" w:rsidRPr="009E05FC">
        <w:t xml:space="preserve"> care and in the care of </w:t>
      </w:r>
      <w:r w:rsidR="009E05FC">
        <w:t>f</w:t>
      </w:r>
      <w:r w:rsidR="00617D3D" w:rsidRPr="009E05FC">
        <w:t xml:space="preserve">aith-based institutions </w:t>
      </w:r>
    </w:p>
    <w:p w14:paraId="62EF1D23" w14:textId="4AC42FD3" w:rsidR="00BC569B" w:rsidRPr="00015237" w:rsidRDefault="00953752" w:rsidP="006873E0">
      <w:pPr>
        <w:spacing w:before="240" w:line="276" w:lineRule="auto"/>
        <w:jc w:val="both"/>
      </w:pPr>
      <w:r>
        <w:t>UPR Recommendation</w:t>
      </w:r>
      <w:r w:rsidR="00BF673B" w:rsidRPr="00015237">
        <w:t>s</w:t>
      </w:r>
      <w:r w:rsidR="005A665B" w:rsidRPr="00015237">
        <w:t>:</w:t>
      </w:r>
      <w:r w:rsidR="00BF673B" w:rsidRPr="00015237">
        <w:t xml:space="preserve"> </w:t>
      </w:r>
      <w:r w:rsidR="00BC569B" w:rsidRPr="00015237">
        <w:t>143-146, 150</w:t>
      </w:r>
      <w:r w:rsidR="000D531B" w:rsidRPr="00015237">
        <w:t xml:space="preserve"> </w:t>
      </w:r>
    </w:p>
    <w:p w14:paraId="2F25C0FC" w14:textId="0E5F86F5" w:rsidR="00675558" w:rsidRPr="00015237" w:rsidRDefault="00CE7A63" w:rsidP="006873E0">
      <w:pPr>
        <w:pStyle w:val="ListParagraph"/>
        <w:numPr>
          <w:ilvl w:val="0"/>
          <w:numId w:val="1"/>
        </w:numPr>
        <w:spacing w:before="220" w:after="0" w:line="259" w:lineRule="auto"/>
        <w:ind w:left="709" w:hanging="709"/>
        <w:contextualSpacing w:val="0"/>
        <w:jc w:val="both"/>
      </w:pPr>
      <w:bookmarkStart w:id="22" w:name="_Hlk88555549"/>
      <w:r w:rsidRPr="00015237">
        <w:t>Th</w:t>
      </w:r>
      <w:r w:rsidR="00F614E0" w:rsidRPr="00015237">
        <w:t>e</w:t>
      </w:r>
      <w:r w:rsidRPr="00015237">
        <w:t xml:space="preserve"> Royal Commission of </w:t>
      </w:r>
      <w:r w:rsidR="00675558" w:rsidRPr="00015237">
        <w:t>I</w:t>
      </w:r>
      <w:r w:rsidRPr="00015237">
        <w:t>nquiry</w:t>
      </w:r>
      <w:r w:rsidR="00675558" w:rsidRPr="00015237">
        <w:t xml:space="preserve"> </w:t>
      </w:r>
      <w:r w:rsidR="00F614E0" w:rsidRPr="00015237">
        <w:t xml:space="preserve">into historical abuse in </w:t>
      </w:r>
      <w:r w:rsidR="00477CA2">
        <w:t>s</w:t>
      </w:r>
      <w:r w:rsidR="00F614E0" w:rsidRPr="00015237">
        <w:t xml:space="preserve">tate care and in the care of </w:t>
      </w:r>
      <w:r w:rsidR="005C08EB">
        <w:t>f</w:t>
      </w:r>
      <w:r w:rsidR="00F614E0" w:rsidRPr="00015237">
        <w:t xml:space="preserve">aith-based institutions </w:t>
      </w:r>
      <w:r w:rsidR="00B75C60">
        <w:t xml:space="preserve">is </w:t>
      </w:r>
      <w:r w:rsidR="00C31761" w:rsidRPr="00015237">
        <w:t>investigat</w:t>
      </w:r>
      <w:r w:rsidR="00B75C60">
        <w:t>ing</w:t>
      </w:r>
      <w:r w:rsidR="00C31761" w:rsidRPr="00015237">
        <w:t xml:space="preserve"> </w:t>
      </w:r>
      <w:r w:rsidR="00B75C60">
        <w:t xml:space="preserve">abuse of children in care between 1950 and 2019. It is examining </w:t>
      </w:r>
      <w:r w:rsidR="00C31761" w:rsidRPr="00015237">
        <w:t xml:space="preserve">why people were taken into care, the abuse that happened, the reasons for and the effects of abuse. </w:t>
      </w:r>
      <w:r w:rsidR="00675558" w:rsidRPr="00015237">
        <w:t xml:space="preserve">The Commission is scheduled to deliver its final report in June 2023, which will include findings and recommendations. An interim report, </w:t>
      </w:r>
      <w:r w:rsidR="00675558" w:rsidRPr="007275E4">
        <w:rPr>
          <w:i/>
          <w:iCs/>
          <w:lang w:val="en-NZ"/>
        </w:rPr>
        <w:t>Tāwharautia: Pūrongo o te Wā</w:t>
      </w:r>
      <w:r w:rsidR="00477CA2" w:rsidRPr="00477CA2">
        <w:rPr>
          <w:lang w:val="en-NZ"/>
        </w:rPr>
        <w:t>,</w:t>
      </w:r>
      <w:r w:rsidR="00675558" w:rsidRPr="00015237">
        <w:t xml:space="preserve"> published at the end of 2020, along with three research reports</w:t>
      </w:r>
      <w:r w:rsidR="00477CA2">
        <w:t>,</w:t>
      </w:r>
      <w:r w:rsidR="00675558" w:rsidRPr="00015237">
        <w:t xml:space="preserve"> found:</w:t>
      </w:r>
    </w:p>
    <w:p w14:paraId="5FDBA644" w14:textId="77777777" w:rsidR="00675558" w:rsidRPr="00015237" w:rsidRDefault="00675558" w:rsidP="006873E0">
      <w:pPr>
        <w:pStyle w:val="ListParagraph"/>
        <w:spacing w:before="240" w:line="276" w:lineRule="auto"/>
        <w:jc w:val="both"/>
      </w:pPr>
    </w:p>
    <w:p w14:paraId="7C0B7D87" w14:textId="15602311" w:rsidR="00675558" w:rsidRPr="00015237" w:rsidRDefault="00B75C60" w:rsidP="006873E0">
      <w:pPr>
        <w:pStyle w:val="ListParagraph"/>
        <w:numPr>
          <w:ilvl w:val="1"/>
          <w:numId w:val="22"/>
        </w:numPr>
        <w:spacing w:before="220" w:after="0" w:line="259" w:lineRule="auto"/>
        <w:ind w:left="1134" w:hanging="425"/>
        <w:contextualSpacing w:val="0"/>
        <w:jc w:val="both"/>
      </w:pPr>
      <w:r>
        <w:t>t</w:t>
      </w:r>
      <w:r w:rsidR="00675558" w:rsidRPr="00015237">
        <w:t>he number of people abused could have been up to 250,000 out of approximately 655,000 who went through the care settings covered by the Inquiry</w:t>
      </w:r>
      <w:r w:rsidR="00617D3D" w:rsidRPr="00015237">
        <w:t xml:space="preserve"> (from 1950-2019)</w:t>
      </w:r>
      <w:r>
        <w:t>;</w:t>
      </w:r>
    </w:p>
    <w:p w14:paraId="17D00162" w14:textId="1DA851A9" w:rsidR="00675558" w:rsidRPr="00015237" w:rsidRDefault="00B75C60" w:rsidP="006873E0">
      <w:pPr>
        <w:pStyle w:val="ListParagraph"/>
        <w:numPr>
          <w:ilvl w:val="1"/>
          <w:numId w:val="22"/>
        </w:numPr>
        <w:spacing w:before="220" w:after="0" w:line="259" w:lineRule="auto"/>
        <w:ind w:left="1134" w:hanging="425"/>
        <w:contextualSpacing w:val="0"/>
        <w:jc w:val="both"/>
      </w:pPr>
      <w:r>
        <w:t>c</w:t>
      </w:r>
      <w:r w:rsidR="00675558" w:rsidRPr="00015237">
        <w:t xml:space="preserve">ommon factors in abuse cases include a lack of </w:t>
      </w:r>
      <w:r w:rsidR="00AB2C80">
        <w:t>vetting, training and oversight of those in positions of authority;</w:t>
      </w:r>
      <w:r w:rsidR="00675558" w:rsidRPr="00015237">
        <w:t xml:space="preserve"> and poor complaints and response processes; and at the worst further abuse, harassment or punishment for reporting abuse</w:t>
      </w:r>
      <w:r>
        <w:t>;</w:t>
      </w:r>
    </w:p>
    <w:p w14:paraId="0EC6EB0D" w14:textId="01C914F6" w:rsidR="00675558" w:rsidRPr="00015237" w:rsidRDefault="00B75C60" w:rsidP="006873E0">
      <w:pPr>
        <w:pStyle w:val="ListParagraph"/>
        <w:numPr>
          <w:ilvl w:val="1"/>
          <w:numId w:val="22"/>
        </w:numPr>
        <w:spacing w:before="220" w:after="0" w:line="259" w:lineRule="auto"/>
        <w:ind w:left="1134" w:hanging="425"/>
        <w:contextualSpacing w:val="0"/>
        <w:jc w:val="both"/>
      </w:pPr>
      <w:r>
        <w:t>r</w:t>
      </w:r>
      <w:r w:rsidR="00675558" w:rsidRPr="00015237">
        <w:t>edress processes have not worked for many survivors; t</w:t>
      </w:r>
      <w:r w:rsidR="00BF673B" w:rsidRPr="00015237">
        <w:t>hey</w:t>
      </w:r>
      <w:r w:rsidR="00675558" w:rsidRPr="00015237">
        <w:t xml:space="preserve"> focus on financial implications to the </w:t>
      </w:r>
      <w:r w:rsidR="00477CA2">
        <w:t>s</w:t>
      </w:r>
      <w:r w:rsidR="00675558" w:rsidRPr="00015237">
        <w:t>tate rather than wellbeing and compensation to survivors</w:t>
      </w:r>
      <w:r>
        <w:t>; and</w:t>
      </w:r>
    </w:p>
    <w:p w14:paraId="56694542" w14:textId="3E32424B" w:rsidR="00675558" w:rsidRPr="00015237" w:rsidRDefault="00B75C60" w:rsidP="006873E0">
      <w:pPr>
        <w:pStyle w:val="ListParagraph"/>
        <w:numPr>
          <w:ilvl w:val="1"/>
          <w:numId w:val="22"/>
        </w:numPr>
        <w:spacing w:before="220" w:after="0" w:line="259" w:lineRule="auto"/>
        <w:ind w:left="1134" w:hanging="425"/>
        <w:contextualSpacing w:val="0"/>
        <w:jc w:val="both"/>
      </w:pPr>
      <w:r>
        <w:t>d</w:t>
      </w:r>
      <w:r w:rsidR="00675558" w:rsidRPr="00015237">
        <w:t xml:space="preserve">iscrimination and racism from authorities and the public service played a role in perpetration and failure to detect and prevent abuse. </w:t>
      </w:r>
    </w:p>
    <w:p w14:paraId="188F1F32" w14:textId="36DD0E08" w:rsidR="00CE7A63" w:rsidRPr="00015237" w:rsidRDefault="00BF673B" w:rsidP="006873E0">
      <w:pPr>
        <w:pStyle w:val="ListParagraph"/>
        <w:numPr>
          <w:ilvl w:val="0"/>
          <w:numId w:val="1"/>
        </w:numPr>
        <w:spacing w:before="220" w:after="0" w:line="259" w:lineRule="auto"/>
        <w:ind w:left="709" w:hanging="709"/>
        <w:contextualSpacing w:val="0"/>
        <w:jc w:val="both"/>
      </w:pPr>
      <w:r w:rsidRPr="00015237">
        <w:t>T</w:t>
      </w:r>
      <w:r w:rsidR="00675558" w:rsidRPr="00015237">
        <w:t xml:space="preserve">he Government will receive and consider the Royal Commission’s recommendations and findings as they are issued. An interim report specifically related to redress will be presented in December 2021. </w:t>
      </w:r>
    </w:p>
    <w:bookmarkEnd w:id="22"/>
    <w:p w14:paraId="31D06340" w14:textId="5EB27757" w:rsidR="00DC4FE9" w:rsidRPr="00A027AB" w:rsidRDefault="00F458E3" w:rsidP="006873E0">
      <w:pPr>
        <w:pStyle w:val="Heading2"/>
        <w:jc w:val="both"/>
      </w:pPr>
      <w:r w:rsidRPr="00A027AB">
        <w:t xml:space="preserve">Adoption law reform </w:t>
      </w:r>
    </w:p>
    <w:p w14:paraId="3B76D7D4" w14:textId="1A35DE70" w:rsidR="000C2585" w:rsidRPr="00015237" w:rsidRDefault="00F0283B" w:rsidP="006873E0">
      <w:pPr>
        <w:pStyle w:val="ListParagraph"/>
        <w:numPr>
          <w:ilvl w:val="0"/>
          <w:numId w:val="1"/>
        </w:numPr>
        <w:spacing w:before="220" w:after="0" w:line="259" w:lineRule="auto"/>
        <w:ind w:left="709" w:hanging="709"/>
        <w:contextualSpacing w:val="0"/>
        <w:jc w:val="both"/>
      </w:pPr>
      <w:r w:rsidRPr="00015237">
        <w:t>Aotearoa</w:t>
      </w:r>
      <w:r w:rsidRPr="00015237">
        <w:rPr>
          <w:lang w:val="en-NZ"/>
        </w:rPr>
        <w:t xml:space="preserve"> </w:t>
      </w:r>
      <w:r w:rsidR="000C2585" w:rsidRPr="00015237">
        <w:t>New Zealand’s main adoption law, the Adoption Act 1955, is no</w:t>
      </w:r>
      <w:r w:rsidR="000A4750" w:rsidRPr="00015237">
        <w:t>w</w:t>
      </w:r>
      <w:r w:rsidR="000C2585" w:rsidRPr="00015237">
        <w:t xml:space="preserve"> over 65 years old. The law no longer accurately reflects New Zealand society, modern adoption practices, and does not place children’s rights at its centre. The </w:t>
      </w:r>
      <w:r w:rsidR="00BF673B" w:rsidRPr="00015237">
        <w:t>Government is reviewing the</w:t>
      </w:r>
      <w:r w:rsidR="000C2585" w:rsidRPr="00015237">
        <w:t xml:space="preserve"> adoption laws, </w:t>
      </w:r>
      <w:r w:rsidR="000C2585" w:rsidRPr="00015237">
        <w:lastRenderedPageBreak/>
        <w:t>to create a new system that provides strong safeguards for protecting the rights, best interests and welfare of children, and upholds our international human rights obligations.</w:t>
      </w:r>
    </w:p>
    <w:p w14:paraId="20D675C7" w14:textId="1FA32397" w:rsidR="00D84335" w:rsidRPr="00015237" w:rsidRDefault="000C2585" w:rsidP="006873E0">
      <w:pPr>
        <w:pStyle w:val="ListParagraph"/>
        <w:numPr>
          <w:ilvl w:val="0"/>
          <w:numId w:val="1"/>
        </w:numPr>
        <w:spacing w:before="220" w:after="0" w:line="259" w:lineRule="auto"/>
        <w:ind w:left="709" w:hanging="709"/>
        <w:contextualSpacing w:val="0"/>
        <w:jc w:val="both"/>
      </w:pPr>
      <w:r w:rsidRPr="00015237">
        <w:t xml:space="preserve">The </w:t>
      </w:r>
      <w:r w:rsidR="00BF673B" w:rsidRPr="00015237">
        <w:t>Government</w:t>
      </w:r>
      <w:r w:rsidRPr="00015237">
        <w:t xml:space="preserve"> has recently undertaken an initial round of public engagement on adoption issues. A second round of consultation will be undertaken in mid-2022 to report back on feedback heard and seek public’s views on the Government’s proposals for reform. </w:t>
      </w:r>
    </w:p>
    <w:p w14:paraId="6456E0BD" w14:textId="77777777" w:rsidR="004C74A0" w:rsidRPr="00A027AB" w:rsidRDefault="00F1177A" w:rsidP="006873E0">
      <w:pPr>
        <w:pStyle w:val="Heading2"/>
        <w:jc w:val="both"/>
      </w:pPr>
      <w:r w:rsidRPr="00A027AB">
        <w:t>Minimum age of criminal responsibility</w:t>
      </w:r>
    </w:p>
    <w:p w14:paraId="7A9E59FD" w14:textId="636B9348" w:rsidR="00D84335" w:rsidRPr="007275E4" w:rsidRDefault="00953752" w:rsidP="006873E0">
      <w:pPr>
        <w:keepNext/>
        <w:spacing w:before="220" w:after="0" w:line="259" w:lineRule="auto"/>
        <w:jc w:val="both"/>
        <w:rPr>
          <w:lang w:val="en-NZ"/>
        </w:rPr>
      </w:pPr>
      <w:r w:rsidRPr="007275E4">
        <w:rPr>
          <w:lang w:val="en-NZ"/>
        </w:rPr>
        <w:t>UPR Recommendation</w:t>
      </w:r>
      <w:r w:rsidR="004C74A0" w:rsidRPr="007275E4">
        <w:rPr>
          <w:lang w:val="en-NZ"/>
        </w:rPr>
        <w:t>s</w:t>
      </w:r>
      <w:r w:rsidR="005A665B" w:rsidRPr="007275E4">
        <w:rPr>
          <w:lang w:val="en-NZ"/>
        </w:rPr>
        <w:t>:</w:t>
      </w:r>
      <w:r w:rsidR="002F2BB3" w:rsidRPr="007275E4">
        <w:rPr>
          <w:lang w:val="en-NZ"/>
        </w:rPr>
        <w:t xml:space="preserve"> 69-70</w:t>
      </w:r>
    </w:p>
    <w:p w14:paraId="24972821" w14:textId="3BA34CDB" w:rsidR="003511F3" w:rsidRPr="00015237" w:rsidRDefault="000F4D2D" w:rsidP="006873E0">
      <w:pPr>
        <w:pStyle w:val="ListParagraph"/>
        <w:numPr>
          <w:ilvl w:val="0"/>
          <w:numId w:val="1"/>
        </w:numPr>
        <w:spacing w:before="220" w:after="0" w:line="259" w:lineRule="auto"/>
        <w:ind w:left="709" w:hanging="709"/>
        <w:contextualSpacing w:val="0"/>
        <w:jc w:val="both"/>
      </w:pPr>
      <w:r w:rsidRPr="00015237">
        <w:t>Work is underway to review the minimum age of criminal responsibility</w:t>
      </w:r>
      <w:r w:rsidR="004C74A0" w:rsidRPr="00015237">
        <w:t xml:space="preserve">. </w:t>
      </w:r>
      <w:r w:rsidRPr="00015237">
        <w:t xml:space="preserve">Progress on this work will be provided </w:t>
      </w:r>
      <w:r w:rsidR="004C74A0" w:rsidRPr="00015237">
        <w:t>at</w:t>
      </w:r>
      <w:r w:rsidRPr="00015237">
        <w:t xml:space="preserve"> the </w:t>
      </w:r>
      <w:r w:rsidR="004C74A0" w:rsidRPr="00015237">
        <w:t>next</w:t>
      </w:r>
      <w:r w:rsidRPr="00015237">
        <w:t xml:space="preserve"> Universal Periodic Review. The </w:t>
      </w:r>
      <w:r w:rsidR="004C74A0" w:rsidRPr="00015237">
        <w:t xml:space="preserve">work will </w:t>
      </w:r>
      <w:r w:rsidRPr="00015237">
        <w:t xml:space="preserve">consider how the </w:t>
      </w:r>
      <w:r w:rsidR="004C74A0" w:rsidRPr="00015237">
        <w:t xml:space="preserve">state </w:t>
      </w:r>
      <w:r w:rsidRPr="00015237">
        <w:t xml:space="preserve">care and protection system </w:t>
      </w:r>
      <w:r w:rsidR="00B80D83" w:rsidRPr="00015237">
        <w:t xml:space="preserve">should </w:t>
      </w:r>
      <w:r w:rsidR="002B02BC" w:rsidRPr="00015237">
        <w:t>respond to offending by children, including serious and repeat offending, if the response is removed from the formal youth justice system.</w:t>
      </w:r>
    </w:p>
    <w:p w14:paraId="7368BDD8" w14:textId="7EF0A074" w:rsidR="003511F3" w:rsidRPr="00A027AB" w:rsidRDefault="003511F3" w:rsidP="006873E0">
      <w:pPr>
        <w:pStyle w:val="Heading2"/>
        <w:jc w:val="both"/>
      </w:pPr>
      <w:r w:rsidRPr="00A027AB">
        <w:t xml:space="preserve">Children with disabilities </w:t>
      </w:r>
    </w:p>
    <w:p w14:paraId="31BEE548" w14:textId="20DE1D6F" w:rsidR="003511F3" w:rsidRPr="00015237" w:rsidRDefault="00953752" w:rsidP="006873E0">
      <w:pPr>
        <w:spacing w:before="240" w:line="276" w:lineRule="auto"/>
        <w:jc w:val="both"/>
      </w:pPr>
      <w:r>
        <w:t>UPR Recommendation</w:t>
      </w:r>
      <w:r w:rsidR="00BF673B" w:rsidRPr="00015237">
        <w:t>s</w:t>
      </w:r>
      <w:r w:rsidR="005A665B" w:rsidRPr="00015237">
        <w:t>:</w:t>
      </w:r>
      <w:r w:rsidR="003511F3" w:rsidRPr="00015237">
        <w:t xml:space="preserve"> 1</w:t>
      </w:r>
      <w:r w:rsidR="00713F10" w:rsidRPr="00015237">
        <w:t>57- 159</w:t>
      </w:r>
    </w:p>
    <w:p w14:paraId="41B745D1" w14:textId="4811885E" w:rsidR="005A16B2" w:rsidRPr="00015237" w:rsidRDefault="00372EF5" w:rsidP="006873E0">
      <w:pPr>
        <w:pStyle w:val="ListParagraph"/>
        <w:numPr>
          <w:ilvl w:val="0"/>
          <w:numId w:val="1"/>
        </w:numPr>
        <w:spacing w:before="220" w:after="0" w:line="259" w:lineRule="auto"/>
        <w:ind w:left="709" w:hanging="709"/>
        <w:contextualSpacing w:val="0"/>
        <w:jc w:val="both"/>
        <w:rPr>
          <w:rStyle w:val="normaltextrun"/>
        </w:rPr>
      </w:pPr>
      <w:r>
        <w:t xml:space="preserve">In additional to the </w:t>
      </w:r>
      <w:r w:rsidR="00065CE0">
        <w:t xml:space="preserve">general measures described earlier, specific actions are </w:t>
      </w:r>
      <w:r w:rsidR="000F4B56">
        <w:t>underway</w:t>
      </w:r>
      <w:r w:rsidR="00065CE0">
        <w:t xml:space="preserve"> for children with disabilities. </w:t>
      </w:r>
      <w:r w:rsidR="00BF673B" w:rsidRPr="00015237">
        <w:t>The</w:t>
      </w:r>
      <w:r w:rsidR="003511F3" w:rsidRPr="00015237">
        <w:t xml:space="preserve"> Child and Youth Wellbeing Strategy includes a particular focus on children with disabilities and those living in disabled households.</w:t>
      </w:r>
      <w:r w:rsidR="00A027AB">
        <w:t xml:space="preserve"> </w:t>
      </w:r>
      <w:r w:rsidR="003511F3" w:rsidRPr="00015237">
        <w:t>Actions to improve outcomes for children and young people impacted by disability include: introducing a Learning Support Coordinator  role to strengthen support for children with disabilities; flexible use of funding to meet increased demand for learning support services, supporting learning opportunities for children and young people who are deaf and increasing the availability of Assistive Technology; and resources to support neuro-diverse children and young people. </w:t>
      </w:r>
    </w:p>
    <w:p w14:paraId="4ED4E832" w14:textId="1F25B613" w:rsidR="006C7469" w:rsidRPr="00015237" w:rsidRDefault="005A16B2" w:rsidP="006873E0">
      <w:pPr>
        <w:pStyle w:val="ListParagraph"/>
        <w:numPr>
          <w:ilvl w:val="0"/>
          <w:numId w:val="1"/>
        </w:numPr>
        <w:spacing w:before="220" w:after="0" w:line="259" w:lineRule="auto"/>
        <w:ind w:left="709" w:hanging="709"/>
        <w:contextualSpacing w:val="0"/>
        <w:jc w:val="both"/>
        <w:rPr>
          <w:rStyle w:val="normaltextrun"/>
        </w:rPr>
      </w:pPr>
      <w:r w:rsidRPr="00015237">
        <w:rPr>
          <w:rStyle w:val="normaltextrun"/>
        </w:rPr>
        <w:t xml:space="preserve">Oranga Tamariki is developing a disability work programme </w:t>
      </w:r>
      <w:r w:rsidR="00867606" w:rsidRPr="00015237">
        <w:rPr>
          <w:rStyle w:val="normaltextrun"/>
        </w:rPr>
        <w:t xml:space="preserve">which </w:t>
      </w:r>
      <w:r w:rsidRPr="00015237">
        <w:rPr>
          <w:rStyle w:val="normaltextrun"/>
        </w:rPr>
        <w:t xml:space="preserve">includes plans to develop a proposal for an </w:t>
      </w:r>
      <w:r w:rsidRPr="007275E4">
        <w:t>advisory</w:t>
      </w:r>
      <w:r w:rsidRPr="00015237">
        <w:rPr>
          <w:rStyle w:val="normaltextrun"/>
        </w:rPr>
        <w:t xml:space="preserve"> group of people with disabilities in 2022. </w:t>
      </w:r>
      <w:r w:rsidRPr="00015237">
        <w:rPr>
          <w:rStyle w:val="eop"/>
        </w:rPr>
        <w:t>Engagement with</w:t>
      </w:r>
      <w:r w:rsidRPr="00015237">
        <w:rPr>
          <w:rStyle w:val="normaltextrun"/>
        </w:rPr>
        <w:t xml:space="preserve"> disabled people’s representative organisations has begun, to determine how to implement a social and rights-based model of disability in Oranga </w:t>
      </w:r>
      <w:r w:rsidR="005A3C16" w:rsidRPr="00015237">
        <w:rPr>
          <w:rStyle w:val="normaltextrun"/>
        </w:rPr>
        <w:t>Tamariki’s work</w:t>
      </w:r>
      <w:r w:rsidRPr="00015237">
        <w:rPr>
          <w:rStyle w:val="normaltextrun"/>
        </w:rPr>
        <w:t>, ensuring it includes a </w:t>
      </w:r>
      <w:r w:rsidR="002C51B8" w:rsidRPr="00015237">
        <w:rPr>
          <w:rStyle w:val="normaltextrun"/>
        </w:rPr>
        <w:t>T</w:t>
      </w:r>
      <w:r w:rsidRPr="00015237">
        <w:rPr>
          <w:rStyle w:val="normaltextrun"/>
        </w:rPr>
        <w:t xml:space="preserve">e </w:t>
      </w:r>
      <w:r w:rsidR="002C51B8" w:rsidRPr="00015237">
        <w:rPr>
          <w:rStyle w:val="normaltextrun"/>
        </w:rPr>
        <w:t>A</w:t>
      </w:r>
      <w:r w:rsidRPr="00015237">
        <w:rPr>
          <w:rStyle w:val="normaltextrun"/>
        </w:rPr>
        <w:t>o Māori approach to disability. </w:t>
      </w:r>
    </w:p>
    <w:p w14:paraId="18D5E256" w14:textId="7F64994B" w:rsidR="005A3C16" w:rsidRPr="00015237" w:rsidRDefault="000C4247" w:rsidP="006873E0">
      <w:pPr>
        <w:pStyle w:val="ListParagraph"/>
        <w:numPr>
          <w:ilvl w:val="0"/>
          <w:numId w:val="1"/>
        </w:numPr>
        <w:spacing w:before="220" w:after="0" w:line="259" w:lineRule="auto"/>
        <w:ind w:left="709" w:hanging="709"/>
        <w:contextualSpacing w:val="0"/>
        <w:jc w:val="both"/>
        <w:rPr>
          <w:rStyle w:val="normaltextrun"/>
        </w:rPr>
      </w:pPr>
      <w:r w:rsidRPr="00015237">
        <w:rPr>
          <w:rStyle w:val="normaltextrun"/>
        </w:rPr>
        <w:t xml:space="preserve">Oranga Tamariki has also begun implementing changes to bring </w:t>
      </w:r>
      <w:r w:rsidR="00F0283B" w:rsidRPr="00015237">
        <w:t>Aotearoa</w:t>
      </w:r>
      <w:r w:rsidR="00F0283B" w:rsidRPr="00015237">
        <w:rPr>
          <w:lang w:val="en-NZ"/>
        </w:rPr>
        <w:t xml:space="preserve"> </w:t>
      </w:r>
      <w:r w:rsidRPr="00015237">
        <w:rPr>
          <w:rStyle w:val="normaltextrun"/>
        </w:rPr>
        <w:t>New Zealand’s legislation into compliance</w:t>
      </w:r>
      <w:r w:rsidR="00EC3CD7">
        <w:rPr>
          <w:rStyle w:val="normaltextrun"/>
        </w:rPr>
        <w:t xml:space="preserve"> with</w:t>
      </w:r>
      <w:r w:rsidRPr="00015237">
        <w:rPr>
          <w:rStyle w:val="normaltextrun"/>
        </w:rPr>
        <w:t xml:space="preserve"> </w:t>
      </w:r>
      <w:r w:rsidR="00867606" w:rsidRPr="00015237">
        <w:rPr>
          <w:rStyle w:val="normaltextrun"/>
        </w:rPr>
        <w:t>UN</w:t>
      </w:r>
      <w:r w:rsidR="00065CE0">
        <w:rPr>
          <w:rStyle w:val="normaltextrun"/>
        </w:rPr>
        <w:t xml:space="preserve"> </w:t>
      </w:r>
      <w:r w:rsidRPr="00015237">
        <w:rPr>
          <w:rStyle w:val="normaltextrun"/>
        </w:rPr>
        <w:t>C</w:t>
      </w:r>
      <w:r w:rsidR="00065CE0">
        <w:rPr>
          <w:rStyle w:val="normaltextrun"/>
        </w:rPr>
        <w:t xml:space="preserve">onvention on the </w:t>
      </w:r>
      <w:r w:rsidRPr="00015237">
        <w:rPr>
          <w:rStyle w:val="normaltextrun"/>
        </w:rPr>
        <w:t>R</w:t>
      </w:r>
      <w:r w:rsidR="00065CE0">
        <w:rPr>
          <w:rStyle w:val="normaltextrun"/>
        </w:rPr>
        <w:t xml:space="preserve">ights </w:t>
      </w:r>
      <w:r w:rsidR="00EC70BE">
        <w:rPr>
          <w:rStyle w:val="normaltextrun"/>
        </w:rPr>
        <w:t xml:space="preserve">of </w:t>
      </w:r>
      <w:r w:rsidRPr="00015237">
        <w:rPr>
          <w:rStyle w:val="normaltextrun"/>
        </w:rPr>
        <w:t>P</w:t>
      </w:r>
      <w:r w:rsidR="00EC70BE">
        <w:rPr>
          <w:rStyle w:val="normaltextrun"/>
        </w:rPr>
        <w:t xml:space="preserve">ersons with </w:t>
      </w:r>
      <w:r w:rsidRPr="00015237">
        <w:rPr>
          <w:rStyle w:val="normaltextrun"/>
        </w:rPr>
        <w:t>D</w:t>
      </w:r>
      <w:r w:rsidR="00EC70BE">
        <w:rPr>
          <w:rStyle w:val="normaltextrun"/>
        </w:rPr>
        <w:t>isabilities</w:t>
      </w:r>
      <w:r w:rsidRPr="00015237">
        <w:rPr>
          <w:rStyle w:val="normaltextrun"/>
        </w:rPr>
        <w:t>. For example, the Oranga Tamariki Act</w:t>
      </w:r>
      <w:r w:rsidR="00867606" w:rsidRPr="00015237">
        <w:rPr>
          <w:rStyle w:val="normaltextrun"/>
        </w:rPr>
        <w:t xml:space="preserve"> </w:t>
      </w:r>
      <w:r w:rsidR="00E76CF7" w:rsidRPr="00015237">
        <w:rPr>
          <w:rStyle w:val="normaltextrun"/>
        </w:rPr>
        <w:t>1989 now</w:t>
      </w:r>
      <w:r w:rsidR="00065CE0">
        <w:rPr>
          <w:rStyle w:val="normaltextrun"/>
        </w:rPr>
        <w:t xml:space="preserve"> provides for </w:t>
      </w:r>
      <w:r w:rsidRPr="00015237">
        <w:rPr>
          <w:rStyle w:val="normaltextrun"/>
        </w:rPr>
        <w:t xml:space="preserve">disabled children </w:t>
      </w:r>
      <w:r w:rsidR="00065CE0">
        <w:rPr>
          <w:rStyle w:val="normaltextrun"/>
        </w:rPr>
        <w:t xml:space="preserve">to be </w:t>
      </w:r>
      <w:r w:rsidRPr="00015237">
        <w:rPr>
          <w:rStyle w:val="normaltextrun"/>
        </w:rPr>
        <w:t>subject to the same care mechanisms, protections and safeguards as other children in the statutory care system.</w:t>
      </w:r>
    </w:p>
    <w:p w14:paraId="64541904" w14:textId="28FCF3CE" w:rsidR="00676D6F" w:rsidRPr="00015237" w:rsidRDefault="00676D6F" w:rsidP="006873E0">
      <w:pPr>
        <w:pStyle w:val="ListParagraph"/>
        <w:spacing w:before="220" w:after="0" w:line="259" w:lineRule="auto"/>
        <w:ind w:left="709"/>
        <w:contextualSpacing w:val="0"/>
        <w:jc w:val="both"/>
      </w:pPr>
    </w:p>
    <w:sectPr w:rsidR="00676D6F" w:rsidRPr="00015237" w:rsidSect="00F362F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588C7" w14:textId="77777777" w:rsidR="00FE1E09" w:rsidRDefault="00FE1E09" w:rsidP="00E07C14">
      <w:r>
        <w:separator/>
      </w:r>
    </w:p>
  </w:endnote>
  <w:endnote w:type="continuationSeparator" w:id="0">
    <w:p w14:paraId="0EF78A38" w14:textId="77777777" w:rsidR="00FE1E09" w:rsidRDefault="00FE1E09" w:rsidP="00E0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855940"/>
      <w:docPartObj>
        <w:docPartGallery w:val="Page Numbers (Bottom of Page)"/>
        <w:docPartUnique/>
      </w:docPartObj>
    </w:sdtPr>
    <w:sdtEndPr>
      <w:rPr>
        <w:noProof/>
      </w:rPr>
    </w:sdtEndPr>
    <w:sdtContent>
      <w:p w14:paraId="02DFBEF9" w14:textId="1AC0837E" w:rsidR="00C601E8" w:rsidRDefault="00C601E8" w:rsidP="000357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A3CB2" w14:textId="77777777" w:rsidR="00FE1E09" w:rsidRDefault="00FE1E09" w:rsidP="00E07C14">
      <w:r>
        <w:separator/>
      </w:r>
    </w:p>
  </w:footnote>
  <w:footnote w:type="continuationSeparator" w:id="0">
    <w:p w14:paraId="1AE63417" w14:textId="77777777" w:rsidR="00FE1E09" w:rsidRDefault="00FE1E09" w:rsidP="00E07C14">
      <w:r>
        <w:continuationSeparator/>
      </w:r>
    </w:p>
  </w:footnote>
  <w:footnote w:id="1">
    <w:p w14:paraId="71B1B5CA" w14:textId="6C27F07A" w:rsidR="00C601E8" w:rsidRPr="008554AD" w:rsidRDefault="00C601E8">
      <w:pPr>
        <w:pStyle w:val="FootnoteText"/>
        <w:rPr>
          <w:lang w:val="en-NZ"/>
        </w:rPr>
      </w:pPr>
      <w:r>
        <w:rPr>
          <w:rStyle w:val="FootnoteReference"/>
        </w:rPr>
        <w:footnoteRef/>
      </w:r>
      <w:r>
        <w:t xml:space="preserve"> </w:t>
      </w:r>
      <w:r w:rsidRPr="00C85E77">
        <w:t>Whānau is a wider concept than just an immediate family made up of parents and siblings - it links people of one family to a common tupuna or ancestor. However, it is commonly used in many contexts as the Māori term for family or extended family</w:t>
      </w:r>
      <w:r>
        <w:t>.</w:t>
      </w:r>
    </w:p>
  </w:footnote>
  <w:footnote w:id="2">
    <w:p w14:paraId="64E4EA85" w14:textId="5E4E3868" w:rsidR="00C601E8" w:rsidRPr="004B27D6" w:rsidRDefault="00C601E8">
      <w:pPr>
        <w:pStyle w:val="FootnoteText"/>
        <w:rPr>
          <w:lang w:val="en-NZ"/>
        </w:rPr>
      </w:pPr>
      <w:r>
        <w:rPr>
          <w:rStyle w:val="FootnoteReference"/>
        </w:rPr>
        <w:footnoteRef/>
      </w:r>
      <w:r>
        <w:t xml:space="preserve"> </w:t>
      </w:r>
      <w:r w:rsidRPr="004B27D6">
        <w:t>A hapū is a division of a Māori iwi often translated as ‘subtribe’. Membership is determined by genealogical descent; a hapū is made up of a number of whānau (extended family) groups</w:t>
      </w:r>
      <w:r w:rsidR="00200AC9">
        <w:t>.</w:t>
      </w:r>
    </w:p>
  </w:footnote>
  <w:footnote w:id="3">
    <w:p w14:paraId="1473D6FD" w14:textId="5C8DC98E" w:rsidR="00C601E8" w:rsidRPr="007709F5" w:rsidRDefault="00C601E8" w:rsidP="00E07C14">
      <w:pPr>
        <w:pStyle w:val="FootnoteText"/>
        <w:rPr>
          <w:lang w:val="mi-NZ"/>
        </w:rPr>
      </w:pPr>
      <w:r w:rsidRPr="004B27D6">
        <w:rPr>
          <w:rStyle w:val="FootnoteReference"/>
        </w:rPr>
        <w:footnoteRef/>
      </w:r>
      <w:r w:rsidRPr="004B27D6">
        <w:t xml:space="preserve"> The traditional Māori tribal hierarchy and social order made up of hapū and whānau with a founding ancestor and territorial (tribal) boundaries. Iwi are the largest everyday social units in Māori populations.</w:t>
      </w:r>
    </w:p>
  </w:footnote>
  <w:footnote w:id="4">
    <w:p w14:paraId="33A01B44" w14:textId="4D53901F" w:rsidR="00C601E8" w:rsidRPr="00C538BD" w:rsidRDefault="00C601E8" w:rsidP="00E07C14">
      <w:pPr>
        <w:pStyle w:val="FootnoteText"/>
        <w:rPr>
          <w:lang w:val="en-NZ"/>
        </w:rPr>
      </w:pPr>
      <w:r>
        <w:rPr>
          <w:rStyle w:val="FootnoteReference"/>
        </w:rPr>
        <w:footnoteRef/>
      </w:r>
      <w:r>
        <w:t xml:space="preserve"> In the </w:t>
      </w:r>
      <w:r w:rsidRPr="007B68E5">
        <w:t>Māori</w:t>
      </w:r>
      <w:r>
        <w:t xml:space="preserve"> text of te Tiriti, signatories are assured that their tino rangatiratanga will remain undisturbed over their lands, kainga and other taonga (absolute chieftainship of your lands, your homes, and all your treasures/taonga). </w:t>
      </w:r>
    </w:p>
  </w:footnote>
  <w:footnote w:id="5">
    <w:p w14:paraId="74C66486" w14:textId="269D0F94" w:rsidR="00B625AD" w:rsidRPr="001944DC" w:rsidRDefault="00B625AD">
      <w:pPr>
        <w:pStyle w:val="FootnoteText"/>
      </w:pPr>
      <w:r>
        <w:rPr>
          <w:rStyle w:val="FootnoteReference"/>
        </w:rPr>
        <w:footnoteRef/>
      </w:r>
      <w:r>
        <w:t xml:space="preserve"> </w:t>
      </w:r>
      <w:r w:rsidR="001944DC">
        <w:t xml:space="preserve">Rangatiratanga in this context refers to the right of </w:t>
      </w:r>
      <w:r w:rsidR="001944DC" w:rsidRPr="007B68E5">
        <w:t>Māori</w:t>
      </w:r>
      <w:r w:rsidR="001944DC">
        <w:t xml:space="preserve"> to rule themselves, right to self-determination, or self-management. </w:t>
      </w:r>
    </w:p>
  </w:footnote>
  <w:footnote w:id="6">
    <w:p w14:paraId="3FCADECC" w14:textId="7A20C71C" w:rsidR="00C601E8" w:rsidRPr="00C13E93" w:rsidRDefault="00C601E8">
      <w:pPr>
        <w:pStyle w:val="FootnoteText"/>
        <w:rPr>
          <w:lang w:val="en-NZ"/>
        </w:rPr>
      </w:pPr>
      <w:r>
        <w:rPr>
          <w:rStyle w:val="FootnoteReference"/>
        </w:rPr>
        <w:footnoteRef/>
      </w:r>
      <w:r>
        <w:t xml:space="preserve"> </w:t>
      </w:r>
      <w:r w:rsidRPr="00C13E93">
        <w:t>Topic, policy, matter for discussion, plan, purpose, programme, theme, issue, or initiative</w:t>
      </w:r>
      <w:r>
        <w:t>.</w:t>
      </w:r>
    </w:p>
  </w:footnote>
  <w:footnote w:id="7">
    <w:p w14:paraId="2883F891" w14:textId="6EA3317B" w:rsidR="00B625AD" w:rsidRPr="00B625AD" w:rsidRDefault="00B625AD">
      <w:pPr>
        <w:pStyle w:val="FootnoteText"/>
        <w:rPr>
          <w:lang w:val="en-NZ"/>
        </w:rPr>
      </w:pPr>
      <w:r>
        <w:rPr>
          <w:rStyle w:val="FootnoteReference"/>
        </w:rPr>
        <w:footnoteRef/>
      </w:r>
      <w:r>
        <w:t xml:space="preserve"> </w:t>
      </w:r>
      <w:r w:rsidR="00507050">
        <w:t>Tikanga refers to</w:t>
      </w:r>
      <w:r w:rsidR="00507050" w:rsidRPr="00507050">
        <w:t xml:space="preserve"> </w:t>
      </w:r>
      <w:r w:rsidR="00507050" w:rsidRPr="007B68E5">
        <w:t>Māori</w:t>
      </w:r>
      <w:r w:rsidR="00507050">
        <w:t xml:space="preserve"> customary practice</w:t>
      </w:r>
      <w:r w:rsidR="006056CB">
        <w:t>s</w:t>
      </w:r>
      <w:r w:rsidR="00507050">
        <w:t xml:space="preserve"> or behaviours, so to act in accordance with tikanga is to behave in a way that is culturally proper or appropriate. </w:t>
      </w:r>
    </w:p>
  </w:footnote>
  <w:footnote w:id="8">
    <w:p w14:paraId="5A6EC5CE" w14:textId="5BEF7671" w:rsidR="00C601E8" w:rsidRPr="00C13E93" w:rsidRDefault="00C601E8" w:rsidP="00727C9E">
      <w:pPr>
        <w:pStyle w:val="FootnoteText"/>
        <w:rPr>
          <w:b/>
          <w:bCs/>
          <w:lang w:val="en-NZ"/>
        </w:rPr>
      </w:pPr>
      <w:r w:rsidRPr="00C13E93">
        <w:rPr>
          <w:rStyle w:val="FootnoteReference"/>
        </w:rPr>
        <w:footnoteRef/>
      </w:r>
      <w:r w:rsidRPr="00C13E93">
        <w:t xml:space="preserve"> </w:t>
      </w:r>
      <w:r w:rsidRPr="00C13E93">
        <w:rPr>
          <w:shd w:val="clear" w:color="auto" w:fill="FFFFFF"/>
        </w:rPr>
        <w:t xml:space="preserve">Kaiwhakamana </w:t>
      </w:r>
      <w:r>
        <w:rPr>
          <w:shd w:val="clear" w:color="auto" w:fill="FFFFFF"/>
        </w:rPr>
        <w:t>(k</w:t>
      </w:r>
      <w:r w:rsidRPr="00C13E93">
        <w:rPr>
          <w:shd w:val="clear" w:color="auto" w:fill="FFFFFF"/>
        </w:rPr>
        <w:t>aumatua</w:t>
      </w:r>
      <w:r>
        <w:rPr>
          <w:shd w:val="clear" w:color="auto" w:fill="FFFFFF"/>
        </w:rPr>
        <w:t>/</w:t>
      </w:r>
      <w:r w:rsidRPr="00C13E93">
        <w:rPr>
          <w:shd w:val="clear" w:color="auto" w:fill="FFFFFF"/>
        </w:rPr>
        <w:t xml:space="preserve">elders/person of status within the </w:t>
      </w:r>
      <w:r w:rsidRPr="00C13E93">
        <w:t>wh</w:t>
      </w:r>
      <w:r>
        <w:t>ā</w:t>
      </w:r>
      <w:r w:rsidRPr="00C13E93">
        <w:t>nau)</w:t>
      </w:r>
      <w:r w:rsidRPr="00C13E93">
        <w:rPr>
          <w:shd w:val="clear" w:color="auto" w:fill="FFFFFF"/>
        </w:rPr>
        <w:t xml:space="preserve"> who have access to prisons to enable the wellness and well-being of their people are specified visitors, and include kaumātua, kuia, tohunga, spiritual leaders and others, as approved through the National System.</w:t>
      </w:r>
    </w:p>
  </w:footnote>
  <w:footnote w:id="9">
    <w:p w14:paraId="24BB7595" w14:textId="7E5617B0" w:rsidR="00BF7E76" w:rsidRPr="00BF7E76" w:rsidRDefault="00BF7E76" w:rsidP="00BF7E76">
      <w:pPr>
        <w:rPr>
          <w:rFonts w:eastAsiaTheme="minorHAnsi"/>
          <w:sz w:val="20"/>
          <w:szCs w:val="20"/>
          <w:lang w:val="en-NZ"/>
        </w:rPr>
      </w:pPr>
      <w:r w:rsidRPr="00BF7E76">
        <w:rPr>
          <w:rStyle w:val="FootnoteReference"/>
          <w:sz w:val="20"/>
          <w:szCs w:val="20"/>
        </w:rPr>
        <w:footnoteRef/>
      </w:r>
      <w:r w:rsidRPr="00BF7E76">
        <w:rPr>
          <w:sz w:val="20"/>
          <w:szCs w:val="20"/>
        </w:rPr>
        <w:t xml:space="preserve"> Mana whenua - ahi kā are the group that hold the responsibility for caring for the land, and therefore the people who come on to the land, on which the buildings from which the service will be provided.  Ahi kā is a metaphor for the people of the land who keep the home fires burning (Ahi means to burn and kā is a shortened form of k</w:t>
      </w:r>
      <w:r w:rsidR="004026F0">
        <w:rPr>
          <w:sz w:val="20"/>
          <w:szCs w:val="20"/>
        </w:rPr>
        <w:t>ai</w:t>
      </w:r>
      <w:r w:rsidRPr="00BF7E76">
        <w:rPr>
          <w:sz w:val="20"/>
          <w:szCs w:val="20"/>
        </w:rPr>
        <w:t>nga or home).</w:t>
      </w:r>
    </w:p>
    <w:p w14:paraId="07D39DAC" w14:textId="2F707D37" w:rsidR="00BF7E76" w:rsidRPr="00BF7E76" w:rsidRDefault="00BF7E76">
      <w:pPr>
        <w:pStyle w:val="FootnoteText"/>
        <w:rPr>
          <w:lang w:val="en-NZ"/>
        </w:rPr>
      </w:pPr>
    </w:p>
  </w:footnote>
  <w:footnote w:id="10">
    <w:p w14:paraId="042F7893" w14:textId="21F2810F" w:rsidR="00C601E8" w:rsidRPr="00EC5031" w:rsidRDefault="00C601E8">
      <w:pPr>
        <w:pStyle w:val="FootnoteText"/>
        <w:rPr>
          <w:lang w:val="en-NZ"/>
        </w:rPr>
      </w:pPr>
      <w:r>
        <w:rPr>
          <w:rStyle w:val="FootnoteReference"/>
        </w:rPr>
        <w:footnoteRef/>
      </w:r>
      <w:r>
        <w:t xml:space="preserve"> Tangata whenua refers to </w:t>
      </w:r>
      <w:r w:rsidRPr="00EC5031">
        <w:t>l</w:t>
      </w:r>
      <w:r w:rsidRPr="00EC5031">
        <w:rPr>
          <w:color w:val="333333"/>
          <w:shd w:val="clear" w:color="auto" w:fill="FFFFFF"/>
        </w:rPr>
        <w:t>ocal people, hosts, indigenous people - people born of the whenua, i.e. of the the land where the people's ancestors have lived.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A26"/>
    <w:multiLevelType w:val="multilevel"/>
    <w:tmpl w:val="65EC7D44"/>
    <w:lvl w:ilvl="0">
      <w:start w:val="1"/>
      <w:numFmt w:val="decimal"/>
      <w:lvlText w:val="%1."/>
      <w:lvlJc w:val="left"/>
      <w:pPr>
        <w:ind w:left="567" w:hanging="567"/>
      </w:pPr>
      <w:rPr>
        <w:rFonts w:hint="default"/>
        <w:b w:val="0"/>
        <w:bCs w:val="0"/>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07335CEC"/>
    <w:multiLevelType w:val="hybridMultilevel"/>
    <w:tmpl w:val="97702A3A"/>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B28CA"/>
    <w:multiLevelType w:val="hybridMultilevel"/>
    <w:tmpl w:val="E9D4FF6E"/>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C355E7"/>
    <w:multiLevelType w:val="hybridMultilevel"/>
    <w:tmpl w:val="93BAB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9E5AB0"/>
    <w:multiLevelType w:val="hybridMultilevel"/>
    <w:tmpl w:val="DA185C0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15923099"/>
    <w:multiLevelType w:val="hybridMultilevel"/>
    <w:tmpl w:val="F416AD5E"/>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C92DEC"/>
    <w:multiLevelType w:val="hybridMultilevel"/>
    <w:tmpl w:val="5942CFA2"/>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553279"/>
    <w:multiLevelType w:val="hybridMultilevel"/>
    <w:tmpl w:val="E91A071E"/>
    <w:lvl w:ilvl="0" w:tplc="01D0CD2E">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1060CCC"/>
    <w:multiLevelType w:val="hybridMultilevel"/>
    <w:tmpl w:val="37D2BF12"/>
    <w:lvl w:ilvl="0" w:tplc="14090001">
      <w:start w:val="1"/>
      <w:numFmt w:val="bullet"/>
      <w:lvlText w:val=""/>
      <w:lvlJc w:val="left"/>
      <w:pPr>
        <w:ind w:left="720" w:hanging="360"/>
      </w:pPr>
      <w:rPr>
        <w:rFonts w:ascii="Symbol" w:hAnsi="Symbol"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78C6EB7"/>
    <w:multiLevelType w:val="hybridMultilevel"/>
    <w:tmpl w:val="BD668618"/>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817FF2"/>
    <w:multiLevelType w:val="hybridMultilevel"/>
    <w:tmpl w:val="86C26084"/>
    <w:lvl w:ilvl="0" w:tplc="D688D246">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ADE33AC"/>
    <w:multiLevelType w:val="hybridMultilevel"/>
    <w:tmpl w:val="C6E8315C"/>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AFB1941"/>
    <w:multiLevelType w:val="hybridMultilevel"/>
    <w:tmpl w:val="EF60D72C"/>
    <w:lvl w:ilvl="0" w:tplc="88082F74">
      <w:start w:val="1"/>
      <w:numFmt w:val="decimal"/>
      <w:lvlText w:val="%1."/>
      <w:lvlJc w:val="left"/>
      <w:pPr>
        <w:ind w:left="1588" w:hanging="453"/>
      </w:pPr>
      <w:rPr>
        <w:rFonts w:hint="default"/>
        <w:b w:val="0"/>
        <w:i w:val="0"/>
        <w:color w:val="auto"/>
      </w:rPr>
    </w:lvl>
    <w:lvl w:ilvl="1" w:tplc="30A476C2">
      <w:start w:val="1"/>
      <w:numFmt w:val="lowerLetter"/>
      <w:lvlText w:val="%2."/>
      <w:lvlJc w:val="left"/>
      <w:pPr>
        <w:ind w:left="2155" w:hanging="454"/>
      </w:pPr>
      <w:rPr>
        <w:rFonts w:hint="default"/>
      </w:r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3" w15:restartNumberingAfterBreak="0">
    <w:nsid w:val="2BD548E3"/>
    <w:multiLevelType w:val="hybridMultilevel"/>
    <w:tmpl w:val="8098CB70"/>
    <w:lvl w:ilvl="0" w:tplc="07465F18">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B0200B"/>
    <w:multiLevelType w:val="hybridMultilevel"/>
    <w:tmpl w:val="5F548F44"/>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10B2CD5"/>
    <w:multiLevelType w:val="hybridMultilevel"/>
    <w:tmpl w:val="AC4C89BA"/>
    <w:lvl w:ilvl="0" w:tplc="5BB45DF4">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9230FD"/>
    <w:multiLevelType w:val="hybridMultilevel"/>
    <w:tmpl w:val="EF60D72C"/>
    <w:lvl w:ilvl="0" w:tplc="88082F74">
      <w:start w:val="1"/>
      <w:numFmt w:val="decimal"/>
      <w:lvlText w:val="%1."/>
      <w:lvlJc w:val="left"/>
      <w:pPr>
        <w:ind w:left="1588" w:hanging="453"/>
      </w:pPr>
      <w:rPr>
        <w:rFonts w:hint="default"/>
        <w:b w:val="0"/>
        <w:i w:val="0"/>
        <w:color w:val="auto"/>
      </w:rPr>
    </w:lvl>
    <w:lvl w:ilvl="1" w:tplc="30A476C2">
      <w:start w:val="1"/>
      <w:numFmt w:val="lowerLetter"/>
      <w:lvlText w:val="%2."/>
      <w:lvlJc w:val="left"/>
      <w:pPr>
        <w:ind w:left="2155" w:hanging="454"/>
      </w:pPr>
      <w:rPr>
        <w:rFonts w:hint="default"/>
      </w:r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7" w15:restartNumberingAfterBreak="0">
    <w:nsid w:val="36B75774"/>
    <w:multiLevelType w:val="hybridMultilevel"/>
    <w:tmpl w:val="A82AF62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8" w15:restartNumberingAfterBreak="0">
    <w:nsid w:val="39187F30"/>
    <w:multiLevelType w:val="hybridMultilevel"/>
    <w:tmpl w:val="67A0EB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8602AF"/>
    <w:multiLevelType w:val="hybridMultilevel"/>
    <w:tmpl w:val="38A69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0A4157"/>
    <w:multiLevelType w:val="hybridMultilevel"/>
    <w:tmpl w:val="73D8837E"/>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BC24AA5"/>
    <w:multiLevelType w:val="hybridMultilevel"/>
    <w:tmpl w:val="FFECBAC4"/>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E1E46D2"/>
    <w:multiLevelType w:val="hybridMultilevel"/>
    <w:tmpl w:val="7988B77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40BC3014"/>
    <w:multiLevelType w:val="hybridMultilevel"/>
    <w:tmpl w:val="42CA929E"/>
    <w:lvl w:ilvl="0" w:tplc="FE720A7A">
      <w:numFmt w:val="bullet"/>
      <w:lvlText w:val="-"/>
      <w:lvlJc w:val="left"/>
      <w:pPr>
        <w:ind w:left="720" w:hanging="360"/>
      </w:pPr>
      <w:rPr>
        <w:rFonts w:ascii="Calibri" w:eastAsia="Calibri" w:hAnsi="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40C63CF1"/>
    <w:multiLevelType w:val="hybridMultilevel"/>
    <w:tmpl w:val="EF60D72C"/>
    <w:lvl w:ilvl="0" w:tplc="88082F74">
      <w:start w:val="1"/>
      <w:numFmt w:val="decimal"/>
      <w:lvlText w:val="%1."/>
      <w:lvlJc w:val="left"/>
      <w:pPr>
        <w:ind w:left="1588" w:hanging="453"/>
      </w:pPr>
      <w:rPr>
        <w:rFonts w:hint="default"/>
        <w:b w:val="0"/>
        <w:i w:val="0"/>
        <w:color w:val="auto"/>
      </w:rPr>
    </w:lvl>
    <w:lvl w:ilvl="1" w:tplc="30A476C2">
      <w:start w:val="1"/>
      <w:numFmt w:val="lowerLetter"/>
      <w:lvlText w:val="%2."/>
      <w:lvlJc w:val="left"/>
      <w:pPr>
        <w:ind w:left="2155" w:hanging="454"/>
      </w:pPr>
      <w:rPr>
        <w:rFonts w:hint="default"/>
      </w:r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5" w15:restartNumberingAfterBreak="0">
    <w:nsid w:val="41D959EF"/>
    <w:multiLevelType w:val="hybridMultilevel"/>
    <w:tmpl w:val="E870AC42"/>
    <w:lvl w:ilvl="0" w:tplc="88082F74">
      <w:start w:val="1"/>
      <w:numFmt w:val="decimal"/>
      <w:lvlText w:val="%1."/>
      <w:lvlJc w:val="left"/>
      <w:pPr>
        <w:ind w:left="1588" w:hanging="453"/>
      </w:pPr>
      <w:rPr>
        <w:rFonts w:hint="default"/>
        <w:b w:val="0"/>
        <w:i w:val="0"/>
        <w:color w:val="auto"/>
      </w:rPr>
    </w:lvl>
    <w:lvl w:ilvl="1" w:tplc="30A476C2">
      <w:start w:val="1"/>
      <w:numFmt w:val="lowerLetter"/>
      <w:lvlText w:val="%2."/>
      <w:lvlJc w:val="left"/>
      <w:pPr>
        <w:ind w:left="2155" w:hanging="454"/>
      </w:pPr>
      <w:rPr>
        <w:rFonts w:hint="default"/>
      </w:rPr>
    </w:lvl>
    <w:lvl w:ilvl="2" w:tplc="1409001B">
      <w:start w:val="1"/>
      <w:numFmt w:val="lowerRoman"/>
      <w:lvlText w:val="%3."/>
      <w:lvlJc w:val="right"/>
      <w:pPr>
        <w:ind w:left="3294" w:hanging="180"/>
      </w:pPr>
    </w:lvl>
    <w:lvl w:ilvl="3" w:tplc="1409000F">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6" w15:restartNumberingAfterBreak="0">
    <w:nsid w:val="421B5493"/>
    <w:multiLevelType w:val="hybridMultilevel"/>
    <w:tmpl w:val="BFA832C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63701E2"/>
    <w:multiLevelType w:val="hybridMultilevel"/>
    <w:tmpl w:val="A70038DC"/>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67E19E9"/>
    <w:multiLevelType w:val="hybridMultilevel"/>
    <w:tmpl w:val="DD885B22"/>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95878A6"/>
    <w:multiLevelType w:val="multilevel"/>
    <w:tmpl w:val="4BBA8C96"/>
    <w:lvl w:ilvl="0">
      <w:start w:val="1"/>
      <w:numFmt w:val="decimal"/>
      <w:pStyle w:val="Paragraph"/>
      <w:lvlText w:val="%1"/>
      <w:lvlJc w:val="left"/>
      <w:pPr>
        <w:tabs>
          <w:tab w:val="num" w:pos="567"/>
        </w:tabs>
        <w:ind w:left="1134" w:hanging="1134"/>
      </w:pPr>
    </w:lvl>
    <w:lvl w:ilvl="1">
      <w:start w:val="1"/>
      <w:numFmt w:val="decimal"/>
      <w:lvlText w:val="%1%2."/>
      <w:lvlJc w:val="left"/>
      <w:pPr>
        <w:tabs>
          <w:tab w:val="num" w:pos="567"/>
        </w:tabs>
        <w:ind w:left="1134" w:hanging="1134"/>
      </w:pPr>
    </w:lvl>
    <w:lvl w:ilvl="2">
      <w:start w:val="1"/>
      <w:numFmt w:val="bullet"/>
      <w:lvlText w:val=""/>
      <w:lvlJc w:val="left"/>
      <w:pPr>
        <w:tabs>
          <w:tab w:val="num" w:pos="624"/>
        </w:tabs>
        <w:ind w:left="1701" w:hanging="1134"/>
      </w:pPr>
      <w:rPr>
        <w:rFonts w:ascii="Symbol" w:hAnsi="Symbol" w:hint="default"/>
      </w:rPr>
    </w:lvl>
    <w:lvl w:ilvl="3">
      <w:start w:val="1"/>
      <w:numFmt w:val="decimal"/>
      <w:lvlText w:val="%1%2.%3.%4."/>
      <w:lvlJc w:val="left"/>
      <w:pPr>
        <w:tabs>
          <w:tab w:val="num" w:pos="567"/>
        </w:tabs>
        <w:ind w:left="1134" w:hanging="1134"/>
      </w:pPr>
    </w:lvl>
    <w:lvl w:ilvl="4">
      <w:start w:val="1"/>
      <w:numFmt w:val="decimal"/>
      <w:lvlText w:val="%1%2.%3.%4.%5."/>
      <w:lvlJc w:val="left"/>
      <w:pPr>
        <w:tabs>
          <w:tab w:val="num" w:pos="567"/>
        </w:tabs>
        <w:ind w:left="1134" w:hanging="1134"/>
      </w:pPr>
    </w:lvl>
    <w:lvl w:ilvl="5">
      <w:start w:val="1"/>
      <w:numFmt w:val="decimal"/>
      <w:lvlText w:val="%1%2.%3.%4.%5.%6."/>
      <w:lvlJc w:val="left"/>
      <w:pPr>
        <w:tabs>
          <w:tab w:val="num" w:pos="567"/>
        </w:tabs>
        <w:ind w:left="1134" w:hanging="1134"/>
      </w:pPr>
    </w:lvl>
    <w:lvl w:ilvl="6">
      <w:start w:val="1"/>
      <w:numFmt w:val="decimal"/>
      <w:lvlText w:val="%1%2.%3.%4.%5.%6.%7."/>
      <w:lvlJc w:val="left"/>
      <w:pPr>
        <w:tabs>
          <w:tab w:val="num" w:pos="567"/>
        </w:tabs>
        <w:ind w:left="1134" w:hanging="1134"/>
      </w:pPr>
    </w:lvl>
    <w:lvl w:ilvl="7">
      <w:start w:val="1"/>
      <w:numFmt w:val="decimal"/>
      <w:lvlText w:val="%1%2.%3.%4.%5.%6.%7.%8."/>
      <w:lvlJc w:val="left"/>
      <w:pPr>
        <w:tabs>
          <w:tab w:val="num" w:pos="567"/>
        </w:tabs>
        <w:ind w:left="1134" w:hanging="1134"/>
      </w:pPr>
    </w:lvl>
    <w:lvl w:ilvl="8">
      <w:start w:val="1"/>
      <w:numFmt w:val="decimal"/>
      <w:lvlText w:val="%1%2.%3.%4.%5.%6.%7.%8.%9."/>
      <w:lvlJc w:val="left"/>
      <w:pPr>
        <w:tabs>
          <w:tab w:val="num" w:pos="567"/>
        </w:tabs>
        <w:ind w:left="1134" w:hanging="1134"/>
      </w:pPr>
    </w:lvl>
  </w:abstractNum>
  <w:abstractNum w:abstractNumId="30" w15:restartNumberingAfterBreak="0">
    <w:nsid w:val="4F93128B"/>
    <w:multiLevelType w:val="hybridMultilevel"/>
    <w:tmpl w:val="68585AC2"/>
    <w:lvl w:ilvl="0" w:tplc="82D2322E">
      <w:start w:val="128"/>
      <w:numFmt w:val="decimal"/>
      <w:lvlText w:val="%1."/>
      <w:lvlJc w:val="left"/>
      <w:pPr>
        <w:ind w:left="750" w:hanging="390"/>
      </w:pPr>
      <w:rPr>
        <w:rFonts w:ascii="Calibri" w:eastAsia="PMingLiU" w:hAnsi="Calibri" w:cs="Times New Roman" w:hint="default"/>
        <w:color w:val="1F497D"/>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1" w15:restartNumberingAfterBreak="0">
    <w:nsid w:val="51171E1A"/>
    <w:multiLevelType w:val="hybridMultilevel"/>
    <w:tmpl w:val="D35AB4C8"/>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86F5650"/>
    <w:multiLevelType w:val="multilevel"/>
    <w:tmpl w:val="191A8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D5635D"/>
    <w:multiLevelType w:val="hybridMultilevel"/>
    <w:tmpl w:val="9F9CD37C"/>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1927044"/>
    <w:multiLevelType w:val="hybridMultilevel"/>
    <w:tmpl w:val="3A5AF052"/>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4A5546C"/>
    <w:multiLevelType w:val="hybridMultilevel"/>
    <w:tmpl w:val="617416B0"/>
    <w:lvl w:ilvl="0" w:tplc="38044C10">
      <w:start w:val="1"/>
      <w:numFmt w:val="decimal"/>
      <w:lvlText w:val="%1."/>
      <w:lvlJc w:val="left"/>
      <w:pPr>
        <w:ind w:left="720" w:hanging="360"/>
      </w:pPr>
      <w:rPr>
        <w:rFonts w:hint="default"/>
        <w:i w:val="0"/>
        <w:iCs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55F3348"/>
    <w:multiLevelType w:val="hybridMultilevel"/>
    <w:tmpl w:val="EF60D72C"/>
    <w:lvl w:ilvl="0" w:tplc="88082F74">
      <w:start w:val="1"/>
      <w:numFmt w:val="decimal"/>
      <w:lvlText w:val="%1."/>
      <w:lvlJc w:val="left"/>
      <w:pPr>
        <w:ind w:left="1588" w:hanging="453"/>
      </w:pPr>
      <w:rPr>
        <w:rFonts w:hint="default"/>
        <w:b w:val="0"/>
        <w:i w:val="0"/>
        <w:color w:val="auto"/>
      </w:rPr>
    </w:lvl>
    <w:lvl w:ilvl="1" w:tplc="30A476C2">
      <w:start w:val="1"/>
      <w:numFmt w:val="lowerLetter"/>
      <w:lvlText w:val="%2."/>
      <w:lvlJc w:val="left"/>
      <w:pPr>
        <w:ind w:left="2155" w:hanging="454"/>
      </w:pPr>
      <w:rPr>
        <w:rFonts w:hint="default"/>
      </w:r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37" w15:restartNumberingAfterBreak="0">
    <w:nsid w:val="774F5818"/>
    <w:multiLevelType w:val="multilevel"/>
    <w:tmpl w:val="B4603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4"/>
  </w:num>
  <w:num w:numId="3">
    <w:abstractNumId w:val="25"/>
  </w:num>
  <w:num w:numId="4">
    <w:abstractNumId w:val="36"/>
  </w:num>
  <w:num w:numId="5">
    <w:abstractNumId w:val="12"/>
  </w:num>
  <w:num w:numId="6">
    <w:abstractNumId w:val="16"/>
  </w:num>
  <w:num w:numId="7">
    <w:abstractNumId w:val="2"/>
  </w:num>
  <w:num w:numId="8">
    <w:abstractNumId w:val="7"/>
  </w:num>
  <w:num w:numId="9">
    <w:abstractNumId w:val="19"/>
  </w:num>
  <w:num w:numId="10">
    <w:abstractNumId w:val="10"/>
  </w:num>
  <w:num w:numId="11">
    <w:abstractNumId w:val="18"/>
  </w:num>
  <w:num w:numId="12">
    <w:abstractNumId w:val="6"/>
  </w:num>
  <w:num w:numId="13">
    <w:abstractNumId w:val="17"/>
  </w:num>
  <w:num w:numId="14">
    <w:abstractNumId w:val="13"/>
  </w:num>
  <w:num w:numId="15">
    <w:abstractNumId w:val="28"/>
  </w:num>
  <w:num w:numId="16">
    <w:abstractNumId w:val="32"/>
  </w:num>
  <w:num w:numId="17">
    <w:abstractNumId w:val="1"/>
  </w:num>
  <w:num w:numId="18">
    <w:abstractNumId w:val="34"/>
  </w:num>
  <w:num w:numId="19">
    <w:abstractNumId w:val="37"/>
  </w:num>
  <w:num w:numId="20">
    <w:abstractNumId w:val="15"/>
  </w:num>
  <w:num w:numId="21">
    <w:abstractNumId w:val="8"/>
  </w:num>
  <w:num w:numId="22">
    <w:abstractNumId w:val="35"/>
  </w:num>
  <w:num w:numId="23">
    <w:abstractNumId w:val="20"/>
  </w:num>
  <w:num w:numId="24">
    <w:abstractNumId w:val="4"/>
  </w:num>
  <w:num w:numId="25">
    <w:abstractNumId w:val="33"/>
  </w:num>
  <w:num w:numId="26">
    <w:abstractNumId w:val="27"/>
  </w:num>
  <w:num w:numId="27">
    <w:abstractNumId w:val="5"/>
  </w:num>
  <w:num w:numId="28">
    <w:abstractNumId w:val="21"/>
  </w:num>
  <w:num w:numId="2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0"/>
  </w:num>
  <w:num w:numId="32">
    <w:abstractNumId w:val="11"/>
    <w:lvlOverride w:ilvl="0">
      <w:startOverride w:val="5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9"/>
  </w:num>
  <w:num w:numId="35">
    <w:abstractNumId w:val="31"/>
  </w:num>
  <w:num w:numId="36">
    <w:abstractNumId w:val="30"/>
    <w:lvlOverride w:ilvl="0">
      <w:startOverride w:val="1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4F"/>
    <w:rsid w:val="000003BB"/>
    <w:rsid w:val="00003CC6"/>
    <w:rsid w:val="00007710"/>
    <w:rsid w:val="00015237"/>
    <w:rsid w:val="000167EF"/>
    <w:rsid w:val="00016FC6"/>
    <w:rsid w:val="00017446"/>
    <w:rsid w:val="0002084C"/>
    <w:rsid w:val="00026FF3"/>
    <w:rsid w:val="000304BB"/>
    <w:rsid w:val="00032E6A"/>
    <w:rsid w:val="000357C9"/>
    <w:rsid w:val="000450F4"/>
    <w:rsid w:val="00047C0F"/>
    <w:rsid w:val="0005368E"/>
    <w:rsid w:val="00057052"/>
    <w:rsid w:val="00060E61"/>
    <w:rsid w:val="0006246D"/>
    <w:rsid w:val="0006596C"/>
    <w:rsid w:val="00065CE0"/>
    <w:rsid w:val="00066E26"/>
    <w:rsid w:val="000700B3"/>
    <w:rsid w:val="000715BC"/>
    <w:rsid w:val="000807FD"/>
    <w:rsid w:val="000812CC"/>
    <w:rsid w:val="000834FC"/>
    <w:rsid w:val="00085994"/>
    <w:rsid w:val="00085F4A"/>
    <w:rsid w:val="00087CEA"/>
    <w:rsid w:val="00092A3E"/>
    <w:rsid w:val="00092CF3"/>
    <w:rsid w:val="00092D2E"/>
    <w:rsid w:val="00093A13"/>
    <w:rsid w:val="000A20DA"/>
    <w:rsid w:val="000A3ACF"/>
    <w:rsid w:val="000A4750"/>
    <w:rsid w:val="000A47A7"/>
    <w:rsid w:val="000A5369"/>
    <w:rsid w:val="000B6574"/>
    <w:rsid w:val="000B6A28"/>
    <w:rsid w:val="000C23E1"/>
    <w:rsid w:val="000C2585"/>
    <w:rsid w:val="000C4247"/>
    <w:rsid w:val="000C6AF5"/>
    <w:rsid w:val="000C7EBD"/>
    <w:rsid w:val="000D44BD"/>
    <w:rsid w:val="000D531B"/>
    <w:rsid w:val="000D7934"/>
    <w:rsid w:val="000E34CF"/>
    <w:rsid w:val="000E3EB8"/>
    <w:rsid w:val="000E75A4"/>
    <w:rsid w:val="000E7B7A"/>
    <w:rsid w:val="000F4B56"/>
    <w:rsid w:val="000F4D2D"/>
    <w:rsid w:val="000F7C45"/>
    <w:rsid w:val="00101368"/>
    <w:rsid w:val="00106D2C"/>
    <w:rsid w:val="0011064A"/>
    <w:rsid w:val="001220F0"/>
    <w:rsid w:val="001336BA"/>
    <w:rsid w:val="00135560"/>
    <w:rsid w:val="00135D84"/>
    <w:rsid w:val="001468D5"/>
    <w:rsid w:val="00147226"/>
    <w:rsid w:val="00150177"/>
    <w:rsid w:val="00152340"/>
    <w:rsid w:val="00153152"/>
    <w:rsid w:val="00157964"/>
    <w:rsid w:val="00160398"/>
    <w:rsid w:val="001631CC"/>
    <w:rsid w:val="00163D8F"/>
    <w:rsid w:val="001649D3"/>
    <w:rsid w:val="001704C4"/>
    <w:rsid w:val="0017055D"/>
    <w:rsid w:val="001944DC"/>
    <w:rsid w:val="001A212F"/>
    <w:rsid w:val="001A22A2"/>
    <w:rsid w:val="001A3880"/>
    <w:rsid w:val="001A4960"/>
    <w:rsid w:val="001A698C"/>
    <w:rsid w:val="001A6B60"/>
    <w:rsid w:val="001B3B13"/>
    <w:rsid w:val="001B3CA1"/>
    <w:rsid w:val="001B5471"/>
    <w:rsid w:val="001B6267"/>
    <w:rsid w:val="001B68DD"/>
    <w:rsid w:val="001B723A"/>
    <w:rsid w:val="001D0BDC"/>
    <w:rsid w:val="001D2509"/>
    <w:rsid w:val="001D500D"/>
    <w:rsid w:val="001D5492"/>
    <w:rsid w:val="001D5B7B"/>
    <w:rsid w:val="001E3ABC"/>
    <w:rsid w:val="001E4266"/>
    <w:rsid w:val="001E7E2E"/>
    <w:rsid w:val="001F21B2"/>
    <w:rsid w:val="001F7D23"/>
    <w:rsid w:val="00200AC9"/>
    <w:rsid w:val="00205462"/>
    <w:rsid w:val="00213CD0"/>
    <w:rsid w:val="002148CA"/>
    <w:rsid w:val="00214FBE"/>
    <w:rsid w:val="00216359"/>
    <w:rsid w:val="00220A0E"/>
    <w:rsid w:val="0022334F"/>
    <w:rsid w:val="002238BB"/>
    <w:rsid w:val="00224B4C"/>
    <w:rsid w:val="00225170"/>
    <w:rsid w:val="00225FE9"/>
    <w:rsid w:val="002330A5"/>
    <w:rsid w:val="002350F9"/>
    <w:rsid w:val="00235185"/>
    <w:rsid w:val="00235D4C"/>
    <w:rsid w:val="00244B39"/>
    <w:rsid w:val="00250EC4"/>
    <w:rsid w:val="00260D42"/>
    <w:rsid w:val="00262FC2"/>
    <w:rsid w:val="00264CF6"/>
    <w:rsid w:val="00266493"/>
    <w:rsid w:val="00273719"/>
    <w:rsid w:val="002855CE"/>
    <w:rsid w:val="00285E26"/>
    <w:rsid w:val="00287711"/>
    <w:rsid w:val="002930AF"/>
    <w:rsid w:val="002930ED"/>
    <w:rsid w:val="002B02BC"/>
    <w:rsid w:val="002B4D36"/>
    <w:rsid w:val="002B6E5E"/>
    <w:rsid w:val="002B7444"/>
    <w:rsid w:val="002C0484"/>
    <w:rsid w:val="002C3044"/>
    <w:rsid w:val="002C51B8"/>
    <w:rsid w:val="002C6F76"/>
    <w:rsid w:val="002D0055"/>
    <w:rsid w:val="002D7D88"/>
    <w:rsid w:val="002F05A3"/>
    <w:rsid w:val="002F2BB3"/>
    <w:rsid w:val="002F42D2"/>
    <w:rsid w:val="002F6847"/>
    <w:rsid w:val="002F7FCA"/>
    <w:rsid w:val="0031279C"/>
    <w:rsid w:val="003137C7"/>
    <w:rsid w:val="00315612"/>
    <w:rsid w:val="0031700C"/>
    <w:rsid w:val="003202B1"/>
    <w:rsid w:val="00321E4F"/>
    <w:rsid w:val="00325C2E"/>
    <w:rsid w:val="003263A0"/>
    <w:rsid w:val="00327177"/>
    <w:rsid w:val="00337B31"/>
    <w:rsid w:val="00341574"/>
    <w:rsid w:val="00346D45"/>
    <w:rsid w:val="003511F3"/>
    <w:rsid w:val="00352A2C"/>
    <w:rsid w:val="003618E5"/>
    <w:rsid w:val="003629A6"/>
    <w:rsid w:val="003635E1"/>
    <w:rsid w:val="003636A0"/>
    <w:rsid w:val="00365771"/>
    <w:rsid w:val="00366230"/>
    <w:rsid w:val="00370803"/>
    <w:rsid w:val="003728E0"/>
    <w:rsid w:val="00372EF5"/>
    <w:rsid w:val="0037694B"/>
    <w:rsid w:val="003816ED"/>
    <w:rsid w:val="00382EB1"/>
    <w:rsid w:val="00382EFC"/>
    <w:rsid w:val="00386460"/>
    <w:rsid w:val="00387F0F"/>
    <w:rsid w:val="00390CFD"/>
    <w:rsid w:val="003975D4"/>
    <w:rsid w:val="003B47A9"/>
    <w:rsid w:val="003B4EE4"/>
    <w:rsid w:val="003C015D"/>
    <w:rsid w:val="003C3770"/>
    <w:rsid w:val="003E1336"/>
    <w:rsid w:val="003E1FBC"/>
    <w:rsid w:val="003E7059"/>
    <w:rsid w:val="003F2331"/>
    <w:rsid w:val="003F6636"/>
    <w:rsid w:val="003F6E46"/>
    <w:rsid w:val="004026F0"/>
    <w:rsid w:val="00403A73"/>
    <w:rsid w:val="00407147"/>
    <w:rsid w:val="00410781"/>
    <w:rsid w:val="004121A9"/>
    <w:rsid w:val="00412D10"/>
    <w:rsid w:val="004146F2"/>
    <w:rsid w:val="00415EAF"/>
    <w:rsid w:val="0042069E"/>
    <w:rsid w:val="00421C88"/>
    <w:rsid w:val="004272BA"/>
    <w:rsid w:val="004300F4"/>
    <w:rsid w:val="00430669"/>
    <w:rsid w:val="0043147D"/>
    <w:rsid w:val="00451097"/>
    <w:rsid w:val="00454153"/>
    <w:rsid w:val="004568C4"/>
    <w:rsid w:val="00456B3D"/>
    <w:rsid w:val="00477CA2"/>
    <w:rsid w:val="00487D76"/>
    <w:rsid w:val="00492A04"/>
    <w:rsid w:val="004A1F79"/>
    <w:rsid w:val="004A473F"/>
    <w:rsid w:val="004B27D6"/>
    <w:rsid w:val="004B6EE4"/>
    <w:rsid w:val="004C316D"/>
    <w:rsid w:val="004C74A0"/>
    <w:rsid w:val="004D3B99"/>
    <w:rsid w:val="004E0542"/>
    <w:rsid w:val="004E3741"/>
    <w:rsid w:val="004E7178"/>
    <w:rsid w:val="004E73F7"/>
    <w:rsid w:val="004E7FA4"/>
    <w:rsid w:val="004F7385"/>
    <w:rsid w:val="00505BA0"/>
    <w:rsid w:val="00507050"/>
    <w:rsid w:val="0050715A"/>
    <w:rsid w:val="00507561"/>
    <w:rsid w:val="005122C2"/>
    <w:rsid w:val="00512EC6"/>
    <w:rsid w:val="0052095D"/>
    <w:rsid w:val="00524DD2"/>
    <w:rsid w:val="005254AD"/>
    <w:rsid w:val="005265D1"/>
    <w:rsid w:val="00531FF2"/>
    <w:rsid w:val="005356E3"/>
    <w:rsid w:val="00542748"/>
    <w:rsid w:val="00546E2E"/>
    <w:rsid w:val="00551129"/>
    <w:rsid w:val="00551C9F"/>
    <w:rsid w:val="00554C7B"/>
    <w:rsid w:val="00567B85"/>
    <w:rsid w:val="00572903"/>
    <w:rsid w:val="0058044A"/>
    <w:rsid w:val="00585AF1"/>
    <w:rsid w:val="005871F6"/>
    <w:rsid w:val="00592976"/>
    <w:rsid w:val="0059504C"/>
    <w:rsid w:val="005A16B2"/>
    <w:rsid w:val="005A1F64"/>
    <w:rsid w:val="005A2738"/>
    <w:rsid w:val="005A3C16"/>
    <w:rsid w:val="005A665B"/>
    <w:rsid w:val="005B0486"/>
    <w:rsid w:val="005B2354"/>
    <w:rsid w:val="005B3078"/>
    <w:rsid w:val="005B6B3B"/>
    <w:rsid w:val="005C002B"/>
    <w:rsid w:val="005C08EB"/>
    <w:rsid w:val="005C0AB5"/>
    <w:rsid w:val="005C271C"/>
    <w:rsid w:val="005C2C7A"/>
    <w:rsid w:val="005C724A"/>
    <w:rsid w:val="005D5B85"/>
    <w:rsid w:val="005E427B"/>
    <w:rsid w:val="005E7C49"/>
    <w:rsid w:val="005F12AA"/>
    <w:rsid w:val="005F6DA5"/>
    <w:rsid w:val="00600C92"/>
    <w:rsid w:val="00600D8E"/>
    <w:rsid w:val="00602737"/>
    <w:rsid w:val="006056CB"/>
    <w:rsid w:val="00617D3D"/>
    <w:rsid w:val="006205E1"/>
    <w:rsid w:val="00625A2F"/>
    <w:rsid w:val="006335E2"/>
    <w:rsid w:val="006368CE"/>
    <w:rsid w:val="0065108F"/>
    <w:rsid w:val="00653C89"/>
    <w:rsid w:val="00654B88"/>
    <w:rsid w:val="00655298"/>
    <w:rsid w:val="00657972"/>
    <w:rsid w:val="006605A2"/>
    <w:rsid w:val="00660D02"/>
    <w:rsid w:val="00661A0D"/>
    <w:rsid w:val="006632DA"/>
    <w:rsid w:val="006644D3"/>
    <w:rsid w:val="0067514C"/>
    <w:rsid w:val="00675558"/>
    <w:rsid w:val="00676D6F"/>
    <w:rsid w:val="00676FE3"/>
    <w:rsid w:val="006800EB"/>
    <w:rsid w:val="00680DED"/>
    <w:rsid w:val="0068487D"/>
    <w:rsid w:val="006873E0"/>
    <w:rsid w:val="00691A27"/>
    <w:rsid w:val="00694C1A"/>
    <w:rsid w:val="006957C0"/>
    <w:rsid w:val="006A16EF"/>
    <w:rsid w:val="006A481E"/>
    <w:rsid w:val="006A7B45"/>
    <w:rsid w:val="006B12DA"/>
    <w:rsid w:val="006B276E"/>
    <w:rsid w:val="006C38C1"/>
    <w:rsid w:val="006C5141"/>
    <w:rsid w:val="006C7469"/>
    <w:rsid w:val="006D2083"/>
    <w:rsid w:val="006D65F6"/>
    <w:rsid w:val="006E0E69"/>
    <w:rsid w:val="006E765B"/>
    <w:rsid w:val="00702B68"/>
    <w:rsid w:val="00705A55"/>
    <w:rsid w:val="00713F10"/>
    <w:rsid w:val="00715DDB"/>
    <w:rsid w:val="007202F2"/>
    <w:rsid w:val="00720C23"/>
    <w:rsid w:val="00726A3E"/>
    <w:rsid w:val="007275E4"/>
    <w:rsid w:val="00727C9E"/>
    <w:rsid w:val="00734491"/>
    <w:rsid w:val="0073580A"/>
    <w:rsid w:val="00736026"/>
    <w:rsid w:val="0073651A"/>
    <w:rsid w:val="00740A89"/>
    <w:rsid w:val="00741379"/>
    <w:rsid w:val="00742B57"/>
    <w:rsid w:val="00745140"/>
    <w:rsid w:val="00753F51"/>
    <w:rsid w:val="007637EB"/>
    <w:rsid w:val="00763E70"/>
    <w:rsid w:val="0076735C"/>
    <w:rsid w:val="00770127"/>
    <w:rsid w:val="007709F5"/>
    <w:rsid w:val="00777303"/>
    <w:rsid w:val="00780FDD"/>
    <w:rsid w:val="007A2BF6"/>
    <w:rsid w:val="007B4888"/>
    <w:rsid w:val="007B4A27"/>
    <w:rsid w:val="007B68E5"/>
    <w:rsid w:val="007C2932"/>
    <w:rsid w:val="007C4095"/>
    <w:rsid w:val="007D416C"/>
    <w:rsid w:val="007D59F4"/>
    <w:rsid w:val="007D67CD"/>
    <w:rsid w:val="007D6E6D"/>
    <w:rsid w:val="007D7208"/>
    <w:rsid w:val="007E009F"/>
    <w:rsid w:val="007E0BAA"/>
    <w:rsid w:val="007E6F32"/>
    <w:rsid w:val="007F3900"/>
    <w:rsid w:val="00802F9A"/>
    <w:rsid w:val="00805245"/>
    <w:rsid w:val="00805392"/>
    <w:rsid w:val="00813306"/>
    <w:rsid w:val="008149C9"/>
    <w:rsid w:val="00814B4D"/>
    <w:rsid w:val="00816CEF"/>
    <w:rsid w:val="00817923"/>
    <w:rsid w:val="00817F24"/>
    <w:rsid w:val="00820081"/>
    <w:rsid w:val="008235DC"/>
    <w:rsid w:val="00823A1B"/>
    <w:rsid w:val="008302AF"/>
    <w:rsid w:val="0083190C"/>
    <w:rsid w:val="008322BC"/>
    <w:rsid w:val="00833C6A"/>
    <w:rsid w:val="00841CC6"/>
    <w:rsid w:val="00847259"/>
    <w:rsid w:val="008476B9"/>
    <w:rsid w:val="008554AD"/>
    <w:rsid w:val="00860541"/>
    <w:rsid w:val="00860DE0"/>
    <w:rsid w:val="00862A64"/>
    <w:rsid w:val="00863D91"/>
    <w:rsid w:val="00867606"/>
    <w:rsid w:val="008709B6"/>
    <w:rsid w:val="00871264"/>
    <w:rsid w:val="0087239F"/>
    <w:rsid w:val="00872705"/>
    <w:rsid w:val="00885862"/>
    <w:rsid w:val="00890E15"/>
    <w:rsid w:val="00890F7C"/>
    <w:rsid w:val="008912CB"/>
    <w:rsid w:val="008961AC"/>
    <w:rsid w:val="008A3279"/>
    <w:rsid w:val="008A7CB6"/>
    <w:rsid w:val="008B0AE9"/>
    <w:rsid w:val="008B13BA"/>
    <w:rsid w:val="008B673C"/>
    <w:rsid w:val="008B6D2C"/>
    <w:rsid w:val="008C31CC"/>
    <w:rsid w:val="008D6EAB"/>
    <w:rsid w:val="008E337A"/>
    <w:rsid w:val="008F10A8"/>
    <w:rsid w:val="008F43C6"/>
    <w:rsid w:val="008F4A20"/>
    <w:rsid w:val="008F759C"/>
    <w:rsid w:val="009014AC"/>
    <w:rsid w:val="00903542"/>
    <w:rsid w:val="00903CAA"/>
    <w:rsid w:val="00905B27"/>
    <w:rsid w:val="00907A55"/>
    <w:rsid w:val="00910207"/>
    <w:rsid w:val="009119D2"/>
    <w:rsid w:val="0091443C"/>
    <w:rsid w:val="00915950"/>
    <w:rsid w:val="00924895"/>
    <w:rsid w:val="00933C8B"/>
    <w:rsid w:val="009344FF"/>
    <w:rsid w:val="00936EC7"/>
    <w:rsid w:val="00937ED3"/>
    <w:rsid w:val="0094504A"/>
    <w:rsid w:val="009477D7"/>
    <w:rsid w:val="009479B2"/>
    <w:rsid w:val="00953752"/>
    <w:rsid w:val="00961F01"/>
    <w:rsid w:val="0096351F"/>
    <w:rsid w:val="00966C69"/>
    <w:rsid w:val="00970D98"/>
    <w:rsid w:val="00974CBF"/>
    <w:rsid w:val="00977FF5"/>
    <w:rsid w:val="00981B87"/>
    <w:rsid w:val="00986179"/>
    <w:rsid w:val="0098675D"/>
    <w:rsid w:val="00987910"/>
    <w:rsid w:val="009920A8"/>
    <w:rsid w:val="00993E08"/>
    <w:rsid w:val="009977FF"/>
    <w:rsid w:val="009A10A4"/>
    <w:rsid w:val="009A2A06"/>
    <w:rsid w:val="009A2B83"/>
    <w:rsid w:val="009A6CA1"/>
    <w:rsid w:val="009C4EBE"/>
    <w:rsid w:val="009C5BEF"/>
    <w:rsid w:val="009D2449"/>
    <w:rsid w:val="009D25A1"/>
    <w:rsid w:val="009D4073"/>
    <w:rsid w:val="009D6CD4"/>
    <w:rsid w:val="009D776F"/>
    <w:rsid w:val="009D7F90"/>
    <w:rsid w:val="009E05FC"/>
    <w:rsid w:val="009E39A9"/>
    <w:rsid w:val="009E5B2A"/>
    <w:rsid w:val="009E697D"/>
    <w:rsid w:val="009E7715"/>
    <w:rsid w:val="009F220D"/>
    <w:rsid w:val="009F6DA1"/>
    <w:rsid w:val="009F7596"/>
    <w:rsid w:val="009F7EE4"/>
    <w:rsid w:val="00A017E0"/>
    <w:rsid w:val="00A01802"/>
    <w:rsid w:val="00A027AB"/>
    <w:rsid w:val="00A03A12"/>
    <w:rsid w:val="00A05109"/>
    <w:rsid w:val="00A05FC7"/>
    <w:rsid w:val="00A07608"/>
    <w:rsid w:val="00A27196"/>
    <w:rsid w:val="00A27586"/>
    <w:rsid w:val="00A33123"/>
    <w:rsid w:val="00A408C1"/>
    <w:rsid w:val="00A426BD"/>
    <w:rsid w:val="00A506D6"/>
    <w:rsid w:val="00A53BE4"/>
    <w:rsid w:val="00A566B6"/>
    <w:rsid w:val="00A56D5F"/>
    <w:rsid w:val="00A60B07"/>
    <w:rsid w:val="00A646E5"/>
    <w:rsid w:val="00A70F6A"/>
    <w:rsid w:val="00A71A32"/>
    <w:rsid w:val="00A81809"/>
    <w:rsid w:val="00A82EBD"/>
    <w:rsid w:val="00A90D78"/>
    <w:rsid w:val="00A92408"/>
    <w:rsid w:val="00A92881"/>
    <w:rsid w:val="00A9569C"/>
    <w:rsid w:val="00AA3D4D"/>
    <w:rsid w:val="00AA613F"/>
    <w:rsid w:val="00AB2C80"/>
    <w:rsid w:val="00AB2E72"/>
    <w:rsid w:val="00AB37D1"/>
    <w:rsid w:val="00AD0A8E"/>
    <w:rsid w:val="00B06C36"/>
    <w:rsid w:val="00B13A27"/>
    <w:rsid w:val="00B16B40"/>
    <w:rsid w:val="00B2299A"/>
    <w:rsid w:val="00B250C1"/>
    <w:rsid w:val="00B373FC"/>
    <w:rsid w:val="00B40568"/>
    <w:rsid w:val="00B417EF"/>
    <w:rsid w:val="00B42E0B"/>
    <w:rsid w:val="00B431F3"/>
    <w:rsid w:val="00B466CA"/>
    <w:rsid w:val="00B51918"/>
    <w:rsid w:val="00B5408F"/>
    <w:rsid w:val="00B559D7"/>
    <w:rsid w:val="00B55AEB"/>
    <w:rsid w:val="00B57D27"/>
    <w:rsid w:val="00B620A2"/>
    <w:rsid w:val="00B625AD"/>
    <w:rsid w:val="00B64DD3"/>
    <w:rsid w:val="00B66657"/>
    <w:rsid w:val="00B75C60"/>
    <w:rsid w:val="00B80D83"/>
    <w:rsid w:val="00B832E7"/>
    <w:rsid w:val="00B94E8A"/>
    <w:rsid w:val="00B97CDB"/>
    <w:rsid w:val="00BC24D8"/>
    <w:rsid w:val="00BC569B"/>
    <w:rsid w:val="00BC57E8"/>
    <w:rsid w:val="00BD0398"/>
    <w:rsid w:val="00BD47F3"/>
    <w:rsid w:val="00BD4F65"/>
    <w:rsid w:val="00BE1B60"/>
    <w:rsid w:val="00BF578C"/>
    <w:rsid w:val="00BF61E7"/>
    <w:rsid w:val="00BF6436"/>
    <w:rsid w:val="00BF673B"/>
    <w:rsid w:val="00BF7E76"/>
    <w:rsid w:val="00C003A7"/>
    <w:rsid w:val="00C03D9F"/>
    <w:rsid w:val="00C101B7"/>
    <w:rsid w:val="00C10D92"/>
    <w:rsid w:val="00C131CD"/>
    <w:rsid w:val="00C13E93"/>
    <w:rsid w:val="00C16AEA"/>
    <w:rsid w:val="00C17301"/>
    <w:rsid w:val="00C173DD"/>
    <w:rsid w:val="00C25BF5"/>
    <w:rsid w:val="00C26DEE"/>
    <w:rsid w:val="00C31566"/>
    <w:rsid w:val="00C31761"/>
    <w:rsid w:val="00C3268C"/>
    <w:rsid w:val="00C3619E"/>
    <w:rsid w:val="00C3655B"/>
    <w:rsid w:val="00C37E63"/>
    <w:rsid w:val="00C44D35"/>
    <w:rsid w:val="00C50AFA"/>
    <w:rsid w:val="00C5307F"/>
    <w:rsid w:val="00C538BD"/>
    <w:rsid w:val="00C56632"/>
    <w:rsid w:val="00C601E8"/>
    <w:rsid w:val="00C634A9"/>
    <w:rsid w:val="00C63E14"/>
    <w:rsid w:val="00C640DD"/>
    <w:rsid w:val="00C645A5"/>
    <w:rsid w:val="00C64D06"/>
    <w:rsid w:val="00C72468"/>
    <w:rsid w:val="00C73189"/>
    <w:rsid w:val="00C752C2"/>
    <w:rsid w:val="00C80E6E"/>
    <w:rsid w:val="00C81B37"/>
    <w:rsid w:val="00C85E77"/>
    <w:rsid w:val="00C94A74"/>
    <w:rsid w:val="00C95CEC"/>
    <w:rsid w:val="00CA6BBD"/>
    <w:rsid w:val="00CB4BD3"/>
    <w:rsid w:val="00CC6E62"/>
    <w:rsid w:val="00CD107D"/>
    <w:rsid w:val="00CD252F"/>
    <w:rsid w:val="00CD2F6A"/>
    <w:rsid w:val="00CE16F4"/>
    <w:rsid w:val="00CE4345"/>
    <w:rsid w:val="00CE618E"/>
    <w:rsid w:val="00CE61C7"/>
    <w:rsid w:val="00CE6715"/>
    <w:rsid w:val="00CE7A63"/>
    <w:rsid w:val="00CF2710"/>
    <w:rsid w:val="00CF4396"/>
    <w:rsid w:val="00CF4CC2"/>
    <w:rsid w:val="00CF4D25"/>
    <w:rsid w:val="00D02D96"/>
    <w:rsid w:val="00D1079F"/>
    <w:rsid w:val="00D130D2"/>
    <w:rsid w:val="00D13B2A"/>
    <w:rsid w:val="00D22BA9"/>
    <w:rsid w:val="00D23EF3"/>
    <w:rsid w:val="00D30CFF"/>
    <w:rsid w:val="00D337AD"/>
    <w:rsid w:val="00D33F49"/>
    <w:rsid w:val="00D35386"/>
    <w:rsid w:val="00D42330"/>
    <w:rsid w:val="00D5380B"/>
    <w:rsid w:val="00D56795"/>
    <w:rsid w:val="00D62E8D"/>
    <w:rsid w:val="00D62F2B"/>
    <w:rsid w:val="00D706FA"/>
    <w:rsid w:val="00D71C43"/>
    <w:rsid w:val="00D8132B"/>
    <w:rsid w:val="00D834C7"/>
    <w:rsid w:val="00D84335"/>
    <w:rsid w:val="00D848C1"/>
    <w:rsid w:val="00D849B8"/>
    <w:rsid w:val="00D877FA"/>
    <w:rsid w:val="00D904CA"/>
    <w:rsid w:val="00D91142"/>
    <w:rsid w:val="00D94A3F"/>
    <w:rsid w:val="00D9741D"/>
    <w:rsid w:val="00DA3985"/>
    <w:rsid w:val="00DA4C43"/>
    <w:rsid w:val="00DA5D48"/>
    <w:rsid w:val="00DB71C5"/>
    <w:rsid w:val="00DB7D48"/>
    <w:rsid w:val="00DC0102"/>
    <w:rsid w:val="00DC0968"/>
    <w:rsid w:val="00DC14CF"/>
    <w:rsid w:val="00DC4FE9"/>
    <w:rsid w:val="00DC702A"/>
    <w:rsid w:val="00DD34D2"/>
    <w:rsid w:val="00DD568C"/>
    <w:rsid w:val="00DE4E89"/>
    <w:rsid w:val="00DF4F31"/>
    <w:rsid w:val="00E0033D"/>
    <w:rsid w:val="00E008B1"/>
    <w:rsid w:val="00E05DC9"/>
    <w:rsid w:val="00E07C14"/>
    <w:rsid w:val="00E10A8D"/>
    <w:rsid w:val="00E12DB9"/>
    <w:rsid w:val="00E1488A"/>
    <w:rsid w:val="00E20299"/>
    <w:rsid w:val="00E4094C"/>
    <w:rsid w:val="00E41BD2"/>
    <w:rsid w:val="00E4691D"/>
    <w:rsid w:val="00E54376"/>
    <w:rsid w:val="00E57024"/>
    <w:rsid w:val="00E6243B"/>
    <w:rsid w:val="00E64F70"/>
    <w:rsid w:val="00E65C01"/>
    <w:rsid w:val="00E6614F"/>
    <w:rsid w:val="00E66A32"/>
    <w:rsid w:val="00E71FE3"/>
    <w:rsid w:val="00E7243E"/>
    <w:rsid w:val="00E76CF7"/>
    <w:rsid w:val="00E85EAE"/>
    <w:rsid w:val="00E866B0"/>
    <w:rsid w:val="00E90F51"/>
    <w:rsid w:val="00E933A5"/>
    <w:rsid w:val="00E94C66"/>
    <w:rsid w:val="00E96182"/>
    <w:rsid w:val="00E96640"/>
    <w:rsid w:val="00EA0369"/>
    <w:rsid w:val="00EA1D26"/>
    <w:rsid w:val="00EA4106"/>
    <w:rsid w:val="00EB06A0"/>
    <w:rsid w:val="00EB096D"/>
    <w:rsid w:val="00EB0F52"/>
    <w:rsid w:val="00EB2F29"/>
    <w:rsid w:val="00EB3721"/>
    <w:rsid w:val="00EC3CD7"/>
    <w:rsid w:val="00EC47FB"/>
    <w:rsid w:val="00EC4F66"/>
    <w:rsid w:val="00EC5031"/>
    <w:rsid w:val="00EC70BE"/>
    <w:rsid w:val="00ED074C"/>
    <w:rsid w:val="00ED13D3"/>
    <w:rsid w:val="00ED31A8"/>
    <w:rsid w:val="00ED6453"/>
    <w:rsid w:val="00EE09B0"/>
    <w:rsid w:val="00EE1511"/>
    <w:rsid w:val="00EE270B"/>
    <w:rsid w:val="00EE45DC"/>
    <w:rsid w:val="00EE537B"/>
    <w:rsid w:val="00EE5505"/>
    <w:rsid w:val="00EF1448"/>
    <w:rsid w:val="00EF2C98"/>
    <w:rsid w:val="00F0008C"/>
    <w:rsid w:val="00F025A5"/>
    <w:rsid w:val="00F0283B"/>
    <w:rsid w:val="00F116B3"/>
    <w:rsid w:val="00F1177A"/>
    <w:rsid w:val="00F14C4F"/>
    <w:rsid w:val="00F166C7"/>
    <w:rsid w:val="00F17975"/>
    <w:rsid w:val="00F17CDE"/>
    <w:rsid w:val="00F24C09"/>
    <w:rsid w:val="00F362F0"/>
    <w:rsid w:val="00F4312A"/>
    <w:rsid w:val="00F458E3"/>
    <w:rsid w:val="00F51078"/>
    <w:rsid w:val="00F57300"/>
    <w:rsid w:val="00F614E0"/>
    <w:rsid w:val="00F67E52"/>
    <w:rsid w:val="00F740A0"/>
    <w:rsid w:val="00F74F86"/>
    <w:rsid w:val="00F75CCF"/>
    <w:rsid w:val="00F75CFA"/>
    <w:rsid w:val="00F84A3F"/>
    <w:rsid w:val="00F855B1"/>
    <w:rsid w:val="00F85C69"/>
    <w:rsid w:val="00F861AF"/>
    <w:rsid w:val="00F9317B"/>
    <w:rsid w:val="00F94468"/>
    <w:rsid w:val="00F97B0A"/>
    <w:rsid w:val="00F97D29"/>
    <w:rsid w:val="00FA1B1B"/>
    <w:rsid w:val="00FA1FD1"/>
    <w:rsid w:val="00FA2307"/>
    <w:rsid w:val="00FA6DA9"/>
    <w:rsid w:val="00FB1BE3"/>
    <w:rsid w:val="00FB2D2E"/>
    <w:rsid w:val="00FB5CAA"/>
    <w:rsid w:val="00FB7D5E"/>
    <w:rsid w:val="00FC1112"/>
    <w:rsid w:val="00FC217B"/>
    <w:rsid w:val="00FC6BB5"/>
    <w:rsid w:val="00FC7B45"/>
    <w:rsid w:val="00FD1FA6"/>
    <w:rsid w:val="00FD5907"/>
    <w:rsid w:val="00FE1E09"/>
    <w:rsid w:val="00FE54A3"/>
    <w:rsid w:val="00FF5F3A"/>
    <w:rsid w:val="00FF66CC"/>
    <w:rsid w:val="00FF67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1A17B"/>
  <w15:chartTrackingRefBased/>
  <w15:docId w15:val="{BB44A155-E11F-4AA8-B77C-BFA61432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C14"/>
    <w:pPr>
      <w:spacing w:line="256" w:lineRule="auto"/>
    </w:pPr>
    <w:rPr>
      <w:rFonts w:ascii="Times New Roman" w:eastAsia="Calibri" w:hAnsi="Times New Roman" w:cs="Times New Roman"/>
      <w:lang w:val="en-GB"/>
    </w:rPr>
  </w:style>
  <w:style w:type="paragraph" w:styleId="Heading1">
    <w:name w:val="heading 1"/>
    <w:basedOn w:val="Normal"/>
    <w:next w:val="Normal"/>
    <w:link w:val="Heading1Char"/>
    <w:uiPriority w:val="9"/>
    <w:qFormat/>
    <w:rsid w:val="00740A89"/>
    <w:pPr>
      <w:keepNext/>
      <w:spacing w:before="220" w:after="0" w:line="259" w:lineRule="auto"/>
      <w:jc w:val="both"/>
      <w:outlineLvl w:val="0"/>
    </w:pPr>
    <w:rPr>
      <w:rFonts w:eastAsia="Times New Roman"/>
      <w:b/>
      <w:bCs/>
      <w:kern w:val="32"/>
      <w:sz w:val="24"/>
      <w:szCs w:val="24"/>
    </w:rPr>
  </w:style>
  <w:style w:type="paragraph" w:styleId="Heading2">
    <w:name w:val="heading 2"/>
    <w:basedOn w:val="Normal"/>
    <w:next w:val="Normal"/>
    <w:link w:val="Heading2Char"/>
    <w:uiPriority w:val="9"/>
    <w:unhideWhenUsed/>
    <w:qFormat/>
    <w:rsid w:val="006800EB"/>
    <w:pPr>
      <w:keepNext/>
      <w:keepLines/>
      <w:spacing w:before="220" w:after="0" w:line="259" w:lineRule="auto"/>
      <w:outlineLvl w:val="1"/>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89"/>
    <w:rPr>
      <w:rFonts w:ascii="Times New Roman" w:eastAsia="Times New Roman" w:hAnsi="Times New Roman" w:cs="Times New Roman"/>
      <w:b/>
      <w:bCs/>
      <w:kern w:val="32"/>
      <w:sz w:val="24"/>
      <w:szCs w:val="24"/>
      <w:lang w:val="en-GB"/>
    </w:rPr>
  </w:style>
  <w:style w:type="paragraph" w:styleId="ListParagraph">
    <w:name w:val="List Paragraph"/>
    <w:aliases w:val="Bullets L1,List Paragraph numbered,List Bullet indent,List Paragraph1,Recommendation,List Paragraph11,TOC style,lp1,Bullet OSM,Proposal Bullet List,Rec para,Dot pt,F5 List Paragraph,No Spacing1,List Paragraph Char Char Char,Indicator Text"/>
    <w:basedOn w:val="Normal"/>
    <w:link w:val="ListParagraphChar"/>
    <w:uiPriority w:val="34"/>
    <w:qFormat/>
    <w:rsid w:val="00321E4F"/>
    <w:pPr>
      <w:ind w:left="720"/>
      <w:contextualSpacing/>
    </w:pPr>
  </w:style>
  <w:style w:type="paragraph" w:styleId="FootnoteText">
    <w:name w:val="footnote text"/>
    <w:aliases w:val="5_G,Footnote Text Char1,Footnote Text Char Char,Footnote Text Char2 Char Char,Footnote Text Char1 Char Char Char,Footnote Text Char Char Char Char Char,Footnote Text Char Char1 Char Char Char,EUMC_Lábjegyzetszöveg + 13 pt,Félkövér,Dolt"/>
    <w:basedOn w:val="Normal"/>
    <w:link w:val="FootnoteTextChar"/>
    <w:unhideWhenUsed/>
    <w:qFormat/>
    <w:rsid w:val="00572903"/>
    <w:pPr>
      <w:spacing w:after="0" w:line="240" w:lineRule="auto"/>
    </w:pPr>
    <w:rPr>
      <w:sz w:val="20"/>
      <w:szCs w:val="20"/>
    </w:rPr>
  </w:style>
  <w:style w:type="character" w:customStyle="1" w:styleId="FootnoteTextChar">
    <w:name w:val="Footnote Text Char"/>
    <w:aliases w:val="5_G Char,Footnote Text Char1 Char,Footnote Text Char Char Char,Footnote Text Char2 Char Char Char,Footnote Text Char1 Char Char Char Char,Footnote Text Char Char Char Char Char Char,Footnote Text Char Char1 Char Char Char Char"/>
    <w:basedOn w:val="DefaultParagraphFont"/>
    <w:link w:val="FootnoteText"/>
    <w:rsid w:val="00572903"/>
    <w:rPr>
      <w:rFonts w:ascii="Calibri" w:eastAsia="Calibri" w:hAnsi="Calibri" w:cs="Times New Roman"/>
      <w:sz w:val="20"/>
      <w:szCs w:val="20"/>
      <w:lang w:val="en-GB"/>
    </w:rPr>
  </w:style>
  <w:style w:type="character" w:styleId="FootnoteReference">
    <w:name w:val="footnote reference"/>
    <w:aliases w:val="4_G"/>
    <w:basedOn w:val="DefaultParagraphFont"/>
    <w:unhideWhenUsed/>
    <w:rsid w:val="00572903"/>
    <w:rPr>
      <w:vertAlign w:val="superscript"/>
    </w:rPr>
  </w:style>
  <w:style w:type="character" w:styleId="CommentReference">
    <w:name w:val="annotation reference"/>
    <w:basedOn w:val="DefaultParagraphFont"/>
    <w:uiPriority w:val="99"/>
    <w:semiHidden/>
    <w:unhideWhenUsed/>
    <w:rsid w:val="00572903"/>
    <w:rPr>
      <w:sz w:val="16"/>
      <w:szCs w:val="16"/>
    </w:rPr>
  </w:style>
  <w:style w:type="paragraph" w:styleId="CommentText">
    <w:name w:val="annotation text"/>
    <w:basedOn w:val="Normal"/>
    <w:link w:val="CommentTextChar"/>
    <w:uiPriority w:val="99"/>
    <w:unhideWhenUsed/>
    <w:rsid w:val="00572903"/>
    <w:pPr>
      <w:spacing w:line="240" w:lineRule="auto"/>
    </w:pPr>
    <w:rPr>
      <w:sz w:val="20"/>
      <w:szCs w:val="20"/>
    </w:rPr>
  </w:style>
  <w:style w:type="character" w:customStyle="1" w:styleId="CommentTextChar">
    <w:name w:val="Comment Text Char"/>
    <w:basedOn w:val="DefaultParagraphFont"/>
    <w:link w:val="CommentText"/>
    <w:uiPriority w:val="99"/>
    <w:rsid w:val="00572903"/>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72903"/>
    <w:rPr>
      <w:b/>
      <w:bCs/>
    </w:rPr>
  </w:style>
  <w:style w:type="character" w:customStyle="1" w:styleId="CommentSubjectChar">
    <w:name w:val="Comment Subject Char"/>
    <w:basedOn w:val="CommentTextChar"/>
    <w:link w:val="CommentSubject"/>
    <w:uiPriority w:val="99"/>
    <w:semiHidden/>
    <w:rsid w:val="00572903"/>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572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903"/>
    <w:rPr>
      <w:rFonts w:ascii="Segoe UI" w:eastAsia="Calibri" w:hAnsi="Segoe UI" w:cs="Segoe UI"/>
      <w:sz w:val="18"/>
      <w:szCs w:val="18"/>
      <w:lang w:val="en-GB"/>
    </w:rPr>
  </w:style>
  <w:style w:type="paragraph" w:customStyle="1" w:styleId="SingleTxtG">
    <w:name w:val="_ Single Txt_G"/>
    <w:basedOn w:val="Normal"/>
    <w:link w:val="SingleTxtGChar"/>
    <w:rsid w:val="00093A13"/>
    <w:pPr>
      <w:suppressAutoHyphens/>
      <w:spacing w:after="120" w:line="240" w:lineRule="atLeast"/>
      <w:ind w:left="1134" w:right="1134"/>
      <w:jc w:val="both"/>
    </w:pPr>
    <w:rPr>
      <w:rFonts w:eastAsia="Times New Roman"/>
      <w:sz w:val="20"/>
      <w:szCs w:val="20"/>
    </w:rPr>
  </w:style>
  <w:style w:type="character" w:customStyle="1" w:styleId="SingleTxtGChar">
    <w:name w:val="_ Single Txt_G Char"/>
    <w:link w:val="SingleTxtG"/>
    <w:rsid w:val="00093A13"/>
    <w:rPr>
      <w:rFonts w:ascii="Times New Roman" w:eastAsia="Times New Roman" w:hAnsi="Times New Roman" w:cs="Times New Roman"/>
      <w:sz w:val="20"/>
      <w:szCs w:val="20"/>
      <w:lang w:val="en-GB"/>
    </w:rPr>
  </w:style>
  <w:style w:type="paragraph" w:customStyle="1" w:styleId="H23G">
    <w:name w:val="_ H_2/3_G"/>
    <w:basedOn w:val="Normal"/>
    <w:next w:val="Normal"/>
    <w:link w:val="H23GChar"/>
    <w:rsid w:val="00093A13"/>
    <w:pPr>
      <w:keepNext/>
      <w:keepLines/>
      <w:tabs>
        <w:tab w:val="right" w:pos="851"/>
      </w:tabs>
      <w:suppressAutoHyphens/>
      <w:spacing w:before="240" w:after="120" w:line="240" w:lineRule="exact"/>
      <w:ind w:left="1134" w:right="1134" w:hanging="1134"/>
    </w:pPr>
    <w:rPr>
      <w:rFonts w:eastAsia="Times New Roman"/>
      <w:b/>
      <w:sz w:val="20"/>
      <w:szCs w:val="20"/>
    </w:rPr>
  </w:style>
  <w:style w:type="character" w:customStyle="1" w:styleId="H23GChar">
    <w:name w:val="_ H_2/3_G Char"/>
    <w:link w:val="H23G"/>
    <w:rsid w:val="00093A13"/>
    <w:rPr>
      <w:rFonts w:ascii="Times New Roman" w:eastAsia="Times New Roman" w:hAnsi="Times New Roman" w:cs="Times New Roman"/>
      <w:b/>
      <w:sz w:val="20"/>
      <w:szCs w:val="20"/>
      <w:lang w:val="en-GB"/>
    </w:rPr>
  </w:style>
  <w:style w:type="paragraph" w:customStyle="1" w:styleId="H4G">
    <w:name w:val="_ H_4_G"/>
    <w:basedOn w:val="Normal"/>
    <w:next w:val="Normal"/>
    <w:rsid w:val="00093A13"/>
    <w:pPr>
      <w:keepNext/>
      <w:keepLines/>
      <w:tabs>
        <w:tab w:val="right" w:pos="851"/>
      </w:tabs>
      <w:suppressAutoHyphens/>
      <w:spacing w:before="240" w:after="120" w:line="240" w:lineRule="exact"/>
      <w:ind w:left="1134" w:right="1134" w:hanging="1134"/>
    </w:pPr>
    <w:rPr>
      <w:rFonts w:eastAsia="Times New Roman"/>
      <w:i/>
      <w:sz w:val="20"/>
      <w:szCs w:val="20"/>
    </w:rPr>
  </w:style>
  <w:style w:type="character" w:customStyle="1" w:styleId="ListParagraphChar">
    <w:name w:val="List Paragraph Char"/>
    <w:aliases w:val="Bullets L1 Char,List Paragraph numbered Char,List Bullet indent Char,List Paragraph1 Char,Recommendation Char,List Paragraph11 Char,TOC style Char,lp1 Char,Bullet OSM Char,Proposal Bullet List Char,Rec para Char,Dot pt Char"/>
    <w:link w:val="ListParagraph"/>
    <w:uiPriority w:val="34"/>
    <w:qFormat/>
    <w:locked/>
    <w:rsid w:val="00093A13"/>
    <w:rPr>
      <w:rFonts w:ascii="Calibri" w:eastAsia="Calibri" w:hAnsi="Calibri" w:cs="Times New Roman"/>
      <w:lang w:val="en-GB"/>
    </w:rPr>
  </w:style>
  <w:style w:type="character" w:customStyle="1" w:styleId="Heading2Char">
    <w:name w:val="Heading 2 Char"/>
    <w:basedOn w:val="DefaultParagraphFont"/>
    <w:link w:val="Heading2"/>
    <w:uiPriority w:val="9"/>
    <w:rsid w:val="006800EB"/>
    <w:rPr>
      <w:rFonts w:ascii="Times New Roman" w:eastAsiaTheme="majorEastAsia" w:hAnsi="Times New Roman" w:cs="Times New Roman"/>
      <w:i/>
      <w:iCs/>
      <w:lang w:val="en-GB"/>
    </w:rPr>
  </w:style>
  <w:style w:type="paragraph" w:styleId="Header">
    <w:name w:val="header"/>
    <w:basedOn w:val="Normal"/>
    <w:link w:val="HeaderChar"/>
    <w:uiPriority w:val="99"/>
    <w:unhideWhenUsed/>
    <w:rsid w:val="00E93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3A5"/>
    <w:rPr>
      <w:rFonts w:ascii="Calibri" w:eastAsia="Calibri" w:hAnsi="Calibri" w:cs="Times New Roman"/>
      <w:lang w:val="en-GB"/>
    </w:rPr>
  </w:style>
  <w:style w:type="paragraph" w:styleId="Footer">
    <w:name w:val="footer"/>
    <w:basedOn w:val="Normal"/>
    <w:link w:val="FooterChar"/>
    <w:uiPriority w:val="99"/>
    <w:unhideWhenUsed/>
    <w:rsid w:val="00E9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3A5"/>
    <w:rPr>
      <w:rFonts w:ascii="Calibri" w:eastAsia="Calibri" w:hAnsi="Calibri" w:cs="Times New Roman"/>
      <w:lang w:val="en-GB"/>
    </w:rPr>
  </w:style>
  <w:style w:type="character" w:styleId="Hyperlink">
    <w:name w:val="Hyperlink"/>
    <w:basedOn w:val="DefaultParagraphFont"/>
    <w:uiPriority w:val="99"/>
    <w:unhideWhenUsed/>
    <w:rsid w:val="008912CB"/>
    <w:rPr>
      <w:color w:val="0563C1" w:themeColor="hyperlink"/>
      <w:u w:val="single"/>
    </w:rPr>
  </w:style>
  <w:style w:type="paragraph" w:customStyle="1" w:styleId="Default">
    <w:name w:val="Default"/>
    <w:rsid w:val="00D30CFF"/>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aragraph0">
    <w:name w:val="paragraph"/>
    <w:basedOn w:val="Normal"/>
    <w:rsid w:val="00713F10"/>
    <w:pPr>
      <w:spacing w:before="100" w:beforeAutospacing="1" w:after="100" w:afterAutospacing="1" w:line="240" w:lineRule="auto"/>
    </w:pPr>
    <w:rPr>
      <w:rFonts w:eastAsiaTheme="minorHAnsi" w:cs="Calibri"/>
      <w:lang w:val="en-NZ" w:eastAsia="en-NZ"/>
    </w:rPr>
  </w:style>
  <w:style w:type="character" w:customStyle="1" w:styleId="normaltextrun">
    <w:name w:val="normaltextrun"/>
    <w:basedOn w:val="DefaultParagraphFont"/>
    <w:rsid w:val="00713F10"/>
  </w:style>
  <w:style w:type="character" w:customStyle="1" w:styleId="eop">
    <w:name w:val="eop"/>
    <w:basedOn w:val="DefaultParagraphFont"/>
    <w:rsid w:val="00713F10"/>
  </w:style>
  <w:style w:type="paragraph" w:styleId="Revision">
    <w:name w:val="Revision"/>
    <w:hidden/>
    <w:uiPriority w:val="99"/>
    <w:semiHidden/>
    <w:rsid w:val="006644D3"/>
    <w:pPr>
      <w:spacing w:after="0" w:line="240" w:lineRule="auto"/>
    </w:pPr>
    <w:rPr>
      <w:rFonts w:ascii="Calibri" w:eastAsia="Calibri" w:hAnsi="Calibri" w:cs="Times New Roman"/>
      <w:lang w:val="en-GB"/>
    </w:rPr>
  </w:style>
  <w:style w:type="paragraph" w:styleId="NoSpacing">
    <w:name w:val="No Spacing"/>
    <w:uiPriority w:val="1"/>
    <w:qFormat/>
    <w:rsid w:val="00262FC2"/>
    <w:pPr>
      <w:spacing w:after="0" w:line="240" w:lineRule="auto"/>
    </w:pPr>
    <w:rPr>
      <w:rFonts w:ascii="Times New Roman" w:eastAsia="Calibri" w:hAnsi="Times New Roman" w:cs="Times New Roman"/>
      <w:lang w:val="en-GB"/>
    </w:rPr>
  </w:style>
  <w:style w:type="paragraph" w:customStyle="1" w:styleId="Paragraph">
    <w:name w:val="Paragraph"/>
    <w:basedOn w:val="Heading2"/>
    <w:rsid w:val="00225170"/>
    <w:pPr>
      <w:keepNext w:val="0"/>
      <w:keepLines w:val="0"/>
      <w:numPr>
        <w:numId w:val="29"/>
      </w:numPr>
      <w:tabs>
        <w:tab w:val="clear" w:pos="567"/>
        <w:tab w:val="num" w:pos="360"/>
      </w:tabs>
      <w:spacing w:before="240" w:line="240" w:lineRule="auto"/>
      <w:ind w:left="0" w:firstLine="0"/>
      <w:outlineLvl w:val="9"/>
    </w:pPr>
    <w:rPr>
      <w:rFonts w:ascii="Arial" w:eastAsia="Times New Roman" w:hAnsi="Arial"/>
      <w:i w:val="0"/>
      <w:iCs w:val="0"/>
      <w:sz w:val="24"/>
      <w:szCs w:val="20"/>
      <w:lang w:val="en-AU" w:eastAsia="en-NZ"/>
    </w:rPr>
  </w:style>
  <w:style w:type="paragraph" w:customStyle="1" w:styleId="NumberedContent">
    <w:name w:val="Numbered Content"/>
    <w:basedOn w:val="Normal"/>
    <w:qFormat/>
    <w:rsid w:val="00FB1BE3"/>
    <w:pPr>
      <w:spacing w:after="240" w:line="240" w:lineRule="auto"/>
      <w:jc w:val="both"/>
    </w:pPr>
    <w:rPr>
      <w:rFonts w:ascii="Arial" w:eastAsiaTheme="minorEastAsia" w:hAnsi="Arial" w:cstheme="minorBidi"/>
      <w:sz w:val="24"/>
      <w:lang w:val="en-AU" w:eastAsia="en-GB"/>
    </w:rPr>
  </w:style>
  <w:style w:type="paragraph" w:styleId="EndnoteText">
    <w:name w:val="endnote text"/>
    <w:basedOn w:val="Normal"/>
    <w:link w:val="EndnoteTextChar"/>
    <w:uiPriority w:val="99"/>
    <w:semiHidden/>
    <w:unhideWhenUsed/>
    <w:rsid w:val="008961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61AC"/>
    <w:rPr>
      <w:rFonts w:ascii="Times New Roman" w:eastAsia="Calibri" w:hAnsi="Times New Roman" w:cs="Times New Roman"/>
      <w:sz w:val="20"/>
      <w:szCs w:val="20"/>
      <w:lang w:val="en-GB"/>
    </w:rPr>
  </w:style>
  <w:style w:type="character" w:styleId="EndnoteReference">
    <w:name w:val="endnote reference"/>
    <w:basedOn w:val="DefaultParagraphFont"/>
    <w:uiPriority w:val="99"/>
    <w:semiHidden/>
    <w:unhideWhenUsed/>
    <w:rsid w:val="00896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8700">
      <w:bodyDiv w:val="1"/>
      <w:marLeft w:val="0"/>
      <w:marRight w:val="0"/>
      <w:marTop w:val="0"/>
      <w:marBottom w:val="0"/>
      <w:divBdr>
        <w:top w:val="none" w:sz="0" w:space="0" w:color="auto"/>
        <w:left w:val="none" w:sz="0" w:space="0" w:color="auto"/>
        <w:bottom w:val="none" w:sz="0" w:space="0" w:color="auto"/>
        <w:right w:val="none" w:sz="0" w:space="0" w:color="auto"/>
      </w:divBdr>
    </w:div>
    <w:div w:id="287007235">
      <w:bodyDiv w:val="1"/>
      <w:marLeft w:val="0"/>
      <w:marRight w:val="0"/>
      <w:marTop w:val="0"/>
      <w:marBottom w:val="0"/>
      <w:divBdr>
        <w:top w:val="none" w:sz="0" w:space="0" w:color="auto"/>
        <w:left w:val="none" w:sz="0" w:space="0" w:color="auto"/>
        <w:bottom w:val="none" w:sz="0" w:space="0" w:color="auto"/>
        <w:right w:val="none" w:sz="0" w:space="0" w:color="auto"/>
      </w:divBdr>
    </w:div>
    <w:div w:id="325132482">
      <w:bodyDiv w:val="1"/>
      <w:marLeft w:val="0"/>
      <w:marRight w:val="0"/>
      <w:marTop w:val="0"/>
      <w:marBottom w:val="0"/>
      <w:divBdr>
        <w:top w:val="none" w:sz="0" w:space="0" w:color="auto"/>
        <w:left w:val="none" w:sz="0" w:space="0" w:color="auto"/>
        <w:bottom w:val="none" w:sz="0" w:space="0" w:color="auto"/>
        <w:right w:val="none" w:sz="0" w:space="0" w:color="auto"/>
      </w:divBdr>
    </w:div>
    <w:div w:id="335034475">
      <w:bodyDiv w:val="1"/>
      <w:marLeft w:val="0"/>
      <w:marRight w:val="0"/>
      <w:marTop w:val="0"/>
      <w:marBottom w:val="0"/>
      <w:divBdr>
        <w:top w:val="none" w:sz="0" w:space="0" w:color="auto"/>
        <w:left w:val="none" w:sz="0" w:space="0" w:color="auto"/>
        <w:bottom w:val="none" w:sz="0" w:space="0" w:color="auto"/>
        <w:right w:val="none" w:sz="0" w:space="0" w:color="auto"/>
      </w:divBdr>
    </w:div>
    <w:div w:id="501286136">
      <w:bodyDiv w:val="1"/>
      <w:marLeft w:val="0"/>
      <w:marRight w:val="0"/>
      <w:marTop w:val="0"/>
      <w:marBottom w:val="0"/>
      <w:divBdr>
        <w:top w:val="none" w:sz="0" w:space="0" w:color="auto"/>
        <w:left w:val="none" w:sz="0" w:space="0" w:color="auto"/>
        <w:bottom w:val="none" w:sz="0" w:space="0" w:color="auto"/>
        <w:right w:val="none" w:sz="0" w:space="0" w:color="auto"/>
      </w:divBdr>
    </w:div>
    <w:div w:id="521558344">
      <w:bodyDiv w:val="1"/>
      <w:marLeft w:val="0"/>
      <w:marRight w:val="0"/>
      <w:marTop w:val="0"/>
      <w:marBottom w:val="0"/>
      <w:divBdr>
        <w:top w:val="none" w:sz="0" w:space="0" w:color="auto"/>
        <w:left w:val="none" w:sz="0" w:space="0" w:color="auto"/>
        <w:bottom w:val="none" w:sz="0" w:space="0" w:color="auto"/>
        <w:right w:val="none" w:sz="0" w:space="0" w:color="auto"/>
      </w:divBdr>
    </w:div>
    <w:div w:id="591665850">
      <w:bodyDiv w:val="1"/>
      <w:marLeft w:val="0"/>
      <w:marRight w:val="0"/>
      <w:marTop w:val="0"/>
      <w:marBottom w:val="0"/>
      <w:divBdr>
        <w:top w:val="none" w:sz="0" w:space="0" w:color="auto"/>
        <w:left w:val="none" w:sz="0" w:space="0" w:color="auto"/>
        <w:bottom w:val="none" w:sz="0" w:space="0" w:color="auto"/>
        <w:right w:val="none" w:sz="0" w:space="0" w:color="auto"/>
      </w:divBdr>
    </w:div>
    <w:div w:id="595947535">
      <w:bodyDiv w:val="1"/>
      <w:marLeft w:val="0"/>
      <w:marRight w:val="0"/>
      <w:marTop w:val="0"/>
      <w:marBottom w:val="0"/>
      <w:divBdr>
        <w:top w:val="none" w:sz="0" w:space="0" w:color="auto"/>
        <w:left w:val="none" w:sz="0" w:space="0" w:color="auto"/>
        <w:bottom w:val="none" w:sz="0" w:space="0" w:color="auto"/>
        <w:right w:val="none" w:sz="0" w:space="0" w:color="auto"/>
      </w:divBdr>
    </w:div>
    <w:div w:id="616254501">
      <w:bodyDiv w:val="1"/>
      <w:marLeft w:val="0"/>
      <w:marRight w:val="0"/>
      <w:marTop w:val="0"/>
      <w:marBottom w:val="0"/>
      <w:divBdr>
        <w:top w:val="none" w:sz="0" w:space="0" w:color="auto"/>
        <w:left w:val="none" w:sz="0" w:space="0" w:color="auto"/>
        <w:bottom w:val="none" w:sz="0" w:space="0" w:color="auto"/>
        <w:right w:val="none" w:sz="0" w:space="0" w:color="auto"/>
      </w:divBdr>
    </w:div>
    <w:div w:id="736319140">
      <w:bodyDiv w:val="1"/>
      <w:marLeft w:val="0"/>
      <w:marRight w:val="0"/>
      <w:marTop w:val="0"/>
      <w:marBottom w:val="0"/>
      <w:divBdr>
        <w:top w:val="none" w:sz="0" w:space="0" w:color="auto"/>
        <w:left w:val="none" w:sz="0" w:space="0" w:color="auto"/>
        <w:bottom w:val="none" w:sz="0" w:space="0" w:color="auto"/>
        <w:right w:val="none" w:sz="0" w:space="0" w:color="auto"/>
      </w:divBdr>
    </w:div>
    <w:div w:id="791678145">
      <w:bodyDiv w:val="1"/>
      <w:marLeft w:val="0"/>
      <w:marRight w:val="0"/>
      <w:marTop w:val="0"/>
      <w:marBottom w:val="0"/>
      <w:divBdr>
        <w:top w:val="none" w:sz="0" w:space="0" w:color="auto"/>
        <w:left w:val="none" w:sz="0" w:space="0" w:color="auto"/>
        <w:bottom w:val="none" w:sz="0" w:space="0" w:color="auto"/>
        <w:right w:val="none" w:sz="0" w:space="0" w:color="auto"/>
      </w:divBdr>
    </w:div>
    <w:div w:id="857154669">
      <w:bodyDiv w:val="1"/>
      <w:marLeft w:val="0"/>
      <w:marRight w:val="0"/>
      <w:marTop w:val="0"/>
      <w:marBottom w:val="0"/>
      <w:divBdr>
        <w:top w:val="none" w:sz="0" w:space="0" w:color="auto"/>
        <w:left w:val="none" w:sz="0" w:space="0" w:color="auto"/>
        <w:bottom w:val="none" w:sz="0" w:space="0" w:color="auto"/>
        <w:right w:val="none" w:sz="0" w:space="0" w:color="auto"/>
      </w:divBdr>
    </w:div>
    <w:div w:id="999886655">
      <w:bodyDiv w:val="1"/>
      <w:marLeft w:val="0"/>
      <w:marRight w:val="0"/>
      <w:marTop w:val="0"/>
      <w:marBottom w:val="0"/>
      <w:divBdr>
        <w:top w:val="none" w:sz="0" w:space="0" w:color="auto"/>
        <w:left w:val="none" w:sz="0" w:space="0" w:color="auto"/>
        <w:bottom w:val="none" w:sz="0" w:space="0" w:color="auto"/>
        <w:right w:val="none" w:sz="0" w:space="0" w:color="auto"/>
      </w:divBdr>
    </w:div>
    <w:div w:id="1053893600">
      <w:bodyDiv w:val="1"/>
      <w:marLeft w:val="0"/>
      <w:marRight w:val="0"/>
      <w:marTop w:val="0"/>
      <w:marBottom w:val="0"/>
      <w:divBdr>
        <w:top w:val="none" w:sz="0" w:space="0" w:color="auto"/>
        <w:left w:val="none" w:sz="0" w:space="0" w:color="auto"/>
        <w:bottom w:val="none" w:sz="0" w:space="0" w:color="auto"/>
        <w:right w:val="none" w:sz="0" w:space="0" w:color="auto"/>
      </w:divBdr>
    </w:div>
    <w:div w:id="1095201900">
      <w:bodyDiv w:val="1"/>
      <w:marLeft w:val="0"/>
      <w:marRight w:val="0"/>
      <w:marTop w:val="0"/>
      <w:marBottom w:val="0"/>
      <w:divBdr>
        <w:top w:val="none" w:sz="0" w:space="0" w:color="auto"/>
        <w:left w:val="none" w:sz="0" w:space="0" w:color="auto"/>
        <w:bottom w:val="none" w:sz="0" w:space="0" w:color="auto"/>
        <w:right w:val="none" w:sz="0" w:space="0" w:color="auto"/>
      </w:divBdr>
    </w:div>
    <w:div w:id="1108160268">
      <w:bodyDiv w:val="1"/>
      <w:marLeft w:val="0"/>
      <w:marRight w:val="0"/>
      <w:marTop w:val="0"/>
      <w:marBottom w:val="0"/>
      <w:divBdr>
        <w:top w:val="none" w:sz="0" w:space="0" w:color="auto"/>
        <w:left w:val="none" w:sz="0" w:space="0" w:color="auto"/>
        <w:bottom w:val="none" w:sz="0" w:space="0" w:color="auto"/>
        <w:right w:val="none" w:sz="0" w:space="0" w:color="auto"/>
      </w:divBdr>
    </w:div>
    <w:div w:id="1154830741">
      <w:bodyDiv w:val="1"/>
      <w:marLeft w:val="0"/>
      <w:marRight w:val="0"/>
      <w:marTop w:val="0"/>
      <w:marBottom w:val="0"/>
      <w:divBdr>
        <w:top w:val="none" w:sz="0" w:space="0" w:color="auto"/>
        <w:left w:val="none" w:sz="0" w:space="0" w:color="auto"/>
        <w:bottom w:val="none" w:sz="0" w:space="0" w:color="auto"/>
        <w:right w:val="none" w:sz="0" w:space="0" w:color="auto"/>
      </w:divBdr>
    </w:div>
    <w:div w:id="1191800075">
      <w:bodyDiv w:val="1"/>
      <w:marLeft w:val="0"/>
      <w:marRight w:val="0"/>
      <w:marTop w:val="0"/>
      <w:marBottom w:val="0"/>
      <w:divBdr>
        <w:top w:val="none" w:sz="0" w:space="0" w:color="auto"/>
        <w:left w:val="none" w:sz="0" w:space="0" w:color="auto"/>
        <w:bottom w:val="none" w:sz="0" w:space="0" w:color="auto"/>
        <w:right w:val="none" w:sz="0" w:space="0" w:color="auto"/>
      </w:divBdr>
    </w:div>
    <w:div w:id="1301573227">
      <w:bodyDiv w:val="1"/>
      <w:marLeft w:val="0"/>
      <w:marRight w:val="0"/>
      <w:marTop w:val="0"/>
      <w:marBottom w:val="0"/>
      <w:divBdr>
        <w:top w:val="none" w:sz="0" w:space="0" w:color="auto"/>
        <w:left w:val="none" w:sz="0" w:space="0" w:color="auto"/>
        <w:bottom w:val="none" w:sz="0" w:space="0" w:color="auto"/>
        <w:right w:val="none" w:sz="0" w:space="0" w:color="auto"/>
      </w:divBdr>
    </w:div>
    <w:div w:id="1321468960">
      <w:bodyDiv w:val="1"/>
      <w:marLeft w:val="0"/>
      <w:marRight w:val="0"/>
      <w:marTop w:val="0"/>
      <w:marBottom w:val="0"/>
      <w:divBdr>
        <w:top w:val="none" w:sz="0" w:space="0" w:color="auto"/>
        <w:left w:val="none" w:sz="0" w:space="0" w:color="auto"/>
        <w:bottom w:val="none" w:sz="0" w:space="0" w:color="auto"/>
        <w:right w:val="none" w:sz="0" w:space="0" w:color="auto"/>
      </w:divBdr>
    </w:div>
    <w:div w:id="1379164282">
      <w:bodyDiv w:val="1"/>
      <w:marLeft w:val="0"/>
      <w:marRight w:val="0"/>
      <w:marTop w:val="0"/>
      <w:marBottom w:val="0"/>
      <w:divBdr>
        <w:top w:val="none" w:sz="0" w:space="0" w:color="auto"/>
        <w:left w:val="none" w:sz="0" w:space="0" w:color="auto"/>
        <w:bottom w:val="none" w:sz="0" w:space="0" w:color="auto"/>
        <w:right w:val="none" w:sz="0" w:space="0" w:color="auto"/>
      </w:divBdr>
    </w:div>
    <w:div w:id="1470366834">
      <w:bodyDiv w:val="1"/>
      <w:marLeft w:val="0"/>
      <w:marRight w:val="0"/>
      <w:marTop w:val="0"/>
      <w:marBottom w:val="0"/>
      <w:divBdr>
        <w:top w:val="none" w:sz="0" w:space="0" w:color="auto"/>
        <w:left w:val="none" w:sz="0" w:space="0" w:color="auto"/>
        <w:bottom w:val="none" w:sz="0" w:space="0" w:color="auto"/>
        <w:right w:val="none" w:sz="0" w:space="0" w:color="auto"/>
      </w:divBdr>
      <w:divsChild>
        <w:div w:id="1817649136">
          <w:marLeft w:val="0"/>
          <w:marRight w:val="0"/>
          <w:marTop w:val="0"/>
          <w:marBottom w:val="0"/>
          <w:divBdr>
            <w:top w:val="none" w:sz="0" w:space="0" w:color="auto"/>
            <w:left w:val="none" w:sz="0" w:space="0" w:color="auto"/>
            <w:bottom w:val="none" w:sz="0" w:space="0" w:color="auto"/>
            <w:right w:val="none" w:sz="0" w:space="0" w:color="auto"/>
          </w:divBdr>
          <w:divsChild>
            <w:div w:id="1215847196">
              <w:marLeft w:val="0"/>
              <w:marRight w:val="0"/>
              <w:marTop w:val="0"/>
              <w:marBottom w:val="0"/>
              <w:divBdr>
                <w:top w:val="none" w:sz="0" w:space="0" w:color="auto"/>
                <w:left w:val="none" w:sz="0" w:space="0" w:color="auto"/>
                <w:bottom w:val="none" w:sz="0" w:space="0" w:color="auto"/>
                <w:right w:val="none" w:sz="0" w:space="0" w:color="auto"/>
              </w:divBdr>
            </w:div>
          </w:divsChild>
        </w:div>
        <w:div w:id="1441218113">
          <w:marLeft w:val="0"/>
          <w:marRight w:val="0"/>
          <w:marTop w:val="0"/>
          <w:marBottom w:val="0"/>
          <w:divBdr>
            <w:top w:val="none" w:sz="0" w:space="0" w:color="auto"/>
            <w:left w:val="none" w:sz="0" w:space="0" w:color="auto"/>
            <w:bottom w:val="none" w:sz="0" w:space="0" w:color="auto"/>
            <w:right w:val="none" w:sz="0" w:space="0" w:color="auto"/>
          </w:divBdr>
          <w:divsChild>
            <w:div w:id="11463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1827">
      <w:bodyDiv w:val="1"/>
      <w:marLeft w:val="0"/>
      <w:marRight w:val="0"/>
      <w:marTop w:val="0"/>
      <w:marBottom w:val="0"/>
      <w:divBdr>
        <w:top w:val="none" w:sz="0" w:space="0" w:color="auto"/>
        <w:left w:val="none" w:sz="0" w:space="0" w:color="auto"/>
        <w:bottom w:val="none" w:sz="0" w:space="0" w:color="auto"/>
        <w:right w:val="none" w:sz="0" w:space="0" w:color="auto"/>
      </w:divBdr>
    </w:div>
    <w:div w:id="1615944643">
      <w:bodyDiv w:val="1"/>
      <w:marLeft w:val="0"/>
      <w:marRight w:val="0"/>
      <w:marTop w:val="0"/>
      <w:marBottom w:val="0"/>
      <w:divBdr>
        <w:top w:val="none" w:sz="0" w:space="0" w:color="auto"/>
        <w:left w:val="none" w:sz="0" w:space="0" w:color="auto"/>
        <w:bottom w:val="none" w:sz="0" w:space="0" w:color="auto"/>
        <w:right w:val="none" w:sz="0" w:space="0" w:color="auto"/>
      </w:divBdr>
    </w:div>
    <w:div w:id="1639989929">
      <w:bodyDiv w:val="1"/>
      <w:marLeft w:val="0"/>
      <w:marRight w:val="0"/>
      <w:marTop w:val="0"/>
      <w:marBottom w:val="0"/>
      <w:divBdr>
        <w:top w:val="none" w:sz="0" w:space="0" w:color="auto"/>
        <w:left w:val="none" w:sz="0" w:space="0" w:color="auto"/>
        <w:bottom w:val="none" w:sz="0" w:space="0" w:color="auto"/>
        <w:right w:val="none" w:sz="0" w:space="0" w:color="auto"/>
      </w:divBdr>
    </w:div>
    <w:div w:id="1741176629">
      <w:bodyDiv w:val="1"/>
      <w:marLeft w:val="0"/>
      <w:marRight w:val="0"/>
      <w:marTop w:val="0"/>
      <w:marBottom w:val="0"/>
      <w:divBdr>
        <w:top w:val="none" w:sz="0" w:space="0" w:color="auto"/>
        <w:left w:val="none" w:sz="0" w:space="0" w:color="auto"/>
        <w:bottom w:val="none" w:sz="0" w:space="0" w:color="auto"/>
        <w:right w:val="none" w:sz="0" w:space="0" w:color="auto"/>
      </w:divBdr>
    </w:div>
    <w:div w:id="1743217455">
      <w:bodyDiv w:val="1"/>
      <w:marLeft w:val="0"/>
      <w:marRight w:val="0"/>
      <w:marTop w:val="0"/>
      <w:marBottom w:val="0"/>
      <w:divBdr>
        <w:top w:val="none" w:sz="0" w:space="0" w:color="auto"/>
        <w:left w:val="none" w:sz="0" w:space="0" w:color="auto"/>
        <w:bottom w:val="none" w:sz="0" w:space="0" w:color="auto"/>
        <w:right w:val="none" w:sz="0" w:space="0" w:color="auto"/>
      </w:divBdr>
    </w:div>
    <w:div w:id="18976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189302-4412-4ACC-AF62-DFB21D4B4BDD}">
  <ds:schemaRefs>
    <ds:schemaRef ds:uri="http://schemas.openxmlformats.org/officeDocument/2006/bibliography"/>
  </ds:schemaRefs>
</ds:datastoreItem>
</file>

<file path=customXml/itemProps2.xml><?xml version="1.0" encoding="utf-8"?>
<ds:datastoreItem xmlns:ds="http://schemas.openxmlformats.org/officeDocument/2006/customXml" ds:itemID="{BA81C923-B68E-4F25-888B-F5DFE8F4999E}"/>
</file>

<file path=customXml/itemProps3.xml><?xml version="1.0" encoding="utf-8"?>
<ds:datastoreItem xmlns:ds="http://schemas.openxmlformats.org/officeDocument/2006/customXml" ds:itemID="{186B6CD5-15EE-453C-8238-7E3C707AAF7E}"/>
</file>

<file path=customXml/itemProps4.xml><?xml version="1.0" encoding="utf-8"?>
<ds:datastoreItem xmlns:ds="http://schemas.openxmlformats.org/officeDocument/2006/customXml" ds:itemID="{B4423CA8-A529-4B0F-AE62-A870370F53A0}"/>
</file>

<file path=docProps/app.xml><?xml version="1.0" encoding="utf-8"?>
<Properties xmlns="http://schemas.openxmlformats.org/officeDocument/2006/extended-properties" xmlns:vt="http://schemas.openxmlformats.org/officeDocument/2006/docPropsVTypes">
  <Template>2B1FC325</Template>
  <TotalTime>1038</TotalTime>
  <Pages>22</Pages>
  <Words>9428</Words>
  <Characters>53742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Sandra</dc:creator>
  <cp:keywords/>
  <dc:description/>
  <cp:lastModifiedBy>Park, Sandra</cp:lastModifiedBy>
  <cp:revision>13</cp:revision>
  <cp:lastPrinted>2021-11-17T23:35:00Z</cp:lastPrinted>
  <dcterms:created xsi:type="dcterms:W3CDTF">2021-11-23T03:13:00Z</dcterms:created>
  <dcterms:modified xsi:type="dcterms:W3CDTF">2021-12-14T21:15:00Z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0x010100A16357C84A8A6A439E605EB3EB56852B</vt:lpwstr>
  </property>
  <property fmtid="{D5CDD505-2E9C-101B-9397-08002B2CF9AE}" pid="5" name="Order">
    <vt:r8>1550200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