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107" w:rsidRDefault="00FF0107" w:rsidP="00FF0107">
      <w:pPr>
        <w:spacing w:after="120" w:line="240" w:lineRule="auto"/>
        <w:jc w:val="center"/>
        <w:outlineLvl w:val="1"/>
        <w:rPr>
          <w:rFonts w:asciiTheme="minorHAnsi" w:eastAsia="Times New Roman" w:hAnsiTheme="minorHAnsi" w:cs="Times New Roman"/>
          <w:b/>
          <w:bCs/>
          <w:sz w:val="24"/>
          <w:lang w:val="en-GB" w:eastAsia="pl-PL"/>
        </w:rPr>
      </w:pPr>
      <w:bookmarkStart w:id="0" w:name="_GoBack"/>
      <w:bookmarkEnd w:id="0"/>
      <w:r w:rsidRPr="00FF0107">
        <w:rPr>
          <w:rFonts w:asciiTheme="minorHAnsi" w:eastAsia="Times New Roman" w:hAnsiTheme="minorHAnsi" w:cs="Times New Roman"/>
          <w:b/>
          <w:bCs/>
          <w:sz w:val="24"/>
          <w:lang w:val="en-GB" w:eastAsia="pl-PL"/>
        </w:rPr>
        <w:t xml:space="preserve">General comment on children's rights and the environment </w:t>
      </w:r>
    </w:p>
    <w:p w:rsidR="00FF0107" w:rsidRDefault="00FF0107" w:rsidP="00FF0107">
      <w:pPr>
        <w:spacing w:after="120" w:line="240" w:lineRule="auto"/>
        <w:jc w:val="center"/>
        <w:outlineLvl w:val="1"/>
        <w:rPr>
          <w:rFonts w:asciiTheme="minorHAnsi" w:eastAsia="Times New Roman" w:hAnsiTheme="minorHAnsi" w:cs="Times New Roman"/>
          <w:b/>
          <w:bCs/>
          <w:sz w:val="24"/>
          <w:lang w:val="en-GB" w:eastAsia="pl-PL"/>
        </w:rPr>
      </w:pPr>
      <w:proofErr w:type="gramStart"/>
      <w:r w:rsidRPr="00FF0107">
        <w:rPr>
          <w:rFonts w:asciiTheme="minorHAnsi" w:eastAsia="Times New Roman" w:hAnsiTheme="minorHAnsi" w:cs="Times New Roman"/>
          <w:b/>
          <w:bCs/>
          <w:sz w:val="24"/>
          <w:lang w:val="en-GB" w:eastAsia="pl-PL"/>
        </w:rPr>
        <w:t>with</w:t>
      </w:r>
      <w:proofErr w:type="gramEnd"/>
      <w:r w:rsidRPr="00FF0107">
        <w:rPr>
          <w:rFonts w:asciiTheme="minorHAnsi" w:eastAsia="Times New Roman" w:hAnsiTheme="minorHAnsi" w:cs="Times New Roman"/>
          <w:b/>
          <w:bCs/>
          <w:sz w:val="24"/>
          <w:lang w:val="en-GB" w:eastAsia="pl-PL"/>
        </w:rPr>
        <w:t xml:space="preserve"> a special focus on climate change</w:t>
      </w:r>
    </w:p>
    <w:p w:rsidR="00FF0107" w:rsidRPr="00FF0107" w:rsidRDefault="00FF0107" w:rsidP="00FF0107">
      <w:pPr>
        <w:spacing w:after="120" w:line="240" w:lineRule="auto"/>
        <w:jc w:val="center"/>
        <w:outlineLvl w:val="1"/>
        <w:rPr>
          <w:rFonts w:asciiTheme="minorHAnsi" w:eastAsia="Times New Roman" w:hAnsiTheme="minorHAnsi" w:cs="Times New Roman"/>
          <w:b/>
          <w:bCs/>
          <w:sz w:val="24"/>
          <w:lang w:val="en-GB" w:eastAsia="pl-PL"/>
        </w:rPr>
      </w:pPr>
      <w:r>
        <w:rPr>
          <w:rFonts w:asciiTheme="minorHAnsi" w:eastAsia="Times New Roman" w:hAnsiTheme="minorHAnsi" w:cs="Times New Roman"/>
          <w:b/>
          <w:bCs/>
          <w:sz w:val="24"/>
          <w:lang w:val="en-GB" w:eastAsia="pl-PL"/>
        </w:rPr>
        <w:t>POLAND’s comments</w:t>
      </w:r>
    </w:p>
    <w:p w:rsidR="00FF0107" w:rsidRDefault="00FF0107" w:rsidP="00FF0107">
      <w:pPr>
        <w:spacing w:after="120" w:line="240" w:lineRule="auto"/>
        <w:jc w:val="both"/>
        <w:rPr>
          <w:rFonts w:asciiTheme="minorHAnsi" w:hAnsiTheme="minorHAnsi" w:cs="Times New Roman"/>
          <w:b/>
          <w:bCs/>
          <w:sz w:val="24"/>
          <w:lang w:val="en-GB"/>
        </w:rPr>
      </w:pPr>
    </w:p>
    <w:p w:rsidR="00FF0107" w:rsidRPr="00FF0107" w:rsidRDefault="00FF0107" w:rsidP="00FF0107">
      <w:pPr>
        <w:spacing w:after="120" w:line="240" w:lineRule="auto"/>
        <w:jc w:val="both"/>
        <w:rPr>
          <w:rFonts w:asciiTheme="minorHAnsi" w:hAnsiTheme="minorHAnsi" w:cs="Times New Roman"/>
          <w:b/>
          <w:bCs/>
          <w:sz w:val="24"/>
          <w:lang w:val="en-GB"/>
        </w:rPr>
      </w:pPr>
      <w:r w:rsidRPr="00FF0107">
        <w:rPr>
          <w:rFonts w:asciiTheme="minorHAnsi" w:hAnsiTheme="minorHAnsi" w:cs="Times New Roman"/>
          <w:b/>
          <w:bCs/>
          <w:sz w:val="24"/>
          <w:lang w:val="en-GB"/>
        </w:rPr>
        <w:t>Introduction:</w:t>
      </w:r>
    </w:p>
    <w:p w:rsidR="00FF0107" w:rsidRPr="00FF0107" w:rsidRDefault="00FF0107" w:rsidP="00FF0107">
      <w:pPr>
        <w:spacing w:after="120" w:line="240" w:lineRule="auto"/>
        <w:jc w:val="both"/>
        <w:rPr>
          <w:rFonts w:asciiTheme="minorHAnsi" w:hAnsiTheme="minorHAnsi" w:cs="Times New Roman"/>
          <w:sz w:val="24"/>
          <w:lang w:val="en-GB"/>
        </w:rPr>
      </w:pPr>
      <w:r w:rsidRPr="00FF0107">
        <w:rPr>
          <w:rFonts w:asciiTheme="minorHAnsi" w:hAnsiTheme="minorHAnsi" w:cs="Times New Roman"/>
          <w:sz w:val="24"/>
          <w:lang w:val="en-GB"/>
        </w:rPr>
        <w:t xml:space="preserve">The consequences of climate change affect everyone, but children will be most vulnerable because they are dependent on adult caretakers who face similar challenges and because their still-developing bodies are more susceptible to the negative effects of environmental factors. For this reason, children under the age of </w:t>
      </w:r>
      <w:proofErr w:type="gramStart"/>
      <w:r w:rsidRPr="00FF0107">
        <w:rPr>
          <w:rFonts w:asciiTheme="minorHAnsi" w:hAnsiTheme="minorHAnsi" w:cs="Times New Roman"/>
          <w:sz w:val="24"/>
          <w:lang w:val="en-GB"/>
        </w:rPr>
        <w:t>5</w:t>
      </w:r>
      <w:proofErr w:type="gramEnd"/>
      <w:r w:rsidRPr="00FF0107">
        <w:rPr>
          <w:rFonts w:asciiTheme="minorHAnsi" w:hAnsiTheme="minorHAnsi" w:cs="Times New Roman"/>
          <w:sz w:val="24"/>
          <w:lang w:val="en-GB"/>
        </w:rPr>
        <w:t xml:space="preserve"> are particularly vulnerable. We can divide the effects of climate change on children into three main groups - primary, secondary and tertiary.</w:t>
      </w:r>
    </w:p>
    <w:p w:rsidR="00FF0107" w:rsidRPr="00FF0107" w:rsidRDefault="00FF0107" w:rsidP="00FF0107">
      <w:pPr>
        <w:pStyle w:val="ListParagraph"/>
        <w:numPr>
          <w:ilvl w:val="0"/>
          <w:numId w:val="1"/>
        </w:numPr>
        <w:spacing w:after="120" w:line="240" w:lineRule="auto"/>
        <w:contextualSpacing w:val="0"/>
        <w:jc w:val="both"/>
        <w:rPr>
          <w:rFonts w:cs="Times New Roman"/>
          <w:sz w:val="24"/>
          <w:lang w:val="en-GB"/>
        </w:rPr>
      </w:pPr>
      <w:r w:rsidRPr="00FF0107">
        <w:rPr>
          <w:rFonts w:cs="Times New Roman"/>
          <w:b/>
          <w:bCs/>
          <w:sz w:val="24"/>
          <w:lang w:val="en-GB"/>
        </w:rPr>
        <w:t xml:space="preserve">Primary impact </w:t>
      </w:r>
      <w:r w:rsidRPr="00FF0107">
        <w:rPr>
          <w:rFonts w:cs="Times New Roman"/>
          <w:sz w:val="24"/>
          <w:lang w:val="en-GB"/>
        </w:rPr>
        <w:t>- Primary impact is the direct and immediate impact of climate change on children's health. It involves loss of housing or poorer access to public services due to extreme weather events (droughts, heavy rains, fires).</w:t>
      </w:r>
    </w:p>
    <w:p w:rsidR="00FF0107" w:rsidRPr="00FF0107" w:rsidRDefault="00FF0107" w:rsidP="00FF0107">
      <w:pPr>
        <w:pStyle w:val="ListParagraph"/>
        <w:numPr>
          <w:ilvl w:val="0"/>
          <w:numId w:val="1"/>
        </w:numPr>
        <w:spacing w:after="120" w:line="240" w:lineRule="auto"/>
        <w:contextualSpacing w:val="0"/>
        <w:jc w:val="both"/>
        <w:rPr>
          <w:rFonts w:cs="Times New Roman"/>
          <w:sz w:val="24"/>
          <w:lang w:val="en-GB"/>
        </w:rPr>
      </w:pPr>
      <w:r w:rsidRPr="00FF0107">
        <w:rPr>
          <w:rFonts w:cs="Times New Roman"/>
          <w:b/>
          <w:bCs/>
          <w:sz w:val="24"/>
          <w:lang w:val="en-GB"/>
        </w:rPr>
        <w:t>Secondary impact</w:t>
      </w:r>
      <w:r w:rsidRPr="00FF0107">
        <w:rPr>
          <w:rFonts w:cs="Times New Roman"/>
          <w:sz w:val="24"/>
          <w:lang w:val="en-GB"/>
        </w:rPr>
        <w:t xml:space="preserve"> - impacts of climate change that affect us indirectly or over longer </w:t>
      </w:r>
      <w:proofErr w:type="gramStart"/>
      <w:r w:rsidRPr="00FF0107">
        <w:rPr>
          <w:rFonts w:cs="Times New Roman"/>
          <w:sz w:val="24"/>
          <w:lang w:val="en-GB"/>
        </w:rPr>
        <w:t>period of time</w:t>
      </w:r>
      <w:proofErr w:type="gramEnd"/>
      <w:r w:rsidRPr="00FF0107">
        <w:rPr>
          <w:rFonts w:cs="Times New Roman"/>
          <w:sz w:val="24"/>
          <w:lang w:val="en-GB"/>
        </w:rPr>
        <w:t xml:space="preserve"> - through changes in air composition, food quantity and quality, spreading of tropical diseases etc.</w:t>
      </w:r>
    </w:p>
    <w:p w:rsidR="00FF0107" w:rsidRPr="00FF0107" w:rsidRDefault="00FF0107" w:rsidP="00FF0107">
      <w:pPr>
        <w:pStyle w:val="ListParagraph"/>
        <w:numPr>
          <w:ilvl w:val="0"/>
          <w:numId w:val="1"/>
        </w:numPr>
        <w:spacing w:after="120" w:line="240" w:lineRule="auto"/>
        <w:contextualSpacing w:val="0"/>
        <w:jc w:val="both"/>
        <w:rPr>
          <w:rFonts w:cs="Times New Roman"/>
          <w:sz w:val="24"/>
          <w:lang w:val="en-GB"/>
        </w:rPr>
      </w:pPr>
      <w:r w:rsidRPr="00FF0107">
        <w:rPr>
          <w:rFonts w:cs="Times New Roman"/>
          <w:b/>
          <w:bCs/>
          <w:sz w:val="24"/>
          <w:lang w:val="en-GB"/>
        </w:rPr>
        <w:t>Tertiary impact</w:t>
      </w:r>
      <w:r w:rsidRPr="00FF0107">
        <w:rPr>
          <w:rFonts w:cs="Times New Roman"/>
          <w:sz w:val="24"/>
          <w:lang w:val="en-GB"/>
        </w:rPr>
        <w:t xml:space="preserve"> - the impact of climate change on social stability, which manifests itself, among other things, in massive climate migrations, as well as an increased chance of domestic as well as international armed conflicts.</w:t>
      </w:r>
    </w:p>
    <w:p w:rsidR="00FF0107" w:rsidRPr="00FF0107" w:rsidRDefault="00FF0107" w:rsidP="00FF0107">
      <w:pPr>
        <w:spacing w:after="120" w:line="240" w:lineRule="auto"/>
        <w:jc w:val="both"/>
        <w:rPr>
          <w:rFonts w:asciiTheme="minorHAnsi" w:hAnsiTheme="minorHAnsi" w:cs="Times New Roman"/>
          <w:sz w:val="24"/>
          <w:lang w:val="en-GB"/>
        </w:rPr>
      </w:pPr>
      <w:r w:rsidRPr="00FF0107">
        <w:rPr>
          <w:rFonts w:asciiTheme="minorHAnsi" w:hAnsiTheme="minorHAnsi" w:cs="Times New Roman"/>
          <w:sz w:val="24"/>
          <w:lang w:val="en-GB"/>
        </w:rPr>
        <w:t xml:space="preserve">Creating strategies to address the negative impacts of climate change on children's lives must include all three of these categories, but in some countries, the main priorities </w:t>
      </w:r>
      <w:proofErr w:type="gramStart"/>
      <w:r w:rsidRPr="00FF0107">
        <w:rPr>
          <w:rFonts w:asciiTheme="minorHAnsi" w:hAnsiTheme="minorHAnsi" w:cs="Times New Roman"/>
          <w:sz w:val="24"/>
          <w:lang w:val="en-GB"/>
        </w:rPr>
        <w:t>may be distributed</w:t>
      </w:r>
      <w:proofErr w:type="gramEnd"/>
      <w:r w:rsidRPr="00FF0107">
        <w:rPr>
          <w:rFonts w:asciiTheme="minorHAnsi" w:hAnsiTheme="minorHAnsi" w:cs="Times New Roman"/>
          <w:sz w:val="24"/>
          <w:lang w:val="en-GB"/>
        </w:rPr>
        <w:t xml:space="preserve"> differently. As the climate change is already occurring and will be aggravated in the near future, we need to address both the causes and the effects it has already caused. Therefore, countries need to take action both on adaptation to climate change as well as to reduce greenhouse gas emissions from all sources, striving for global climate neutrality. In addition, climate action needs to </w:t>
      </w:r>
      <w:proofErr w:type="gramStart"/>
      <w:r w:rsidRPr="00FF0107">
        <w:rPr>
          <w:rFonts w:asciiTheme="minorHAnsi" w:hAnsiTheme="minorHAnsi" w:cs="Times New Roman"/>
          <w:sz w:val="24"/>
          <w:lang w:val="en-GB"/>
        </w:rPr>
        <w:t>be taken</w:t>
      </w:r>
      <w:proofErr w:type="gramEnd"/>
      <w:r w:rsidRPr="00FF0107">
        <w:rPr>
          <w:rFonts w:asciiTheme="minorHAnsi" w:hAnsiTheme="minorHAnsi" w:cs="Times New Roman"/>
          <w:sz w:val="24"/>
          <w:lang w:val="en-GB"/>
        </w:rPr>
        <w:t xml:space="preserve"> in the context of economic development and fight against poverty to increase resilience both at the community and country level.</w:t>
      </w:r>
    </w:p>
    <w:p w:rsidR="00FF0107" w:rsidRPr="00FF0107" w:rsidRDefault="00FF0107" w:rsidP="00FF0107">
      <w:pPr>
        <w:spacing w:after="120" w:line="240" w:lineRule="auto"/>
        <w:jc w:val="both"/>
        <w:rPr>
          <w:rFonts w:asciiTheme="minorHAnsi" w:hAnsiTheme="minorHAnsi" w:cs="Times New Roman"/>
          <w:b/>
          <w:bCs/>
          <w:sz w:val="24"/>
          <w:lang w:val="en-GB"/>
        </w:rPr>
      </w:pPr>
      <w:r w:rsidRPr="00FF0107">
        <w:rPr>
          <w:rFonts w:asciiTheme="minorHAnsi" w:hAnsiTheme="minorHAnsi" w:cs="Times New Roman"/>
          <w:b/>
          <w:bCs/>
          <w:sz w:val="24"/>
          <w:lang w:val="en-GB"/>
        </w:rPr>
        <w:t>Recommendations:</w:t>
      </w:r>
    </w:p>
    <w:p w:rsidR="00FF0107" w:rsidRPr="00FF0107" w:rsidRDefault="00FF0107" w:rsidP="00FF0107">
      <w:pPr>
        <w:spacing w:after="120" w:line="240" w:lineRule="auto"/>
        <w:jc w:val="both"/>
        <w:rPr>
          <w:rFonts w:asciiTheme="minorHAnsi" w:hAnsiTheme="minorHAnsi" w:cs="Times New Roman"/>
          <w:sz w:val="24"/>
          <w:lang w:val="en-GB"/>
        </w:rPr>
      </w:pPr>
      <w:r w:rsidRPr="00FF0107">
        <w:rPr>
          <w:rFonts w:asciiTheme="minorHAnsi" w:hAnsiTheme="minorHAnsi" w:cs="Times New Roman"/>
          <w:sz w:val="24"/>
          <w:lang w:val="en-GB"/>
        </w:rPr>
        <w:t>To minimize climate change impacts on human rights, in particular children’s rights we recommend:</w:t>
      </w:r>
    </w:p>
    <w:p w:rsidR="00FF0107" w:rsidRPr="00FF0107" w:rsidRDefault="00FF0107" w:rsidP="00FF0107">
      <w:pPr>
        <w:pStyle w:val="ListParagraph"/>
        <w:numPr>
          <w:ilvl w:val="0"/>
          <w:numId w:val="2"/>
        </w:numPr>
        <w:spacing w:after="120" w:line="240" w:lineRule="auto"/>
        <w:contextualSpacing w:val="0"/>
        <w:jc w:val="both"/>
        <w:rPr>
          <w:rFonts w:cs="Times New Roman"/>
          <w:sz w:val="24"/>
          <w:lang w:val="en-GB"/>
        </w:rPr>
      </w:pPr>
      <w:r w:rsidRPr="00FF0107">
        <w:rPr>
          <w:rFonts w:cs="Times New Roman"/>
          <w:b/>
          <w:bCs/>
          <w:sz w:val="24"/>
          <w:lang w:val="en-GB"/>
        </w:rPr>
        <w:t>Develop comprehensive mitigation strategy taking into account the child factor.</w:t>
      </w:r>
      <w:r w:rsidRPr="00FF0107">
        <w:rPr>
          <w:rFonts w:cs="Times New Roman"/>
          <w:sz w:val="24"/>
          <w:lang w:val="en-GB"/>
        </w:rPr>
        <w:t xml:space="preserve"> Mitigation action by all countries is necessary in order to avoid global warming beyond acceptable levels. It should eventually include all sectors and all greenhouse gases. In addition, governments and local authorities should take into account specific impacts on children, e.g. by prioritising air quality </w:t>
      </w:r>
      <w:proofErr w:type="gramStart"/>
      <w:r w:rsidRPr="00FF0107">
        <w:rPr>
          <w:rFonts w:cs="Times New Roman"/>
          <w:sz w:val="24"/>
          <w:lang w:val="en-GB"/>
        </w:rPr>
        <w:t>measures which</w:t>
      </w:r>
      <w:proofErr w:type="gramEnd"/>
      <w:r w:rsidRPr="00FF0107">
        <w:rPr>
          <w:rFonts w:cs="Times New Roman"/>
          <w:sz w:val="24"/>
          <w:lang w:val="en-GB"/>
        </w:rPr>
        <w:t xml:space="preserve"> have important climate and health co-benefits.</w:t>
      </w:r>
    </w:p>
    <w:p w:rsidR="00FF0107" w:rsidRPr="00FF0107" w:rsidRDefault="00FF0107" w:rsidP="00FF0107">
      <w:pPr>
        <w:pStyle w:val="ListParagraph"/>
        <w:numPr>
          <w:ilvl w:val="0"/>
          <w:numId w:val="2"/>
        </w:numPr>
        <w:spacing w:after="120" w:line="240" w:lineRule="auto"/>
        <w:contextualSpacing w:val="0"/>
        <w:jc w:val="both"/>
        <w:rPr>
          <w:rFonts w:cs="Times New Roman"/>
          <w:sz w:val="24"/>
          <w:lang w:val="en-GB"/>
        </w:rPr>
      </w:pPr>
      <w:r w:rsidRPr="00FF0107">
        <w:rPr>
          <w:rFonts w:cs="Times New Roman"/>
          <w:b/>
          <w:bCs/>
          <w:sz w:val="24"/>
          <w:lang w:val="en-GB"/>
        </w:rPr>
        <w:t>Develop</w:t>
      </w:r>
      <w:r w:rsidRPr="00FF0107">
        <w:rPr>
          <w:rFonts w:cs="Times New Roman"/>
          <w:sz w:val="24"/>
          <w:lang w:val="en-GB"/>
        </w:rPr>
        <w:t xml:space="preserve"> </w:t>
      </w:r>
      <w:r w:rsidRPr="00FF0107">
        <w:rPr>
          <w:rFonts w:cs="Times New Roman"/>
          <w:b/>
          <w:bCs/>
          <w:sz w:val="24"/>
          <w:lang w:val="en-GB"/>
        </w:rPr>
        <w:t>a holistic adaptation strategy focusing on most vulnerable groups, including children.</w:t>
      </w:r>
      <w:r w:rsidRPr="00FF0107">
        <w:rPr>
          <w:rFonts w:cs="Times New Roman"/>
          <w:sz w:val="24"/>
          <w:lang w:val="en-GB"/>
        </w:rPr>
        <w:t xml:space="preserve"> Adaptation planning must respond to evolving and increasing needs of specific groups, especially the most vulnerable ones, in the face of climate change. Continued climate change will significantly degrade the quality and accessibility of public services – such as health system, education, emergency response etc., so expanding them should be a priority. </w:t>
      </w:r>
    </w:p>
    <w:p w:rsidR="00FF0107" w:rsidRPr="00FF0107" w:rsidRDefault="00FF0107" w:rsidP="00FF0107">
      <w:pPr>
        <w:pStyle w:val="ListParagraph"/>
        <w:numPr>
          <w:ilvl w:val="0"/>
          <w:numId w:val="2"/>
        </w:numPr>
        <w:spacing w:after="120" w:line="240" w:lineRule="auto"/>
        <w:contextualSpacing w:val="0"/>
        <w:jc w:val="both"/>
        <w:rPr>
          <w:rFonts w:cs="Times New Roman"/>
          <w:sz w:val="24"/>
          <w:lang w:val="en-GB"/>
        </w:rPr>
      </w:pPr>
      <w:r w:rsidRPr="00FF0107">
        <w:rPr>
          <w:rFonts w:cs="Times New Roman"/>
          <w:b/>
          <w:bCs/>
          <w:sz w:val="24"/>
          <w:lang w:val="en-GB"/>
        </w:rPr>
        <w:lastRenderedPageBreak/>
        <w:t>Climate education.</w:t>
      </w:r>
      <w:r w:rsidRPr="00FF0107">
        <w:rPr>
          <w:rFonts w:cs="Times New Roman"/>
          <w:sz w:val="24"/>
          <w:lang w:val="en-GB"/>
        </w:rPr>
        <w:t xml:space="preserve"> In order to raise awareness of the impacts, possible solutions, and emergency responses education programmes should include environmental and climate change knowledge. The right to education entails the right to </w:t>
      </w:r>
      <w:proofErr w:type="gramStart"/>
      <w:r w:rsidRPr="00FF0107">
        <w:rPr>
          <w:rFonts w:cs="Times New Roman"/>
          <w:sz w:val="24"/>
          <w:lang w:val="en-GB"/>
        </w:rPr>
        <w:t>be informed</w:t>
      </w:r>
      <w:proofErr w:type="gramEnd"/>
      <w:r w:rsidRPr="00FF0107">
        <w:rPr>
          <w:rFonts w:cs="Times New Roman"/>
          <w:sz w:val="24"/>
          <w:lang w:val="en-GB"/>
        </w:rPr>
        <w:t xml:space="preserve"> about climate change.</w:t>
      </w:r>
    </w:p>
    <w:p w:rsidR="00FF0107" w:rsidRPr="00FF0107" w:rsidRDefault="00FF0107" w:rsidP="00FF0107">
      <w:pPr>
        <w:pStyle w:val="ListParagraph"/>
        <w:numPr>
          <w:ilvl w:val="0"/>
          <w:numId w:val="2"/>
        </w:numPr>
        <w:spacing w:after="120" w:line="240" w:lineRule="auto"/>
        <w:contextualSpacing w:val="0"/>
        <w:jc w:val="both"/>
        <w:rPr>
          <w:rFonts w:cs="Times New Roman"/>
          <w:sz w:val="24"/>
          <w:lang w:val="en-GB"/>
        </w:rPr>
      </w:pPr>
      <w:r w:rsidRPr="00FF0107">
        <w:rPr>
          <w:rFonts w:cs="Times New Roman"/>
          <w:b/>
          <w:bCs/>
          <w:sz w:val="24"/>
          <w:lang w:val="en-GB"/>
        </w:rPr>
        <w:t xml:space="preserve">International cooperation. </w:t>
      </w:r>
      <w:r w:rsidRPr="00FF0107">
        <w:rPr>
          <w:rFonts w:cs="Times New Roman"/>
          <w:sz w:val="24"/>
          <w:lang w:val="en-GB"/>
        </w:rPr>
        <w:t xml:space="preserve">Successful action on climate change and children’s rights </w:t>
      </w:r>
      <w:proofErr w:type="gramStart"/>
      <w:r w:rsidRPr="00FF0107">
        <w:rPr>
          <w:rFonts w:cs="Times New Roman"/>
          <w:sz w:val="24"/>
          <w:lang w:val="en-GB"/>
        </w:rPr>
        <w:t>can be facilitated</w:t>
      </w:r>
      <w:proofErr w:type="gramEnd"/>
      <w:r w:rsidRPr="00FF0107">
        <w:rPr>
          <w:rFonts w:cs="Times New Roman"/>
          <w:sz w:val="24"/>
          <w:lang w:val="en-GB"/>
        </w:rPr>
        <w:t xml:space="preserve"> by close bilateral and multilateral cooperation, including with human rights organizations like UNICEF. Transfer of funds, knowledge and capacity building will be necessary to strengthen response to common challenges.</w:t>
      </w:r>
    </w:p>
    <w:p w:rsidR="00FF0107" w:rsidRPr="00FF0107" w:rsidRDefault="00FF0107" w:rsidP="00FF0107">
      <w:pPr>
        <w:pStyle w:val="ListParagraph"/>
        <w:numPr>
          <w:ilvl w:val="0"/>
          <w:numId w:val="2"/>
        </w:numPr>
        <w:spacing w:after="120" w:line="240" w:lineRule="auto"/>
        <w:contextualSpacing w:val="0"/>
        <w:jc w:val="both"/>
        <w:rPr>
          <w:rFonts w:cs="Times New Roman"/>
          <w:sz w:val="24"/>
          <w:lang w:val="en-GB"/>
        </w:rPr>
      </w:pPr>
      <w:r w:rsidRPr="00FF0107">
        <w:rPr>
          <w:rFonts w:cs="Times New Roman"/>
          <w:b/>
          <w:bCs/>
          <w:sz w:val="24"/>
          <w:lang w:val="en-GB"/>
        </w:rPr>
        <w:t>A successful transition is an opportunity to create better functioning societies.</w:t>
      </w:r>
      <w:r w:rsidRPr="00FF0107">
        <w:rPr>
          <w:rFonts w:cs="Times New Roman"/>
          <w:sz w:val="24"/>
          <w:lang w:val="en-GB"/>
        </w:rPr>
        <w:t xml:space="preserve"> If we minimize the risk of negative consequences of climate change while developing the economy, improving health and education infrastructure, as well as closer international cooperation we have a chance to create a better future for today’s children.</w:t>
      </w:r>
    </w:p>
    <w:p w:rsidR="00BD5D23" w:rsidRPr="00FF0107" w:rsidRDefault="00BD5D23" w:rsidP="00FF0107">
      <w:pPr>
        <w:spacing w:after="120" w:line="240" w:lineRule="auto"/>
        <w:rPr>
          <w:rFonts w:asciiTheme="minorHAnsi" w:hAnsiTheme="minorHAnsi"/>
          <w:sz w:val="24"/>
          <w:lang w:val="en-GB"/>
        </w:rPr>
      </w:pPr>
    </w:p>
    <w:sectPr w:rsidR="00BD5D23" w:rsidRPr="00FF01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D31A54"/>
    <w:multiLevelType w:val="hybridMultilevel"/>
    <w:tmpl w:val="3A869EC2"/>
    <w:lvl w:ilvl="0" w:tplc="806ADD8A">
      <w:start w:val="1"/>
      <w:numFmt w:val="bullet"/>
      <w:lvlText w:val=""/>
      <w:lvlJc w:val="left"/>
      <w:pPr>
        <w:ind w:left="780" w:hanging="360"/>
      </w:pPr>
      <w:rPr>
        <w:rFonts w:ascii="Symbol" w:hAnsi="Symbol" w:hint="default"/>
      </w:rPr>
    </w:lvl>
    <w:lvl w:ilvl="1" w:tplc="76E22BB2" w:tentative="1">
      <w:start w:val="1"/>
      <w:numFmt w:val="bullet"/>
      <w:lvlText w:val="o"/>
      <w:lvlJc w:val="left"/>
      <w:pPr>
        <w:ind w:left="1500" w:hanging="360"/>
      </w:pPr>
      <w:rPr>
        <w:rFonts w:ascii="Courier New" w:hAnsi="Courier New" w:cs="Courier New" w:hint="default"/>
      </w:rPr>
    </w:lvl>
    <w:lvl w:ilvl="2" w:tplc="93EC293C" w:tentative="1">
      <w:start w:val="1"/>
      <w:numFmt w:val="bullet"/>
      <w:lvlText w:val=""/>
      <w:lvlJc w:val="left"/>
      <w:pPr>
        <w:ind w:left="2220" w:hanging="360"/>
      </w:pPr>
      <w:rPr>
        <w:rFonts w:ascii="Wingdings" w:hAnsi="Wingdings" w:hint="default"/>
      </w:rPr>
    </w:lvl>
    <w:lvl w:ilvl="3" w:tplc="64268760" w:tentative="1">
      <w:start w:val="1"/>
      <w:numFmt w:val="bullet"/>
      <w:lvlText w:val=""/>
      <w:lvlJc w:val="left"/>
      <w:pPr>
        <w:ind w:left="2940" w:hanging="360"/>
      </w:pPr>
      <w:rPr>
        <w:rFonts w:ascii="Symbol" w:hAnsi="Symbol" w:hint="default"/>
      </w:rPr>
    </w:lvl>
    <w:lvl w:ilvl="4" w:tplc="174C13B2" w:tentative="1">
      <w:start w:val="1"/>
      <w:numFmt w:val="bullet"/>
      <w:lvlText w:val="o"/>
      <w:lvlJc w:val="left"/>
      <w:pPr>
        <w:ind w:left="3660" w:hanging="360"/>
      </w:pPr>
      <w:rPr>
        <w:rFonts w:ascii="Courier New" w:hAnsi="Courier New" w:cs="Courier New" w:hint="default"/>
      </w:rPr>
    </w:lvl>
    <w:lvl w:ilvl="5" w:tplc="F9A01770" w:tentative="1">
      <w:start w:val="1"/>
      <w:numFmt w:val="bullet"/>
      <w:lvlText w:val=""/>
      <w:lvlJc w:val="left"/>
      <w:pPr>
        <w:ind w:left="4380" w:hanging="360"/>
      </w:pPr>
      <w:rPr>
        <w:rFonts w:ascii="Wingdings" w:hAnsi="Wingdings" w:hint="default"/>
      </w:rPr>
    </w:lvl>
    <w:lvl w:ilvl="6" w:tplc="7DF00766" w:tentative="1">
      <w:start w:val="1"/>
      <w:numFmt w:val="bullet"/>
      <w:lvlText w:val=""/>
      <w:lvlJc w:val="left"/>
      <w:pPr>
        <w:ind w:left="5100" w:hanging="360"/>
      </w:pPr>
      <w:rPr>
        <w:rFonts w:ascii="Symbol" w:hAnsi="Symbol" w:hint="default"/>
      </w:rPr>
    </w:lvl>
    <w:lvl w:ilvl="7" w:tplc="27EC13D6" w:tentative="1">
      <w:start w:val="1"/>
      <w:numFmt w:val="bullet"/>
      <w:lvlText w:val="o"/>
      <w:lvlJc w:val="left"/>
      <w:pPr>
        <w:ind w:left="5820" w:hanging="360"/>
      </w:pPr>
      <w:rPr>
        <w:rFonts w:ascii="Courier New" w:hAnsi="Courier New" w:cs="Courier New" w:hint="default"/>
      </w:rPr>
    </w:lvl>
    <w:lvl w:ilvl="8" w:tplc="748A5BEC" w:tentative="1">
      <w:start w:val="1"/>
      <w:numFmt w:val="bullet"/>
      <w:lvlText w:val=""/>
      <w:lvlJc w:val="left"/>
      <w:pPr>
        <w:ind w:left="6540" w:hanging="360"/>
      </w:pPr>
      <w:rPr>
        <w:rFonts w:ascii="Wingdings" w:hAnsi="Wingdings" w:hint="default"/>
      </w:rPr>
    </w:lvl>
  </w:abstractNum>
  <w:abstractNum w:abstractNumId="1" w15:restartNumberingAfterBreak="0">
    <w:nsid w:val="6FDD33C8"/>
    <w:multiLevelType w:val="hybridMultilevel"/>
    <w:tmpl w:val="963CE1E2"/>
    <w:lvl w:ilvl="0" w:tplc="9C5279BC">
      <w:start w:val="1"/>
      <w:numFmt w:val="bullet"/>
      <w:lvlText w:val=""/>
      <w:lvlJc w:val="left"/>
      <w:pPr>
        <w:ind w:left="720" w:hanging="360"/>
      </w:pPr>
      <w:rPr>
        <w:rFonts w:ascii="Symbol" w:hAnsi="Symbol" w:hint="default"/>
      </w:rPr>
    </w:lvl>
    <w:lvl w:ilvl="1" w:tplc="9FE0ED70" w:tentative="1">
      <w:start w:val="1"/>
      <w:numFmt w:val="bullet"/>
      <w:lvlText w:val="o"/>
      <w:lvlJc w:val="left"/>
      <w:pPr>
        <w:ind w:left="1440" w:hanging="360"/>
      </w:pPr>
      <w:rPr>
        <w:rFonts w:ascii="Courier New" w:hAnsi="Courier New" w:cs="Courier New" w:hint="default"/>
      </w:rPr>
    </w:lvl>
    <w:lvl w:ilvl="2" w:tplc="90DA5DEE" w:tentative="1">
      <w:start w:val="1"/>
      <w:numFmt w:val="bullet"/>
      <w:lvlText w:val=""/>
      <w:lvlJc w:val="left"/>
      <w:pPr>
        <w:ind w:left="2160" w:hanging="360"/>
      </w:pPr>
      <w:rPr>
        <w:rFonts w:ascii="Wingdings" w:hAnsi="Wingdings" w:hint="default"/>
      </w:rPr>
    </w:lvl>
    <w:lvl w:ilvl="3" w:tplc="D67CFB86" w:tentative="1">
      <w:start w:val="1"/>
      <w:numFmt w:val="bullet"/>
      <w:lvlText w:val=""/>
      <w:lvlJc w:val="left"/>
      <w:pPr>
        <w:ind w:left="2880" w:hanging="360"/>
      </w:pPr>
      <w:rPr>
        <w:rFonts w:ascii="Symbol" w:hAnsi="Symbol" w:hint="default"/>
      </w:rPr>
    </w:lvl>
    <w:lvl w:ilvl="4" w:tplc="FB9062AE" w:tentative="1">
      <w:start w:val="1"/>
      <w:numFmt w:val="bullet"/>
      <w:lvlText w:val="o"/>
      <w:lvlJc w:val="left"/>
      <w:pPr>
        <w:ind w:left="3600" w:hanging="360"/>
      </w:pPr>
      <w:rPr>
        <w:rFonts w:ascii="Courier New" w:hAnsi="Courier New" w:cs="Courier New" w:hint="default"/>
      </w:rPr>
    </w:lvl>
    <w:lvl w:ilvl="5" w:tplc="1DB0448E" w:tentative="1">
      <w:start w:val="1"/>
      <w:numFmt w:val="bullet"/>
      <w:lvlText w:val=""/>
      <w:lvlJc w:val="left"/>
      <w:pPr>
        <w:ind w:left="4320" w:hanging="360"/>
      </w:pPr>
      <w:rPr>
        <w:rFonts w:ascii="Wingdings" w:hAnsi="Wingdings" w:hint="default"/>
      </w:rPr>
    </w:lvl>
    <w:lvl w:ilvl="6" w:tplc="7556F932" w:tentative="1">
      <w:start w:val="1"/>
      <w:numFmt w:val="bullet"/>
      <w:lvlText w:val=""/>
      <w:lvlJc w:val="left"/>
      <w:pPr>
        <w:ind w:left="5040" w:hanging="360"/>
      </w:pPr>
      <w:rPr>
        <w:rFonts w:ascii="Symbol" w:hAnsi="Symbol" w:hint="default"/>
      </w:rPr>
    </w:lvl>
    <w:lvl w:ilvl="7" w:tplc="A2E8097E" w:tentative="1">
      <w:start w:val="1"/>
      <w:numFmt w:val="bullet"/>
      <w:lvlText w:val="o"/>
      <w:lvlJc w:val="left"/>
      <w:pPr>
        <w:ind w:left="5760" w:hanging="360"/>
      </w:pPr>
      <w:rPr>
        <w:rFonts w:ascii="Courier New" w:hAnsi="Courier New" w:cs="Courier New" w:hint="default"/>
      </w:rPr>
    </w:lvl>
    <w:lvl w:ilvl="8" w:tplc="A38CD7B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107"/>
    <w:rsid w:val="00437DD0"/>
    <w:rsid w:val="00BD5D23"/>
    <w:rsid w:val="00FF01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9F5677-0380-4C2C-98F9-3F60ECF57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107"/>
    <w:pPr>
      <w:suppressAutoHyphens/>
      <w:spacing w:after="200" w:line="276" w:lineRule="auto"/>
    </w:pPr>
    <w:rPr>
      <w:rFonts w:ascii="Calibri" w:eastAsia="Calibri" w:hAnsi="Calibri" w:cs="Calibri"/>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107"/>
    <w:pPr>
      <w:suppressAutoHyphens w:val="0"/>
      <w:spacing w:after="160" w:line="259" w:lineRule="auto"/>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B66D3A9-2F49-4F82-81BD-A452833DBC5F}"/>
</file>

<file path=customXml/itemProps2.xml><?xml version="1.0" encoding="utf-8"?>
<ds:datastoreItem xmlns:ds="http://schemas.openxmlformats.org/officeDocument/2006/customXml" ds:itemID="{792A6CC1-B0DB-415F-8C4F-C88A776E8601}"/>
</file>

<file path=customXml/itemProps3.xml><?xml version="1.0" encoding="utf-8"?>
<ds:datastoreItem xmlns:ds="http://schemas.openxmlformats.org/officeDocument/2006/customXml" ds:itemID="{C68808D3-1B88-4CB5-800E-D9A75F37E5F6}"/>
</file>

<file path=docProps/app.xml><?xml version="1.0" encoding="utf-8"?>
<Properties xmlns="http://schemas.openxmlformats.org/officeDocument/2006/extended-properties" xmlns:vt="http://schemas.openxmlformats.org/officeDocument/2006/docPropsVTypes">
  <Template>Normal.dotm</Template>
  <TotalTime>2</TotalTime>
  <Pages>2</Pages>
  <Words>585</Words>
  <Characters>3340</Characters>
  <Application>Microsoft Office Word</Application>
  <DocSecurity>4</DocSecurity>
  <Lines>27</Lines>
  <Paragraphs>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POLAND</dc:creator>
  <cp:keywords/>
  <dc:description/>
  <cp:lastModifiedBy>SLUGA Nina</cp:lastModifiedBy>
  <cp:revision>2</cp:revision>
  <dcterms:created xsi:type="dcterms:W3CDTF">2021-12-17T12:50:00Z</dcterms:created>
  <dcterms:modified xsi:type="dcterms:W3CDTF">2021-12-17T12:50:00Z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