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889A0" w14:textId="74A277BC" w:rsidR="0049582A" w:rsidRPr="006434F7" w:rsidRDefault="00991B56" w:rsidP="0049582A">
      <w:pPr>
        <w:spacing w:after="0" w:line="240" w:lineRule="auto"/>
        <w:jc w:val="center"/>
        <w:rPr>
          <w:rFonts w:cstheme="minorHAnsi"/>
          <w:b/>
          <w:bCs/>
          <w:sz w:val="28"/>
          <w:lang w:val="fr-FR"/>
        </w:rPr>
      </w:pPr>
      <w:bookmarkStart w:id="0" w:name="_GoBack"/>
      <w:bookmarkEnd w:id="0"/>
      <w:r w:rsidRPr="006434F7">
        <w:rPr>
          <w:rFonts w:cstheme="minorHAnsi"/>
          <w:b/>
          <w:bCs/>
          <w:sz w:val="28"/>
          <w:lang w:val="fr-FR"/>
        </w:rPr>
        <w:t>Le Projet sur la Responsabilité et Recours du HCDH</w:t>
      </w:r>
      <w:r w:rsidR="000C337B" w:rsidRPr="006434F7">
        <w:rPr>
          <w:rFonts w:cstheme="minorHAnsi"/>
          <w:b/>
          <w:bCs/>
          <w:sz w:val="28"/>
          <w:lang w:val="fr-FR"/>
        </w:rPr>
        <w:t xml:space="preserve"> </w:t>
      </w:r>
    </w:p>
    <w:p w14:paraId="4F4DFBED" w14:textId="383EE0A2" w:rsidR="0049582A" w:rsidRPr="006434F7" w:rsidRDefault="00991B56" w:rsidP="0049582A">
      <w:pPr>
        <w:spacing w:after="0" w:line="240" w:lineRule="auto"/>
        <w:jc w:val="center"/>
        <w:rPr>
          <w:rFonts w:cstheme="minorHAnsi"/>
          <w:bCs/>
          <w:i/>
          <w:sz w:val="24"/>
          <w:lang w:val="fr-FR"/>
        </w:rPr>
      </w:pPr>
      <w:r w:rsidRPr="006434F7">
        <w:rPr>
          <w:rFonts w:cstheme="minorHAnsi"/>
          <w:bCs/>
          <w:i/>
          <w:sz w:val="24"/>
          <w:lang w:val="fr-FR"/>
        </w:rPr>
        <w:t>Appel à contribution</w:t>
      </w:r>
    </w:p>
    <w:p w14:paraId="2640D7B0" w14:textId="77777777" w:rsidR="0049582A" w:rsidRPr="006434F7" w:rsidRDefault="0049582A" w:rsidP="0049582A">
      <w:pPr>
        <w:spacing w:after="0" w:line="240" w:lineRule="auto"/>
        <w:jc w:val="center"/>
        <w:rPr>
          <w:rFonts w:cstheme="minorHAnsi"/>
          <w:b/>
          <w:bCs/>
          <w:lang w:val="fr-FR"/>
        </w:rPr>
      </w:pPr>
    </w:p>
    <w:tbl>
      <w:tblPr>
        <w:tblStyle w:val="TableGrid"/>
        <w:tblW w:w="0" w:type="auto"/>
        <w:tblLook w:val="04A0" w:firstRow="1" w:lastRow="0" w:firstColumn="1" w:lastColumn="0" w:noHBand="0" w:noVBand="1"/>
      </w:tblPr>
      <w:tblGrid>
        <w:gridCol w:w="10435"/>
      </w:tblGrid>
      <w:tr w:rsidR="0049582A" w:rsidRPr="006434F7" w14:paraId="7D4A2202" w14:textId="77777777" w:rsidTr="0038042A">
        <w:tc>
          <w:tcPr>
            <w:tcW w:w="10435" w:type="dxa"/>
            <w:shd w:val="clear" w:color="auto" w:fill="D9D9D9" w:themeFill="background1" w:themeFillShade="D9"/>
          </w:tcPr>
          <w:p w14:paraId="17795686" w14:textId="77777777" w:rsidR="0049582A" w:rsidRPr="006434F7" w:rsidRDefault="0049582A" w:rsidP="00B915EB">
            <w:pPr>
              <w:jc w:val="both"/>
              <w:rPr>
                <w:rFonts w:cstheme="minorHAnsi"/>
                <w:b/>
                <w:bCs/>
                <w:sz w:val="8"/>
                <w:szCs w:val="24"/>
                <w:lang w:val="fr-FR"/>
              </w:rPr>
            </w:pPr>
          </w:p>
          <w:p w14:paraId="0CBEE982" w14:textId="735BC39E" w:rsidR="00991B56" w:rsidRPr="006434F7" w:rsidRDefault="00211657" w:rsidP="000C337B">
            <w:pPr>
              <w:jc w:val="both"/>
              <w:rPr>
                <w:rFonts w:cstheme="minorHAnsi"/>
                <w:lang w:val="fr-FR"/>
              </w:rPr>
            </w:pPr>
            <w:hyperlink r:id="rId11" w:history="1">
              <w:r w:rsidR="00991B56" w:rsidRPr="006434F7">
                <w:rPr>
                  <w:rStyle w:val="Hyperlink"/>
                  <w:rFonts w:cstheme="minorHAnsi"/>
                  <w:b/>
                  <w:lang w:val="fr-FR"/>
                </w:rPr>
                <w:t>Le Projet sur la Responsabilité et Recours (ARP) du HCDH</w:t>
              </w:r>
            </w:hyperlink>
            <w:r w:rsidR="00991B56" w:rsidRPr="006434F7">
              <w:rPr>
                <w:rFonts w:cstheme="minorHAnsi"/>
                <w:lang w:val="fr-FR"/>
              </w:rPr>
              <w:t xml:space="preserve"> vise à renforcer la responsabili</w:t>
            </w:r>
            <w:r w:rsidR="00FE119B">
              <w:rPr>
                <w:rFonts w:cstheme="minorHAnsi"/>
                <w:lang w:val="fr-FR"/>
              </w:rPr>
              <w:t>té</w:t>
            </w:r>
            <w:r w:rsidR="00991B56" w:rsidRPr="006434F7">
              <w:rPr>
                <w:rFonts w:cstheme="minorHAnsi"/>
                <w:lang w:val="fr-FR"/>
              </w:rPr>
              <w:t xml:space="preserve"> et l'accès aux recours dans les cas d'abus des droits de l'homme liés aux entreprises. Depuis son lancement officiel en 2014, et en réponse à de multiples mandats du Conseil des Droits de l'Homme, des orientations ont été produites sur la manière de renforcer l'efficacité de chaque catégorie de mécanisme de réclamation mentionnée dans le troisième pilier des Principes Directeurs : </w:t>
            </w:r>
            <w:hyperlink r:id="rId12" w:history="1">
              <w:r w:rsidR="00991B56" w:rsidRPr="006434F7">
                <w:rPr>
                  <w:rStyle w:val="Hyperlink"/>
                  <w:rFonts w:cstheme="minorHAnsi"/>
                  <w:lang w:val="fr-FR"/>
                </w:rPr>
                <w:t>les mécanismes judiciaires</w:t>
              </w:r>
            </w:hyperlink>
            <w:r w:rsidR="00991B56" w:rsidRPr="006434F7">
              <w:rPr>
                <w:rFonts w:cstheme="minorHAnsi"/>
                <w:lang w:val="fr-FR"/>
              </w:rPr>
              <w:t xml:space="preserve">, </w:t>
            </w:r>
            <w:hyperlink r:id="rId13" w:history="1">
              <w:r w:rsidR="00991B56" w:rsidRPr="006434F7">
                <w:rPr>
                  <w:rStyle w:val="Hyperlink"/>
                  <w:rFonts w:cstheme="minorHAnsi"/>
                  <w:lang w:val="fr-FR"/>
                </w:rPr>
                <w:t>les mécanismes de réclamation non judiciaires relevant de l’état</w:t>
              </w:r>
            </w:hyperlink>
            <w:r w:rsidR="00991B56" w:rsidRPr="006434F7">
              <w:rPr>
                <w:rFonts w:cstheme="minorHAnsi"/>
                <w:lang w:val="fr-FR"/>
              </w:rPr>
              <w:t xml:space="preserve"> et </w:t>
            </w:r>
            <w:hyperlink r:id="rId14" w:history="1">
              <w:r w:rsidR="00991B56" w:rsidRPr="006434F7">
                <w:rPr>
                  <w:rStyle w:val="Hyperlink"/>
                  <w:rFonts w:cstheme="minorHAnsi"/>
                  <w:lang w:val="fr-FR"/>
                </w:rPr>
                <w:t>les mécanismes de réclamation ne relevant pas de l’état</w:t>
              </w:r>
            </w:hyperlink>
            <w:r w:rsidR="00991B56" w:rsidRPr="006434F7">
              <w:rPr>
                <w:rFonts w:cstheme="minorHAnsi"/>
                <w:lang w:val="fr-FR"/>
              </w:rPr>
              <w:t>.</w:t>
            </w:r>
          </w:p>
          <w:p w14:paraId="0F74921D" w14:textId="77777777" w:rsidR="000C337B" w:rsidRPr="006434F7" w:rsidRDefault="000C337B" w:rsidP="000C337B">
            <w:pPr>
              <w:jc w:val="both"/>
              <w:rPr>
                <w:rFonts w:cstheme="minorHAnsi"/>
                <w:lang w:val="fr-FR"/>
              </w:rPr>
            </w:pPr>
          </w:p>
          <w:p w14:paraId="56B907D4" w14:textId="77777777" w:rsidR="00AC769F" w:rsidRDefault="00AC769F" w:rsidP="00AC769F">
            <w:pPr>
              <w:tabs>
                <w:tab w:val="left" w:pos="0"/>
              </w:tabs>
              <w:autoSpaceDE w:val="0"/>
              <w:autoSpaceDN w:val="0"/>
              <w:adjustRightInd w:val="0"/>
              <w:jc w:val="both"/>
              <w:rPr>
                <w:lang w:val="fr-FR" w:eastAsia="en-GB"/>
              </w:rPr>
            </w:pPr>
            <w:r w:rsidRPr="007A3C23">
              <w:rPr>
                <w:lang w:val="fr-FR" w:eastAsia="en-GB"/>
              </w:rPr>
              <w:t xml:space="preserve">Dans sa </w:t>
            </w:r>
            <w:hyperlink r:id="rId15" w:history="1">
              <w:r w:rsidRPr="00E179D4">
                <w:rPr>
                  <w:rStyle w:val="Hyperlink"/>
                  <w:lang w:val="fr-FR" w:eastAsia="en-GB"/>
                </w:rPr>
                <w:t>résolution 44/15</w:t>
              </w:r>
            </w:hyperlink>
            <w:r w:rsidRPr="007A3C23">
              <w:rPr>
                <w:lang w:val="fr-FR" w:eastAsia="en-GB"/>
              </w:rPr>
              <w:t xml:space="preserve">, le Conseil des droits de l'homme a salué les travaux du HCDH sur le renforcement de la responsabilité et de l'accès aux recours en faveur des victimes de violations des droits de l'homme liées aux entreprises, et a prié le HCDH </w:t>
            </w:r>
          </w:p>
          <w:p w14:paraId="136E3698" w14:textId="77777777" w:rsidR="00AC769F" w:rsidRDefault="00AC769F" w:rsidP="00AC769F">
            <w:pPr>
              <w:pStyle w:val="ListParagraph"/>
              <w:numPr>
                <w:ilvl w:val="0"/>
                <w:numId w:val="45"/>
              </w:numPr>
              <w:tabs>
                <w:tab w:val="left" w:pos="0"/>
              </w:tabs>
              <w:autoSpaceDE w:val="0"/>
              <w:autoSpaceDN w:val="0"/>
              <w:adjustRightInd w:val="0"/>
              <w:jc w:val="both"/>
              <w:rPr>
                <w:lang w:val="fr-FR" w:eastAsia="en-GB"/>
              </w:rPr>
            </w:pPr>
            <w:r w:rsidRPr="00E179D4">
              <w:rPr>
                <w:lang w:val="fr-FR" w:eastAsia="en-GB"/>
              </w:rPr>
              <w:t>de poursuivre ses travaux dans ce domaine</w:t>
            </w:r>
            <w:r>
              <w:rPr>
                <w:lang w:val="fr-FR" w:eastAsia="en-GB"/>
              </w:rPr>
              <w:t> ;</w:t>
            </w:r>
          </w:p>
          <w:p w14:paraId="06313240" w14:textId="77777777" w:rsidR="00AC769F" w:rsidRPr="00E179D4" w:rsidRDefault="00AC769F" w:rsidP="00AC769F">
            <w:pPr>
              <w:pStyle w:val="ListParagraph"/>
              <w:numPr>
                <w:ilvl w:val="0"/>
                <w:numId w:val="45"/>
              </w:numPr>
              <w:tabs>
                <w:tab w:val="left" w:pos="0"/>
              </w:tabs>
              <w:autoSpaceDE w:val="0"/>
              <w:autoSpaceDN w:val="0"/>
              <w:adjustRightInd w:val="0"/>
              <w:jc w:val="both"/>
              <w:rPr>
                <w:lang w:val="fr-FR" w:eastAsia="en-GB"/>
              </w:rPr>
            </w:pPr>
            <w:r w:rsidRPr="00E179D4">
              <w:rPr>
                <w:lang w:val="fr-FR" w:eastAsia="en-GB"/>
              </w:rPr>
              <w:t xml:space="preserve">d'organiser </w:t>
            </w:r>
            <w:r>
              <w:rPr>
                <w:lang w:val="fr-FR" w:eastAsia="en-GB"/>
              </w:rPr>
              <w:t xml:space="preserve">de </w:t>
            </w:r>
            <w:r w:rsidRPr="00E179D4">
              <w:rPr>
                <w:lang w:val="fr-FR" w:eastAsia="en-GB"/>
              </w:rPr>
              <w:t>consultations pour</w:t>
            </w:r>
            <w:r w:rsidRPr="00E179D4">
              <w:rPr>
                <w:lang w:val="fr-CH"/>
              </w:rPr>
              <w:t xml:space="preserve"> étudier les problèmes rencontrés dans l’amélioration de l’accès aux recours des victimes de violations des droits de l’homme liées aux entreprises, et en tirer des bonnes</w:t>
            </w:r>
            <w:r>
              <w:rPr>
                <w:lang w:val="fr-CH"/>
              </w:rPr>
              <w:t xml:space="preserve"> pratiques et des enseignements ; et</w:t>
            </w:r>
          </w:p>
          <w:p w14:paraId="28616A3D" w14:textId="77777777" w:rsidR="00AC769F" w:rsidRPr="00E179D4" w:rsidRDefault="00AC769F" w:rsidP="00AC769F">
            <w:pPr>
              <w:pStyle w:val="ListParagraph"/>
              <w:numPr>
                <w:ilvl w:val="0"/>
                <w:numId w:val="45"/>
              </w:numPr>
              <w:tabs>
                <w:tab w:val="left" w:pos="0"/>
              </w:tabs>
              <w:autoSpaceDE w:val="0"/>
              <w:autoSpaceDN w:val="0"/>
              <w:adjustRightInd w:val="0"/>
              <w:jc w:val="both"/>
              <w:rPr>
                <w:lang w:val="fr-FR" w:eastAsia="en-GB"/>
              </w:rPr>
            </w:pPr>
            <w:r>
              <w:rPr>
                <w:lang w:val="fr-FR"/>
              </w:rPr>
              <w:t xml:space="preserve">de </w:t>
            </w:r>
            <w:r w:rsidRPr="009D28FE">
              <w:rPr>
                <w:lang w:val="fr-FR"/>
              </w:rPr>
              <w:t>lui présenter un rapport</w:t>
            </w:r>
            <w:r>
              <w:rPr>
                <w:lang w:val="fr-FR"/>
              </w:rPr>
              <w:t xml:space="preserve"> </w:t>
            </w:r>
            <w:r w:rsidRPr="009D28FE">
              <w:rPr>
                <w:lang w:val="fr-FR"/>
              </w:rPr>
              <w:t>à sa cinquantième session</w:t>
            </w:r>
            <w:r>
              <w:rPr>
                <w:lang w:val="fr-FR"/>
              </w:rPr>
              <w:t>.</w:t>
            </w:r>
          </w:p>
          <w:p w14:paraId="1F30A1A0" w14:textId="5CE5F702" w:rsidR="00AC769F" w:rsidRDefault="00AC769F" w:rsidP="0049582A">
            <w:pPr>
              <w:jc w:val="both"/>
              <w:rPr>
                <w:rFonts w:cstheme="minorHAnsi"/>
                <w:lang w:val="fr-FR"/>
              </w:rPr>
            </w:pPr>
          </w:p>
          <w:p w14:paraId="6E88D5A2" w14:textId="051490EB" w:rsidR="00991B56" w:rsidRPr="006434F7" w:rsidRDefault="00AC769F" w:rsidP="00AC769F">
            <w:pPr>
              <w:jc w:val="both"/>
              <w:rPr>
                <w:rFonts w:cstheme="minorHAnsi"/>
                <w:lang w:val="fr-FR"/>
              </w:rPr>
            </w:pPr>
            <w:r w:rsidRPr="009D28FE">
              <w:rPr>
                <w:lang w:val="fr-FR" w:eastAsia="en-GB"/>
              </w:rPr>
              <w:t xml:space="preserve">Dans le cadre de cette résolution, le HCDH organise </w:t>
            </w:r>
            <w:r w:rsidRPr="009D28FE">
              <w:rPr>
                <w:b/>
                <w:lang w:val="fr-FR" w:eastAsia="en-GB"/>
              </w:rPr>
              <w:t>une consultation de deux jours, les 3 et 4 mars 2022, pour explorer les liens entre la diligence raisonnable en matière de droits de l'homme, la responsabilité et l'accès aux recours</w:t>
            </w:r>
            <w:r w:rsidR="000C337B" w:rsidRPr="006434F7">
              <w:rPr>
                <w:rFonts w:cstheme="minorHAnsi"/>
                <w:b/>
                <w:lang w:val="fr-FR"/>
              </w:rPr>
              <w:t xml:space="preserve"> </w:t>
            </w:r>
            <w:r w:rsidR="000C337B" w:rsidRPr="006434F7">
              <w:rPr>
                <w:rFonts w:cstheme="minorHAnsi"/>
                <w:lang w:val="fr-FR"/>
              </w:rPr>
              <w:t>(</w:t>
            </w:r>
            <w:hyperlink r:id="rId16" w:history="1">
              <w:r w:rsidR="000C337B" w:rsidRPr="00581F25">
                <w:rPr>
                  <w:rStyle w:val="Hyperlink"/>
                  <w:rFonts w:cstheme="minorHAnsi"/>
                  <w:lang w:val="fr-FR"/>
                </w:rPr>
                <w:t>not</w:t>
              </w:r>
              <w:r w:rsidR="00991B56" w:rsidRPr="00581F25">
                <w:rPr>
                  <w:rStyle w:val="Hyperlink"/>
                  <w:rFonts w:cstheme="minorHAnsi"/>
                  <w:lang w:val="fr-FR"/>
                </w:rPr>
                <w:t>e</w:t>
              </w:r>
              <w:r w:rsidR="000C337B" w:rsidRPr="00581F25">
                <w:rPr>
                  <w:rStyle w:val="Hyperlink"/>
                  <w:rFonts w:cstheme="minorHAnsi"/>
                  <w:lang w:val="fr-FR"/>
                </w:rPr>
                <w:t xml:space="preserve"> conceptu</w:t>
              </w:r>
              <w:r w:rsidR="00991B56" w:rsidRPr="00581F25">
                <w:rPr>
                  <w:rStyle w:val="Hyperlink"/>
                  <w:rFonts w:cstheme="minorHAnsi"/>
                  <w:lang w:val="fr-FR"/>
                </w:rPr>
                <w:t>elle</w:t>
              </w:r>
            </w:hyperlink>
            <w:r w:rsidR="000C337B" w:rsidRPr="006434F7">
              <w:rPr>
                <w:rFonts w:cstheme="minorHAnsi"/>
                <w:lang w:val="fr-FR"/>
              </w:rPr>
              <w:t xml:space="preserve">). </w:t>
            </w:r>
            <w:r w:rsidR="00991B56" w:rsidRPr="006434F7">
              <w:rPr>
                <w:rFonts w:cstheme="minorHAnsi"/>
                <w:lang w:val="fr-FR"/>
              </w:rPr>
              <w:t>En outre, le HCDH est en train de rédiger un rapport qui sera présenté au Conseil des Droits de l'Homme lors de sa cinquantième session et qui fera le point sur le projet sur la responsabilité et recours.</w:t>
            </w:r>
          </w:p>
          <w:p w14:paraId="76F8BE19" w14:textId="77777777" w:rsidR="00991B56" w:rsidRPr="006434F7" w:rsidRDefault="00991B56" w:rsidP="0049582A">
            <w:pPr>
              <w:jc w:val="both"/>
              <w:rPr>
                <w:rFonts w:cstheme="minorHAnsi"/>
                <w:lang w:val="fr-FR"/>
              </w:rPr>
            </w:pPr>
          </w:p>
          <w:p w14:paraId="75B5A576" w14:textId="1C40BA55" w:rsidR="00194DAE" w:rsidRPr="006434F7" w:rsidRDefault="00991B56" w:rsidP="0049582A">
            <w:pPr>
              <w:jc w:val="both"/>
              <w:rPr>
                <w:rFonts w:cstheme="minorHAnsi"/>
                <w:b/>
                <w:lang w:val="fr-FR"/>
              </w:rPr>
            </w:pPr>
            <w:r w:rsidRPr="006434F7">
              <w:rPr>
                <w:rFonts w:cstheme="minorHAnsi"/>
                <w:b/>
                <w:lang w:val="fr-FR"/>
              </w:rPr>
              <w:t>Cet appel à contribution offre la possibilité d'alimenter la consultation et le rapport à venir.</w:t>
            </w:r>
          </w:p>
          <w:p w14:paraId="29BB8366" w14:textId="63128DF8" w:rsidR="0049582A" w:rsidRPr="006434F7" w:rsidRDefault="0049582A" w:rsidP="0049582A">
            <w:pPr>
              <w:jc w:val="both"/>
              <w:rPr>
                <w:rFonts w:cstheme="minorHAnsi"/>
                <w:lang w:val="fr-FR"/>
              </w:rPr>
            </w:pPr>
          </w:p>
          <w:p w14:paraId="19ACA537" w14:textId="2AA17DDD" w:rsidR="0049582A" w:rsidRPr="006434F7" w:rsidRDefault="00991B56" w:rsidP="009D6C83">
            <w:pPr>
              <w:jc w:val="center"/>
              <w:rPr>
                <w:rFonts w:cstheme="minorHAnsi"/>
                <w:b/>
                <w:lang w:val="fr-FR"/>
              </w:rPr>
            </w:pPr>
            <w:r w:rsidRPr="006434F7">
              <w:rPr>
                <w:rFonts w:cstheme="minorHAnsi"/>
                <w:b/>
                <w:lang w:val="fr-FR"/>
              </w:rPr>
              <w:t>DATE LIMITE DE SOUMISSION : mardi, 1er mars 2022</w:t>
            </w:r>
          </w:p>
          <w:p w14:paraId="6CEE2EAA" w14:textId="6643110D" w:rsidR="004A54C2" w:rsidRPr="006434F7" w:rsidRDefault="00991B56" w:rsidP="009D6C83">
            <w:pPr>
              <w:jc w:val="center"/>
              <w:rPr>
                <w:rStyle w:val="Hyperlink"/>
                <w:lang w:val="fr-FR"/>
              </w:rPr>
            </w:pPr>
            <w:r w:rsidRPr="006434F7">
              <w:rPr>
                <w:rFonts w:cstheme="minorHAnsi"/>
                <w:b/>
                <w:lang w:val="fr-FR"/>
              </w:rPr>
              <w:t xml:space="preserve">Envoyez vos propositions par courriel à </w:t>
            </w:r>
            <w:r w:rsidR="004A54C2" w:rsidRPr="006434F7">
              <w:rPr>
                <w:rFonts w:cstheme="minorHAnsi"/>
                <w:b/>
                <w:lang w:val="fr-FR"/>
              </w:rPr>
              <w:t xml:space="preserve">: </w:t>
            </w:r>
            <w:hyperlink r:id="rId17" w:history="1">
              <w:r w:rsidR="008D07F8" w:rsidRPr="006434F7">
                <w:rPr>
                  <w:rStyle w:val="Hyperlink"/>
                  <w:lang w:val="fr-FR"/>
                </w:rPr>
                <w:t>ohchr-business-access2remedy@un.org</w:t>
              </w:r>
            </w:hyperlink>
          </w:p>
          <w:p w14:paraId="0F4AFB8F" w14:textId="422B566A" w:rsidR="0049582A" w:rsidRPr="006434F7" w:rsidRDefault="00211657" w:rsidP="008D07F8">
            <w:pPr>
              <w:jc w:val="center"/>
              <w:rPr>
                <w:rFonts w:cstheme="minorHAnsi"/>
                <w:lang w:val="fr-FR"/>
              </w:rPr>
            </w:pPr>
            <w:hyperlink r:id="rId18" w:history="1">
              <w:r w:rsidR="00991B56" w:rsidRPr="006434F7">
                <w:rPr>
                  <w:rStyle w:val="Hyperlink"/>
                  <w:rFonts w:cstheme="minorHAnsi"/>
                  <w:b/>
                  <w:lang w:val="fr-FR"/>
                </w:rPr>
                <w:t>Version en ligne de ce formulaire</w:t>
              </w:r>
            </w:hyperlink>
          </w:p>
          <w:p w14:paraId="0B9FDD17" w14:textId="77777777" w:rsidR="008D07F8" w:rsidRPr="006434F7" w:rsidRDefault="008D07F8" w:rsidP="0049582A">
            <w:pPr>
              <w:jc w:val="both"/>
              <w:rPr>
                <w:rFonts w:cstheme="minorHAnsi"/>
                <w:lang w:val="fr-FR"/>
              </w:rPr>
            </w:pPr>
          </w:p>
          <w:p w14:paraId="42C926A6" w14:textId="7DB4F3B7" w:rsidR="00194DAE" w:rsidRPr="006434F7" w:rsidRDefault="00991B56" w:rsidP="00194DAE">
            <w:pPr>
              <w:jc w:val="center"/>
              <w:rPr>
                <w:b/>
                <w:bCs/>
                <w:szCs w:val="28"/>
                <w:lang w:val="fr-FR"/>
              </w:rPr>
            </w:pPr>
            <w:r w:rsidRPr="006434F7">
              <w:rPr>
                <w:b/>
                <w:bCs/>
                <w:szCs w:val="28"/>
                <w:lang w:val="fr-FR"/>
              </w:rPr>
              <w:t>MERCI</w:t>
            </w:r>
            <w:r w:rsidR="00194DAE" w:rsidRPr="006434F7">
              <w:rPr>
                <w:b/>
                <w:bCs/>
                <w:szCs w:val="28"/>
                <w:lang w:val="fr-FR"/>
              </w:rPr>
              <w:t>!</w:t>
            </w:r>
          </w:p>
          <w:p w14:paraId="6C185A39" w14:textId="218303DC" w:rsidR="0049582A" w:rsidRPr="006434F7" w:rsidRDefault="0049582A" w:rsidP="008D07F8">
            <w:pPr>
              <w:pStyle w:val="NormalWeb"/>
              <w:spacing w:before="0" w:beforeAutospacing="0" w:after="0" w:afterAutospacing="0"/>
              <w:jc w:val="both"/>
              <w:rPr>
                <w:rFonts w:cstheme="minorHAnsi"/>
                <w:sz w:val="8"/>
                <w:lang w:val="fr-FR"/>
              </w:rPr>
            </w:pPr>
          </w:p>
        </w:tc>
      </w:tr>
    </w:tbl>
    <w:p w14:paraId="759DC071" w14:textId="78C0D3BB" w:rsidR="004002DD" w:rsidRPr="006434F7" w:rsidRDefault="004002DD" w:rsidP="00C901CF">
      <w:pPr>
        <w:spacing w:after="0" w:line="240" w:lineRule="auto"/>
        <w:jc w:val="both"/>
        <w:rPr>
          <w:rFonts w:cstheme="minorHAnsi"/>
          <w:b/>
          <w:bCs/>
          <w:lang w:val="fr-FR"/>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rsidRPr="004E0833" w14:paraId="4AB649C0" w14:textId="77777777" w:rsidTr="0038042A">
        <w:tc>
          <w:tcPr>
            <w:tcW w:w="10435" w:type="dxa"/>
            <w:shd w:val="clear" w:color="auto" w:fill="D9E2F3" w:themeFill="accent1" w:themeFillTint="33"/>
          </w:tcPr>
          <w:p w14:paraId="644F211D" w14:textId="35648F27" w:rsidR="00AC769F" w:rsidRPr="006434F7" w:rsidRDefault="00AC769F" w:rsidP="006434F7">
            <w:pPr>
              <w:pStyle w:val="ListParagraph"/>
              <w:numPr>
                <w:ilvl w:val="0"/>
                <w:numId w:val="42"/>
              </w:numPr>
              <w:tabs>
                <w:tab w:val="left" w:pos="0"/>
              </w:tabs>
              <w:autoSpaceDE w:val="0"/>
              <w:autoSpaceDN w:val="0"/>
              <w:adjustRightInd w:val="0"/>
              <w:jc w:val="both"/>
              <w:rPr>
                <w:b/>
                <w:lang w:val="fr-FR" w:eastAsia="en-GB"/>
              </w:rPr>
            </w:pPr>
            <w:r w:rsidRPr="001E6662">
              <w:rPr>
                <w:b/>
                <w:lang w:val="fr-FR" w:eastAsia="en-GB"/>
              </w:rPr>
              <w:t xml:space="preserve">De quelle manière les conclusions et recommandations de l'ARP (relatives </w:t>
            </w:r>
            <w:hyperlink r:id="rId19" w:history="1">
              <w:r w:rsidRPr="001E6662">
                <w:rPr>
                  <w:rStyle w:val="Hyperlink"/>
                  <w:b/>
                  <w:lang w:val="fr-FR" w:eastAsia="en-GB"/>
                </w:rPr>
                <w:t>aux mécanismes judiciaires</w:t>
              </w:r>
            </w:hyperlink>
            <w:r w:rsidRPr="001E6662">
              <w:rPr>
                <w:b/>
                <w:lang w:val="fr-FR" w:eastAsia="en-GB"/>
              </w:rPr>
              <w:t xml:space="preserve">, </w:t>
            </w:r>
            <w:hyperlink r:id="rId20" w:history="1">
              <w:r w:rsidRPr="001E6662">
                <w:rPr>
                  <w:rStyle w:val="Hyperlink"/>
                  <w:b/>
                  <w:lang w:val="fr-FR" w:eastAsia="en-GB"/>
                </w:rPr>
                <w:t>aux mécanismes de réclamation</w:t>
              </w:r>
              <w:r>
                <w:rPr>
                  <w:rStyle w:val="Hyperlink"/>
                  <w:b/>
                  <w:lang w:val="fr-FR" w:eastAsia="en-GB"/>
                </w:rPr>
                <w:t xml:space="preserve"> </w:t>
              </w:r>
              <w:r w:rsidRPr="001E6662">
                <w:rPr>
                  <w:rStyle w:val="Hyperlink"/>
                  <w:b/>
                  <w:lang w:val="fr-FR" w:eastAsia="en-GB"/>
                </w:rPr>
                <w:t xml:space="preserve">non judiciaires </w:t>
              </w:r>
              <w:r>
                <w:rPr>
                  <w:rStyle w:val="Hyperlink"/>
                  <w:b/>
                  <w:lang w:val="fr-FR" w:eastAsia="en-GB"/>
                </w:rPr>
                <w:t>relevant de l’</w:t>
              </w:r>
              <w:r w:rsidRPr="001E6662">
                <w:rPr>
                  <w:rStyle w:val="Hyperlink"/>
                  <w:b/>
                  <w:lang w:val="fr-FR" w:eastAsia="en-GB"/>
                </w:rPr>
                <w:t>état</w:t>
              </w:r>
            </w:hyperlink>
            <w:r w:rsidRPr="001E6662">
              <w:rPr>
                <w:b/>
                <w:lang w:val="fr-FR" w:eastAsia="en-GB"/>
              </w:rPr>
              <w:t xml:space="preserve"> et </w:t>
            </w:r>
            <w:hyperlink r:id="rId21" w:history="1">
              <w:r w:rsidRPr="001E6662">
                <w:rPr>
                  <w:rStyle w:val="Hyperlink"/>
                  <w:b/>
                  <w:lang w:val="fr-FR" w:eastAsia="en-GB"/>
                </w:rPr>
                <w:t xml:space="preserve">aux mécanismes de réclamation </w:t>
              </w:r>
              <w:r>
                <w:rPr>
                  <w:rStyle w:val="Hyperlink"/>
                  <w:b/>
                  <w:lang w:val="fr-FR" w:eastAsia="en-GB"/>
                </w:rPr>
                <w:t>ne relevant pas de l’</w:t>
              </w:r>
              <w:r w:rsidRPr="001E6662">
                <w:rPr>
                  <w:rStyle w:val="Hyperlink"/>
                  <w:b/>
                  <w:lang w:val="fr-FR" w:eastAsia="en-GB"/>
                </w:rPr>
                <w:t>état</w:t>
              </w:r>
            </w:hyperlink>
            <w:r w:rsidRPr="001E6662">
              <w:rPr>
                <w:b/>
                <w:lang w:val="fr-FR" w:eastAsia="en-GB"/>
              </w:rPr>
              <w:t xml:space="preserve">) ont-elles été utilisées pour influencer les approches en matière de responsabilité et d'accès aux recours ? </w:t>
            </w:r>
            <w:r w:rsidRPr="001E6662">
              <w:rPr>
                <w:lang w:val="fr-FR" w:eastAsia="en-GB"/>
              </w:rPr>
              <w:t>Par exemple, incorporées dans la loi, l</w:t>
            </w:r>
            <w:r>
              <w:rPr>
                <w:lang w:val="fr-FR" w:eastAsia="en-GB"/>
              </w:rPr>
              <w:t xml:space="preserve">es </w:t>
            </w:r>
            <w:r w:rsidRPr="001E6662">
              <w:rPr>
                <w:lang w:val="fr-FR" w:eastAsia="en-GB"/>
              </w:rPr>
              <w:t>politique</w:t>
            </w:r>
            <w:r>
              <w:rPr>
                <w:lang w:val="fr-FR" w:eastAsia="en-GB"/>
              </w:rPr>
              <w:t>s</w:t>
            </w:r>
            <w:r w:rsidRPr="001E6662">
              <w:rPr>
                <w:lang w:val="fr-FR" w:eastAsia="en-GB"/>
              </w:rPr>
              <w:t>, les orientations, la recherche, etc.</w:t>
            </w:r>
          </w:p>
        </w:tc>
      </w:tr>
      <w:tr w:rsidR="004002DD" w:rsidRPr="004E0833" w14:paraId="594B38C3" w14:textId="77777777" w:rsidTr="0038042A">
        <w:tc>
          <w:tcPr>
            <w:tcW w:w="10435" w:type="dxa"/>
            <w:shd w:val="clear" w:color="auto" w:fill="D9E2F3" w:themeFill="accent1" w:themeFillTint="33"/>
          </w:tcPr>
          <w:p w14:paraId="4E381A06" w14:textId="3502E829" w:rsidR="00C901CF" w:rsidRPr="006434F7" w:rsidRDefault="00C901CF" w:rsidP="00C901CF">
            <w:pPr>
              <w:jc w:val="both"/>
              <w:rPr>
                <w:rFonts w:cstheme="minorHAnsi"/>
                <w:bCs/>
                <w:lang w:val="fr-FR"/>
              </w:rPr>
            </w:pPr>
          </w:p>
        </w:tc>
      </w:tr>
    </w:tbl>
    <w:p w14:paraId="404D2393" w14:textId="325E6690" w:rsidR="0049582A" w:rsidRPr="006434F7" w:rsidRDefault="0049582A" w:rsidP="00C901CF">
      <w:pPr>
        <w:spacing w:after="0" w:line="240" w:lineRule="auto"/>
        <w:jc w:val="both"/>
        <w:rPr>
          <w:rFonts w:cstheme="minorHAnsi"/>
          <w:b/>
          <w:bCs/>
          <w:lang w:val="fr-FR"/>
        </w:rPr>
      </w:pPr>
    </w:p>
    <w:tbl>
      <w:tblPr>
        <w:tblStyle w:val="TableGrid"/>
        <w:tblW w:w="0" w:type="auto"/>
        <w:tblLook w:val="04A0" w:firstRow="1" w:lastRow="0" w:firstColumn="1" w:lastColumn="0" w:noHBand="0" w:noVBand="1"/>
      </w:tblPr>
      <w:tblGrid>
        <w:gridCol w:w="10435"/>
      </w:tblGrid>
      <w:tr w:rsidR="004002DD" w:rsidRPr="004E0833" w14:paraId="33DB16BD" w14:textId="77777777" w:rsidTr="0038042A">
        <w:tc>
          <w:tcPr>
            <w:tcW w:w="10435" w:type="dxa"/>
          </w:tcPr>
          <w:p w14:paraId="49AE03F8" w14:textId="6374BCFE" w:rsidR="00AC769F" w:rsidRPr="006434F7" w:rsidRDefault="00AC769F" w:rsidP="006434F7">
            <w:pPr>
              <w:pStyle w:val="ListParagraph"/>
              <w:numPr>
                <w:ilvl w:val="0"/>
                <w:numId w:val="42"/>
              </w:numPr>
              <w:tabs>
                <w:tab w:val="left" w:pos="0"/>
              </w:tabs>
              <w:autoSpaceDE w:val="0"/>
              <w:autoSpaceDN w:val="0"/>
              <w:adjustRightInd w:val="0"/>
              <w:jc w:val="both"/>
              <w:rPr>
                <w:color w:val="000000"/>
                <w:lang w:val="fr-FR" w:eastAsia="en-GB"/>
              </w:rPr>
            </w:pPr>
            <w:r w:rsidRPr="001E6662">
              <w:rPr>
                <w:b/>
                <w:lang w:val="fr-FR" w:eastAsia="en-GB"/>
              </w:rPr>
              <w:t>De quelle manière le HCDH peut-il mieux assurer la compréhension et la mise en œuvre des recommandations de l'ARP ?</w:t>
            </w:r>
          </w:p>
        </w:tc>
      </w:tr>
      <w:tr w:rsidR="004002DD" w:rsidRPr="004E0833" w14:paraId="73A8FBA5" w14:textId="77777777" w:rsidTr="0038042A">
        <w:tc>
          <w:tcPr>
            <w:tcW w:w="10435" w:type="dxa"/>
          </w:tcPr>
          <w:p w14:paraId="77041BBC" w14:textId="77777777" w:rsidR="004002DD" w:rsidRPr="006434F7" w:rsidRDefault="004002DD" w:rsidP="00C901CF">
            <w:pPr>
              <w:jc w:val="both"/>
              <w:rPr>
                <w:rFonts w:cstheme="minorHAnsi"/>
                <w:b/>
                <w:bCs/>
                <w:lang w:val="fr-FR"/>
              </w:rPr>
            </w:pPr>
          </w:p>
        </w:tc>
      </w:tr>
    </w:tbl>
    <w:p w14:paraId="45E4A6C8" w14:textId="4A6AEB25" w:rsidR="004002DD" w:rsidRPr="006434F7" w:rsidRDefault="004002DD" w:rsidP="00C901CF">
      <w:pPr>
        <w:spacing w:after="0" w:line="240" w:lineRule="auto"/>
        <w:jc w:val="both"/>
        <w:rPr>
          <w:rFonts w:cstheme="minorHAnsi"/>
          <w:b/>
          <w:bCs/>
          <w:lang w:val="fr-FR"/>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rsidRPr="004E0833" w14:paraId="39F8AF7C" w14:textId="77777777" w:rsidTr="0038042A">
        <w:tc>
          <w:tcPr>
            <w:tcW w:w="10435" w:type="dxa"/>
            <w:shd w:val="clear" w:color="auto" w:fill="D9E2F3" w:themeFill="accent1" w:themeFillTint="33"/>
          </w:tcPr>
          <w:p w14:paraId="6A362364" w14:textId="59844288" w:rsidR="00AC769F" w:rsidRPr="006434F7" w:rsidRDefault="00AC769F" w:rsidP="006434F7">
            <w:pPr>
              <w:pStyle w:val="ListParagraph"/>
              <w:numPr>
                <w:ilvl w:val="0"/>
                <w:numId w:val="42"/>
              </w:numPr>
              <w:tabs>
                <w:tab w:val="left" w:pos="0"/>
              </w:tabs>
              <w:autoSpaceDE w:val="0"/>
              <w:autoSpaceDN w:val="0"/>
              <w:adjustRightInd w:val="0"/>
              <w:jc w:val="both"/>
              <w:rPr>
                <w:b/>
                <w:color w:val="000000"/>
                <w:lang w:val="fr-FR" w:eastAsia="en-GB"/>
              </w:rPr>
            </w:pPr>
            <w:r w:rsidRPr="001E6662">
              <w:rPr>
                <w:b/>
                <w:lang w:val="fr-FR" w:eastAsia="en-GB"/>
              </w:rPr>
              <w:t>Pour contribuer à éclairer la consultation sur les liens entre la diligence raisonnable en matière de droits de l'homme, la responsabilité et l'accès aux recours, quels sont les documents dont le HCDH devrait avoir connaissance ? Quelles questions ou problèmes devraient être abordés lors de la consultation ?</w:t>
            </w:r>
          </w:p>
        </w:tc>
      </w:tr>
      <w:tr w:rsidR="004002DD" w:rsidRPr="004E0833" w14:paraId="4E42948F" w14:textId="77777777" w:rsidTr="0038042A">
        <w:tc>
          <w:tcPr>
            <w:tcW w:w="10435" w:type="dxa"/>
            <w:shd w:val="clear" w:color="auto" w:fill="D9E2F3" w:themeFill="accent1" w:themeFillTint="33"/>
          </w:tcPr>
          <w:p w14:paraId="14710111" w14:textId="77777777" w:rsidR="004002DD" w:rsidRPr="006434F7" w:rsidRDefault="004002DD" w:rsidP="00C901CF">
            <w:pPr>
              <w:jc w:val="both"/>
              <w:rPr>
                <w:rFonts w:cstheme="minorHAnsi"/>
                <w:b/>
                <w:bCs/>
                <w:lang w:val="fr-FR"/>
              </w:rPr>
            </w:pPr>
          </w:p>
        </w:tc>
      </w:tr>
    </w:tbl>
    <w:p w14:paraId="5236D69A" w14:textId="3845C65F" w:rsidR="008D07F8" w:rsidRPr="006434F7" w:rsidRDefault="008D07F8" w:rsidP="00C901CF">
      <w:pPr>
        <w:spacing w:after="0" w:line="240" w:lineRule="auto"/>
        <w:jc w:val="both"/>
        <w:rPr>
          <w:rFonts w:cstheme="minorHAnsi"/>
          <w:b/>
          <w:bCs/>
          <w:lang w:val="fr-FR"/>
        </w:rPr>
      </w:pPr>
    </w:p>
    <w:tbl>
      <w:tblPr>
        <w:tblStyle w:val="TableGrid"/>
        <w:tblW w:w="10435" w:type="dxa"/>
        <w:tblLook w:val="04A0" w:firstRow="1" w:lastRow="0" w:firstColumn="1" w:lastColumn="0" w:noHBand="0" w:noVBand="1"/>
      </w:tblPr>
      <w:tblGrid>
        <w:gridCol w:w="10435"/>
      </w:tblGrid>
      <w:tr w:rsidR="004002DD" w:rsidRPr="004E0833" w14:paraId="326CE11C" w14:textId="77777777" w:rsidTr="0038042A">
        <w:tc>
          <w:tcPr>
            <w:tcW w:w="10435" w:type="dxa"/>
          </w:tcPr>
          <w:p w14:paraId="414FEE11" w14:textId="4C97D122" w:rsidR="00991B56" w:rsidRPr="006434F7" w:rsidRDefault="00991B56" w:rsidP="00991B56">
            <w:pPr>
              <w:pStyle w:val="ListParagraph"/>
              <w:numPr>
                <w:ilvl w:val="0"/>
                <w:numId w:val="42"/>
              </w:numPr>
              <w:jc w:val="both"/>
              <w:rPr>
                <w:rFonts w:cstheme="minorHAnsi"/>
                <w:b/>
                <w:bCs/>
                <w:lang w:val="fr-FR"/>
              </w:rPr>
            </w:pPr>
            <w:r w:rsidRPr="006434F7">
              <w:rPr>
                <w:rFonts w:cstheme="minorHAnsi"/>
                <w:b/>
                <w:bCs/>
                <w:lang w:val="fr-FR"/>
              </w:rPr>
              <w:t>Tout autre commentaire ou question</w:t>
            </w:r>
            <w:r w:rsidRPr="006434F7">
              <w:rPr>
                <w:rFonts w:cstheme="minorHAnsi"/>
                <w:bCs/>
                <w:lang w:val="fr-FR"/>
              </w:rPr>
              <w:t>. Veuillez énumérer tous les autres commentaires / questions que vous pourriez avoir.</w:t>
            </w:r>
          </w:p>
        </w:tc>
      </w:tr>
      <w:tr w:rsidR="004002DD" w:rsidRPr="004E0833" w14:paraId="516C6094" w14:textId="77777777" w:rsidTr="0038042A">
        <w:tc>
          <w:tcPr>
            <w:tcW w:w="10435" w:type="dxa"/>
          </w:tcPr>
          <w:p w14:paraId="1604CE55" w14:textId="77777777" w:rsidR="004002DD" w:rsidRPr="006434F7" w:rsidRDefault="004002DD" w:rsidP="00C901CF">
            <w:pPr>
              <w:jc w:val="both"/>
              <w:rPr>
                <w:rFonts w:cstheme="minorHAnsi"/>
                <w:b/>
                <w:bCs/>
                <w:lang w:val="fr-FR"/>
              </w:rPr>
            </w:pPr>
          </w:p>
        </w:tc>
      </w:tr>
    </w:tbl>
    <w:p w14:paraId="48176118" w14:textId="2F7FB8C2" w:rsidR="004002DD" w:rsidRPr="006434F7" w:rsidRDefault="004002DD" w:rsidP="00C901CF">
      <w:pPr>
        <w:spacing w:after="0" w:line="240" w:lineRule="auto"/>
        <w:jc w:val="both"/>
        <w:rPr>
          <w:rFonts w:cstheme="minorHAnsi"/>
          <w:b/>
          <w:bCs/>
          <w:lang w:val="fr-FR"/>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rsidRPr="004E0833" w14:paraId="55513852" w14:textId="77777777" w:rsidTr="0038042A">
        <w:tc>
          <w:tcPr>
            <w:tcW w:w="10435" w:type="dxa"/>
            <w:shd w:val="clear" w:color="auto" w:fill="D9E2F3" w:themeFill="accent1" w:themeFillTint="33"/>
          </w:tcPr>
          <w:p w14:paraId="7239DF35" w14:textId="326EC2CA" w:rsidR="004002DD" w:rsidRPr="006434F7" w:rsidRDefault="006434F7" w:rsidP="00C901CF">
            <w:pPr>
              <w:jc w:val="both"/>
              <w:rPr>
                <w:rFonts w:cstheme="minorHAnsi"/>
                <w:b/>
                <w:bCs/>
                <w:lang w:val="fr-FR"/>
              </w:rPr>
            </w:pPr>
            <w:r w:rsidRPr="006434F7">
              <w:rPr>
                <w:rFonts w:cstheme="minorHAnsi"/>
                <w:b/>
                <w:bCs/>
                <w:lang w:val="fr-FR"/>
              </w:rPr>
              <w:t>Informations de contact.</w:t>
            </w:r>
          </w:p>
          <w:p w14:paraId="3134E566" w14:textId="34322C7E" w:rsidR="004002DD" w:rsidRPr="006434F7" w:rsidRDefault="00692A69" w:rsidP="00C901CF">
            <w:pPr>
              <w:jc w:val="both"/>
              <w:rPr>
                <w:rFonts w:cstheme="minorHAnsi"/>
                <w:bCs/>
                <w:i/>
                <w:lang w:val="fr-FR"/>
              </w:rPr>
            </w:pPr>
            <w:r>
              <w:rPr>
                <w:rFonts w:cstheme="minorHAnsi"/>
                <w:bCs/>
                <w:i/>
                <w:lang w:val="fr-FR"/>
              </w:rPr>
              <w:t>Fournir ses informations</w:t>
            </w:r>
            <w:r w:rsidR="00AC769F">
              <w:rPr>
                <w:rFonts w:cstheme="minorHAnsi"/>
                <w:bCs/>
                <w:i/>
                <w:lang w:val="fr-FR"/>
              </w:rPr>
              <w:t xml:space="preserve"> </w:t>
            </w:r>
            <w:r w:rsidR="006434F7" w:rsidRPr="006434F7">
              <w:rPr>
                <w:rFonts w:cstheme="minorHAnsi"/>
                <w:bCs/>
                <w:i/>
                <w:lang w:val="fr-FR"/>
              </w:rPr>
              <w:t>de contact est totalement facultative.</w:t>
            </w:r>
          </w:p>
        </w:tc>
      </w:tr>
      <w:tr w:rsidR="004002DD" w:rsidRPr="006434F7" w14:paraId="694244E9" w14:textId="77777777" w:rsidTr="0038042A">
        <w:tc>
          <w:tcPr>
            <w:tcW w:w="10435" w:type="dxa"/>
            <w:shd w:val="clear" w:color="auto" w:fill="D9E2F3" w:themeFill="accent1" w:themeFillTint="33"/>
          </w:tcPr>
          <w:p w14:paraId="7D0A3F80" w14:textId="1C39F624" w:rsidR="004002DD" w:rsidRPr="006434F7" w:rsidRDefault="000C337B" w:rsidP="00C901CF">
            <w:pPr>
              <w:pStyle w:val="ListParagraph"/>
              <w:numPr>
                <w:ilvl w:val="0"/>
                <w:numId w:val="38"/>
              </w:numPr>
              <w:jc w:val="both"/>
              <w:rPr>
                <w:rFonts w:cstheme="minorHAnsi"/>
                <w:b/>
                <w:bCs/>
                <w:lang w:val="fr-FR"/>
              </w:rPr>
            </w:pPr>
            <w:r w:rsidRPr="006434F7">
              <w:rPr>
                <w:rFonts w:cstheme="minorHAnsi"/>
                <w:b/>
                <w:bCs/>
                <w:lang w:val="fr-FR"/>
              </w:rPr>
              <w:t>Nom</w:t>
            </w:r>
            <w:r w:rsidR="004002DD" w:rsidRPr="006434F7">
              <w:rPr>
                <w:rFonts w:cstheme="minorHAnsi"/>
                <w:bCs/>
                <w:lang w:val="fr-FR"/>
              </w:rPr>
              <w:t>:</w:t>
            </w:r>
          </w:p>
          <w:p w14:paraId="77D955E3" w14:textId="4C09FB37" w:rsidR="004002DD" w:rsidRPr="006434F7" w:rsidRDefault="000C337B" w:rsidP="00C901CF">
            <w:pPr>
              <w:pStyle w:val="ListParagraph"/>
              <w:numPr>
                <w:ilvl w:val="0"/>
                <w:numId w:val="38"/>
              </w:numPr>
              <w:jc w:val="both"/>
              <w:rPr>
                <w:rFonts w:cstheme="minorHAnsi"/>
                <w:b/>
                <w:bCs/>
                <w:lang w:val="fr-FR"/>
              </w:rPr>
            </w:pPr>
            <w:r w:rsidRPr="006434F7">
              <w:rPr>
                <w:rFonts w:cstheme="minorHAnsi"/>
                <w:b/>
                <w:bCs/>
                <w:lang w:val="fr-FR"/>
              </w:rPr>
              <w:lastRenderedPageBreak/>
              <w:t>Co</w:t>
            </w:r>
            <w:r w:rsidR="006434F7" w:rsidRPr="006434F7">
              <w:rPr>
                <w:rFonts w:cstheme="minorHAnsi"/>
                <w:b/>
                <w:bCs/>
                <w:lang w:val="fr-FR"/>
              </w:rPr>
              <w:t>urriel</w:t>
            </w:r>
            <w:r w:rsidR="004002DD" w:rsidRPr="006434F7">
              <w:rPr>
                <w:rFonts w:cstheme="minorHAnsi"/>
                <w:bCs/>
                <w:lang w:val="fr-FR"/>
              </w:rPr>
              <w:t>:</w:t>
            </w:r>
          </w:p>
          <w:p w14:paraId="27EA7975" w14:textId="68FBC398" w:rsidR="004002DD" w:rsidRPr="006434F7" w:rsidRDefault="000C337B" w:rsidP="006434F7">
            <w:pPr>
              <w:pStyle w:val="ListParagraph"/>
              <w:numPr>
                <w:ilvl w:val="0"/>
                <w:numId w:val="38"/>
              </w:numPr>
              <w:jc w:val="both"/>
              <w:rPr>
                <w:rFonts w:cstheme="minorHAnsi"/>
                <w:b/>
                <w:bCs/>
                <w:lang w:val="fr-FR"/>
              </w:rPr>
            </w:pPr>
            <w:r w:rsidRPr="006434F7">
              <w:rPr>
                <w:rFonts w:cstheme="minorHAnsi"/>
                <w:b/>
                <w:bCs/>
                <w:lang w:val="fr-FR"/>
              </w:rPr>
              <w:t>Organi</w:t>
            </w:r>
            <w:r w:rsidR="006434F7" w:rsidRPr="006434F7">
              <w:rPr>
                <w:rFonts w:cstheme="minorHAnsi"/>
                <w:b/>
                <w:bCs/>
                <w:lang w:val="fr-FR"/>
              </w:rPr>
              <w:t>sation</w:t>
            </w:r>
            <w:r w:rsidR="004002DD" w:rsidRPr="006434F7">
              <w:rPr>
                <w:rFonts w:cstheme="minorHAnsi"/>
                <w:b/>
                <w:bCs/>
                <w:lang w:val="fr-FR"/>
              </w:rPr>
              <w:t xml:space="preserve"> / a</w:t>
            </w:r>
            <w:r w:rsidR="006434F7" w:rsidRPr="006434F7">
              <w:rPr>
                <w:rFonts w:cstheme="minorHAnsi"/>
                <w:b/>
                <w:bCs/>
                <w:lang w:val="fr-FR"/>
              </w:rPr>
              <w:t>f</w:t>
            </w:r>
            <w:r w:rsidR="004002DD" w:rsidRPr="006434F7">
              <w:rPr>
                <w:rFonts w:cstheme="minorHAnsi"/>
                <w:b/>
                <w:bCs/>
                <w:lang w:val="fr-FR"/>
              </w:rPr>
              <w:t>filia</w:t>
            </w:r>
            <w:r w:rsidR="006434F7" w:rsidRPr="006434F7">
              <w:rPr>
                <w:rFonts w:cstheme="minorHAnsi"/>
                <w:b/>
                <w:bCs/>
                <w:lang w:val="fr-FR"/>
              </w:rPr>
              <w:t>t</w:t>
            </w:r>
            <w:r w:rsidR="004002DD" w:rsidRPr="006434F7">
              <w:rPr>
                <w:rFonts w:cstheme="minorHAnsi"/>
                <w:b/>
                <w:bCs/>
                <w:lang w:val="fr-FR"/>
              </w:rPr>
              <w:t>i</w:t>
            </w:r>
            <w:r w:rsidR="006434F7" w:rsidRPr="006434F7">
              <w:rPr>
                <w:rFonts w:cstheme="minorHAnsi"/>
                <w:b/>
                <w:bCs/>
                <w:lang w:val="fr-FR"/>
              </w:rPr>
              <w:t>o</w:t>
            </w:r>
            <w:r w:rsidR="004002DD" w:rsidRPr="006434F7">
              <w:rPr>
                <w:rFonts w:cstheme="minorHAnsi"/>
                <w:b/>
                <w:bCs/>
                <w:lang w:val="fr-FR"/>
              </w:rPr>
              <w:t>n</w:t>
            </w:r>
            <w:r w:rsidR="004002DD" w:rsidRPr="006434F7">
              <w:rPr>
                <w:rFonts w:cstheme="minorHAnsi"/>
                <w:bCs/>
                <w:lang w:val="fr-FR"/>
              </w:rPr>
              <w:t>:</w:t>
            </w:r>
          </w:p>
        </w:tc>
      </w:tr>
    </w:tbl>
    <w:p w14:paraId="042DEC5D" w14:textId="2D0F1E51" w:rsidR="002F3A8E" w:rsidRPr="006434F7" w:rsidRDefault="002F3A8E" w:rsidP="009D6C83">
      <w:pPr>
        <w:spacing w:after="0" w:line="240" w:lineRule="auto"/>
        <w:rPr>
          <w:rFonts w:cstheme="minorHAnsi"/>
          <w:b/>
          <w:bCs/>
          <w:sz w:val="2"/>
          <w:szCs w:val="2"/>
          <w:lang w:val="fr-FR"/>
        </w:rPr>
      </w:pPr>
    </w:p>
    <w:sectPr w:rsidR="002F3A8E" w:rsidRPr="006434F7" w:rsidSect="0038042A">
      <w:headerReference w:type="default" r:id="rId22"/>
      <w:footerReference w:type="default" r:id="rId23"/>
      <w:pgSz w:w="11906" w:h="16838"/>
      <w:pgMar w:top="720" w:right="720" w:bottom="720" w:left="720" w:header="144" w:footer="1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2BE11" w16cex:dateUtc="2021-07-09T10:22:00Z"/>
  <w16cex:commentExtensible w16cex:durableId="2492C323" w16cex:dateUtc="2021-07-09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E6BAB" w16cid:durableId="2492B5A4"/>
  <w16cid:commentId w16cid:paraId="7FFCD76D" w16cid:durableId="2492B5A5"/>
  <w16cid:commentId w16cid:paraId="42FB84B9" w16cid:durableId="2492BE11"/>
  <w16cid:commentId w16cid:paraId="3CE80263" w16cid:durableId="2492C3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EF4A1" w14:textId="77777777" w:rsidR="00211657" w:rsidRDefault="00211657" w:rsidP="00FE4288">
      <w:pPr>
        <w:spacing w:after="0" w:line="240" w:lineRule="auto"/>
      </w:pPr>
      <w:r>
        <w:separator/>
      </w:r>
    </w:p>
  </w:endnote>
  <w:endnote w:type="continuationSeparator" w:id="0">
    <w:p w14:paraId="5237CC01" w14:textId="77777777" w:rsidR="00211657" w:rsidRDefault="00211657" w:rsidP="00FE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680360"/>
      <w:docPartObj>
        <w:docPartGallery w:val="Page Numbers (Bottom of Page)"/>
        <w:docPartUnique/>
      </w:docPartObj>
    </w:sdtPr>
    <w:sdtEndPr>
      <w:rPr>
        <w:noProof/>
      </w:rPr>
    </w:sdtEndPr>
    <w:sdtContent>
      <w:p w14:paraId="19A00CD1" w14:textId="71A4A17E" w:rsidR="00D17DFD" w:rsidRDefault="00D17DFD">
        <w:pPr>
          <w:pStyle w:val="Footer"/>
          <w:jc w:val="right"/>
        </w:pPr>
        <w:r>
          <w:fldChar w:fldCharType="begin"/>
        </w:r>
        <w:r>
          <w:instrText xml:space="preserve"> PAGE   \* MERGEFORMAT </w:instrText>
        </w:r>
        <w:r>
          <w:fldChar w:fldCharType="separate"/>
        </w:r>
        <w:r w:rsidR="00211657">
          <w:rPr>
            <w:noProof/>
          </w:rPr>
          <w:t>1</w:t>
        </w:r>
        <w:r>
          <w:rPr>
            <w:noProof/>
          </w:rPr>
          <w:fldChar w:fldCharType="end"/>
        </w:r>
      </w:p>
    </w:sdtContent>
  </w:sdt>
  <w:p w14:paraId="2F7057E8" w14:textId="77777777" w:rsidR="00D17DFD" w:rsidRDefault="00D1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FAA97" w14:textId="77777777" w:rsidR="00211657" w:rsidRDefault="00211657" w:rsidP="00FE4288">
      <w:pPr>
        <w:spacing w:after="0" w:line="240" w:lineRule="auto"/>
      </w:pPr>
      <w:r>
        <w:separator/>
      </w:r>
    </w:p>
  </w:footnote>
  <w:footnote w:type="continuationSeparator" w:id="0">
    <w:p w14:paraId="1C4F7A0B" w14:textId="77777777" w:rsidR="00211657" w:rsidRDefault="00211657" w:rsidP="00FE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97EF" w14:textId="6EAFB516" w:rsidR="00122314" w:rsidRDefault="00122314" w:rsidP="00122314">
    <w:pPr>
      <w:pStyle w:val="Header"/>
      <w:jc w:val="center"/>
    </w:pPr>
    <w:r>
      <w:rPr>
        <w:noProof/>
        <w:lang w:eastAsia="en-GB"/>
      </w:rPr>
      <w:drawing>
        <wp:inline distT="0" distB="0" distL="0" distR="0" wp14:anchorId="161D15C9" wp14:editId="22337A80">
          <wp:extent cx="1187355" cy="411597"/>
          <wp:effectExtent l="0" t="0" r="0" b="7620"/>
          <wp:docPr id="2" name="Picture 2" descr="https://intranet.ohchr.org/ToolsLinks/Ourbrand/Logos_DL/OHCHR_Logo_Black_72dpi_EN.png?csf=1&amp;e=hUB2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ohchr.org/ToolsLinks/Ourbrand/Logos_DL/OHCHR_Logo_Black_72dpi_EN.png?csf=1&amp;e=hUB2I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21" cy="421291"/>
                  </a:xfrm>
                  <a:prstGeom prst="rect">
                    <a:avLst/>
                  </a:prstGeom>
                  <a:noFill/>
                  <a:ln>
                    <a:noFill/>
                  </a:ln>
                </pic:spPr>
              </pic:pic>
            </a:graphicData>
          </a:graphic>
        </wp:inline>
      </w:drawing>
    </w:r>
  </w:p>
  <w:p w14:paraId="339C2885" w14:textId="77777777" w:rsidR="00122314" w:rsidRDefault="0012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3C0"/>
    <w:multiLevelType w:val="hybridMultilevel"/>
    <w:tmpl w:val="E0280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93822"/>
    <w:multiLevelType w:val="hybridMultilevel"/>
    <w:tmpl w:val="2DDE1558"/>
    <w:lvl w:ilvl="0" w:tplc="B29444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3832"/>
    <w:multiLevelType w:val="hybridMultilevel"/>
    <w:tmpl w:val="13BC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10883"/>
    <w:multiLevelType w:val="hybridMultilevel"/>
    <w:tmpl w:val="88B4F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0221E"/>
    <w:multiLevelType w:val="hybridMultilevel"/>
    <w:tmpl w:val="2340A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4256A"/>
    <w:multiLevelType w:val="hybridMultilevel"/>
    <w:tmpl w:val="5872622C"/>
    <w:lvl w:ilvl="0" w:tplc="8FD8F3F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47288"/>
    <w:multiLevelType w:val="hybridMultilevel"/>
    <w:tmpl w:val="12FE0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E6E46"/>
    <w:multiLevelType w:val="hybridMultilevel"/>
    <w:tmpl w:val="B10A5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328AE"/>
    <w:multiLevelType w:val="hybridMultilevel"/>
    <w:tmpl w:val="1C22A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042D8"/>
    <w:multiLevelType w:val="multilevel"/>
    <w:tmpl w:val="10F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F6EDB"/>
    <w:multiLevelType w:val="hybridMultilevel"/>
    <w:tmpl w:val="3514B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F4D27"/>
    <w:multiLevelType w:val="hybridMultilevel"/>
    <w:tmpl w:val="2B56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A3A46"/>
    <w:multiLevelType w:val="hybridMultilevel"/>
    <w:tmpl w:val="6C5C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7F93BA0"/>
    <w:multiLevelType w:val="hybridMultilevel"/>
    <w:tmpl w:val="C56E8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93A7B"/>
    <w:multiLevelType w:val="hybridMultilevel"/>
    <w:tmpl w:val="8CD43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A0ED3"/>
    <w:multiLevelType w:val="hybridMultilevel"/>
    <w:tmpl w:val="478C39F8"/>
    <w:lvl w:ilvl="0" w:tplc="402A08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440188"/>
    <w:multiLevelType w:val="hybridMultilevel"/>
    <w:tmpl w:val="F0C6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73FA0"/>
    <w:multiLevelType w:val="hybridMultilevel"/>
    <w:tmpl w:val="379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644CB"/>
    <w:multiLevelType w:val="hybridMultilevel"/>
    <w:tmpl w:val="5B50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95292"/>
    <w:multiLevelType w:val="hybridMultilevel"/>
    <w:tmpl w:val="DFB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E2B98"/>
    <w:multiLevelType w:val="hybridMultilevel"/>
    <w:tmpl w:val="623C2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94A2A"/>
    <w:multiLevelType w:val="hybridMultilevel"/>
    <w:tmpl w:val="09821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B0F15"/>
    <w:multiLevelType w:val="multilevel"/>
    <w:tmpl w:val="B4F0C9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1212AF"/>
    <w:multiLevelType w:val="hybridMultilevel"/>
    <w:tmpl w:val="14046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D7A08"/>
    <w:multiLevelType w:val="hybridMultilevel"/>
    <w:tmpl w:val="B25E4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81C75"/>
    <w:multiLevelType w:val="hybridMultilevel"/>
    <w:tmpl w:val="F27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0377B"/>
    <w:multiLevelType w:val="hybridMultilevel"/>
    <w:tmpl w:val="473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D5732"/>
    <w:multiLevelType w:val="hybridMultilevel"/>
    <w:tmpl w:val="D78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06908"/>
    <w:multiLevelType w:val="hybridMultilevel"/>
    <w:tmpl w:val="1AD851AE"/>
    <w:lvl w:ilvl="0" w:tplc="EF10FD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52E36"/>
    <w:multiLevelType w:val="hybridMultilevel"/>
    <w:tmpl w:val="1EEE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56CFD"/>
    <w:multiLevelType w:val="hybridMultilevel"/>
    <w:tmpl w:val="02E43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E745A"/>
    <w:multiLevelType w:val="hybridMultilevel"/>
    <w:tmpl w:val="E3DAB6B4"/>
    <w:lvl w:ilvl="0" w:tplc="658643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A05029"/>
    <w:multiLevelType w:val="hybridMultilevel"/>
    <w:tmpl w:val="D1F8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7A7BD7"/>
    <w:multiLevelType w:val="hybridMultilevel"/>
    <w:tmpl w:val="42F88E18"/>
    <w:lvl w:ilvl="0" w:tplc="C5F005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F37E1"/>
    <w:multiLevelType w:val="hybridMultilevel"/>
    <w:tmpl w:val="D7767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36CEA"/>
    <w:multiLevelType w:val="hybridMultilevel"/>
    <w:tmpl w:val="165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55D99"/>
    <w:multiLevelType w:val="hybridMultilevel"/>
    <w:tmpl w:val="E8DE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E571A"/>
    <w:multiLevelType w:val="hybridMultilevel"/>
    <w:tmpl w:val="AD588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D0892"/>
    <w:multiLevelType w:val="hybridMultilevel"/>
    <w:tmpl w:val="07883D82"/>
    <w:lvl w:ilvl="0" w:tplc="1B144FB2">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82CD7"/>
    <w:multiLevelType w:val="hybridMultilevel"/>
    <w:tmpl w:val="21984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B15C24"/>
    <w:multiLevelType w:val="hybridMultilevel"/>
    <w:tmpl w:val="53D2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601DC2"/>
    <w:multiLevelType w:val="hybridMultilevel"/>
    <w:tmpl w:val="8A94F65E"/>
    <w:lvl w:ilvl="0" w:tplc="86D4FCA4">
      <w:start w:val="1"/>
      <w:numFmt w:val="upperLetter"/>
      <w:pStyle w:val="Heading1"/>
      <w:lvlText w:val="%1."/>
      <w:lvlJc w:val="left"/>
      <w:pPr>
        <w:ind w:left="720" w:hanging="360"/>
      </w:pPr>
    </w:lvl>
    <w:lvl w:ilvl="1" w:tplc="1960F36E">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AD26E1"/>
    <w:multiLevelType w:val="hybridMultilevel"/>
    <w:tmpl w:val="93A22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0F6965"/>
    <w:multiLevelType w:val="hybridMultilevel"/>
    <w:tmpl w:val="2A46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3281D"/>
    <w:multiLevelType w:val="hybridMultilevel"/>
    <w:tmpl w:val="49108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35"/>
  </w:num>
  <w:num w:numId="4">
    <w:abstractNumId w:val="1"/>
  </w:num>
  <w:num w:numId="5">
    <w:abstractNumId w:val="22"/>
  </w:num>
  <w:num w:numId="6">
    <w:abstractNumId w:val="27"/>
  </w:num>
  <w:num w:numId="7">
    <w:abstractNumId w:val="2"/>
  </w:num>
  <w:num w:numId="8">
    <w:abstractNumId w:val="29"/>
  </w:num>
  <w:num w:numId="9">
    <w:abstractNumId w:val="40"/>
  </w:num>
  <w:num w:numId="10">
    <w:abstractNumId w:val="25"/>
  </w:num>
  <w:num w:numId="11">
    <w:abstractNumId w:val="28"/>
  </w:num>
  <w:num w:numId="12">
    <w:abstractNumId w:val="11"/>
  </w:num>
  <w:num w:numId="13">
    <w:abstractNumId w:val="41"/>
  </w:num>
  <w:num w:numId="14">
    <w:abstractNumId w:val="38"/>
  </w:num>
  <w:num w:numId="15">
    <w:abstractNumId w:val="38"/>
    <w:lvlOverride w:ilvl="0">
      <w:startOverride w:val="1"/>
    </w:lvlOverride>
  </w:num>
  <w:num w:numId="16">
    <w:abstractNumId w:val="19"/>
  </w:num>
  <w:num w:numId="17">
    <w:abstractNumId w:val="13"/>
  </w:num>
  <w:num w:numId="18">
    <w:abstractNumId w:val="33"/>
  </w:num>
  <w:num w:numId="19">
    <w:abstractNumId w:val="12"/>
  </w:num>
  <w:num w:numId="20">
    <w:abstractNumId w:val="9"/>
  </w:num>
  <w:num w:numId="21">
    <w:abstractNumId w:val="32"/>
  </w:num>
  <w:num w:numId="22">
    <w:abstractNumId w:val="17"/>
  </w:num>
  <w:num w:numId="23">
    <w:abstractNumId w:val="24"/>
  </w:num>
  <w:num w:numId="24">
    <w:abstractNumId w:val="23"/>
  </w:num>
  <w:num w:numId="25">
    <w:abstractNumId w:val="21"/>
  </w:num>
  <w:num w:numId="26">
    <w:abstractNumId w:val="3"/>
  </w:num>
  <w:num w:numId="27">
    <w:abstractNumId w:val="0"/>
  </w:num>
  <w:num w:numId="28">
    <w:abstractNumId w:val="34"/>
  </w:num>
  <w:num w:numId="29">
    <w:abstractNumId w:val="10"/>
  </w:num>
  <w:num w:numId="30">
    <w:abstractNumId w:val="42"/>
  </w:num>
  <w:num w:numId="31">
    <w:abstractNumId w:val="14"/>
  </w:num>
  <w:num w:numId="32">
    <w:abstractNumId w:val="6"/>
  </w:num>
  <w:num w:numId="33">
    <w:abstractNumId w:val="4"/>
  </w:num>
  <w:num w:numId="34">
    <w:abstractNumId w:val="37"/>
  </w:num>
  <w:num w:numId="35">
    <w:abstractNumId w:val="20"/>
  </w:num>
  <w:num w:numId="36">
    <w:abstractNumId w:val="30"/>
  </w:num>
  <w:num w:numId="37">
    <w:abstractNumId w:val="44"/>
  </w:num>
  <w:num w:numId="38">
    <w:abstractNumId w:val="16"/>
  </w:num>
  <w:num w:numId="39">
    <w:abstractNumId w:val="18"/>
  </w:num>
  <w:num w:numId="40">
    <w:abstractNumId w:val="26"/>
  </w:num>
  <w:num w:numId="41">
    <w:abstractNumId w:val="5"/>
  </w:num>
  <w:num w:numId="42">
    <w:abstractNumId w:val="15"/>
  </w:num>
  <w:num w:numId="43">
    <w:abstractNumId w:val="8"/>
  </w:num>
  <w:num w:numId="44">
    <w:abstractNumId w:val="43"/>
  </w:num>
  <w:num w:numId="45">
    <w:abstractNumId w:val="3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03"/>
    <w:rsid w:val="00000A74"/>
    <w:rsid w:val="00005537"/>
    <w:rsid w:val="00033572"/>
    <w:rsid w:val="00041403"/>
    <w:rsid w:val="0004185B"/>
    <w:rsid w:val="000422DC"/>
    <w:rsid w:val="00042B16"/>
    <w:rsid w:val="0005054A"/>
    <w:rsid w:val="00055D19"/>
    <w:rsid w:val="00060353"/>
    <w:rsid w:val="00060ECC"/>
    <w:rsid w:val="00060FD7"/>
    <w:rsid w:val="000673D2"/>
    <w:rsid w:val="000751BE"/>
    <w:rsid w:val="00075E63"/>
    <w:rsid w:val="0007667D"/>
    <w:rsid w:val="000855FF"/>
    <w:rsid w:val="0008630E"/>
    <w:rsid w:val="00091A51"/>
    <w:rsid w:val="000A024D"/>
    <w:rsid w:val="000A457F"/>
    <w:rsid w:val="000B06CA"/>
    <w:rsid w:val="000B4BDC"/>
    <w:rsid w:val="000B6882"/>
    <w:rsid w:val="000C02D6"/>
    <w:rsid w:val="000C337B"/>
    <w:rsid w:val="000C6941"/>
    <w:rsid w:val="000D02E1"/>
    <w:rsid w:val="000D31D7"/>
    <w:rsid w:val="000D390B"/>
    <w:rsid w:val="000D3F5B"/>
    <w:rsid w:val="000D6611"/>
    <w:rsid w:val="000E6BD6"/>
    <w:rsid w:val="000F109E"/>
    <w:rsid w:val="000F23A2"/>
    <w:rsid w:val="000F3E34"/>
    <w:rsid w:val="00100CF8"/>
    <w:rsid w:val="00106376"/>
    <w:rsid w:val="00112A28"/>
    <w:rsid w:val="00114424"/>
    <w:rsid w:val="0012076F"/>
    <w:rsid w:val="00122314"/>
    <w:rsid w:val="001240C8"/>
    <w:rsid w:val="00125318"/>
    <w:rsid w:val="00126B23"/>
    <w:rsid w:val="00133B0C"/>
    <w:rsid w:val="00134DB4"/>
    <w:rsid w:val="00135382"/>
    <w:rsid w:val="00135B34"/>
    <w:rsid w:val="00145126"/>
    <w:rsid w:val="00152262"/>
    <w:rsid w:val="00153435"/>
    <w:rsid w:val="00153F19"/>
    <w:rsid w:val="001542D3"/>
    <w:rsid w:val="00161B80"/>
    <w:rsid w:val="00164071"/>
    <w:rsid w:val="00164B72"/>
    <w:rsid w:val="00166B68"/>
    <w:rsid w:val="00177180"/>
    <w:rsid w:val="00180DF2"/>
    <w:rsid w:val="00181649"/>
    <w:rsid w:val="00182CA6"/>
    <w:rsid w:val="00194DAE"/>
    <w:rsid w:val="001B46B0"/>
    <w:rsid w:val="001B4DB1"/>
    <w:rsid w:val="001B5110"/>
    <w:rsid w:val="001C47D6"/>
    <w:rsid w:val="001C696D"/>
    <w:rsid w:val="001C6D60"/>
    <w:rsid w:val="001C6E42"/>
    <w:rsid w:val="001D2C0D"/>
    <w:rsid w:val="001D433D"/>
    <w:rsid w:val="001D5E9F"/>
    <w:rsid w:val="001D799C"/>
    <w:rsid w:val="001E00E8"/>
    <w:rsid w:val="001E527C"/>
    <w:rsid w:val="001E7CB1"/>
    <w:rsid w:val="001F2F69"/>
    <w:rsid w:val="001F4A0F"/>
    <w:rsid w:val="001F6D35"/>
    <w:rsid w:val="00204042"/>
    <w:rsid w:val="002070B5"/>
    <w:rsid w:val="00211657"/>
    <w:rsid w:val="00212422"/>
    <w:rsid w:val="00215892"/>
    <w:rsid w:val="0023280B"/>
    <w:rsid w:val="00232DE2"/>
    <w:rsid w:val="002335C3"/>
    <w:rsid w:val="002369C0"/>
    <w:rsid w:val="002370B9"/>
    <w:rsid w:val="00241637"/>
    <w:rsid w:val="002435C9"/>
    <w:rsid w:val="002520BC"/>
    <w:rsid w:val="0025275D"/>
    <w:rsid w:val="002572B0"/>
    <w:rsid w:val="00257BED"/>
    <w:rsid w:val="00270473"/>
    <w:rsid w:val="00281818"/>
    <w:rsid w:val="002877AE"/>
    <w:rsid w:val="002978F7"/>
    <w:rsid w:val="002A20CF"/>
    <w:rsid w:val="002A5484"/>
    <w:rsid w:val="002A6466"/>
    <w:rsid w:val="002A662A"/>
    <w:rsid w:val="002B1658"/>
    <w:rsid w:val="002B1853"/>
    <w:rsid w:val="002C2E60"/>
    <w:rsid w:val="002D2AD6"/>
    <w:rsid w:val="002D3C5B"/>
    <w:rsid w:val="002D4EAA"/>
    <w:rsid w:val="002E5CAC"/>
    <w:rsid w:val="002F03B5"/>
    <w:rsid w:val="002F207E"/>
    <w:rsid w:val="002F29D6"/>
    <w:rsid w:val="002F3A8E"/>
    <w:rsid w:val="002F79CB"/>
    <w:rsid w:val="00303C63"/>
    <w:rsid w:val="0031317F"/>
    <w:rsid w:val="0031704D"/>
    <w:rsid w:val="00321D63"/>
    <w:rsid w:val="00326C51"/>
    <w:rsid w:val="00353820"/>
    <w:rsid w:val="00353B53"/>
    <w:rsid w:val="00354BAE"/>
    <w:rsid w:val="00354BD8"/>
    <w:rsid w:val="00364A64"/>
    <w:rsid w:val="00371B4B"/>
    <w:rsid w:val="00371E33"/>
    <w:rsid w:val="0038042A"/>
    <w:rsid w:val="003836DC"/>
    <w:rsid w:val="003839F3"/>
    <w:rsid w:val="0039034B"/>
    <w:rsid w:val="00391833"/>
    <w:rsid w:val="003A15EB"/>
    <w:rsid w:val="003A7132"/>
    <w:rsid w:val="003B19A1"/>
    <w:rsid w:val="003B38C0"/>
    <w:rsid w:val="003B68FE"/>
    <w:rsid w:val="003C058D"/>
    <w:rsid w:val="003C2AB3"/>
    <w:rsid w:val="003C6625"/>
    <w:rsid w:val="003C7798"/>
    <w:rsid w:val="003D1383"/>
    <w:rsid w:val="003D3CC2"/>
    <w:rsid w:val="003D7585"/>
    <w:rsid w:val="003F0842"/>
    <w:rsid w:val="003F5B14"/>
    <w:rsid w:val="004002DD"/>
    <w:rsid w:val="00422062"/>
    <w:rsid w:val="0042586D"/>
    <w:rsid w:val="00427263"/>
    <w:rsid w:val="00432F9C"/>
    <w:rsid w:val="00434417"/>
    <w:rsid w:val="004401DC"/>
    <w:rsid w:val="00442BA4"/>
    <w:rsid w:val="00450F87"/>
    <w:rsid w:val="0045297E"/>
    <w:rsid w:val="00461B6F"/>
    <w:rsid w:val="00473AA6"/>
    <w:rsid w:val="0047754A"/>
    <w:rsid w:val="0048093E"/>
    <w:rsid w:val="00483750"/>
    <w:rsid w:val="00485919"/>
    <w:rsid w:val="00486A66"/>
    <w:rsid w:val="0049140B"/>
    <w:rsid w:val="0049582A"/>
    <w:rsid w:val="00495E82"/>
    <w:rsid w:val="004A0322"/>
    <w:rsid w:val="004A074B"/>
    <w:rsid w:val="004A1B72"/>
    <w:rsid w:val="004A2CFE"/>
    <w:rsid w:val="004A54C2"/>
    <w:rsid w:val="004B101A"/>
    <w:rsid w:val="004B1596"/>
    <w:rsid w:val="004B2067"/>
    <w:rsid w:val="004B4317"/>
    <w:rsid w:val="004B5B95"/>
    <w:rsid w:val="004B746A"/>
    <w:rsid w:val="004C57BD"/>
    <w:rsid w:val="004D36D8"/>
    <w:rsid w:val="004E0413"/>
    <w:rsid w:val="004E0833"/>
    <w:rsid w:val="004E676A"/>
    <w:rsid w:val="004F22D3"/>
    <w:rsid w:val="005071D4"/>
    <w:rsid w:val="00517FF1"/>
    <w:rsid w:val="0054444A"/>
    <w:rsid w:val="0055049E"/>
    <w:rsid w:val="00550E79"/>
    <w:rsid w:val="005619F8"/>
    <w:rsid w:val="00565B73"/>
    <w:rsid w:val="00566315"/>
    <w:rsid w:val="00567E46"/>
    <w:rsid w:val="00570FBE"/>
    <w:rsid w:val="00580042"/>
    <w:rsid w:val="00581F25"/>
    <w:rsid w:val="00591046"/>
    <w:rsid w:val="00591D2A"/>
    <w:rsid w:val="00596C5C"/>
    <w:rsid w:val="00597918"/>
    <w:rsid w:val="005A13C0"/>
    <w:rsid w:val="005A2017"/>
    <w:rsid w:val="005A3A41"/>
    <w:rsid w:val="005A5D46"/>
    <w:rsid w:val="005B0B8A"/>
    <w:rsid w:val="005B54A3"/>
    <w:rsid w:val="005C095A"/>
    <w:rsid w:val="005D6D35"/>
    <w:rsid w:val="005E3FFA"/>
    <w:rsid w:val="005E6103"/>
    <w:rsid w:val="005E72C3"/>
    <w:rsid w:val="00600C0F"/>
    <w:rsid w:val="00605E70"/>
    <w:rsid w:val="006067EE"/>
    <w:rsid w:val="00621E27"/>
    <w:rsid w:val="006232B4"/>
    <w:rsid w:val="006252AC"/>
    <w:rsid w:val="00641A80"/>
    <w:rsid w:val="006434F7"/>
    <w:rsid w:val="006441D2"/>
    <w:rsid w:val="006509E5"/>
    <w:rsid w:val="00651861"/>
    <w:rsid w:val="00663C0A"/>
    <w:rsid w:val="00663CE4"/>
    <w:rsid w:val="00664204"/>
    <w:rsid w:val="006658FB"/>
    <w:rsid w:val="00672373"/>
    <w:rsid w:val="00686C15"/>
    <w:rsid w:val="00692A69"/>
    <w:rsid w:val="00696E02"/>
    <w:rsid w:val="006A00F1"/>
    <w:rsid w:val="006A6537"/>
    <w:rsid w:val="006A6557"/>
    <w:rsid w:val="006A7D0C"/>
    <w:rsid w:val="006B197C"/>
    <w:rsid w:val="006B4AD6"/>
    <w:rsid w:val="006B58BE"/>
    <w:rsid w:val="006B7505"/>
    <w:rsid w:val="006C4BB4"/>
    <w:rsid w:val="006E1EAE"/>
    <w:rsid w:val="006F78D5"/>
    <w:rsid w:val="00702FB3"/>
    <w:rsid w:val="00704636"/>
    <w:rsid w:val="00704803"/>
    <w:rsid w:val="00705105"/>
    <w:rsid w:val="00715C34"/>
    <w:rsid w:val="0071675A"/>
    <w:rsid w:val="00725982"/>
    <w:rsid w:val="007370D1"/>
    <w:rsid w:val="0075277D"/>
    <w:rsid w:val="00752791"/>
    <w:rsid w:val="00757113"/>
    <w:rsid w:val="00771A9A"/>
    <w:rsid w:val="00774362"/>
    <w:rsid w:val="00783CBE"/>
    <w:rsid w:val="007861DC"/>
    <w:rsid w:val="0079325C"/>
    <w:rsid w:val="007A2E66"/>
    <w:rsid w:val="007B192F"/>
    <w:rsid w:val="007D64AB"/>
    <w:rsid w:val="007E149B"/>
    <w:rsid w:val="007E48BC"/>
    <w:rsid w:val="007E61BF"/>
    <w:rsid w:val="007E6B7B"/>
    <w:rsid w:val="007F4336"/>
    <w:rsid w:val="007F67FA"/>
    <w:rsid w:val="007F6D22"/>
    <w:rsid w:val="00803343"/>
    <w:rsid w:val="00807322"/>
    <w:rsid w:val="008147B3"/>
    <w:rsid w:val="00823003"/>
    <w:rsid w:val="00830873"/>
    <w:rsid w:val="00832D15"/>
    <w:rsid w:val="00841C94"/>
    <w:rsid w:val="00843100"/>
    <w:rsid w:val="00846844"/>
    <w:rsid w:val="00847C25"/>
    <w:rsid w:val="00851AB2"/>
    <w:rsid w:val="00854304"/>
    <w:rsid w:val="00854A0B"/>
    <w:rsid w:val="00871320"/>
    <w:rsid w:val="00872A9F"/>
    <w:rsid w:val="00872D06"/>
    <w:rsid w:val="00874CB4"/>
    <w:rsid w:val="008801F4"/>
    <w:rsid w:val="00881C51"/>
    <w:rsid w:val="00884202"/>
    <w:rsid w:val="008857E3"/>
    <w:rsid w:val="008A71C1"/>
    <w:rsid w:val="008B1576"/>
    <w:rsid w:val="008B1767"/>
    <w:rsid w:val="008B5B1C"/>
    <w:rsid w:val="008B6A75"/>
    <w:rsid w:val="008C32A2"/>
    <w:rsid w:val="008D07F8"/>
    <w:rsid w:val="008E6C89"/>
    <w:rsid w:val="008E7358"/>
    <w:rsid w:val="008F02E8"/>
    <w:rsid w:val="00906436"/>
    <w:rsid w:val="009153D7"/>
    <w:rsid w:val="00920CDC"/>
    <w:rsid w:val="00930D51"/>
    <w:rsid w:val="00934141"/>
    <w:rsid w:val="009378B8"/>
    <w:rsid w:val="00942A07"/>
    <w:rsid w:val="00943813"/>
    <w:rsid w:val="00951F23"/>
    <w:rsid w:val="00952007"/>
    <w:rsid w:val="0096146E"/>
    <w:rsid w:val="00963D22"/>
    <w:rsid w:val="009659E5"/>
    <w:rsid w:val="00966FBB"/>
    <w:rsid w:val="00972DCF"/>
    <w:rsid w:val="009735FD"/>
    <w:rsid w:val="00974C7E"/>
    <w:rsid w:val="0097610B"/>
    <w:rsid w:val="0097742F"/>
    <w:rsid w:val="00981B83"/>
    <w:rsid w:val="00986A25"/>
    <w:rsid w:val="00987E9C"/>
    <w:rsid w:val="0099030D"/>
    <w:rsid w:val="009916B1"/>
    <w:rsid w:val="00991B56"/>
    <w:rsid w:val="00995978"/>
    <w:rsid w:val="009979C0"/>
    <w:rsid w:val="009A2F5C"/>
    <w:rsid w:val="009A603E"/>
    <w:rsid w:val="009B0B3D"/>
    <w:rsid w:val="009B21B2"/>
    <w:rsid w:val="009B43D4"/>
    <w:rsid w:val="009C1079"/>
    <w:rsid w:val="009C37EE"/>
    <w:rsid w:val="009C52B3"/>
    <w:rsid w:val="009D2221"/>
    <w:rsid w:val="009D3269"/>
    <w:rsid w:val="009D63A2"/>
    <w:rsid w:val="009D66DA"/>
    <w:rsid w:val="009D6BCA"/>
    <w:rsid w:val="009D6C83"/>
    <w:rsid w:val="009E3667"/>
    <w:rsid w:val="009E4255"/>
    <w:rsid w:val="009E4757"/>
    <w:rsid w:val="009E6F51"/>
    <w:rsid w:val="009E6F8D"/>
    <w:rsid w:val="009F0BFB"/>
    <w:rsid w:val="009F1969"/>
    <w:rsid w:val="009F4A8D"/>
    <w:rsid w:val="009F5110"/>
    <w:rsid w:val="00A01C1B"/>
    <w:rsid w:val="00A1173B"/>
    <w:rsid w:val="00A12D9E"/>
    <w:rsid w:val="00A13F02"/>
    <w:rsid w:val="00A14EA0"/>
    <w:rsid w:val="00A15109"/>
    <w:rsid w:val="00A27869"/>
    <w:rsid w:val="00A30DCD"/>
    <w:rsid w:val="00A33D08"/>
    <w:rsid w:val="00A34F6B"/>
    <w:rsid w:val="00A46E02"/>
    <w:rsid w:val="00A50F49"/>
    <w:rsid w:val="00A52DC4"/>
    <w:rsid w:val="00A561F9"/>
    <w:rsid w:val="00A602F3"/>
    <w:rsid w:val="00A61B88"/>
    <w:rsid w:val="00A6453E"/>
    <w:rsid w:val="00A65098"/>
    <w:rsid w:val="00A66546"/>
    <w:rsid w:val="00A72105"/>
    <w:rsid w:val="00A76413"/>
    <w:rsid w:val="00A80F25"/>
    <w:rsid w:val="00A85A26"/>
    <w:rsid w:val="00A92318"/>
    <w:rsid w:val="00A94429"/>
    <w:rsid w:val="00A97190"/>
    <w:rsid w:val="00A97F95"/>
    <w:rsid w:val="00AA5F88"/>
    <w:rsid w:val="00AC24E6"/>
    <w:rsid w:val="00AC42EA"/>
    <w:rsid w:val="00AC769F"/>
    <w:rsid w:val="00AD1153"/>
    <w:rsid w:val="00AD2785"/>
    <w:rsid w:val="00AE5EAD"/>
    <w:rsid w:val="00AF4127"/>
    <w:rsid w:val="00B01353"/>
    <w:rsid w:val="00B016C5"/>
    <w:rsid w:val="00B13305"/>
    <w:rsid w:val="00B14528"/>
    <w:rsid w:val="00B16ADE"/>
    <w:rsid w:val="00B17F68"/>
    <w:rsid w:val="00B304D8"/>
    <w:rsid w:val="00B43885"/>
    <w:rsid w:val="00B47998"/>
    <w:rsid w:val="00B7127F"/>
    <w:rsid w:val="00B74548"/>
    <w:rsid w:val="00B75237"/>
    <w:rsid w:val="00B822B5"/>
    <w:rsid w:val="00B84E7C"/>
    <w:rsid w:val="00B85249"/>
    <w:rsid w:val="00B92394"/>
    <w:rsid w:val="00B9691D"/>
    <w:rsid w:val="00BA4EF7"/>
    <w:rsid w:val="00BB0FBE"/>
    <w:rsid w:val="00BB41AF"/>
    <w:rsid w:val="00BC1A25"/>
    <w:rsid w:val="00BC7270"/>
    <w:rsid w:val="00BD14FA"/>
    <w:rsid w:val="00BD760B"/>
    <w:rsid w:val="00BE7C46"/>
    <w:rsid w:val="00C0347E"/>
    <w:rsid w:val="00C03A41"/>
    <w:rsid w:val="00C04DBC"/>
    <w:rsid w:val="00C06F78"/>
    <w:rsid w:val="00C1737C"/>
    <w:rsid w:val="00C26AF0"/>
    <w:rsid w:val="00C36FE0"/>
    <w:rsid w:val="00C377BA"/>
    <w:rsid w:val="00C41003"/>
    <w:rsid w:val="00C41DF3"/>
    <w:rsid w:val="00C42755"/>
    <w:rsid w:val="00C429D9"/>
    <w:rsid w:val="00C453F5"/>
    <w:rsid w:val="00C45F2E"/>
    <w:rsid w:val="00C552AA"/>
    <w:rsid w:val="00C6148E"/>
    <w:rsid w:val="00C63EEA"/>
    <w:rsid w:val="00C67DCD"/>
    <w:rsid w:val="00C761D4"/>
    <w:rsid w:val="00C82C0F"/>
    <w:rsid w:val="00C84791"/>
    <w:rsid w:val="00C85210"/>
    <w:rsid w:val="00C901CF"/>
    <w:rsid w:val="00C922A4"/>
    <w:rsid w:val="00CB632B"/>
    <w:rsid w:val="00CC2C25"/>
    <w:rsid w:val="00CC6CCF"/>
    <w:rsid w:val="00CC72C4"/>
    <w:rsid w:val="00CD0705"/>
    <w:rsid w:val="00CD11EE"/>
    <w:rsid w:val="00CD4C8F"/>
    <w:rsid w:val="00CD60B8"/>
    <w:rsid w:val="00CE2353"/>
    <w:rsid w:val="00CF34EB"/>
    <w:rsid w:val="00CF6D25"/>
    <w:rsid w:val="00CF70BF"/>
    <w:rsid w:val="00CF763C"/>
    <w:rsid w:val="00D009D8"/>
    <w:rsid w:val="00D106AE"/>
    <w:rsid w:val="00D17DFD"/>
    <w:rsid w:val="00D27EF5"/>
    <w:rsid w:val="00D32D0A"/>
    <w:rsid w:val="00D3305B"/>
    <w:rsid w:val="00D45AEB"/>
    <w:rsid w:val="00D45DA6"/>
    <w:rsid w:val="00D46B93"/>
    <w:rsid w:val="00D5293A"/>
    <w:rsid w:val="00D56601"/>
    <w:rsid w:val="00D60216"/>
    <w:rsid w:val="00D60EE0"/>
    <w:rsid w:val="00D62FC0"/>
    <w:rsid w:val="00D75B99"/>
    <w:rsid w:val="00D76AAE"/>
    <w:rsid w:val="00D77E80"/>
    <w:rsid w:val="00D8489F"/>
    <w:rsid w:val="00D852AE"/>
    <w:rsid w:val="00D8632B"/>
    <w:rsid w:val="00D8766D"/>
    <w:rsid w:val="00D909FA"/>
    <w:rsid w:val="00D93810"/>
    <w:rsid w:val="00D95D36"/>
    <w:rsid w:val="00DB5DD4"/>
    <w:rsid w:val="00DC4EB2"/>
    <w:rsid w:val="00DD05BE"/>
    <w:rsid w:val="00DD545E"/>
    <w:rsid w:val="00DE0892"/>
    <w:rsid w:val="00DE189F"/>
    <w:rsid w:val="00DE18E3"/>
    <w:rsid w:val="00DE19EA"/>
    <w:rsid w:val="00DE2555"/>
    <w:rsid w:val="00DE4EDB"/>
    <w:rsid w:val="00DF091E"/>
    <w:rsid w:val="00DF55B8"/>
    <w:rsid w:val="00E01EED"/>
    <w:rsid w:val="00E0668A"/>
    <w:rsid w:val="00E10B3B"/>
    <w:rsid w:val="00E14CC5"/>
    <w:rsid w:val="00E21E0D"/>
    <w:rsid w:val="00E22772"/>
    <w:rsid w:val="00E232A8"/>
    <w:rsid w:val="00E278CB"/>
    <w:rsid w:val="00E31967"/>
    <w:rsid w:val="00E31F3B"/>
    <w:rsid w:val="00E33928"/>
    <w:rsid w:val="00E33F8C"/>
    <w:rsid w:val="00E3633F"/>
    <w:rsid w:val="00E4070E"/>
    <w:rsid w:val="00E41F5D"/>
    <w:rsid w:val="00E43371"/>
    <w:rsid w:val="00E44933"/>
    <w:rsid w:val="00E56F85"/>
    <w:rsid w:val="00E71F88"/>
    <w:rsid w:val="00E737AF"/>
    <w:rsid w:val="00E73ED0"/>
    <w:rsid w:val="00E768E8"/>
    <w:rsid w:val="00E77561"/>
    <w:rsid w:val="00E83016"/>
    <w:rsid w:val="00E8665C"/>
    <w:rsid w:val="00E94118"/>
    <w:rsid w:val="00E96626"/>
    <w:rsid w:val="00EA6CE1"/>
    <w:rsid w:val="00EB6BFC"/>
    <w:rsid w:val="00EC1592"/>
    <w:rsid w:val="00EC4008"/>
    <w:rsid w:val="00ED2793"/>
    <w:rsid w:val="00ED28D8"/>
    <w:rsid w:val="00ED3AF6"/>
    <w:rsid w:val="00EE1A7D"/>
    <w:rsid w:val="00EE1C31"/>
    <w:rsid w:val="00EE217C"/>
    <w:rsid w:val="00EE4233"/>
    <w:rsid w:val="00EE5306"/>
    <w:rsid w:val="00EE657C"/>
    <w:rsid w:val="00EE68B5"/>
    <w:rsid w:val="00EE70EF"/>
    <w:rsid w:val="00EF37D5"/>
    <w:rsid w:val="00EF3AF5"/>
    <w:rsid w:val="00EF3CC5"/>
    <w:rsid w:val="00F00F00"/>
    <w:rsid w:val="00F045CC"/>
    <w:rsid w:val="00F10E3B"/>
    <w:rsid w:val="00F33E8D"/>
    <w:rsid w:val="00F34F29"/>
    <w:rsid w:val="00F358C7"/>
    <w:rsid w:val="00F401BA"/>
    <w:rsid w:val="00F4166D"/>
    <w:rsid w:val="00F428C1"/>
    <w:rsid w:val="00F42E1A"/>
    <w:rsid w:val="00F47FDE"/>
    <w:rsid w:val="00F54D41"/>
    <w:rsid w:val="00F745A7"/>
    <w:rsid w:val="00F74F57"/>
    <w:rsid w:val="00F77932"/>
    <w:rsid w:val="00F82327"/>
    <w:rsid w:val="00F83DA1"/>
    <w:rsid w:val="00F856AB"/>
    <w:rsid w:val="00F85F26"/>
    <w:rsid w:val="00FA77EB"/>
    <w:rsid w:val="00FB1864"/>
    <w:rsid w:val="00FB313A"/>
    <w:rsid w:val="00FB330B"/>
    <w:rsid w:val="00FB6C6C"/>
    <w:rsid w:val="00FC36D0"/>
    <w:rsid w:val="00FC44BC"/>
    <w:rsid w:val="00FC63DD"/>
    <w:rsid w:val="00FD1E70"/>
    <w:rsid w:val="00FD2D88"/>
    <w:rsid w:val="00FD58C6"/>
    <w:rsid w:val="00FE119B"/>
    <w:rsid w:val="00FE4288"/>
    <w:rsid w:val="00FE7776"/>
    <w:rsid w:val="00FF0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AC88"/>
  <w15:chartTrackingRefBased/>
  <w15:docId w15:val="{488BA174-D5DF-4D4F-A12C-84C92A1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78D5"/>
    <w:pPr>
      <w:keepNext/>
      <w:keepLines/>
      <w:numPr>
        <w:numId w:val="13"/>
      </w:numPr>
      <w:spacing w:after="0"/>
      <w:outlineLvl w:val="0"/>
    </w:pPr>
    <w:rPr>
      <w:rFonts w:ascii="Calibri" w:eastAsiaTheme="majorEastAsia" w:hAnsi="Calibri" w:cstheme="majorBidi"/>
      <w:b/>
      <w:sz w:val="26"/>
      <w:szCs w:val="32"/>
    </w:rPr>
  </w:style>
  <w:style w:type="paragraph" w:styleId="Heading2">
    <w:name w:val="heading 2"/>
    <w:basedOn w:val="Normal"/>
    <w:next w:val="Normal"/>
    <w:link w:val="Heading2Char"/>
    <w:uiPriority w:val="9"/>
    <w:unhideWhenUsed/>
    <w:qFormat/>
    <w:rsid w:val="006F78D5"/>
    <w:pPr>
      <w:keepNext/>
      <w:keepLines/>
      <w:numPr>
        <w:numId w:val="14"/>
      </w:numPr>
      <w:spacing w:after="0"/>
      <w:ind w:left="1008" w:hanging="504"/>
      <w:outlineLvl w:val="1"/>
    </w:pPr>
    <w:rPr>
      <w:rFonts w:ascii="Calibri" w:eastAsiaTheme="majorEastAsia" w:hAnsi="Calibri"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WB Para"/>
    <w:basedOn w:val="Normal"/>
    <w:link w:val="ListParagraphChar"/>
    <w:uiPriority w:val="34"/>
    <w:qFormat/>
    <w:rsid w:val="002F3A8E"/>
    <w:pPr>
      <w:ind w:left="720"/>
      <w:contextualSpacing/>
    </w:pPr>
  </w:style>
  <w:style w:type="paragraph" w:styleId="FootnoteText">
    <w:name w:val="footnote text"/>
    <w:basedOn w:val="Normal"/>
    <w:link w:val="FootnoteTextChar"/>
    <w:uiPriority w:val="99"/>
    <w:unhideWhenUsed/>
    <w:rsid w:val="00FE4288"/>
    <w:pPr>
      <w:spacing w:after="0" w:line="240" w:lineRule="auto"/>
    </w:pPr>
    <w:rPr>
      <w:sz w:val="20"/>
      <w:szCs w:val="20"/>
    </w:rPr>
  </w:style>
  <w:style w:type="character" w:customStyle="1" w:styleId="FootnoteTextChar">
    <w:name w:val="Footnote Text Char"/>
    <w:basedOn w:val="DefaultParagraphFont"/>
    <w:link w:val="FootnoteText"/>
    <w:uiPriority w:val="99"/>
    <w:rsid w:val="00FE4288"/>
    <w:rPr>
      <w:sz w:val="20"/>
      <w:szCs w:val="20"/>
    </w:rPr>
  </w:style>
  <w:style w:type="character" w:styleId="FootnoteReference">
    <w:name w:val="footnote reference"/>
    <w:basedOn w:val="DefaultParagraphFont"/>
    <w:uiPriority w:val="99"/>
    <w:semiHidden/>
    <w:unhideWhenUsed/>
    <w:rsid w:val="00FE4288"/>
    <w:rPr>
      <w:vertAlign w:val="superscript"/>
    </w:rPr>
  </w:style>
  <w:style w:type="character" w:styleId="Hyperlink">
    <w:name w:val="Hyperlink"/>
    <w:basedOn w:val="DefaultParagraphFont"/>
    <w:uiPriority w:val="99"/>
    <w:unhideWhenUsed/>
    <w:rsid w:val="000D6611"/>
    <w:rPr>
      <w:color w:val="0563C1" w:themeColor="hyperlink"/>
      <w:u w:val="single"/>
    </w:rPr>
  </w:style>
  <w:style w:type="character" w:customStyle="1" w:styleId="UnresolvedMention1">
    <w:name w:val="Unresolved Mention1"/>
    <w:basedOn w:val="DefaultParagraphFont"/>
    <w:uiPriority w:val="99"/>
    <w:semiHidden/>
    <w:unhideWhenUsed/>
    <w:rsid w:val="000D6611"/>
    <w:rPr>
      <w:color w:val="605E5C"/>
      <w:shd w:val="clear" w:color="auto" w:fill="E1DFDD"/>
    </w:rPr>
  </w:style>
  <w:style w:type="character" w:styleId="CommentReference">
    <w:name w:val="annotation reference"/>
    <w:basedOn w:val="DefaultParagraphFont"/>
    <w:unhideWhenUsed/>
    <w:rsid w:val="002335C3"/>
    <w:rPr>
      <w:sz w:val="16"/>
      <w:szCs w:val="16"/>
    </w:rPr>
  </w:style>
  <w:style w:type="paragraph" w:styleId="CommentText">
    <w:name w:val="annotation text"/>
    <w:basedOn w:val="Normal"/>
    <w:link w:val="CommentTextChar"/>
    <w:unhideWhenUsed/>
    <w:rsid w:val="002335C3"/>
    <w:pPr>
      <w:spacing w:line="240" w:lineRule="auto"/>
    </w:pPr>
    <w:rPr>
      <w:sz w:val="20"/>
      <w:szCs w:val="20"/>
    </w:rPr>
  </w:style>
  <w:style w:type="character" w:customStyle="1" w:styleId="CommentTextChar">
    <w:name w:val="Comment Text Char"/>
    <w:basedOn w:val="DefaultParagraphFont"/>
    <w:link w:val="CommentText"/>
    <w:rsid w:val="002335C3"/>
    <w:rPr>
      <w:sz w:val="20"/>
      <w:szCs w:val="20"/>
    </w:rPr>
  </w:style>
  <w:style w:type="paragraph" w:styleId="CommentSubject">
    <w:name w:val="annotation subject"/>
    <w:basedOn w:val="CommentText"/>
    <w:next w:val="CommentText"/>
    <w:link w:val="CommentSubjectChar"/>
    <w:uiPriority w:val="99"/>
    <w:semiHidden/>
    <w:unhideWhenUsed/>
    <w:rsid w:val="002335C3"/>
    <w:rPr>
      <w:b/>
      <w:bCs/>
    </w:rPr>
  </w:style>
  <w:style w:type="character" w:customStyle="1" w:styleId="CommentSubjectChar">
    <w:name w:val="Comment Subject Char"/>
    <w:basedOn w:val="CommentTextChar"/>
    <w:link w:val="CommentSubject"/>
    <w:uiPriority w:val="99"/>
    <w:semiHidden/>
    <w:rsid w:val="002335C3"/>
    <w:rPr>
      <w:b/>
      <w:bCs/>
      <w:sz w:val="20"/>
      <w:szCs w:val="20"/>
    </w:rPr>
  </w:style>
  <w:style w:type="paragraph" w:styleId="Revision">
    <w:name w:val="Revision"/>
    <w:hidden/>
    <w:uiPriority w:val="99"/>
    <w:semiHidden/>
    <w:rsid w:val="002335C3"/>
    <w:pPr>
      <w:spacing w:after="0" w:line="240" w:lineRule="auto"/>
    </w:pPr>
  </w:style>
  <w:style w:type="paragraph" w:styleId="Header">
    <w:name w:val="header"/>
    <w:basedOn w:val="Normal"/>
    <w:link w:val="HeaderChar"/>
    <w:uiPriority w:val="99"/>
    <w:unhideWhenUsed/>
    <w:rsid w:val="001C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D60"/>
  </w:style>
  <w:style w:type="paragraph" w:styleId="Footer">
    <w:name w:val="footer"/>
    <w:basedOn w:val="Normal"/>
    <w:link w:val="FooterChar"/>
    <w:uiPriority w:val="99"/>
    <w:unhideWhenUsed/>
    <w:rsid w:val="001C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D60"/>
  </w:style>
  <w:style w:type="paragraph" w:customStyle="1" w:styleId="ATHeading3">
    <w:name w:val="AT Heading 3"/>
    <w:basedOn w:val="Normal"/>
    <w:next w:val="Normal"/>
    <w:rsid w:val="00442BA4"/>
    <w:pPr>
      <w:keepNext/>
      <w:keepLines/>
      <w:spacing w:before="120" w:after="120" w:line="240" w:lineRule="auto"/>
      <w:outlineLvl w:val="2"/>
    </w:pPr>
    <w:rPr>
      <w:rFonts w:ascii="Times New Roman" w:eastAsia="Times New Roman" w:hAnsi="Times New Roman" w:cs="Times New Roman"/>
      <w:b/>
      <w:sz w:val="24"/>
      <w:szCs w:val="20"/>
      <w:lang w:eastAsia="fr-FR"/>
    </w:rPr>
  </w:style>
  <w:style w:type="table" w:styleId="TableGrid">
    <w:name w:val="Table Grid"/>
    <w:basedOn w:val="TableNormal"/>
    <w:uiPriority w:val="39"/>
    <w:rsid w:val="0083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5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A6"/>
    <w:rPr>
      <w:rFonts w:ascii="Segoe UI" w:hAnsi="Segoe UI" w:cs="Segoe UI"/>
      <w:sz w:val="18"/>
      <w:szCs w:val="18"/>
    </w:rPr>
  </w:style>
  <w:style w:type="character" w:customStyle="1" w:styleId="UnresolvedMention2">
    <w:name w:val="Unresolved Mention2"/>
    <w:basedOn w:val="DefaultParagraphFont"/>
    <w:uiPriority w:val="99"/>
    <w:semiHidden/>
    <w:unhideWhenUsed/>
    <w:rsid w:val="00D27EF5"/>
    <w:rPr>
      <w:color w:val="605E5C"/>
      <w:shd w:val="clear" w:color="auto" w:fill="E1DFDD"/>
    </w:rPr>
  </w:style>
  <w:style w:type="character" w:customStyle="1" w:styleId="highlight">
    <w:name w:val="highlight"/>
    <w:basedOn w:val="DefaultParagraphFont"/>
    <w:rsid w:val="0007667D"/>
  </w:style>
  <w:style w:type="character" w:styleId="FollowedHyperlink">
    <w:name w:val="FollowedHyperlink"/>
    <w:basedOn w:val="DefaultParagraphFont"/>
    <w:uiPriority w:val="99"/>
    <w:semiHidden/>
    <w:unhideWhenUsed/>
    <w:rsid w:val="007F67FA"/>
    <w:rPr>
      <w:color w:val="954F72" w:themeColor="followedHyperlink"/>
      <w:u w:val="single"/>
    </w:rPr>
  </w:style>
  <w:style w:type="character" w:customStyle="1" w:styleId="Heading1Char">
    <w:name w:val="Heading 1 Char"/>
    <w:basedOn w:val="DefaultParagraphFont"/>
    <w:link w:val="Heading1"/>
    <w:uiPriority w:val="9"/>
    <w:rsid w:val="006F78D5"/>
    <w:rPr>
      <w:rFonts w:ascii="Calibri" w:eastAsiaTheme="majorEastAsia" w:hAnsi="Calibri" w:cstheme="majorBidi"/>
      <w:b/>
      <w:sz w:val="26"/>
      <w:szCs w:val="32"/>
    </w:rPr>
  </w:style>
  <w:style w:type="character" w:customStyle="1" w:styleId="Heading2Char">
    <w:name w:val="Heading 2 Char"/>
    <w:basedOn w:val="DefaultParagraphFont"/>
    <w:link w:val="Heading2"/>
    <w:uiPriority w:val="9"/>
    <w:rsid w:val="006F78D5"/>
    <w:rPr>
      <w:rFonts w:ascii="Calibri" w:eastAsiaTheme="majorEastAsia" w:hAnsi="Calibri" w:cstheme="majorBidi"/>
      <w:b/>
      <w:i/>
      <w:sz w:val="24"/>
      <w:szCs w:val="26"/>
    </w:rPr>
  </w:style>
  <w:style w:type="character" w:customStyle="1" w:styleId="UnresolvedMention3">
    <w:name w:val="Unresolved Mention3"/>
    <w:basedOn w:val="DefaultParagraphFont"/>
    <w:uiPriority w:val="99"/>
    <w:semiHidden/>
    <w:unhideWhenUsed/>
    <w:rsid w:val="00EE5306"/>
    <w:rPr>
      <w:color w:val="605E5C"/>
      <w:shd w:val="clear" w:color="auto" w:fill="E1DFDD"/>
    </w:rPr>
  </w:style>
  <w:style w:type="character" w:customStyle="1" w:styleId="Mencinsinresolver1">
    <w:name w:val="Mención sin resolver1"/>
    <w:basedOn w:val="DefaultParagraphFont"/>
    <w:uiPriority w:val="99"/>
    <w:semiHidden/>
    <w:unhideWhenUsed/>
    <w:rsid w:val="008E7358"/>
    <w:rPr>
      <w:color w:val="605E5C"/>
      <w:shd w:val="clear" w:color="auto" w:fill="E1DFDD"/>
    </w:rPr>
  </w:style>
  <w:style w:type="paragraph" w:styleId="NormalWeb">
    <w:name w:val="Normal (Web)"/>
    <w:basedOn w:val="Normal"/>
    <w:uiPriority w:val="99"/>
    <w:unhideWhenUsed/>
    <w:rsid w:val="00194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DAE"/>
    <w:rPr>
      <w:b/>
      <w:bCs/>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locked/>
    <w:rsid w:val="008D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44511">
      <w:bodyDiv w:val="1"/>
      <w:marLeft w:val="0"/>
      <w:marRight w:val="0"/>
      <w:marTop w:val="0"/>
      <w:marBottom w:val="0"/>
      <w:divBdr>
        <w:top w:val="none" w:sz="0" w:space="0" w:color="auto"/>
        <w:left w:val="none" w:sz="0" w:space="0" w:color="auto"/>
        <w:bottom w:val="none" w:sz="0" w:space="0" w:color="auto"/>
        <w:right w:val="none" w:sz="0" w:space="0" w:color="auto"/>
      </w:divBdr>
    </w:div>
    <w:div w:id="18255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ssues/Business/Pages/ARP_II.aspx" TargetMode="External"/><Relationship Id="rId18" Type="http://schemas.openxmlformats.org/officeDocument/2006/relationships/hyperlink" Target="https://forms.gle/33DESfEdUUevbPCm6"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ohchr.org/EN/Issues/Business/Pages/ARP_III.aspx" TargetMode="External"/><Relationship Id="rId7" Type="http://schemas.openxmlformats.org/officeDocument/2006/relationships/settings" Target="settings.xml"/><Relationship Id="rId12" Type="http://schemas.openxmlformats.org/officeDocument/2006/relationships/hyperlink" Target="https://www.ohchr.org/EN/Issues/Business/Pages/ARP_I.aspx" TargetMode="External"/><Relationship Id="rId17" Type="http://schemas.openxmlformats.org/officeDocument/2006/relationships/hyperlink" Target="mailto:ohchr-business-access2remedy@u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Documents/Issues/Business/consultation-arp-hrdd-cn-agenda.pdf" TargetMode="External"/><Relationship Id="rId20" Type="http://schemas.openxmlformats.org/officeDocument/2006/relationships/hyperlink" Target="https://www.ohchr.org/EN/Issues/Business/Pages/ARP_II.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Business/Pages/OHCHRaccountabilityandremedyprojec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docs.org/fr/A/HRC/RES/44/1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hchr.org/EN/Issues/Business/Pages/ARP_I.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Business/Pages/ARP_III.aspx"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483F-623B-4D0C-AF04-01630DED98AA}">
  <ds:schemaRefs>
    <ds:schemaRef ds:uri="http://schemas.microsoft.com/office/2006/metadata/properties"/>
    <ds:schemaRef ds:uri="http://schemas.microsoft.com/office/infopath/2007/PartnerControls"/>
    <ds:schemaRef ds:uri="89040124-3724-453e-9e0f-d53a96d17322"/>
  </ds:schemaRefs>
</ds:datastoreItem>
</file>

<file path=customXml/itemProps2.xml><?xml version="1.0" encoding="utf-8"?>
<ds:datastoreItem xmlns:ds="http://schemas.openxmlformats.org/officeDocument/2006/customXml" ds:itemID="{BD45B236-AEA5-4EA9-98BB-53FBDAF1451B}">
  <ds:schemaRefs>
    <ds:schemaRef ds:uri="http://schemas.microsoft.com/sharepoint/v3/contenttype/forms"/>
  </ds:schemaRefs>
</ds:datastoreItem>
</file>

<file path=customXml/itemProps3.xml><?xml version="1.0" encoding="utf-8"?>
<ds:datastoreItem xmlns:ds="http://schemas.openxmlformats.org/officeDocument/2006/customXml" ds:itemID="{D6BA9E63-3683-4BB3-A249-3DD9A5FD7D2B}"/>
</file>

<file path=customXml/itemProps4.xml><?xml version="1.0" encoding="utf-8"?>
<ds:datastoreItem xmlns:ds="http://schemas.openxmlformats.org/officeDocument/2006/customXml" ds:itemID="{DCE1979D-5EDC-4D67-A3C9-903A9100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Zerk</dc:creator>
  <cp:keywords/>
  <dc:description/>
  <cp:lastModifiedBy>MYTNIK Valerie</cp:lastModifiedBy>
  <cp:revision>2</cp:revision>
  <cp:lastPrinted>2021-07-02T11:02:00Z</cp:lastPrinted>
  <dcterms:created xsi:type="dcterms:W3CDTF">2022-01-21T13:00:00Z</dcterms:created>
  <dcterms:modified xsi:type="dcterms:W3CDTF">2022-01-21T13:00:00Z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