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C172A" w14:textId="1DA1939F" w:rsidR="00CE575B" w:rsidRDefault="009115AA" w:rsidP="0057603F">
      <w:pPr>
        <w:spacing w:after="120" w:line="240" w:lineRule="auto"/>
        <w:ind w:left="-709" w:right="-896"/>
        <w:jc w:val="center"/>
        <w:rPr>
          <w:rFonts w:cs="Arial"/>
          <w:b/>
          <w:sz w:val="24"/>
          <w:szCs w:val="24"/>
        </w:rPr>
      </w:pPr>
      <w:r>
        <w:rPr>
          <w:rFonts w:cs="Arial"/>
          <w:b/>
          <w:sz w:val="24"/>
          <w:szCs w:val="24"/>
        </w:rPr>
        <w:t>4</w:t>
      </w:r>
      <w:r w:rsidR="00473282">
        <w:rPr>
          <w:rFonts w:cs="Arial"/>
          <w:b/>
          <w:sz w:val="24"/>
          <w:szCs w:val="24"/>
        </w:rPr>
        <w:t>9</w:t>
      </w:r>
      <w:r w:rsidR="009B523B">
        <w:rPr>
          <w:rFonts w:cs="Arial"/>
          <w:b/>
          <w:sz w:val="24"/>
          <w:szCs w:val="24"/>
        </w:rPr>
        <w:t>th</w:t>
      </w:r>
      <w:r>
        <w:rPr>
          <w:rFonts w:cs="Arial"/>
          <w:b/>
          <w:sz w:val="24"/>
          <w:szCs w:val="24"/>
        </w:rPr>
        <w:t xml:space="preserve"> </w:t>
      </w:r>
      <w:r w:rsidR="004450A8" w:rsidRPr="00283924">
        <w:rPr>
          <w:rFonts w:cs="Arial"/>
          <w:b/>
          <w:sz w:val="24"/>
          <w:szCs w:val="24"/>
        </w:rPr>
        <w:t>s</w:t>
      </w:r>
      <w:r w:rsidR="007A2709" w:rsidRPr="00283924">
        <w:rPr>
          <w:rFonts w:cs="Arial"/>
          <w:b/>
          <w:sz w:val="24"/>
          <w:szCs w:val="24"/>
        </w:rPr>
        <w:t>ession of the Human Rights Council</w:t>
      </w:r>
    </w:p>
    <w:p w14:paraId="29015F0E" w14:textId="23E0685F" w:rsidR="00FE39E3" w:rsidRPr="00FE39E3" w:rsidRDefault="009C5A79" w:rsidP="00FE39E3">
      <w:pPr>
        <w:spacing w:before="240" w:after="120" w:line="240" w:lineRule="auto"/>
        <w:ind w:left="-709" w:right="-896"/>
        <w:jc w:val="center"/>
        <w:rPr>
          <w:rFonts w:cs="Arial"/>
          <w:b/>
          <w:bCs/>
          <w:sz w:val="28"/>
          <w:szCs w:val="28"/>
        </w:rPr>
      </w:pPr>
      <w:r>
        <w:rPr>
          <w:rFonts w:cs="Arial"/>
          <w:b/>
          <w:bCs/>
          <w:sz w:val="32"/>
          <w:szCs w:val="32"/>
        </w:rPr>
        <w:t>A</w:t>
      </w:r>
      <w:r w:rsidRPr="00D51B4D">
        <w:rPr>
          <w:rFonts w:cs="Arial"/>
          <w:b/>
          <w:bCs/>
          <w:sz w:val="32"/>
          <w:szCs w:val="32"/>
        </w:rPr>
        <w:t>nnual interactive debate on the rights of persons with disabilities</w:t>
      </w:r>
      <w:r w:rsidR="00FE39E3" w:rsidRPr="00D51B4D">
        <w:rPr>
          <w:rFonts w:cs="Arial"/>
          <w:b/>
          <w:bCs/>
          <w:sz w:val="32"/>
          <w:szCs w:val="32"/>
        </w:rPr>
        <w:br/>
      </w:r>
      <w:r w:rsidR="00FE39E3" w:rsidRPr="00862E42">
        <w:rPr>
          <w:rFonts w:cs="Arial"/>
          <w:b/>
          <w:bCs/>
          <w:sz w:val="16"/>
          <w:szCs w:val="16"/>
        </w:rPr>
        <w:br/>
      </w:r>
      <w:r w:rsidR="00EF27C0">
        <w:rPr>
          <w:rFonts w:cs="Arial"/>
          <w:b/>
          <w:bCs/>
          <w:sz w:val="28"/>
          <w:szCs w:val="28"/>
        </w:rPr>
        <w:t xml:space="preserve">Theme: </w:t>
      </w:r>
      <w:r w:rsidR="00473282" w:rsidRPr="00473282">
        <w:rPr>
          <w:rFonts w:cs="Arial"/>
          <w:b/>
          <w:bCs/>
          <w:sz w:val="28"/>
          <w:szCs w:val="28"/>
        </w:rPr>
        <w:t xml:space="preserve">Statistics and data collection under article 31 of </w:t>
      </w:r>
      <w:r w:rsidR="00473282">
        <w:rPr>
          <w:rFonts w:cs="Arial"/>
          <w:b/>
          <w:bCs/>
          <w:sz w:val="28"/>
          <w:szCs w:val="28"/>
        </w:rPr>
        <w:t>the</w:t>
      </w:r>
      <w:r w:rsidR="00FE39E3" w:rsidRPr="00FE39E3">
        <w:rPr>
          <w:rFonts w:cs="Arial"/>
          <w:b/>
          <w:bCs/>
          <w:sz w:val="28"/>
          <w:szCs w:val="28"/>
        </w:rPr>
        <w:t xml:space="preserve"> </w:t>
      </w:r>
      <w:r w:rsidR="009B523B">
        <w:rPr>
          <w:rFonts w:cs="Arial"/>
          <w:b/>
          <w:bCs/>
          <w:sz w:val="28"/>
          <w:szCs w:val="28"/>
        </w:rPr>
        <w:br/>
      </w:r>
      <w:r w:rsidR="00FE39E3" w:rsidRPr="00FE39E3">
        <w:rPr>
          <w:rFonts w:cs="Arial"/>
          <w:b/>
          <w:bCs/>
          <w:sz w:val="28"/>
          <w:szCs w:val="28"/>
        </w:rPr>
        <w:t xml:space="preserve">Convention on the Rights of Persons with Disabilities </w:t>
      </w:r>
    </w:p>
    <w:p w14:paraId="34A869CA" w14:textId="00C6BFCB" w:rsidR="0057603F" w:rsidRPr="00700183" w:rsidRDefault="00B4016A" w:rsidP="0057603F">
      <w:pPr>
        <w:spacing w:before="240" w:after="120" w:line="240" w:lineRule="auto"/>
        <w:ind w:left="-709" w:right="-896"/>
        <w:jc w:val="center"/>
        <w:rPr>
          <w:rFonts w:cs="Arial"/>
          <w:i/>
          <w:sz w:val="16"/>
          <w:szCs w:val="16"/>
        </w:rPr>
      </w:pPr>
      <w:r>
        <w:rPr>
          <w:rFonts w:cs="Arial"/>
          <w:i/>
          <w:sz w:val="24"/>
          <w:szCs w:val="24"/>
        </w:rPr>
        <w:t>C</w:t>
      </w:r>
      <w:r w:rsidR="00C85246" w:rsidRPr="00283924">
        <w:rPr>
          <w:rFonts w:cs="Arial"/>
          <w:i/>
          <w:sz w:val="24"/>
          <w:szCs w:val="24"/>
        </w:rPr>
        <w:t xml:space="preserve">oncept </w:t>
      </w:r>
      <w:r w:rsidR="004450A8" w:rsidRPr="00283924">
        <w:rPr>
          <w:rFonts w:cs="Arial"/>
          <w:i/>
          <w:sz w:val="24"/>
          <w:szCs w:val="24"/>
        </w:rPr>
        <w:t>n</w:t>
      </w:r>
      <w:r w:rsidR="00C85246" w:rsidRPr="00283924">
        <w:rPr>
          <w:rFonts w:cs="Arial"/>
          <w:i/>
          <w:sz w:val="24"/>
          <w:szCs w:val="24"/>
        </w:rPr>
        <w:t>ote</w:t>
      </w:r>
      <w:r w:rsidR="00287518">
        <w:rPr>
          <w:rFonts w:cs="Arial"/>
          <w:i/>
          <w:sz w:val="24"/>
          <w:szCs w:val="24"/>
        </w:rPr>
        <w:t xml:space="preserve"> (as of </w:t>
      </w:r>
      <w:r w:rsidR="004F7F7E">
        <w:rPr>
          <w:rFonts w:cs="Arial"/>
          <w:i/>
          <w:sz w:val="24"/>
          <w:szCs w:val="24"/>
        </w:rPr>
        <w:t>10</w:t>
      </w:r>
      <w:r w:rsidR="00287518">
        <w:rPr>
          <w:rFonts w:cs="Arial"/>
          <w:i/>
          <w:sz w:val="24"/>
          <w:szCs w:val="24"/>
        </w:rPr>
        <w:t xml:space="preserve"> </w:t>
      </w:r>
      <w:r w:rsidR="004F7F7E">
        <w:rPr>
          <w:rFonts w:cs="Arial"/>
          <w:i/>
          <w:sz w:val="24"/>
          <w:szCs w:val="24"/>
        </w:rPr>
        <w:t>March</w:t>
      </w:r>
      <w:r w:rsidR="00287518">
        <w:rPr>
          <w:rFonts w:cs="Arial"/>
          <w:i/>
          <w:sz w:val="24"/>
          <w:szCs w:val="24"/>
        </w:rPr>
        <w:t xml:space="preserve"> 2022)</w:t>
      </w:r>
      <w:r w:rsidR="0057603F">
        <w:rPr>
          <w:rFonts w:cs="Arial"/>
          <w:i/>
          <w:sz w:val="24"/>
          <w:szCs w:val="24"/>
        </w:rPr>
        <w:br/>
      </w:r>
    </w:p>
    <w:tbl>
      <w:tblPr>
        <w:tblW w:w="10206" w:type="dxa"/>
        <w:tblInd w:w="-459" w:type="dxa"/>
        <w:tblLook w:val="04A0" w:firstRow="1" w:lastRow="0" w:firstColumn="1" w:lastColumn="0" w:noHBand="0" w:noVBand="1"/>
      </w:tblPr>
      <w:tblGrid>
        <w:gridCol w:w="1450"/>
        <w:gridCol w:w="8756"/>
      </w:tblGrid>
      <w:tr w:rsidR="002F414D" w:rsidRPr="00283924" w14:paraId="1FA6A669" w14:textId="77777777" w:rsidTr="00304796">
        <w:tc>
          <w:tcPr>
            <w:tcW w:w="1450" w:type="dxa"/>
            <w:shd w:val="clear" w:color="auto" w:fill="auto"/>
          </w:tcPr>
          <w:p w14:paraId="3BEF2BB9" w14:textId="77777777" w:rsidR="002F414D" w:rsidRPr="00283924" w:rsidRDefault="002F414D" w:rsidP="004450A8">
            <w:pPr>
              <w:spacing w:after="0" w:line="240" w:lineRule="auto"/>
              <w:rPr>
                <w:rFonts w:cs="Arial"/>
                <w:b/>
              </w:rPr>
            </w:pPr>
            <w:r w:rsidRPr="00283924">
              <w:rPr>
                <w:rFonts w:cs="Arial"/>
                <w:b/>
              </w:rPr>
              <w:t xml:space="preserve">Date and </w:t>
            </w:r>
            <w:r w:rsidR="004450A8" w:rsidRPr="00283924">
              <w:rPr>
                <w:rFonts w:cs="Arial"/>
                <w:b/>
              </w:rPr>
              <w:t>v</w:t>
            </w:r>
            <w:r w:rsidRPr="00283924">
              <w:rPr>
                <w:rFonts w:cs="Arial"/>
                <w:b/>
              </w:rPr>
              <w:t>enue:</w:t>
            </w:r>
          </w:p>
        </w:tc>
        <w:tc>
          <w:tcPr>
            <w:tcW w:w="8756" w:type="dxa"/>
            <w:shd w:val="clear" w:color="auto" w:fill="auto"/>
          </w:tcPr>
          <w:p w14:paraId="616D1AAB" w14:textId="0D06CCA6" w:rsidR="002F414D" w:rsidRPr="00283924" w:rsidRDefault="00CE3C07" w:rsidP="004450A8">
            <w:pPr>
              <w:spacing w:after="0" w:line="240" w:lineRule="auto"/>
              <w:rPr>
                <w:rFonts w:cs="Arial"/>
                <w:b/>
              </w:rPr>
            </w:pPr>
            <w:r>
              <w:rPr>
                <w:rFonts w:cs="Arial"/>
                <w:b/>
              </w:rPr>
              <w:t xml:space="preserve">Monday, </w:t>
            </w:r>
            <w:r w:rsidR="00A12ECA" w:rsidRPr="000E224A">
              <w:rPr>
                <w:rFonts w:cs="Arial"/>
                <w:b/>
              </w:rPr>
              <w:t>14</w:t>
            </w:r>
            <w:r w:rsidR="00087DFD" w:rsidRPr="000E224A">
              <w:rPr>
                <w:rFonts w:cs="Arial"/>
                <w:b/>
              </w:rPr>
              <w:t xml:space="preserve"> March 202</w:t>
            </w:r>
            <w:r w:rsidR="00473282" w:rsidRPr="000E224A">
              <w:rPr>
                <w:rFonts w:cs="Arial"/>
                <w:b/>
              </w:rPr>
              <w:t>2</w:t>
            </w:r>
            <w:r w:rsidR="002F414D" w:rsidRPr="000E224A">
              <w:rPr>
                <w:rFonts w:cs="Arial"/>
                <w:b/>
              </w:rPr>
              <w:t xml:space="preserve">, </w:t>
            </w:r>
            <w:r w:rsidR="00502465" w:rsidRPr="000E224A">
              <w:rPr>
                <w:rFonts w:cs="Arial"/>
                <w:b/>
              </w:rPr>
              <w:t>4</w:t>
            </w:r>
            <w:r w:rsidR="000E224A">
              <w:rPr>
                <w:rFonts w:cs="Arial"/>
                <w:b/>
              </w:rPr>
              <w:t xml:space="preserve"> </w:t>
            </w:r>
            <w:r w:rsidR="00062D97">
              <w:rPr>
                <w:rFonts w:cs="Arial"/>
                <w:b/>
              </w:rPr>
              <w:t>to</w:t>
            </w:r>
            <w:r w:rsidR="000E224A">
              <w:rPr>
                <w:rFonts w:cs="Arial"/>
                <w:b/>
              </w:rPr>
              <w:t xml:space="preserve"> </w:t>
            </w:r>
            <w:r w:rsidR="00502465" w:rsidRPr="000E224A">
              <w:rPr>
                <w:rFonts w:cs="Arial"/>
                <w:b/>
              </w:rPr>
              <w:t>6 p.m.</w:t>
            </w:r>
            <w:r w:rsidR="0007720A" w:rsidRPr="000E224A">
              <w:rPr>
                <w:rFonts w:cs="Arial"/>
                <w:b/>
              </w:rPr>
              <w:t xml:space="preserve"> </w:t>
            </w:r>
            <w:r w:rsidR="008A1448" w:rsidRPr="000E224A">
              <w:rPr>
                <w:rFonts w:cs="Arial"/>
                <w:b/>
              </w:rPr>
              <w:br/>
              <w:t>Room XIX,</w:t>
            </w:r>
            <w:r w:rsidR="008A1448" w:rsidRPr="0007720A">
              <w:rPr>
                <w:rFonts w:cs="Arial"/>
                <w:b/>
              </w:rPr>
              <w:t xml:space="preserve"> </w:t>
            </w:r>
            <w:r w:rsidR="002F414D" w:rsidRPr="0007720A">
              <w:rPr>
                <w:rFonts w:cs="Arial"/>
                <w:b/>
              </w:rPr>
              <w:t>Palais des Nations, Geneva</w:t>
            </w:r>
            <w:r w:rsidR="008A1448">
              <w:rPr>
                <w:rFonts w:cs="Arial"/>
                <w:b/>
              </w:rPr>
              <w:t xml:space="preserve"> </w:t>
            </w:r>
            <w:r w:rsidR="008A1448">
              <w:rPr>
                <w:rFonts w:cs="Calibri"/>
                <w:b/>
              </w:rPr>
              <w:t>and online platform (Zoom)</w:t>
            </w:r>
            <w:r w:rsidR="002F414D" w:rsidRPr="00283924">
              <w:rPr>
                <w:rFonts w:cs="Arial"/>
                <w:b/>
              </w:rPr>
              <w:t xml:space="preserve"> </w:t>
            </w:r>
          </w:p>
          <w:p w14:paraId="31A4F062" w14:textId="586E09B3" w:rsidR="002F414D" w:rsidRPr="00283924" w:rsidRDefault="002F414D" w:rsidP="00DB08FA">
            <w:pPr>
              <w:spacing w:after="120" w:line="240" w:lineRule="auto"/>
              <w:rPr>
                <w:rFonts w:cs="Arial"/>
                <w:i/>
              </w:rPr>
            </w:pPr>
            <w:r w:rsidRPr="00283924">
              <w:rPr>
                <w:rFonts w:cs="Arial"/>
                <w:i/>
              </w:rPr>
              <w:t xml:space="preserve">(will be broadcast live and archived on </w:t>
            </w:r>
            <w:hyperlink r:id="rId11" w:history="1">
              <w:r w:rsidR="0020665D" w:rsidRPr="00045F16">
                <w:rPr>
                  <w:rStyle w:val="Hyperlink"/>
                  <w:rFonts w:cs="Arial"/>
                  <w:i/>
                </w:rPr>
                <w:t>https://media.un.org/en/webtv</w:t>
              </w:r>
            </w:hyperlink>
            <w:r w:rsidRPr="00283924">
              <w:rPr>
                <w:rFonts w:cs="Arial"/>
                <w:i/>
              </w:rPr>
              <w:t>)</w:t>
            </w:r>
          </w:p>
        </w:tc>
      </w:tr>
      <w:tr w:rsidR="002F414D" w:rsidRPr="00283924" w14:paraId="790393C7" w14:textId="77777777" w:rsidTr="00304796">
        <w:tc>
          <w:tcPr>
            <w:tcW w:w="1450" w:type="dxa"/>
            <w:shd w:val="clear" w:color="auto" w:fill="auto"/>
          </w:tcPr>
          <w:p w14:paraId="574AD692" w14:textId="77777777" w:rsidR="002F414D" w:rsidRPr="00283924" w:rsidRDefault="002F414D" w:rsidP="00304796">
            <w:pPr>
              <w:spacing w:after="0" w:line="240" w:lineRule="auto"/>
              <w:rPr>
                <w:rFonts w:cs="Arial"/>
                <w:b/>
              </w:rPr>
            </w:pPr>
            <w:r w:rsidRPr="00283924">
              <w:rPr>
                <w:rFonts w:cs="Arial"/>
                <w:b/>
              </w:rPr>
              <w:t>Objectives:</w:t>
            </w:r>
          </w:p>
        </w:tc>
        <w:tc>
          <w:tcPr>
            <w:tcW w:w="8756" w:type="dxa"/>
            <w:shd w:val="clear" w:color="auto" w:fill="auto"/>
          </w:tcPr>
          <w:p w14:paraId="6519E3BC" w14:textId="6BA943A4" w:rsidR="00473282" w:rsidRDefault="002F414D" w:rsidP="000234E3">
            <w:pPr>
              <w:spacing w:after="120" w:line="240" w:lineRule="auto"/>
              <w:jc w:val="both"/>
              <w:rPr>
                <w:rFonts w:cs="Arial"/>
              </w:rPr>
            </w:pPr>
            <w:r w:rsidRPr="00283924">
              <w:rPr>
                <w:rFonts w:cs="Arial"/>
              </w:rPr>
              <w:t>Th</w:t>
            </w:r>
            <w:r w:rsidR="00C34D82" w:rsidRPr="00283924">
              <w:rPr>
                <w:rFonts w:cs="Arial"/>
              </w:rPr>
              <w:t>is</w:t>
            </w:r>
            <w:r w:rsidRPr="00283924">
              <w:rPr>
                <w:rFonts w:cs="Arial"/>
              </w:rPr>
              <w:t xml:space="preserve"> panel discussion will </w:t>
            </w:r>
            <w:r w:rsidR="00333B61">
              <w:rPr>
                <w:rFonts w:cs="Arial"/>
              </w:rPr>
              <w:t>address the o</w:t>
            </w:r>
            <w:r w:rsidR="00333B61" w:rsidRPr="00333B61">
              <w:rPr>
                <w:rFonts w:cs="Arial"/>
              </w:rPr>
              <w:t>bligation under article 3</w:t>
            </w:r>
            <w:r w:rsidR="00473282">
              <w:rPr>
                <w:rFonts w:cs="Arial"/>
              </w:rPr>
              <w:t>1</w:t>
            </w:r>
            <w:r w:rsidR="00333B61" w:rsidRPr="00333B61">
              <w:rPr>
                <w:rFonts w:cs="Arial"/>
              </w:rPr>
              <w:t xml:space="preserve"> of the Convention on the Rights of Persons with Disabilities </w:t>
            </w:r>
            <w:r w:rsidR="00333B61">
              <w:rPr>
                <w:rFonts w:cs="Arial"/>
              </w:rPr>
              <w:t>(</w:t>
            </w:r>
            <w:r w:rsidR="00333B61" w:rsidRPr="006C2003">
              <w:rPr>
                <w:rFonts w:cs="Arial"/>
              </w:rPr>
              <w:t>hereinafter</w:t>
            </w:r>
            <w:r w:rsidR="00333B61">
              <w:rPr>
                <w:rFonts w:cs="Arial"/>
              </w:rPr>
              <w:t xml:space="preserve"> “Convention”) </w:t>
            </w:r>
            <w:r w:rsidR="00473282">
              <w:rPr>
                <w:rFonts w:cs="Arial"/>
              </w:rPr>
              <w:t xml:space="preserve">to </w:t>
            </w:r>
            <w:r w:rsidR="00473282" w:rsidRPr="00473282">
              <w:rPr>
                <w:rFonts w:cs="Arial"/>
              </w:rPr>
              <w:t>collect appropriate information, including statistical a</w:t>
            </w:r>
            <w:r w:rsidR="00473282">
              <w:rPr>
                <w:rFonts w:cs="Arial"/>
              </w:rPr>
              <w:t>nd research data, to enable the formulation</w:t>
            </w:r>
            <w:r w:rsidR="00473282" w:rsidRPr="00473282">
              <w:rPr>
                <w:rFonts w:cs="Arial"/>
              </w:rPr>
              <w:t xml:space="preserve"> and implement</w:t>
            </w:r>
            <w:r w:rsidR="00473282">
              <w:rPr>
                <w:rFonts w:cs="Arial"/>
              </w:rPr>
              <w:t>ation of</w:t>
            </w:r>
            <w:r w:rsidR="00473282" w:rsidRPr="00473282">
              <w:rPr>
                <w:rFonts w:cs="Arial"/>
              </w:rPr>
              <w:t xml:space="preserve"> policies to give effect to </w:t>
            </w:r>
            <w:r w:rsidR="00B17B04">
              <w:rPr>
                <w:rFonts w:cs="Arial"/>
              </w:rPr>
              <w:t>the Convention</w:t>
            </w:r>
            <w:r w:rsidR="00473282">
              <w:rPr>
                <w:rFonts w:cs="Arial"/>
              </w:rPr>
              <w:t>. The objectives are:</w:t>
            </w:r>
          </w:p>
          <w:p w14:paraId="370BE4E0" w14:textId="51FA6E2C" w:rsidR="00CE741A" w:rsidRPr="00B80139" w:rsidRDefault="00CE741A" w:rsidP="00CE741A">
            <w:pPr>
              <w:numPr>
                <w:ilvl w:val="0"/>
                <w:numId w:val="6"/>
              </w:numPr>
              <w:spacing w:after="60" w:line="240" w:lineRule="auto"/>
              <w:ind w:hanging="357"/>
              <w:rPr>
                <w:rFonts w:cs="Arial"/>
                <w:b/>
              </w:rPr>
            </w:pPr>
            <w:r w:rsidRPr="00F47B01">
              <w:rPr>
                <w:rFonts w:cs="Arial"/>
                <w:b/>
              </w:rPr>
              <w:t xml:space="preserve">To bring greater understanding </w:t>
            </w:r>
            <w:r w:rsidRPr="00F47B01">
              <w:rPr>
                <w:rFonts w:cs="Arial"/>
              </w:rPr>
              <w:t xml:space="preserve">to the importance of </w:t>
            </w:r>
            <w:r>
              <w:rPr>
                <w:rFonts w:cs="Arial"/>
              </w:rPr>
              <w:t xml:space="preserve">data collection and disaggregation under </w:t>
            </w:r>
            <w:r w:rsidRPr="00F47B01">
              <w:rPr>
                <w:rFonts w:cs="Arial"/>
              </w:rPr>
              <w:t>article 3</w:t>
            </w:r>
            <w:r>
              <w:rPr>
                <w:rFonts w:cs="Arial"/>
              </w:rPr>
              <w:t>1</w:t>
            </w:r>
            <w:r w:rsidRPr="00F47B01">
              <w:rPr>
                <w:rFonts w:cs="Arial"/>
              </w:rPr>
              <w:t xml:space="preserve"> of the </w:t>
            </w:r>
            <w:proofErr w:type="gramStart"/>
            <w:r w:rsidRPr="00F47B01">
              <w:rPr>
                <w:rFonts w:cs="Arial"/>
              </w:rPr>
              <w:t>Convention;</w:t>
            </w:r>
            <w:proofErr w:type="gramEnd"/>
            <w:r w:rsidRPr="00F47B01">
              <w:rPr>
                <w:rFonts w:cs="Arial"/>
              </w:rPr>
              <w:t xml:space="preserve">  </w:t>
            </w:r>
          </w:p>
          <w:p w14:paraId="0F616D4C" w14:textId="53AD0CE3" w:rsidR="00B80139" w:rsidRPr="00F965BE" w:rsidRDefault="00FB616F" w:rsidP="00B80139">
            <w:pPr>
              <w:numPr>
                <w:ilvl w:val="0"/>
                <w:numId w:val="6"/>
              </w:numPr>
              <w:spacing w:after="60" w:line="240" w:lineRule="auto"/>
              <w:rPr>
                <w:rFonts w:cs="Arial"/>
                <w:b/>
              </w:rPr>
            </w:pPr>
            <w:r w:rsidRPr="00FB616F">
              <w:rPr>
                <w:rFonts w:cs="Arial"/>
                <w:b/>
              </w:rPr>
              <w:t>To provide guidance</w:t>
            </w:r>
            <w:r>
              <w:rPr>
                <w:rFonts w:cs="Arial"/>
              </w:rPr>
              <w:t xml:space="preserve"> on ensuring and enforcing confidentiality in data collection and data management and the right to privacy of persons with </w:t>
            </w:r>
            <w:proofErr w:type="gramStart"/>
            <w:r>
              <w:rPr>
                <w:rFonts w:cs="Arial"/>
              </w:rPr>
              <w:t>disabilities</w:t>
            </w:r>
            <w:r w:rsidR="00F965BE">
              <w:rPr>
                <w:rFonts w:cs="Arial"/>
              </w:rPr>
              <w:t>;</w:t>
            </w:r>
            <w:proofErr w:type="gramEnd"/>
          </w:p>
          <w:p w14:paraId="30D44F23" w14:textId="28F33B00" w:rsidR="00F965BE" w:rsidRDefault="00F965BE" w:rsidP="00B80139">
            <w:pPr>
              <w:numPr>
                <w:ilvl w:val="0"/>
                <w:numId w:val="6"/>
              </w:numPr>
              <w:spacing w:after="60" w:line="240" w:lineRule="auto"/>
              <w:rPr>
                <w:rFonts w:cs="Arial"/>
                <w:b/>
              </w:rPr>
            </w:pPr>
            <w:r>
              <w:rPr>
                <w:rFonts w:cs="Arial"/>
                <w:b/>
              </w:rPr>
              <w:t xml:space="preserve">To discuss </w:t>
            </w:r>
            <w:r w:rsidR="00D17224">
              <w:rPr>
                <w:rFonts w:cs="Arial"/>
                <w:b/>
              </w:rPr>
              <w:t xml:space="preserve">the role of data and information in measuring and monitoring human rights obligations </w:t>
            </w:r>
            <w:r w:rsidR="00464C3E" w:rsidRPr="00464C3E">
              <w:rPr>
                <w:rFonts w:cs="Arial"/>
                <w:b/>
              </w:rPr>
              <w:t>and to strengthen accountability</w:t>
            </w:r>
            <w:r w:rsidR="00464C3E">
              <w:rPr>
                <w:rFonts w:cs="Arial"/>
              </w:rPr>
              <w:t xml:space="preserve"> by ensuring</w:t>
            </w:r>
            <w:r w:rsidR="00D17224">
              <w:rPr>
                <w:rFonts w:cs="Arial"/>
              </w:rPr>
              <w:t xml:space="preserve"> access by</w:t>
            </w:r>
            <w:r w:rsidR="00D17224" w:rsidRPr="00D17224">
              <w:rPr>
                <w:rFonts w:cs="Arial"/>
              </w:rPr>
              <w:t xml:space="preserve"> persons with disabilities to accessible data and information to participate in the design, implementation and monitoring of </w:t>
            </w:r>
            <w:proofErr w:type="gramStart"/>
            <w:r w:rsidR="00D17224" w:rsidRPr="00D17224">
              <w:rPr>
                <w:rFonts w:cs="Arial"/>
              </w:rPr>
              <w:t>policies;</w:t>
            </w:r>
            <w:proofErr w:type="gramEnd"/>
          </w:p>
          <w:p w14:paraId="51AE80CD" w14:textId="77777777" w:rsidR="00CE741A" w:rsidRDefault="00CE741A" w:rsidP="00CE741A">
            <w:pPr>
              <w:numPr>
                <w:ilvl w:val="0"/>
                <w:numId w:val="6"/>
              </w:numPr>
              <w:spacing w:after="60" w:line="240" w:lineRule="auto"/>
              <w:ind w:hanging="357"/>
              <w:rPr>
                <w:rFonts w:cs="Arial"/>
                <w:b/>
              </w:rPr>
            </w:pPr>
            <w:r w:rsidRPr="00F47B01">
              <w:rPr>
                <w:rFonts w:cs="Arial"/>
                <w:b/>
              </w:rPr>
              <w:t xml:space="preserve">To share experiences, lessons learned and good practices </w:t>
            </w:r>
            <w:r w:rsidRPr="00F47B01">
              <w:rPr>
                <w:rFonts w:cs="Arial"/>
              </w:rPr>
              <w:t xml:space="preserve">in the implementation of article </w:t>
            </w:r>
            <w:r>
              <w:rPr>
                <w:rFonts w:cs="Arial"/>
              </w:rPr>
              <w:t>31</w:t>
            </w:r>
            <w:r w:rsidRPr="00F47B01">
              <w:rPr>
                <w:rFonts w:cs="Arial"/>
              </w:rPr>
              <w:t xml:space="preserve"> of the Convention, drawing on experiences from the global and national </w:t>
            </w:r>
            <w:proofErr w:type="gramStart"/>
            <w:r w:rsidRPr="00F47B01">
              <w:rPr>
                <w:rFonts w:cs="Arial"/>
              </w:rPr>
              <w:t>levels;</w:t>
            </w:r>
            <w:proofErr w:type="gramEnd"/>
          </w:p>
          <w:p w14:paraId="02B1C5F2" w14:textId="1859D7B3" w:rsidR="00AE6E07" w:rsidRPr="00253323" w:rsidRDefault="00CE741A" w:rsidP="00253323">
            <w:pPr>
              <w:numPr>
                <w:ilvl w:val="0"/>
                <w:numId w:val="6"/>
              </w:numPr>
              <w:spacing w:after="120" w:line="240" w:lineRule="auto"/>
              <w:ind w:left="363" w:hanging="357"/>
              <w:rPr>
                <w:rFonts w:cs="Arial"/>
                <w:b/>
              </w:rPr>
            </w:pPr>
            <w:r w:rsidRPr="00CE741A">
              <w:rPr>
                <w:rFonts w:cs="Arial"/>
                <w:b/>
              </w:rPr>
              <w:t>To propose</w:t>
            </w:r>
            <w:r w:rsidRPr="00CE741A">
              <w:rPr>
                <w:rFonts w:cs="Arial"/>
              </w:rPr>
              <w:t xml:space="preserve"> </w:t>
            </w:r>
            <w:r w:rsidRPr="00CE741A">
              <w:rPr>
                <w:rFonts w:cs="Arial"/>
                <w:b/>
              </w:rPr>
              <w:t xml:space="preserve">strategies </w:t>
            </w:r>
            <w:r w:rsidRPr="00CE741A">
              <w:rPr>
                <w:rFonts w:cs="Arial"/>
              </w:rPr>
              <w:t xml:space="preserve">to </w:t>
            </w:r>
            <w:r>
              <w:rPr>
                <w:rFonts w:cs="Arial"/>
              </w:rPr>
              <w:t>consolidate data collection and disaggregation efforts</w:t>
            </w:r>
            <w:r w:rsidR="00B80139">
              <w:rPr>
                <w:rFonts w:cs="Arial"/>
              </w:rPr>
              <w:t>, as well as to ensure harmonization of disability data collection tools for increased consistency and use of data</w:t>
            </w:r>
            <w:r w:rsidRPr="00CE741A">
              <w:rPr>
                <w:rFonts w:cs="Arial"/>
              </w:rPr>
              <w:t>.</w:t>
            </w:r>
          </w:p>
        </w:tc>
      </w:tr>
      <w:tr w:rsidR="00333B61" w:rsidRPr="00283924" w14:paraId="08FDFC8C" w14:textId="77777777" w:rsidTr="00304796">
        <w:tc>
          <w:tcPr>
            <w:tcW w:w="1450" w:type="dxa"/>
            <w:shd w:val="clear" w:color="auto" w:fill="auto"/>
          </w:tcPr>
          <w:p w14:paraId="19492259" w14:textId="77777777" w:rsidR="00333B61" w:rsidRPr="00283924" w:rsidRDefault="00333B61" w:rsidP="00333B61">
            <w:pPr>
              <w:spacing w:after="0" w:line="240" w:lineRule="auto"/>
              <w:rPr>
                <w:rFonts w:cs="Arial"/>
                <w:b/>
              </w:rPr>
            </w:pPr>
            <w:r w:rsidRPr="00283924">
              <w:rPr>
                <w:rFonts w:cs="Arial"/>
                <w:b/>
              </w:rPr>
              <w:t xml:space="preserve">Chair: </w:t>
            </w:r>
          </w:p>
        </w:tc>
        <w:tc>
          <w:tcPr>
            <w:tcW w:w="8756" w:type="dxa"/>
            <w:shd w:val="clear" w:color="auto" w:fill="auto"/>
          </w:tcPr>
          <w:p w14:paraId="25B76DDA" w14:textId="386B98C2" w:rsidR="00333B61" w:rsidRPr="00283924" w:rsidRDefault="005934FC" w:rsidP="005934FC">
            <w:pPr>
              <w:spacing w:after="120" w:line="240" w:lineRule="auto"/>
              <w:rPr>
                <w:rFonts w:cs="Arial"/>
              </w:rPr>
            </w:pPr>
            <w:r w:rsidRPr="005934FC">
              <w:rPr>
                <w:rFonts w:cs="Arial"/>
                <w:b/>
              </w:rPr>
              <w:t xml:space="preserve">H.E. Mr. Federico </w:t>
            </w:r>
            <w:r>
              <w:rPr>
                <w:rFonts w:cs="Arial"/>
                <w:b/>
              </w:rPr>
              <w:t>V</w:t>
            </w:r>
            <w:r w:rsidRPr="005934FC">
              <w:rPr>
                <w:rFonts w:cs="Arial"/>
                <w:b/>
              </w:rPr>
              <w:t>illegas</w:t>
            </w:r>
            <w:r w:rsidR="0034689B" w:rsidRPr="008146E5">
              <w:rPr>
                <w:rFonts w:cs="Arial"/>
              </w:rPr>
              <w:t>,</w:t>
            </w:r>
            <w:r w:rsidR="0034689B">
              <w:rPr>
                <w:rFonts w:cs="Arial"/>
                <w:b/>
              </w:rPr>
              <w:t xml:space="preserve"> </w:t>
            </w:r>
            <w:r w:rsidR="00333B61" w:rsidRPr="005934FC">
              <w:rPr>
                <w:rFonts w:cs="Arial"/>
              </w:rPr>
              <w:t>President</w:t>
            </w:r>
            <w:r w:rsidR="00333B61" w:rsidRPr="00165849">
              <w:rPr>
                <w:rFonts w:cs="Arial"/>
              </w:rPr>
              <w:t xml:space="preserve"> of the Human Rights Council</w:t>
            </w:r>
          </w:p>
        </w:tc>
      </w:tr>
      <w:tr w:rsidR="00333B61" w:rsidRPr="00283924" w14:paraId="75C5CF23" w14:textId="77777777" w:rsidTr="00304796">
        <w:tc>
          <w:tcPr>
            <w:tcW w:w="1450" w:type="dxa"/>
            <w:shd w:val="clear" w:color="auto" w:fill="auto"/>
          </w:tcPr>
          <w:p w14:paraId="12CE2AC1" w14:textId="77777777" w:rsidR="00333B61" w:rsidRPr="00283924" w:rsidRDefault="00333B61" w:rsidP="00333B61">
            <w:pPr>
              <w:spacing w:after="120" w:line="240" w:lineRule="auto"/>
              <w:rPr>
                <w:rFonts w:cs="Arial"/>
                <w:b/>
              </w:rPr>
            </w:pPr>
            <w:r>
              <w:rPr>
                <w:rFonts w:cs="Arial"/>
                <w:b/>
              </w:rPr>
              <w:t xml:space="preserve">Opening statement: </w:t>
            </w:r>
          </w:p>
        </w:tc>
        <w:tc>
          <w:tcPr>
            <w:tcW w:w="8756" w:type="dxa"/>
            <w:shd w:val="clear" w:color="auto" w:fill="auto"/>
          </w:tcPr>
          <w:p w14:paraId="0A4AE1D1" w14:textId="2AC8D7C7" w:rsidR="00333B61" w:rsidRPr="0017182D" w:rsidRDefault="0017182D" w:rsidP="00BD0DAE">
            <w:pPr>
              <w:spacing w:after="0" w:line="240" w:lineRule="auto"/>
              <w:rPr>
                <w:rFonts w:cs="Arial"/>
                <w:i/>
              </w:rPr>
            </w:pPr>
            <w:r w:rsidRPr="0017182D">
              <w:rPr>
                <w:rFonts w:cs="Arial"/>
                <w:b/>
                <w:bCs/>
                <w:lang w:val="en-US"/>
              </w:rPr>
              <w:t xml:space="preserve">Ms. </w:t>
            </w:r>
            <w:proofErr w:type="spellStart"/>
            <w:r w:rsidRPr="0017182D">
              <w:rPr>
                <w:rFonts w:cs="Arial"/>
                <w:b/>
                <w:bCs/>
                <w:lang w:val="en-US"/>
              </w:rPr>
              <w:t>Ilze</w:t>
            </w:r>
            <w:proofErr w:type="spellEnd"/>
            <w:r w:rsidRPr="0017182D">
              <w:rPr>
                <w:rFonts w:cs="Arial"/>
                <w:b/>
                <w:bCs/>
                <w:lang w:val="en-US"/>
              </w:rPr>
              <w:t xml:space="preserve"> Brands </w:t>
            </w:r>
            <w:proofErr w:type="spellStart"/>
            <w:r w:rsidRPr="0017182D">
              <w:rPr>
                <w:rFonts w:cs="Arial"/>
                <w:b/>
                <w:bCs/>
                <w:lang w:val="en-US"/>
              </w:rPr>
              <w:t>Kehris</w:t>
            </w:r>
            <w:proofErr w:type="spellEnd"/>
            <w:r w:rsidRPr="00D478BB">
              <w:rPr>
                <w:rFonts w:cs="Arial"/>
                <w:lang w:val="en-US"/>
              </w:rPr>
              <w:t xml:space="preserve">, </w:t>
            </w:r>
            <w:r w:rsidRPr="0017182D">
              <w:t>Assistant Secretary-General for Human Rights</w:t>
            </w:r>
            <w:r w:rsidR="00CE3C07" w:rsidRPr="00CE3C07">
              <w:rPr>
                <w:i/>
                <w:iCs/>
              </w:rPr>
              <w:t xml:space="preserve"> </w:t>
            </w:r>
            <w:r w:rsidR="000C5E13">
              <w:rPr>
                <w:i/>
                <w:iCs/>
              </w:rPr>
              <w:t>(Zoom)</w:t>
            </w:r>
          </w:p>
        </w:tc>
      </w:tr>
      <w:tr w:rsidR="00253323" w:rsidRPr="00283924" w14:paraId="4BFC35A4" w14:textId="77777777" w:rsidTr="00304796">
        <w:tc>
          <w:tcPr>
            <w:tcW w:w="1450" w:type="dxa"/>
            <w:shd w:val="clear" w:color="auto" w:fill="auto"/>
          </w:tcPr>
          <w:p w14:paraId="09AC1F61" w14:textId="2EA95642" w:rsidR="00253323" w:rsidRPr="004F7F7E" w:rsidRDefault="00253323" w:rsidP="00333B61">
            <w:pPr>
              <w:spacing w:after="120" w:line="240" w:lineRule="auto"/>
              <w:rPr>
                <w:rFonts w:cs="Arial"/>
                <w:b/>
              </w:rPr>
            </w:pPr>
            <w:r w:rsidRPr="004F7F7E">
              <w:rPr>
                <w:rFonts w:cs="Arial"/>
                <w:b/>
              </w:rPr>
              <w:t>Moderator:</w:t>
            </w:r>
          </w:p>
        </w:tc>
        <w:tc>
          <w:tcPr>
            <w:tcW w:w="8756" w:type="dxa"/>
            <w:shd w:val="clear" w:color="auto" w:fill="auto"/>
          </w:tcPr>
          <w:p w14:paraId="2B3C8662" w14:textId="4D629744" w:rsidR="00253323" w:rsidRPr="004F7F7E" w:rsidRDefault="00253323" w:rsidP="00BD0DAE">
            <w:pPr>
              <w:spacing w:after="0" w:line="240" w:lineRule="auto"/>
              <w:rPr>
                <w:rFonts w:cs="Arial"/>
                <w:b/>
                <w:bCs/>
                <w:lang w:val="en-US"/>
              </w:rPr>
            </w:pPr>
            <w:r w:rsidRPr="004F7F7E">
              <w:rPr>
                <w:rFonts w:cs="Arial"/>
                <w:b/>
              </w:rPr>
              <w:t>Mr. Gerard Quinn</w:t>
            </w:r>
            <w:r w:rsidRPr="004F7F7E">
              <w:rPr>
                <w:rFonts w:cs="Arial"/>
              </w:rPr>
              <w:t>,</w:t>
            </w:r>
            <w:r w:rsidRPr="004F7F7E">
              <w:rPr>
                <w:rFonts w:cs="Arial"/>
                <w:b/>
              </w:rPr>
              <w:t xml:space="preserve"> </w:t>
            </w:r>
            <w:r w:rsidRPr="004F7F7E">
              <w:rPr>
                <w:rFonts w:cs="Arial"/>
              </w:rPr>
              <w:t>Special Rapporteur on the rights of persons with disabilities</w:t>
            </w:r>
          </w:p>
        </w:tc>
      </w:tr>
      <w:tr w:rsidR="00333B61" w:rsidRPr="00283924" w14:paraId="150FBDDC" w14:textId="77777777" w:rsidTr="00304796">
        <w:tc>
          <w:tcPr>
            <w:tcW w:w="1450" w:type="dxa"/>
            <w:shd w:val="clear" w:color="auto" w:fill="auto"/>
          </w:tcPr>
          <w:p w14:paraId="40A8651B" w14:textId="4D4C6EA5" w:rsidR="00333B61" w:rsidRPr="004F7F7E" w:rsidRDefault="00333B61" w:rsidP="00333B61">
            <w:pPr>
              <w:spacing w:after="0" w:line="240" w:lineRule="auto"/>
              <w:rPr>
                <w:rFonts w:cs="Arial"/>
                <w:b/>
              </w:rPr>
            </w:pPr>
            <w:r w:rsidRPr="004F7F7E">
              <w:rPr>
                <w:rFonts w:cs="Arial"/>
                <w:b/>
              </w:rPr>
              <w:t>Panellists</w:t>
            </w:r>
            <w:r w:rsidR="003F692C">
              <w:rPr>
                <w:rFonts w:cs="Arial"/>
                <w:b/>
              </w:rPr>
              <w:t xml:space="preserve"> and themes</w:t>
            </w:r>
            <w:r w:rsidRPr="004F7F7E">
              <w:rPr>
                <w:rFonts w:cs="Arial"/>
                <w:b/>
              </w:rPr>
              <w:t>:</w:t>
            </w:r>
          </w:p>
        </w:tc>
        <w:tc>
          <w:tcPr>
            <w:tcW w:w="8756" w:type="dxa"/>
            <w:shd w:val="clear" w:color="auto" w:fill="auto"/>
          </w:tcPr>
          <w:p w14:paraId="4DFC2BD1" w14:textId="4E2430F8" w:rsidR="00D17224" w:rsidRPr="004F7F7E" w:rsidRDefault="00E41058" w:rsidP="004F7F7E">
            <w:pPr>
              <w:pStyle w:val="ListParagraph"/>
              <w:numPr>
                <w:ilvl w:val="0"/>
                <w:numId w:val="13"/>
              </w:numPr>
              <w:spacing w:after="0" w:line="240" w:lineRule="auto"/>
              <w:contextualSpacing/>
              <w:rPr>
                <w:rFonts w:cs="Arial"/>
              </w:rPr>
            </w:pPr>
            <w:r w:rsidRPr="004F7F7E">
              <w:rPr>
                <w:rFonts w:cs="Arial"/>
                <w:b/>
              </w:rPr>
              <w:t xml:space="preserve">Ms. </w:t>
            </w:r>
            <w:r w:rsidR="0020130A" w:rsidRPr="004F7F7E">
              <w:rPr>
                <w:rFonts w:cs="Arial"/>
                <w:b/>
              </w:rPr>
              <w:t xml:space="preserve">María </w:t>
            </w:r>
            <w:r w:rsidRPr="004F7F7E">
              <w:rPr>
                <w:rFonts w:cs="Arial"/>
                <w:b/>
              </w:rPr>
              <w:t>Cecilia Rodr</w:t>
            </w:r>
            <w:r w:rsidR="0020130A" w:rsidRPr="004F7F7E">
              <w:rPr>
                <w:rFonts w:cs="Arial"/>
                <w:b/>
              </w:rPr>
              <w:t>í</w:t>
            </w:r>
            <w:r w:rsidRPr="004F7F7E">
              <w:rPr>
                <w:rFonts w:cs="Arial"/>
                <w:b/>
              </w:rPr>
              <w:t>guez Gauna</w:t>
            </w:r>
            <w:r w:rsidRPr="004F7F7E">
              <w:rPr>
                <w:rFonts w:cs="Arial"/>
              </w:rPr>
              <w:t>, representative of the Washington Group on Disability Statistics</w:t>
            </w:r>
            <w:r w:rsidR="00B64E8D" w:rsidRPr="004F7F7E">
              <w:rPr>
                <w:rFonts w:cs="Arial"/>
              </w:rPr>
              <w:t xml:space="preserve"> (</w:t>
            </w:r>
            <w:r w:rsidR="00B64E8D" w:rsidRPr="004F7F7E">
              <w:rPr>
                <w:rFonts w:cs="Arial"/>
                <w:i/>
                <w:iCs/>
              </w:rPr>
              <w:t>video message)</w:t>
            </w:r>
          </w:p>
          <w:p w14:paraId="5D778132" w14:textId="34559FBA" w:rsidR="004F7F7E" w:rsidRPr="004F7F7E" w:rsidRDefault="004F7F7E" w:rsidP="003F692C">
            <w:pPr>
              <w:spacing w:before="40" w:after="120" w:line="240" w:lineRule="auto"/>
              <w:ind w:left="357"/>
              <w:rPr>
                <w:rFonts w:cs="Arial"/>
                <w:bCs/>
                <w:i/>
                <w:iCs/>
              </w:rPr>
            </w:pPr>
            <w:r w:rsidRPr="004F7F7E">
              <w:rPr>
                <w:rFonts w:cs="Arial"/>
                <w:bCs/>
                <w:i/>
                <w:iCs/>
              </w:rPr>
              <w:t>Gathering disaggregated data to address social equality, Washington Group Short Set questions</w:t>
            </w:r>
          </w:p>
          <w:p w14:paraId="443E0016" w14:textId="71140621" w:rsidR="00054D79" w:rsidRPr="004F7F7E" w:rsidRDefault="00F4397E" w:rsidP="004F7F7E">
            <w:pPr>
              <w:numPr>
                <w:ilvl w:val="0"/>
                <w:numId w:val="6"/>
              </w:numPr>
              <w:spacing w:after="0" w:line="240" w:lineRule="auto"/>
              <w:ind w:left="357" w:hanging="357"/>
              <w:contextualSpacing/>
              <w:rPr>
                <w:rFonts w:cs="Arial"/>
                <w:b/>
              </w:rPr>
            </w:pPr>
            <w:r w:rsidRPr="004F7F7E">
              <w:rPr>
                <w:b/>
              </w:rPr>
              <w:t>Ms</w:t>
            </w:r>
            <w:r w:rsidR="00D17224" w:rsidRPr="004F7F7E">
              <w:rPr>
                <w:b/>
              </w:rPr>
              <w:t xml:space="preserve">. Ana Brian </w:t>
            </w:r>
            <w:proofErr w:type="spellStart"/>
            <w:r w:rsidR="00D17224" w:rsidRPr="004F7F7E">
              <w:rPr>
                <w:b/>
              </w:rPr>
              <w:t>Nougrères</w:t>
            </w:r>
            <w:proofErr w:type="spellEnd"/>
            <w:r w:rsidR="00333B61" w:rsidRPr="004F7F7E">
              <w:rPr>
                <w:rFonts w:cs="Arial"/>
                <w:color w:val="000000"/>
                <w:lang w:eastAsia="en-GB"/>
              </w:rPr>
              <w:t>, S</w:t>
            </w:r>
            <w:r w:rsidR="00D17224" w:rsidRPr="004F7F7E">
              <w:rPr>
                <w:rFonts w:cs="Arial"/>
                <w:color w:val="000000"/>
                <w:lang w:eastAsia="en-GB"/>
              </w:rPr>
              <w:t>pecial Rapporteur on the right to privacy</w:t>
            </w:r>
          </w:p>
          <w:p w14:paraId="283C0FB5" w14:textId="53DD6F12" w:rsidR="004F7F7E" w:rsidRPr="004F7F7E" w:rsidRDefault="004F7F7E" w:rsidP="003F692C">
            <w:pPr>
              <w:spacing w:before="40" w:after="120" w:line="240" w:lineRule="auto"/>
              <w:ind w:left="357"/>
              <w:rPr>
                <w:rFonts w:cs="Arial"/>
                <w:bCs/>
                <w:i/>
                <w:iCs/>
              </w:rPr>
            </w:pPr>
            <w:r w:rsidRPr="004F7F7E">
              <w:rPr>
                <w:rFonts w:cs="Arial"/>
                <w:bCs/>
                <w:i/>
                <w:iCs/>
              </w:rPr>
              <w:t>Ensuring and enforcing confidentiality in data collection and data management and the right to privacy of persons with disabilities</w:t>
            </w:r>
          </w:p>
          <w:p w14:paraId="1FEA1580" w14:textId="77777777" w:rsidR="00D17224" w:rsidRPr="004F7F7E" w:rsidRDefault="00E41058" w:rsidP="004F7F7E">
            <w:pPr>
              <w:numPr>
                <w:ilvl w:val="0"/>
                <w:numId w:val="6"/>
              </w:numPr>
              <w:spacing w:after="0" w:line="240" w:lineRule="auto"/>
              <w:contextualSpacing/>
              <w:rPr>
                <w:rFonts w:cs="Arial"/>
                <w:b/>
              </w:rPr>
            </w:pPr>
            <w:r w:rsidRPr="004F7F7E">
              <w:rPr>
                <w:rFonts w:cs="Arial"/>
                <w:b/>
              </w:rPr>
              <w:t>Ms. Laisa Vereti</w:t>
            </w:r>
            <w:r w:rsidR="00D17224" w:rsidRPr="004F7F7E">
              <w:rPr>
                <w:rFonts w:cs="Arial"/>
                <w:bCs/>
              </w:rPr>
              <w:t>,</w:t>
            </w:r>
            <w:r w:rsidR="00D17224" w:rsidRPr="004F7F7E">
              <w:rPr>
                <w:rFonts w:cs="Arial"/>
                <w:b/>
              </w:rPr>
              <w:t xml:space="preserve"> </w:t>
            </w:r>
            <w:r w:rsidR="00D17224" w:rsidRPr="004F7F7E">
              <w:rPr>
                <w:rFonts w:cs="Arial"/>
              </w:rPr>
              <w:t>representative</w:t>
            </w:r>
            <w:r w:rsidRPr="004F7F7E">
              <w:rPr>
                <w:rFonts w:cs="Arial"/>
              </w:rPr>
              <w:t xml:space="preserve"> of the International Disability Alliance</w:t>
            </w:r>
          </w:p>
          <w:p w14:paraId="29614E90" w14:textId="13124BE5" w:rsidR="004F7F7E" w:rsidRPr="003F692C" w:rsidRDefault="004F7F7E" w:rsidP="003F692C">
            <w:pPr>
              <w:spacing w:before="40" w:after="240" w:line="240" w:lineRule="auto"/>
              <w:ind w:left="357"/>
              <w:rPr>
                <w:rFonts w:asciiTheme="minorHAnsi" w:hAnsiTheme="minorHAnsi" w:cstheme="minorHAnsi"/>
                <w:bCs/>
                <w:i/>
                <w:iCs/>
                <w:lang w:eastAsia="en-GB"/>
              </w:rPr>
            </w:pPr>
            <w:r w:rsidRPr="004F7F7E">
              <w:rPr>
                <w:rFonts w:asciiTheme="minorHAnsi" w:hAnsiTheme="minorHAnsi" w:cstheme="minorHAnsi"/>
                <w:bCs/>
                <w:i/>
                <w:iCs/>
                <w:lang w:eastAsia="en-GB"/>
              </w:rPr>
              <w:t>Experience of civil society organizations working with national governments towards disability data collection and disaggregation efforts</w:t>
            </w:r>
          </w:p>
        </w:tc>
      </w:tr>
      <w:tr w:rsidR="00333B61" w:rsidRPr="00283924" w14:paraId="7BD53753" w14:textId="77777777" w:rsidTr="00304796">
        <w:tc>
          <w:tcPr>
            <w:tcW w:w="1450" w:type="dxa"/>
            <w:shd w:val="clear" w:color="auto" w:fill="auto"/>
          </w:tcPr>
          <w:p w14:paraId="17F368B5" w14:textId="77777777" w:rsidR="00333B61" w:rsidRPr="00283924" w:rsidRDefault="00333B61" w:rsidP="00333B61">
            <w:pPr>
              <w:spacing w:after="0" w:line="240" w:lineRule="auto"/>
              <w:rPr>
                <w:rFonts w:cs="Arial"/>
                <w:b/>
              </w:rPr>
            </w:pPr>
            <w:r w:rsidRPr="00283924">
              <w:rPr>
                <w:rFonts w:cs="Arial"/>
                <w:b/>
              </w:rPr>
              <w:t>Outcome:</w:t>
            </w:r>
          </w:p>
        </w:tc>
        <w:tc>
          <w:tcPr>
            <w:tcW w:w="8756" w:type="dxa"/>
            <w:shd w:val="clear" w:color="auto" w:fill="auto"/>
          </w:tcPr>
          <w:p w14:paraId="70049BAD" w14:textId="0FA08B61" w:rsidR="00223A57" w:rsidRPr="00CE6FDF" w:rsidRDefault="00CA443D" w:rsidP="003203B3">
            <w:pPr>
              <w:spacing w:after="160" w:line="240" w:lineRule="auto"/>
              <w:jc w:val="both"/>
              <w:rPr>
                <w:rFonts w:asciiTheme="minorHAnsi" w:hAnsiTheme="minorHAnsi" w:cstheme="minorHAnsi"/>
                <w:lang w:val="en-AU"/>
              </w:rPr>
            </w:pPr>
            <w:r w:rsidRPr="00CE6FDF">
              <w:rPr>
                <w:rFonts w:asciiTheme="minorHAnsi" w:hAnsiTheme="minorHAnsi" w:cstheme="minorHAnsi"/>
                <w:lang w:val="en-AU"/>
              </w:rPr>
              <w:t xml:space="preserve">The debate seeks </w:t>
            </w:r>
            <w:r w:rsidR="00841D26" w:rsidRPr="00CE6FDF">
              <w:rPr>
                <w:rFonts w:asciiTheme="minorHAnsi" w:hAnsiTheme="minorHAnsi" w:cstheme="minorHAnsi"/>
                <w:lang w:val="en-AU"/>
              </w:rPr>
              <w:t xml:space="preserve">to bring greater understanding on the importance of </w:t>
            </w:r>
            <w:r w:rsidR="00B17B04">
              <w:rPr>
                <w:rFonts w:asciiTheme="minorHAnsi" w:hAnsiTheme="minorHAnsi" w:cstheme="minorHAnsi"/>
                <w:lang w:val="en-AU"/>
              </w:rPr>
              <w:t>data collection and disaggregation</w:t>
            </w:r>
            <w:r w:rsidR="004232BA">
              <w:rPr>
                <w:rFonts w:asciiTheme="minorHAnsi" w:hAnsiTheme="minorHAnsi" w:cstheme="minorHAnsi"/>
                <w:lang w:val="en-AU"/>
              </w:rPr>
              <w:t xml:space="preserve"> and its role in upholding the rights of persons with disabilities</w:t>
            </w:r>
            <w:r w:rsidR="00304F7C">
              <w:rPr>
                <w:rFonts w:asciiTheme="minorHAnsi" w:hAnsiTheme="minorHAnsi" w:cstheme="minorHAnsi"/>
                <w:lang w:val="en-AU"/>
              </w:rPr>
              <w:t>, namely</w:t>
            </w:r>
            <w:r w:rsidR="004232BA">
              <w:rPr>
                <w:rFonts w:asciiTheme="minorHAnsi" w:hAnsiTheme="minorHAnsi" w:cstheme="minorHAnsi"/>
                <w:lang w:val="en-AU"/>
              </w:rPr>
              <w:t xml:space="preserve"> </w:t>
            </w:r>
            <w:proofErr w:type="gramStart"/>
            <w:r w:rsidR="00304F7C">
              <w:rPr>
                <w:rFonts w:asciiTheme="minorHAnsi" w:hAnsiTheme="minorHAnsi" w:cstheme="minorHAnsi"/>
                <w:lang w:val="en-AU"/>
              </w:rPr>
              <w:t>by</w:t>
            </w:r>
            <w:r w:rsidR="00C371B0">
              <w:rPr>
                <w:rFonts w:asciiTheme="minorHAnsi" w:hAnsiTheme="minorHAnsi" w:cstheme="minorHAnsi"/>
                <w:lang w:val="en-AU"/>
              </w:rPr>
              <w:t>:</w:t>
            </w:r>
            <w:proofErr w:type="gramEnd"/>
            <w:r w:rsidR="00304F7C">
              <w:rPr>
                <w:rFonts w:asciiTheme="minorHAnsi" w:hAnsiTheme="minorHAnsi" w:cstheme="minorHAnsi"/>
                <w:lang w:val="en-AU"/>
              </w:rPr>
              <w:t xml:space="preserve"> </w:t>
            </w:r>
            <w:r w:rsidR="00C371B0">
              <w:rPr>
                <w:rFonts w:asciiTheme="minorHAnsi" w:hAnsiTheme="minorHAnsi" w:cstheme="minorHAnsi"/>
                <w:lang w:val="en-AU"/>
              </w:rPr>
              <w:t xml:space="preserve">exposing the barriers to, and the disparity in </w:t>
            </w:r>
            <w:r w:rsidR="003203B3">
              <w:rPr>
                <w:rFonts w:asciiTheme="minorHAnsi" w:hAnsiTheme="minorHAnsi" w:cstheme="minorHAnsi"/>
                <w:lang w:val="en-AU"/>
              </w:rPr>
              <w:t xml:space="preserve">the </w:t>
            </w:r>
            <w:r w:rsidR="00C371B0">
              <w:rPr>
                <w:rFonts w:asciiTheme="minorHAnsi" w:hAnsiTheme="minorHAnsi" w:cstheme="minorHAnsi"/>
                <w:lang w:val="en-AU"/>
              </w:rPr>
              <w:t>enjoyment of rights experienced by persons with disabilities compared with the broader population;</w:t>
            </w:r>
            <w:r w:rsidR="00304F7C">
              <w:rPr>
                <w:rFonts w:asciiTheme="minorHAnsi" w:hAnsiTheme="minorHAnsi" w:cstheme="minorHAnsi"/>
                <w:lang w:val="en-AU"/>
              </w:rPr>
              <w:t xml:space="preserve"> </w:t>
            </w:r>
            <w:r w:rsidR="003203B3">
              <w:rPr>
                <w:rFonts w:asciiTheme="minorHAnsi" w:hAnsiTheme="minorHAnsi" w:cstheme="minorHAnsi"/>
                <w:lang w:val="en-AU"/>
              </w:rPr>
              <w:t>driving</w:t>
            </w:r>
            <w:r w:rsidR="004232BA">
              <w:rPr>
                <w:rFonts w:asciiTheme="minorHAnsi" w:hAnsiTheme="minorHAnsi" w:cstheme="minorHAnsi"/>
                <w:lang w:val="en-AU"/>
              </w:rPr>
              <w:t xml:space="preserve"> </w:t>
            </w:r>
            <w:r w:rsidR="003203B3">
              <w:rPr>
                <w:rFonts w:asciiTheme="minorHAnsi" w:hAnsiTheme="minorHAnsi" w:cstheme="minorHAnsi"/>
                <w:lang w:val="en-AU"/>
              </w:rPr>
              <w:t xml:space="preserve">informed </w:t>
            </w:r>
            <w:r w:rsidR="004232BA">
              <w:rPr>
                <w:rFonts w:asciiTheme="minorHAnsi" w:hAnsiTheme="minorHAnsi" w:cstheme="minorHAnsi"/>
                <w:lang w:val="en-AU"/>
              </w:rPr>
              <w:t>policies</w:t>
            </w:r>
            <w:r w:rsidR="00C371B0">
              <w:rPr>
                <w:rFonts w:asciiTheme="minorHAnsi" w:hAnsiTheme="minorHAnsi" w:cstheme="minorHAnsi"/>
                <w:lang w:val="en-AU"/>
              </w:rPr>
              <w:t xml:space="preserve"> </w:t>
            </w:r>
            <w:r w:rsidR="003203B3">
              <w:rPr>
                <w:rFonts w:asciiTheme="minorHAnsi" w:hAnsiTheme="minorHAnsi" w:cstheme="minorHAnsi"/>
                <w:lang w:val="en-AU"/>
              </w:rPr>
              <w:t>and programming</w:t>
            </w:r>
            <w:r w:rsidR="00C371B0">
              <w:rPr>
                <w:rFonts w:asciiTheme="minorHAnsi" w:hAnsiTheme="minorHAnsi" w:cstheme="minorHAnsi"/>
                <w:lang w:val="en-AU"/>
              </w:rPr>
              <w:t>;</w:t>
            </w:r>
            <w:r w:rsidR="00304F7C">
              <w:rPr>
                <w:rFonts w:asciiTheme="minorHAnsi" w:hAnsiTheme="minorHAnsi" w:cstheme="minorHAnsi"/>
                <w:lang w:val="en-AU"/>
              </w:rPr>
              <w:t xml:space="preserve"> and strengthening accountability</w:t>
            </w:r>
            <w:r w:rsidR="00C371B0">
              <w:rPr>
                <w:rFonts w:asciiTheme="minorHAnsi" w:hAnsiTheme="minorHAnsi" w:cstheme="minorHAnsi"/>
                <w:lang w:val="en-AU"/>
              </w:rPr>
              <w:t xml:space="preserve"> toward persons with disabilities.</w:t>
            </w:r>
            <w:r w:rsidR="00B17B04">
              <w:rPr>
                <w:rFonts w:asciiTheme="minorHAnsi" w:hAnsiTheme="minorHAnsi" w:cstheme="minorHAnsi"/>
                <w:lang w:val="en-AU"/>
              </w:rPr>
              <w:t xml:space="preserve"> </w:t>
            </w:r>
            <w:r w:rsidR="00C371B0">
              <w:rPr>
                <w:rFonts w:asciiTheme="minorHAnsi" w:hAnsiTheme="minorHAnsi" w:cstheme="minorHAnsi"/>
                <w:lang w:val="en-AU"/>
              </w:rPr>
              <w:t xml:space="preserve">The debate will </w:t>
            </w:r>
            <w:r w:rsidR="00C371B0">
              <w:rPr>
                <w:rFonts w:asciiTheme="minorHAnsi" w:hAnsiTheme="minorHAnsi" w:cstheme="minorHAnsi"/>
                <w:lang w:val="en-AU"/>
              </w:rPr>
              <w:lastRenderedPageBreak/>
              <w:t>explore the obligation to collect data as set out in the Convention and identify pract</w:t>
            </w:r>
            <w:r w:rsidR="003203B3">
              <w:rPr>
                <w:rFonts w:asciiTheme="minorHAnsi" w:hAnsiTheme="minorHAnsi" w:cstheme="minorHAnsi"/>
                <w:lang w:val="en-AU"/>
              </w:rPr>
              <w:t>ical approaches to implementation of article 31</w:t>
            </w:r>
            <w:r w:rsidR="00C371B0">
              <w:rPr>
                <w:rFonts w:asciiTheme="minorHAnsi" w:hAnsiTheme="minorHAnsi" w:cstheme="minorHAnsi"/>
                <w:lang w:val="en-AU"/>
              </w:rPr>
              <w:t xml:space="preserve"> </w:t>
            </w:r>
            <w:r w:rsidR="003203B3">
              <w:rPr>
                <w:rFonts w:asciiTheme="minorHAnsi" w:hAnsiTheme="minorHAnsi" w:cstheme="minorHAnsi"/>
                <w:lang w:val="en-AU"/>
              </w:rPr>
              <w:t>through the</w:t>
            </w:r>
            <w:r w:rsidR="00203BD7">
              <w:rPr>
                <w:rFonts w:asciiTheme="minorHAnsi" w:hAnsiTheme="minorHAnsi" w:cstheme="minorHAnsi"/>
                <w:lang w:val="en-AU"/>
              </w:rPr>
              <w:t xml:space="preserve"> expansion of sources (including community-based data collection)</w:t>
            </w:r>
            <w:r w:rsidR="00C371B0">
              <w:rPr>
                <w:rFonts w:asciiTheme="minorHAnsi" w:hAnsiTheme="minorHAnsi" w:cstheme="minorHAnsi"/>
                <w:lang w:val="en-AU"/>
              </w:rPr>
              <w:t>, harmonization</w:t>
            </w:r>
            <w:r w:rsidR="00203BD7">
              <w:rPr>
                <w:rFonts w:asciiTheme="minorHAnsi" w:hAnsiTheme="minorHAnsi" w:cstheme="minorHAnsi"/>
                <w:lang w:val="en-AU"/>
              </w:rPr>
              <w:t xml:space="preserve"> across data instruments</w:t>
            </w:r>
            <w:r w:rsidR="00C371B0">
              <w:rPr>
                <w:rFonts w:asciiTheme="minorHAnsi" w:hAnsiTheme="minorHAnsi" w:cstheme="minorHAnsi"/>
                <w:lang w:val="en-AU"/>
              </w:rPr>
              <w:t xml:space="preserve">, </w:t>
            </w:r>
            <w:r w:rsidR="002D0DED">
              <w:rPr>
                <w:rFonts w:asciiTheme="minorHAnsi" w:hAnsiTheme="minorHAnsi" w:cstheme="minorHAnsi"/>
                <w:lang w:val="en-AU"/>
              </w:rPr>
              <w:t xml:space="preserve">and </w:t>
            </w:r>
            <w:r w:rsidR="00203BD7">
              <w:rPr>
                <w:rFonts w:asciiTheme="minorHAnsi" w:hAnsiTheme="minorHAnsi" w:cstheme="minorHAnsi"/>
                <w:lang w:val="en-AU"/>
              </w:rPr>
              <w:t>the use of indicators</w:t>
            </w:r>
            <w:r w:rsidR="002D0DED">
              <w:rPr>
                <w:rFonts w:asciiTheme="minorHAnsi" w:hAnsiTheme="minorHAnsi" w:cstheme="minorHAnsi"/>
                <w:lang w:val="en-AU"/>
              </w:rPr>
              <w:t xml:space="preserve">. In addition, </w:t>
            </w:r>
            <w:r w:rsidR="003203B3">
              <w:rPr>
                <w:rFonts w:asciiTheme="minorHAnsi" w:hAnsiTheme="minorHAnsi" w:cstheme="minorHAnsi"/>
                <w:lang w:val="en-AU"/>
              </w:rPr>
              <w:t>the discussion will address the</w:t>
            </w:r>
            <w:r w:rsidR="002D0DED">
              <w:rPr>
                <w:rFonts w:asciiTheme="minorHAnsi" w:hAnsiTheme="minorHAnsi" w:cstheme="minorHAnsi"/>
                <w:lang w:val="en-AU"/>
              </w:rPr>
              <w:t xml:space="preserve"> </w:t>
            </w:r>
            <w:r w:rsidR="00E92AA7">
              <w:rPr>
                <w:rFonts w:asciiTheme="minorHAnsi" w:hAnsiTheme="minorHAnsi" w:cstheme="minorHAnsi"/>
                <w:lang w:val="en-AU"/>
              </w:rPr>
              <w:t>right to</w:t>
            </w:r>
            <w:r w:rsidR="002D0DED">
              <w:rPr>
                <w:rFonts w:asciiTheme="minorHAnsi" w:hAnsiTheme="minorHAnsi" w:cstheme="minorHAnsi"/>
                <w:lang w:val="en-AU"/>
              </w:rPr>
              <w:t xml:space="preserve"> privacy and confidentiality </w:t>
            </w:r>
            <w:r w:rsidR="00E92AA7">
              <w:rPr>
                <w:rFonts w:asciiTheme="minorHAnsi" w:hAnsiTheme="minorHAnsi" w:cstheme="minorHAnsi"/>
                <w:lang w:val="en-AU"/>
              </w:rPr>
              <w:t xml:space="preserve">of </w:t>
            </w:r>
            <w:r w:rsidR="002D0DED">
              <w:rPr>
                <w:rFonts w:asciiTheme="minorHAnsi" w:hAnsiTheme="minorHAnsi" w:cstheme="minorHAnsi"/>
                <w:lang w:val="en-AU"/>
              </w:rPr>
              <w:t xml:space="preserve">persons with disabilities </w:t>
            </w:r>
            <w:r w:rsidR="00E92AA7">
              <w:rPr>
                <w:rFonts w:asciiTheme="minorHAnsi" w:hAnsiTheme="minorHAnsi" w:cstheme="minorHAnsi"/>
                <w:lang w:val="en-AU"/>
              </w:rPr>
              <w:t>and</w:t>
            </w:r>
            <w:r w:rsidR="00323533">
              <w:rPr>
                <w:rFonts w:asciiTheme="minorHAnsi" w:hAnsiTheme="minorHAnsi" w:cstheme="minorHAnsi"/>
                <w:lang w:val="en-AU"/>
              </w:rPr>
              <w:t xml:space="preserve"> access to information to promote transparency and participation.</w:t>
            </w:r>
            <w:r w:rsidR="00E92AA7">
              <w:rPr>
                <w:rFonts w:asciiTheme="minorHAnsi" w:hAnsiTheme="minorHAnsi" w:cstheme="minorHAnsi"/>
                <w:lang w:val="en-AU"/>
              </w:rPr>
              <w:t xml:space="preserve"> </w:t>
            </w:r>
            <w:r w:rsidR="00333B61" w:rsidRPr="00CE6FDF">
              <w:rPr>
                <w:rFonts w:asciiTheme="minorHAnsi" w:hAnsiTheme="minorHAnsi" w:cstheme="minorHAnsi"/>
                <w:lang w:val="en-AU"/>
              </w:rPr>
              <w:t>An informal summary of the interactive debate will be prepared by the Office of the United Nations High Commissioner for Human Rights (OHCHR) and posted on the OHCHR website.</w:t>
            </w:r>
          </w:p>
        </w:tc>
      </w:tr>
      <w:tr w:rsidR="00333B61" w:rsidRPr="00283924" w14:paraId="4FB70327" w14:textId="77777777" w:rsidTr="00304796">
        <w:tc>
          <w:tcPr>
            <w:tcW w:w="1450" w:type="dxa"/>
            <w:shd w:val="clear" w:color="auto" w:fill="auto"/>
          </w:tcPr>
          <w:p w14:paraId="3DB8788B" w14:textId="77777777" w:rsidR="00333B61" w:rsidRPr="00E758A9" w:rsidRDefault="00333B61" w:rsidP="00333B61">
            <w:pPr>
              <w:spacing w:after="0" w:line="240" w:lineRule="auto"/>
              <w:rPr>
                <w:rFonts w:cs="Arial"/>
                <w:b/>
              </w:rPr>
            </w:pPr>
            <w:r w:rsidRPr="00E758A9">
              <w:rPr>
                <w:rFonts w:cs="Arial"/>
                <w:b/>
              </w:rPr>
              <w:lastRenderedPageBreak/>
              <w:t xml:space="preserve">Mandate: </w:t>
            </w:r>
          </w:p>
        </w:tc>
        <w:tc>
          <w:tcPr>
            <w:tcW w:w="8756" w:type="dxa"/>
            <w:shd w:val="clear" w:color="auto" w:fill="auto"/>
          </w:tcPr>
          <w:p w14:paraId="68F53D0B" w14:textId="6757666C" w:rsidR="00333B61" w:rsidRDefault="00136AD2" w:rsidP="00333B61">
            <w:pPr>
              <w:spacing w:after="160" w:line="240" w:lineRule="auto"/>
              <w:jc w:val="both"/>
              <w:rPr>
                <w:lang w:val="en-AU"/>
              </w:rPr>
            </w:pPr>
            <w:r>
              <w:t xml:space="preserve">In its resolution </w:t>
            </w:r>
            <w:hyperlink r:id="rId12" w:history="1">
              <w:r w:rsidRPr="00C13CEB">
                <w:rPr>
                  <w:rStyle w:val="Hyperlink"/>
                </w:rPr>
                <w:t>43/23</w:t>
              </w:r>
            </w:hyperlink>
            <w:r w:rsidR="00333B61" w:rsidRPr="00333B61">
              <w:t xml:space="preserve">, the Human Rights Council </w:t>
            </w:r>
            <w:r w:rsidR="00333B61" w:rsidRPr="00E758A9">
              <w:rPr>
                <w:lang w:val="en-AU"/>
              </w:rPr>
              <w:t xml:space="preserve">decided that the annual interactive debate on the rights of persons with disabilities to be held at its </w:t>
            </w:r>
            <w:r w:rsidR="00333B61">
              <w:rPr>
                <w:lang w:val="en-AU"/>
              </w:rPr>
              <w:t>forty-</w:t>
            </w:r>
            <w:r w:rsidR="00BC3C25">
              <w:rPr>
                <w:lang w:val="en-AU"/>
              </w:rPr>
              <w:t>ninth</w:t>
            </w:r>
            <w:r w:rsidR="00333B61">
              <w:rPr>
                <w:lang w:val="en-AU"/>
              </w:rPr>
              <w:t xml:space="preserve"> </w:t>
            </w:r>
            <w:r w:rsidR="00333B61" w:rsidRPr="00E758A9">
              <w:rPr>
                <w:lang w:val="en-AU"/>
              </w:rPr>
              <w:t xml:space="preserve">session would focus on </w:t>
            </w:r>
            <w:r w:rsidR="00BC3C25">
              <w:t>statistics and data collection</w:t>
            </w:r>
            <w:r w:rsidR="00333B61" w:rsidRPr="00333B61">
              <w:t xml:space="preserve"> </w:t>
            </w:r>
            <w:r w:rsidR="00BC3C25">
              <w:t>under article 31</w:t>
            </w:r>
            <w:r w:rsidR="00333B61" w:rsidRPr="00333B61">
              <w:t xml:space="preserve"> of the Convention on the Rights of Persons </w:t>
            </w:r>
            <w:r w:rsidR="00333B61">
              <w:t>with Disabilities, and would have international sign interpretation and captioning</w:t>
            </w:r>
            <w:r w:rsidR="00333B61" w:rsidRPr="00E758A9">
              <w:rPr>
                <w:lang w:val="en-AU"/>
              </w:rPr>
              <w:t xml:space="preserve">. The Council requested the OHCHR to prepare the annual study on the rights of persons with disabilities for its </w:t>
            </w:r>
            <w:r w:rsidR="00333B61">
              <w:rPr>
                <w:lang w:val="en-AU"/>
              </w:rPr>
              <w:t>forty-</w:t>
            </w:r>
            <w:r w:rsidR="00BC3C25">
              <w:rPr>
                <w:lang w:val="en-AU"/>
              </w:rPr>
              <w:t>ninth</w:t>
            </w:r>
            <w:r w:rsidR="00333B61">
              <w:rPr>
                <w:lang w:val="en-AU"/>
              </w:rPr>
              <w:t xml:space="preserve"> </w:t>
            </w:r>
            <w:r w:rsidR="00333B61" w:rsidRPr="00E758A9">
              <w:rPr>
                <w:lang w:val="en-AU"/>
              </w:rPr>
              <w:t xml:space="preserve">session </w:t>
            </w:r>
            <w:r w:rsidR="000650DA">
              <w:t xml:space="preserve">on </w:t>
            </w:r>
            <w:r w:rsidR="00BC3C25">
              <w:t>statistics and data collection</w:t>
            </w:r>
            <w:r w:rsidR="00333B61" w:rsidRPr="00E758A9">
              <w:rPr>
                <w:lang w:val="en-AU"/>
              </w:rPr>
              <w:t xml:space="preserve">, in consultation with States and other relevant stakeholders, regional organizations, the Special Rapporteur on the rights of persons with disabilities, civil society organizations, including organizations of persons with disabilities, and national human rights institutions, requiring contributions to be submitted in an accessible format, and requested that such stakeholder contributions, the study and an easy-to-read-version of it, be made available on the website of the Office, in an accessible format, prior to the session. </w:t>
            </w:r>
          </w:p>
          <w:p w14:paraId="2333B2F4" w14:textId="16DD2594" w:rsidR="00333B61" w:rsidRPr="00E758A9" w:rsidRDefault="00333B61" w:rsidP="002169F8">
            <w:pPr>
              <w:spacing w:after="160" w:line="240" w:lineRule="auto"/>
              <w:jc w:val="both"/>
              <w:rPr>
                <w:rFonts w:ascii="Times New Roman" w:hAnsi="Times New Roman"/>
                <w:b/>
                <w:bCs/>
                <w:sz w:val="23"/>
                <w:szCs w:val="23"/>
                <w:u w:val="single"/>
                <w:lang w:val="en-US"/>
              </w:rPr>
            </w:pPr>
            <w:r w:rsidRPr="00E758A9">
              <w:rPr>
                <w:lang w:val="en-AU"/>
              </w:rPr>
              <w:t xml:space="preserve">To this end, OHCHR invited States and all the </w:t>
            </w:r>
            <w:proofErr w:type="gramStart"/>
            <w:r w:rsidRPr="00E758A9">
              <w:rPr>
                <w:lang w:val="en-AU"/>
              </w:rPr>
              <w:t>aforementioned stakeholders</w:t>
            </w:r>
            <w:proofErr w:type="gramEnd"/>
            <w:r w:rsidRPr="00E758A9">
              <w:rPr>
                <w:lang w:val="en-AU"/>
              </w:rPr>
              <w:t xml:space="preserve"> to provide responses to a set of questions </w:t>
            </w:r>
            <w:r w:rsidRPr="00F80FB8">
              <w:rPr>
                <w:lang w:val="en-AU"/>
              </w:rPr>
              <w:t>concerning existing legislation, policie</w:t>
            </w:r>
            <w:r w:rsidR="00F61A39">
              <w:rPr>
                <w:lang w:val="en-AU"/>
              </w:rPr>
              <w:t xml:space="preserve">s and </w:t>
            </w:r>
            <w:r w:rsidR="002169F8">
              <w:rPr>
                <w:lang w:val="en-AU"/>
              </w:rPr>
              <w:t>practices on statistics and data collection relating to persons with disabilities</w:t>
            </w:r>
            <w:r w:rsidRPr="00F80FB8">
              <w:rPr>
                <w:lang w:val="en-AU"/>
              </w:rPr>
              <w:t>. OHCHR</w:t>
            </w:r>
            <w:r w:rsidRPr="00E758A9">
              <w:rPr>
                <w:lang w:val="en-AU"/>
              </w:rPr>
              <w:t xml:space="preserve"> received </w:t>
            </w:r>
            <w:r w:rsidR="00450F17">
              <w:rPr>
                <w:lang w:val="en-AU"/>
              </w:rPr>
              <w:t>30</w:t>
            </w:r>
            <w:r w:rsidRPr="00E758A9">
              <w:rPr>
                <w:lang w:val="en-AU"/>
              </w:rPr>
              <w:t xml:space="preserve"> responses from States</w:t>
            </w:r>
            <w:r w:rsidR="004C1A32">
              <w:rPr>
                <w:lang w:val="en-AU"/>
              </w:rPr>
              <w:t xml:space="preserve">, </w:t>
            </w:r>
            <w:r w:rsidR="0036464B">
              <w:rPr>
                <w:lang w:val="en-AU"/>
              </w:rPr>
              <w:t>4</w:t>
            </w:r>
            <w:r w:rsidR="000650DA">
              <w:rPr>
                <w:lang w:val="en-AU"/>
              </w:rPr>
              <w:t xml:space="preserve"> from intergovernmental organizations and </w:t>
            </w:r>
            <w:r w:rsidR="0036464B">
              <w:rPr>
                <w:lang w:val="en-AU"/>
              </w:rPr>
              <w:t>12</w:t>
            </w:r>
            <w:r w:rsidRPr="00AD33A1">
              <w:rPr>
                <w:lang w:val="en-AU"/>
              </w:rPr>
              <w:t xml:space="preserve"> responses from civil society organizations.</w:t>
            </w:r>
            <w:r w:rsidRPr="00AD33A1">
              <w:rPr>
                <w:vertAlign w:val="superscript"/>
                <w:lang w:val="en-AU"/>
              </w:rPr>
              <w:footnoteReference w:id="1"/>
            </w:r>
            <w:r w:rsidRPr="00AD33A1">
              <w:rPr>
                <w:lang w:val="en-AU"/>
              </w:rPr>
              <w:t xml:space="preserve"> These responses informed the report </w:t>
            </w:r>
            <w:r w:rsidRPr="00AD33A1">
              <w:rPr>
                <w:bCs/>
                <w:lang w:val="en-US"/>
              </w:rPr>
              <w:t xml:space="preserve">of OHCHR on </w:t>
            </w:r>
            <w:r w:rsidR="00BC3C25">
              <w:rPr>
                <w:bCs/>
                <w:lang w:val="en-US"/>
              </w:rPr>
              <w:t>stati</w:t>
            </w:r>
            <w:r w:rsidR="004C1A32">
              <w:rPr>
                <w:bCs/>
                <w:lang w:val="en-US"/>
              </w:rPr>
              <w:t>s</w:t>
            </w:r>
            <w:r w:rsidR="00BC3C25">
              <w:rPr>
                <w:bCs/>
                <w:lang w:val="en-US"/>
              </w:rPr>
              <w:t>tics and data collection under article 31</w:t>
            </w:r>
            <w:r w:rsidRPr="00AD33A1">
              <w:rPr>
                <w:bCs/>
                <w:lang w:val="en-US"/>
              </w:rPr>
              <w:t xml:space="preserve"> of the Convention on the Rights of Persons with Disabilities (document</w:t>
            </w:r>
            <w:r w:rsidR="004C1A32">
              <w:t xml:space="preserve"> </w:t>
            </w:r>
            <w:r w:rsidR="00BC3C25">
              <w:rPr>
                <w:bCs/>
                <w:lang w:val="en-US"/>
              </w:rPr>
              <w:t>A/HRC/49/</w:t>
            </w:r>
            <w:r w:rsidR="007F5F56">
              <w:rPr>
                <w:bCs/>
                <w:lang w:val="en-US"/>
              </w:rPr>
              <w:t>60</w:t>
            </w:r>
            <w:r w:rsidRPr="00AD33A1">
              <w:rPr>
                <w:bCs/>
                <w:lang w:val="en-US"/>
              </w:rPr>
              <w:t>).</w:t>
            </w:r>
          </w:p>
        </w:tc>
      </w:tr>
      <w:tr w:rsidR="00333B61" w:rsidRPr="00283924" w14:paraId="7B31A97F" w14:textId="77777777" w:rsidTr="00EC0DE0">
        <w:trPr>
          <w:trHeight w:val="80"/>
        </w:trPr>
        <w:tc>
          <w:tcPr>
            <w:tcW w:w="1450" w:type="dxa"/>
            <w:shd w:val="clear" w:color="auto" w:fill="auto"/>
          </w:tcPr>
          <w:p w14:paraId="3B00D239" w14:textId="77777777" w:rsidR="00333B61" w:rsidRPr="00283924" w:rsidRDefault="00333B61" w:rsidP="00333B61">
            <w:pPr>
              <w:spacing w:after="0" w:line="240" w:lineRule="auto"/>
              <w:rPr>
                <w:rFonts w:cs="Arial"/>
                <w:b/>
              </w:rPr>
            </w:pPr>
            <w:r w:rsidRPr="00283924">
              <w:rPr>
                <w:rFonts w:cs="Arial"/>
                <w:b/>
              </w:rPr>
              <w:t xml:space="preserve">Format: </w:t>
            </w:r>
          </w:p>
        </w:tc>
        <w:tc>
          <w:tcPr>
            <w:tcW w:w="8756" w:type="dxa"/>
            <w:shd w:val="clear" w:color="auto" w:fill="auto"/>
          </w:tcPr>
          <w:p w14:paraId="337EAE5A" w14:textId="385E1C42" w:rsidR="007E3266" w:rsidRPr="007E3266" w:rsidRDefault="00333B61" w:rsidP="007E3266">
            <w:pPr>
              <w:spacing w:after="160" w:line="240" w:lineRule="auto"/>
              <w:jc w:val="both"/>
              <w:rPr>
                <w:rFonts w:cs="Calibri"/>
                <w:bCs/>
              </w:rPr>
            </w:pPr>
            <w:r w:rsidRPr="00E97E94">
              <w:rPr>
                <w:rFonts w:cs="Calibri"/>
                <w:bCs/>
              </w:rPr>
              <w:t xml:space="preserve">The </w:t>
            </w:r>
            <w:r w:rsidR="007E3266">
              <w:rPr>
                <w:rFonts w:cs="Calibri"/>
                <w:bCs/>
              </w:rPr>
              <w:t>annual debate</w:t>
            </w:r>
            <w:r w:rsidR="007E3266" w:rsidRPr="007E3266">
              <w:rPr>
                <w:rFonts w:cs="Calibri"/>
                <w:bCs/>
              </w:rPr>
              <w:t xml:space="preserve"> will be limited to two hours. The opening statement and initial presentations by the panellists will be followed by an interactive discussion divided into two </w:t>
            </w:r>
            <w:r w:rsidR="00D26A1B">
              <w:rPr>
                <w:rFonts w:cs="Calibri"/>
                <w:bCs/>
              </w:rPr>
              <w:t>segments</w:t>
            </w:r>
            <w:r w:rsidR="007E3266" w:rsidRPr="007E3266">
              <w:rPr>
                <w:rFonts w:cs="Calibri"/>
                <w:bCs/>
              </w:rPr>
              <w:t xml:space="preserve">. A maximum of one hour will be set aside for the podium, including </w:t>
            </w:r>
            <w:r w:rsidR="004A1D2A">
              <w:rPr>
                <w:rFonts w:cs="Calibri"/>
                <w:bCs/>
              </w:rPr>
              <w:t xml:space="preserve">the </w:t>
            </w:r>
            <w:r w:rsidR="007E3266" w:rsidRPr="007E3266">
              <w:rPr>
                <w:rFonts w:cs="Calibri"/>
                <w:bCs/>
              </w:rPr>
              <w:t xml:space="preserve">opening statement, panellists’ presentations and their responses to questions and concluding remarks. The remaining hour will be reserved for two </w:t>
            </w:r>
            <w:r w:rsidR="00D26A1B">
              <w:rPr>
                <w:rFonts w:cs="Calibri"/>
                <w:bCs/>
              </w:rPr>
              <w:t>segments</w:t>
            </w:r>
            <w:r w:rsidR="007E3266" w:rsidRPr="007E3266">
              <w:rPr>
                <w:rFonts w:cs="Calibri"/>
                <w:bCs/>
              </w:rPr>
              <w:t xml:space="preserve"> of interventions from the floor</w:t>
            </w:r>
            <w:r w:rsidR="005934FC">
              <w:rPr>
                <w:rFonts w:cs="Calibri"/>
                <w:bCs/>
              </w:rPr>
              <w:t>, with each segment consisting of interventions from 12</w:t>
            </w:r>
            <w:r w:rsidR="007E3266" w:rsidRPr="007E3266">
              <w:rPr>
                <w:rFonts w:cs="Calibri"/>
                <w:bCs/>
              </w:rPr>
              <w:t xml:space="preserve"> States </w:t>
            </w:r>
            <w:r w:rsidR="005934FC">
              <w:rPr>
                <w:rFonts w:cs="Calibri"/>
                <w:bCs/>
              </w:rPr>
              <w:t>or</w:t>
            </w:r>
            <w:r w:rsidR="007E3266" w:rsidRPr="007E3266">
              <w:rPr>
                <w:rFonts w:cs="Calibri"/>
                <w:bCs/>
              </w:rPr>
              <w:t xml:space="preserve"> observers, </w:t>
            </w:r>
            <w:r w:rsidR="005934FC">
              <w:rPr>
                <w:rFonts w:cs="Calibri"/>
                <w:bCs/>
              </w:rPr>
              <w:t xml:space="preserve">1 </w:t>
            </w:r>
            <w:r w:rsidR="007E3266" w:rsidRPr="007E3266">
              <w:rPr>
                <w:rFonts w:cs="Calibri"/>
                <w:bCs/>
              </w:rPr>
              <w:t xml:space="preserve">national human rights institution and </w:t>
            </w:r>
            <w:r w:rsidR="005934FC">
              <w:rPr>
                <w:rFonts w:cs="Calibri"/>
                <w:bCs/>
              </w:rPr>
              <w:t xml:space="preserve">two </w:t>
            </w:r>
            <w:r w:rsidR="007E3266" w:rsidRPr="007E3266">
              <w:rPr>
                <w:rFonts w:cs="Calibri"/>
                <w:bCs/>
              </w:rPr>
              <w:t xml:space="preserve">non-governmental organizations. </w:t>
            </w:r>
          </w:p>
          <w:p w14:paraId="1D5FB1B8" w14:textId="573585F6" w:rsidR="007E3266" w:rsidRPr="007E3266" w:rsidRDefault="007E3266" w:rsidP="00A0666D">
            <w:pPr>
              <w:spacing w:after="160" w:line="240" w:lineRule="auto"/>
              <w:jc w:val="both"/>
              <w:rPr>
                <w:rFonts w:cs="Calibri"/>
                <w:bCs/>
              </w:rPr>
            </w:pPr>
            <w:r w:rsidRPr="00850FD0">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p>
        </w:tc>
      </w:tr>
      <w:tr w:rsidR="00333B61" w:rsidRPr="00283924" w14:paraId="03038CA2" w14:textId="77777777" w:rsidTr="00304796">
        <w:tc>
          <w:tcPr>
            <w:tcW w:w="1450" w:type="dxa"/>
            <w:shd w:val="clear" w:color="auto" w:fill="auto"/>
          </w:tcPr>
          <w:p w14:paraId="3B405C2E" w14:textId="77777777" w:rsidR="00333B61" w:rsidRPr="003E4646" w:rsidRDefault="00333B61" w:rsidP="00333B61">
            <w:pPr>
              <w:spacing w:after="0" w:line="240" w:lineRule="auto"/>
              <w:rPr>
                <w:rFonts w:cs="Arial"/>
                <w:b/>
                <w:bCs/>
              </w:rPr>
            </w:pPr>
            <w:r w:rsidRPr="003E4646">
              <w:rPr>
                <w:rFonts w:cs="Arial"/>
                <w:b/>
                <w:bCs/>
              </w:rPr>
              <w:t>Accessibility</w:t>
            </w:r>
            <w:r>
              <w:rPr>
                <w:rFonts w:cs="Arial"/>
                <w:b/>
                <w:bCs/>
              </w:rPr>
              <w:t>:</w:t>
            </w:r>
          </w:p>
          <w:p w14:paraId="2F1D320B" w14:textId="77777777" w:rsidR="00333B61" w:rsidRPr="00283924" w:rsidRDefault="00333B61" w:rsidP="00333B61">
            <w:pPr>
              <w:spacing w:after="0" w:line="240" w:lineRule="auto"/>
              <w:rPr>
                <w:rFonts w:cs="Arial"/>
                <w:b/>
              </w:rPr>
            </w:pPr>
          </w:p>
        </w:tc>
        <w:tc>
          <w:tcPr>
            <w:tcW w:w="8756" w:type="dxa"/>
            <w:shd w:val="clear" w:color="auto" w:fill="auto"/>
          </w:tcPr>
          <w:p w14:paraId="0E15A7F7" w14:textId="5F404B6F" w:rsidR="007E3266" w:rsidRPr="00CE53C0" w:rsidRDefault="00333B61" w:rsidP="00062D97">
            <w:pPr>
              <w:spacing w:after="160" w:line="240" w:lineRule="auto"/>
              <w:jc w:val="both"/>
              <w:rPr>
                <w:bCs/>
                <w:lang w:val="en-US"/>
              </w:rPr>
            </w:pPr>
            <w:r w:rsidRPr="00084ADC">
              <w:rPr>
                <w:bCs/>
                <w:lang w:val="en-US"/>
              </w:rPr>
              <w:t>In an effort to render the Human Rights Council more accessible to persons with disabilities and to promote their full participation in the work of the Council on an equal basis with others, th</w:t>
            </w:r>
            <w:r w:rsidR="00836EC1">
              <w:rPr>
                <w:bCs/>
                <w:lang w:val="en-US"/>
              </w:rPr>
              <w:t>e interactive debate</w:t>
            </w:r>
            <w:r w:rsidRPr="00084ADC">
              <w:rPr>
                <w:bCs/>
                <w:lang w:val="en-US"/>
              </w:rPr>
              <w:t xml:space="preserve"> will be </w:t>
            </w:r>
            <w:r w:rsidR="0038356D">
              <w:rPr>
                <w:bCs/>
                <w:lang w:val="en-US"/>
              </w:rPr>
              <w:t xml:space="preserve">webcast and </w:t>
            </w:r>
            <w:r w:rsidRPr="00084ADC">
              <w:rPr>
                <w:bCs/>
                <w:lang w:val="en-US"/>
              </w:rPr>
              <w:t xml:space="preserve">made accessible. </w:t>
            </w:r>
            <w:r w:rsidR="00A0666D">
              <w:rPr>
                <w:bCs/>
                <w:lang w:val="en-US"/>
              </w:rPr>
              <w:t>I</w:t>
            </w:r>
            <w:r w:rsidRPr="00084ADC">
              <w:rPr>
                <w:bCs/>
                <w:lang w:val="en-US"/>
              </w:rPr>
              <w:t xml:space="preserve">nternational sign </w:t>
            </w:r>
            <w:r w:rsidRPr="00A0666D">
              <w:rPr>
                <w:bCs/>
                <w:lang w:val="en-US"/>
              </w:rPr>
              <w:t>interpretation and real-time captioning in English will be provided</w:t>
            </w:r>
            <w:r w:rsidR="0038356D">
              <w:rPr>
                <w:bCs/>
                <w:lang w:val="en-US"/>
              </w:rPr>
              <w:t>.</w:t>
            </w:r>
            <w:r w:rsidRPr="00A0666D">
              <w:rPr>
                <w:bCs/>
                <w:lang w:val="en-US"/>
              </w:rPr>
              <w:t xml:space="preserve"> </w:t>
            </w:r>
            <w:r w:rsidR="0038356D">
              <w:rPr>
                <w:bCs/>
                <w:lang w:val="en-US"/>
              </w:rPr>
              <w:t>D</w:t>
            </w:r>
            <w:proofErr w:type="spellStart"/>
            <w:r w:rsidR="00C94568" w:rsidRPr="00A0666D">
              <w:rPr>
                <w:bCs/>
              </w:rPr>
              <w:t>uring</w:t>
            </w:r>
            <w:proofErr w:type="spellEnd"/>
            <w:r w:rsidR="00C94568" w:rsidRPr="00A0666D">
              <w:rPr>
                <w:bCs/>
              </w:rPr>
              <w:t xml:space="preserve"> the event itself</w:t>
            </w:r>
            <w:r w:rsidR="00C94568">
              <w:rPr>
                <w:bCs/>
              </w:rPr>
              <w:t xml:space="preserve">, </w:t>
            </w:r>
            <w:r w:rsidR="00A0666D">
              <w:rPr>
                <w:bCs/>
              </w:rPr>
              <w:t xml:space="preserve">participants can access </w:t>
            </w:r>
            <w:r w:rsidR="00A0666D" w:rsidRPr="00A0666D">
              <w:rPr>
                <w:bCs/>
              </w:rPr>
              <w:t xml:space="preserve">live English captioning </w:t>
            </w:r>
            <w:r w:rsidR="00A0666D">
              <w:rPr>
                <w:bCs/>
              </w:rPr>
              <w:t xml:space="preserve">on the </w:t>
            </w:r>
            <w:proofErr w:type="spellStart"/>
            <w:r w:rsidR="0038356D">
              <w:rPr>
                <w:bCs/>
              </w:rPr>
              <w:t>StreamText</w:t>
            </w:r>
            <w:proofErr w:type="spellEnd"/>
            <w:r w:rsidR="0038356D">
              <w:rPr>
                <w:bCs/>
              </w:rPr>
              <w:t xml:space="preserve"> web page</w:t>
            </w:r>
            <w:r w:rsidR="00A0666D">
              <w:rPr>
                <w:bCs/>
              </w:rPr>
              <w:t xml:space="preserve"> </w:t>
            </w:r>
            <w:r w:rsidR="0038356D">
              <w:rPr>
                <w:bCs/>
              </w:rPr>
              <w:t>(</w:t>
            </w:r>
            <w:hyperlink r:id="rId13" w:history="1">
              <w:r w:rsidR="00A0666D" w:rsidRPr="00A0666D">
                <w:rPr>
                  <w:rStyle w:val="Hyperlink"/>
                  <w:bCs/>
                </w:rPr>
                <w:t>https://www.streamtext.net/player?event=CFI-UNOG</w:t>
              </w:r>
            </w:hyperlink>
            <w:r w:rsidR="00A0666D" w:rsidRPr="00A0666D">
              <w:rPr>
                <w:bCs/>
              </w:rPr>
              <w:t xml:space="preserve">). </w:t>
            </w:r>
            <w:r w:rsidR="0038356D"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38356D" w:rsidRPr="00DA7E4F">
              <w:rPr>
                <w:i/>
              </w:rPr>
              <w:t>The accessibility guide to the Human Rights Council for persons with disabilities</w:t>
            </w:r>
            <w:r w:rsidR="0038356D" w:rsidRPr="00DA7E4F">
              <w:t xml:space="preserve"> (</w:t>
            </w:r>
            <w:hyperlink r:id="rId14" w:history="1">
              <w:r w:rsidR="0038356D" w:rsidRPr="003F692C">
                <w:rPr>
                  <w:color w:val="0000FF"/>
                  <w:u w:val="single"/>
                </w:rPr>
                <w:t>https://www.ohchr.org/EN/HRBodies/HRC/Pages/Accessibility.aspx</w:t>
              </w:r>
            </w:hyperlink>
            <w:r w:rsidR="0038356D" w:rsidRPr="00DA7E4F">
              <w:t>).</w:t>
            </w:r>
          </w:p>
        </w:tc>
      </w:tr>
      <w:tr w:rsidR="00333B61" w:rsidRPr="00283924" w14:paraId="19CEE151" w14:textId="77777777" w:rsidTr="00304796">
        <w:tc>
          <w:tcPr>
            <w:tcW w:w="1450" w:type="dxa"/>
            <w:shd w:val="clear" w:color="auto" w:fill="auto"/>
          </w:tcPr>
          <w:p w14:paraId="3A36E7B6" w14:textId="77777777" w:rsidR="00333B61" w:rsidRPr="00283924" w:rsidRDefault="00333B61" w:rsidP="00333B61">
            <w:pPr>
              <w:spacing w:after="0" w:line="240" w:lineRule="auto"/>
              <w:rPr>
                <w:rFonts w:cs="Arial"/>
                <w:b/>
              </w:rPr>
            </w:pPr>
            <w:r w:rsidRPr="00283924">
              <w:rPr>
                <w:rFonts w:cs="Arial"/>
                <w:b/>
              </w:rPr>
              <w:t>Background:</w:t>
            </w:r>
          </w:p>
        </w:tc>
        <w:tc>
          <w:tcPr>
            <w:tcW w:w="8756" w:type="dxa"/>
            <w:shd w:val="clear" w:color="auto" w:fill="auto"/>
          </w:tcPr>
          <w:p w14:paraId="375D6C89" w14:textId="6ED30366" w:rsidR="007A3017" w:rsidRDefault="007A3017" w:rsidP="00333B61">
            <w:pPr>
              <w:spacing w:after="160" w:line="240" w:lineRule="auto"/>
              <w:jc w:val="both"/>
              <w:rPr>
                <w:rFonts w:asciiTheme="minorHAnsi" w:hAnsiTheme="minorHAnsi" w:cstheme="minorHAnsi"/>
              </w:rPr>
            </w:pPr>
            <w:r>
              <w:t>Under article 31 of the treaty, States commit to “</w:t>
            </w:r>
            <w:r w:rsidRPr="006B6834">
              <w:t xml:space="preserve">undertake to collect appropriate information, including statistical and research data, to enable them to formulate and implement policies to </w:t>
            </w:r>
            <w:r w:rsidRPr="006B6834">
              <w:lastRenderedPageBreak/>
              <w:t>give effect to the present Convention</w:t>
            </w:r>
            <w:r>
              <w:t>.”</w:t>
            </w:r>
            <w:r>
              <w:rPr>
                <w:rStyle w:val="FootnoteReference"/>
              </w:rPr>
              <w:footnoteReference w:id="2"/>
            </w:r>
            <w:r>
              <w:t xml:space="preserve"> Hence, data collection should aim at fulfilling the purpose of the treaty and measurement should address both dimensions of disability, the individual dimension, identifying persons with disabilities and, the social dimension, the barriers that hinder their effective participation on an equal basis with others</w:t>
            </w:r>
            <w:r w:rsidRPr="00E66A69">
              <w:t>.</w:t>
            </w:r>
          </w:p>
          <w:p w14:paraId="01D0FF75" w14:textId="086BD084" w:rsidR="000A7C24" w:rsidRPr="000F5726" w:rsidRDefault="00D3307D" w:rsidP="00333B61">
            <w:pPr>
              <w:spacing w:after="160" w:line="240" w:lineRule="auto"/>
              <w:jc w:val="both"/>
              <w:rPr>
                <w:rFonts w:asciiTheme="minorHAnsi" w:hAnsiTheme="minorHAnsi" w:cstheme="minorHAnsi"/>
                <w:bCs/>
              </w:rPr>
            </w:pPr>
            <w:r>
              <w:rPr>
                <w:rFonts w:asciiTheme="minorHAnsi" w:hAnsiTheme="minorHAnsi" w:cstheme="minorHAnsi"/>
                <w:bCs/>
              </w:rPr>
              <w:t>Across the globe, persons</w:t>
            </w:r>
            <w:r w:rsidRPr="00D3307D">
              <w:rPr>
                <w:rFonts w:asciiTheme="minorHAnsi" w:hAnsiTheme="minorHAnsi" w:cstheme="minorHAnsi"/>
                <w:bCs/>
              </w:rPr>
              <w:t xml:space="preserve"> with disabilities </w:t>
            </w:r>
            <w:r>
              <w:rPr>
                <w:rFonts w:asciiTheme="minorHAnsi" w:hAnsiTheme="minorHAnsi" w:cstheme="minorHAnsi"/>
                <w:bCs/>
              </w:rPr>
              <w:t xml:space="preserve">continue to be left behind and overlooked in policy reform and development due to </w:t>
            </w:r>
            <w:r w:rsidR="002D2084">
              <w:rPr>
                <w:rFonts w:asciiTheme="minorHAnsi" w:hAnsiTheme="minorHAnsi" w:cstheme="minorHAnsi"/>
                <w:bCs/>
              </w:rPr>
              <w:t>the absence of</w:t>
            </w:r>
            <w:r>
              <w:rPr>
                <w:rFonts w:asciiTheme="minorHAnsi" w:hAnsiTheme="minorHAnsi" w:cstheme="minorHAnsi"/>
                <w:bCs/>
              </w:rPr>
              <w:t xml:space="preserve"> information and data about them.</w:t>
            </w:r>
            <w:r w:rsidR="000A502E">
              <w:rPr>
                <w:rFonts w:asciiTheme="minorHAnsi" w:hAnsiTheme="minorHAnsi" w:cstheme="minorHAnsi"/>
                <w:bCs/>
              </w:rPr>
              <w:t xml:space="preserve"> Efforts to collect data, such as censuses and household surveys, </w:t>
            </w:r>
            <w:r w:rsidR="006E7E02" w:rsidRPr="0036464B">
              <w:rPr>
                <w:rFonts w:asciiTheme="minorHAnsi" w:hAnsiTheme="minorHAnsi" w:cstheme="minorHAnsi"/>
                <w:bCs/>
              </w:rPr>
              <w:t xml:space="preserve">often </w:t>
            </w:r>
            <w:r w:rsidR="000A502E">
              <w:rPr>
                <w:rFonts w:asciiTheme="minorHAnsi" w:hAnsiTheme="minorHAnsi" w:cstheme="minorHAnsi"/>
                <w:bCs/>
              </w:rPr>
              <w:t xml:space="preserve">fail to systematically </w:t>
            </w:r>
            <w:r w:rsidR="002D2084">
              <w:rPr>
                <w:rFonts w:asciiTheme="minorHAnsi" w:hAnsiTheme="minorHAnsi" w:cstheme="minorHAnsi"/>
                <w:bCs/>
              </w:rPr>
              <w:t>disaggregate</w:t>
            </w:r>
            <w:r w:rsidR="000A502E">
              <w:rPr>
                <w:rFonts w:asciiTheme="minorHAnsi" w:hAnsiTheme="minorHAnsi" w:cstheme="minorHAnsi"/>
                <w:bCs/>
              </w:rPr>
              <w:t xml:space="preserve"> by disability, thereby losing important opportunities </w:t>
            </w:r>
            <w:r w:rsidR="002E51AF">
              <w:rPr>
                <w:rFonts w:asciiTheme="minorHAnsi" w:hAnsiTheme="minorHAnsi" w:cstheme="minorHAnsi"/>
                <w:bCs/>
              </w:rPr>
              <w:t>to establish a baseline to know, compare and advance the situation of</w:t>
            </w:r>
            <w:r w:rsidR="000A502E">
              <w:rPr>
                <w:rFonts w:asciiTheme="minorHAnsi" w:hAnsiTheme="minorHAnsi" w:cstheme="minorHAnsi"/>
                <w:bCs/>
              </w:rPr>
              <w:t xml:space="preserve"> persons with disabilities </w:t>
            </w:r>
            <w:r w:rsidR="002E51AF">
              <w:rPr>
                <w:rFonts w:asciiTheme="minorHAnsi" w:hAnsiTheme="minorHAnsi" w:cstheme="minorHAnsi"/>
                <w:bCs/>
              </w:rPr>
              <w:t>in relation with</w:t>
            </w:r>
            <w:r w:rsidR="000A502E">
              <w:rPr>
                <w:rFonts w:asciiTheme="minorHAnsi" w:hAnsiTheme="minorHAnsi" w:cstheme="minorHAnsi"/>
                <w:bCs/>
              </w:rPr>
              <w:t xml:space="preserve"> the broader population.</w:t>
            </w:r>
            <w:r w:rsidR="00CC4407">
              <w:rPr>
                <w:rFonts w:asciiTheme="minorHAnsi" w:hAnsiTheme="minorHAnsi" w:cstheme="minorHAnsi"/>
                <w:bCs/>
              </w:rPr>
              <w:t xml:space="preserve"> </w:t>
            </w:r>
            <w:r w:rsidR="000A502E">
              <w:rPr>
                <w:rFonts w:asciiTheme="minorHAnsi" w:hAnsiTheme="minorHAnsi" w:cstheme="minorHAnsi"/>
                <w:bCs/>
              </w:rPr>
              <w:t xml:space="preserve">Where disaggregation </w:t>
            </w:r>
            <w:r w:rsidR="000F5726">
              <w:rPr>
                <w:rFonts w:asciiTheme="minorHAnsi" w:hAnsiTheme="minorHAnsi" w:cstheme="minorHAnsi"/>
                <w:bCs/>
              </w:rPr>
              <w:t>and/or disability assessments are</w:t>
            </w:r>
            <w:r w:rsidR="000A502E">
              <w:rPr>
                <w:rFonts w:asciiTheme="minorHAnsi" w:hAnsiTheme="minorHAnsi" w:cstheme="minorHAnsi"/>
                <w:bCs/>
              </w:rPr>
              <w:t xml:space="preserve"> undertaken, </w:t>
            </w:r>
            <w:r w:rsidR="000F5726">
              <w:rPr>
                <w:rFonts w:asciiTheme="minorHAnsi" w:hAnsiTheme="minorHAnsi" w:cstheme="minorHAnsi"/>
                <w:bCs/>
              </w:rPr>
              <w:t>they</w:t>
            </w:r>
            <w:r w:rsidR="000A502E">
              <w:rPr>
                <w:rFonts w:asciiTheme="minorHAnsi" w:hAnsiTheme="minorHAnsi" w:cstheme="minorHAnsi"/>
                <w:bCs/>
              </w:rPr>
              <w:t xml:space="preserve"> may n</w:t>
            </w:r>
            <w:r w:rsidR="000F5726">
              <w:rPr>
                <w:rFonts w:asciiTheme="minorHAnsi" w:hAnsiTheme="minorHAnsi" w:cstheme="minorHAnsi"/>
                <w:bCs/>
              </w:rPr>
              <w:t>ot always serve their</w:t>
            </w:r>
            <w:r w:rsidR="002E51AF">
              <w:rPr>
                <w:rFonts w:asciiTheme="minorHAnsi" w:hAnsiTheme="minorHAnsi" w:cstheme="minorHAnsi"/>
                <w:bCs/>
              </w:rPr>
              <w:t xml:space="preserve"> purpose</w:t>
            </w:r>
            <w:r w:rsidR="00CC4407">
              <w:rPr>
                <w:rFonts w:asciiTheme="minorHAnsi" w:hAnsiTheme="minorHAnsi" w:cstheme="minorHAnsi"/>
                <w:bCs/>
              </w:rPr>
              <w:t xml:space="preserve"> and </w:t>
            </w:r>
            <w:r w:rsidR="00CC4407">
              <w:rPr>
                <w:bCs/>
              </w:rPr>
              <w:t>data collection and analysis do not commonly link human rights obligations, development commitments and concrete actions to advance policy implementation in line with th</w:t>
            </w:r>
            <w:r w:rsidR="000F5726">
              <w:rPr>
                <w:bCs/>
              </w:rPr>
              <w:t>e</w:t>
            </w:r>
            <w:r w:rsidR="00CC4407">
              <w:rPr>
                <w:bCs/>
              </w:rPr>
              <w:t xml:space="preserve"> Convention</w:t>
            </w:r>
            <w:r w:rsidR="000A502E">
              <w:rPr>
                <w:rFonts w:asciiTheme="minorHAnsi" w:hAnsiTheme="minorHAnsi" w:cstheme="minorHAnsi"/>
                <w:bCs/>
              </w:rPr>
              <w:t>. Disability-specific surveys are</w:t>
            </w:r>
            <w:r w:rsidR="002D2084">
              <w:rPr>
                <w:rFonts w:asciiTheme="minorHAnsi" w:hAnsiTheme="minorHAnsi" w:cstheme="minorHAnsi"/>
                <w:bCs/>
              </w:rPr>
              <w:t xml:space="preserve"> also</w:t>
            </w:r>
            <w:r w:rsidR="000A502E">
              <w:rPr>
                <w:rFonts w:asciiTheme="minorHAnsi" w:hAnsiTheme="minorHAnsi" w:cstheme="minorHAnsi"/>
                <w:bCs/>
              </w:rPr>
              <w:t xml:space="preserve"> difficult to implement </w:t>
            </w:r>
            <w:r w:rsidR="00A61F6F">
              <w:rPr>
                <w:rFonts w:asciiTheme="minorHAnsi" w:hAnsiTheme="minorHAnsi" w:cstheme="minorHAnsi"/>
                <w:bCs/>
              </w:rPr>
              <w:t xml:space="preserve">due to extensive costs involved </w:t>
            </w:r>
            <w:r w:rsidR="000A502E">
              <w:rPr>
                <w:rFonts w:asciiTheme="minorHAnsi" w:hAnsiTheme="minorHAnsi" w:cstheme="minorHAnsi"/>
                <w:bCs/>
              </w:rPr>
              <w:t>and their infrequent practice propagates data gaps.</w:t>
            </w:r>
            <w:r w:rsidR="002D2084">
              <w:rPr>
                <w:rFonts w:asciiTheme="minorHAnsi" w:hAnsiTheme="minorHAnsi" w:cstheme="minorHAnsi"/>
                <w:bCs/>
              </w:rPr>
              <w:t xml:space="preserve"> T</w:t>
            </w:r>
            <w:r w:rsidR="000A502E">
              <w:rPr>
                <w:rFonts w:asciiTheme="minorHAnsi" w:hAnsiTheme="minorHAnsi" w:cstheme="minorHAnsi"/>
                <w:bCs/>
              </w:rPr>
              <w:t>he lack of consistency and harmonization of data across different instruments hinders reliable data collection and usage</w:t>
            </w:r>
            <w:r w:rsidR="002D2084">
              <w:rPr>
                <w:rFonts w:asciiTheme="minorHAnsi" w:hAnsiTheme="minorHAnsi" w:cstheme="minorHAnsi"/>
                <w:bCs/>
              </w:rPr>
              <w:t>. Furthermore, there is a need to strengthen privacy of data concerning persons with disabilities and to better monitor disclosure of disability-related data, particularly given the risks associated with big data.</w:t>
            </w:r>
            <w:r w:rsidR="00A73865" w:rsidRPr="00C077A7">
              <w:rPr>
                <w:rFonts w:asciiTheme="minorHAnsi" w:hAnsiTheme="minorHAnsi" w:cstheme="minorHAnsi"/>
                <w:bCs/>
              </w:rPr>
              <w:t xml:space="preserve"> </w:t>
            </w:r>
            <w:r w:rsidR="00CC4407">
              <w:rPr>
                <w:rFonts w:asciiTheme="minorHAnsi" w:hAnsiTheme="minorHAnsi" w:cstheme="minorHAnsi"/>
                <w:bCs/>
              </w:rPr>
              <w:t xml:space="preserve">Persons with disabilities also have the right to information on an equal basis with others, yet often face barriers due to inaccessible data and information and are denied </w:t>
            </w:r>
            <w:r w:rsidR="00CC4407" w:rsidRPr="000F5726">
              <w:rPr>
                <w:rFonts w:asciiTheme="minorHAnsi" w:hAnsiTheme="minorHAnsi" w:cstheme="minorHAnsi"/>
                <w:bCs/>
              </w:rPr>
              <w:t>participation to contribute to policy implementation through data analysis and use.</w:t>
            </w:r>
          </w:p>
          <w:p w14:paraId="4C093F51" w14:textId="4F1F7B60" w:rsidR="00333B61" w:rsidRPr="00C077A7" w:rsidRDefault="004F547C" w:rsidP="000728FD">
            <w:pPr>
              <w:spacing w:after="160" w:line="240" w:lineRule="auto"/>
              <w:jc w:val="both"/>
              <w:rPr>
                <w:rFonts w:asciiTheme="minorHAnsi" w:hAnsiTheme="minorHAnsi" w:cstheme="minorHAnsi"/>
                <w:lang w:val="en-AU"/>
              </w:rPr>
            </w:pPr>
            <w:proofErr w:type="gramStart"/>
            <w:r w:rsidRPr="000F5726">
              <w:rPr>
                <w:rFonts w:asciiTheme="minorHAnsi" w:hAnsiTheme="minorHAnsi" w:cstheme="minorHAnsi"/>
                <w:bCs/>
              </w:rPr>
              <w:t>In</w:t>
            </w:r>
            <w:r w:rsidR="00E10453" w:rsidRPr="000F5726">
              <w:rPr>
                <w:rFonts w:asciiTheme="minorHAnsi" w:hAnsiTheme="minorHAnsi" w:cstheme="minorHAnsi"/>
                <w:bCs/>
              </w:rPr>
              <w:t xml:space="preserve"> order to</w:t>
            </w:r>
            <w:proofErr w:type="gramEnd"/>
            <w:r w:rsidR="00E10453" w:rsidRPr="000F5726">
              <w:rPr>
                <w:rFonts w:asciiTheme="minorHAnsi" w:hAnsiTheme="minorHAnsi" w:cstheme="minorHAnsi"/>
                <w:bCs/>
              </w:rPr>
              <w:t xml:space="preserve"> implement article 31</w:t>
            </w:r>
            <w:r w:rsidRPr="000F5726">
              <w:rPr>
                <w:rFonts w:asciiTheme="minorHAnsi" w:hAnsiTheme="minorHAnsi" w:cstheme="minorHAnsi"/>
                <w:bCs/>
              </w:rPr>
              <w:t xml:space="preserve"> of the Convention, </w:t>
            </w:r>
            <w:r w:rsidR="00CC4407" w:rsidRPr="000F5726">
              <w:rPr>
                <w:rFonts w:asciiTheme="minorHAnsi" w:hAnsiTheme="minorHAnsi" w:cstheme="minorHAnsi"/>
                <w:bCs/>
              </w:rPr>
              <w:t>systematic disaggregation by disability in censuses and household surveys</w:t>
            </w:r>
            <w:r w:rsidR="00A61F6F">
              <w:rPr>
                <w:rFonts w:asciiTheme="minorHAnsi" w:hAnsiTheme="minorHAnsi" w:cstheme="minorHAnsi"/>
                <w:bCs/>
              </w:rPr>
              <w:t xml:space="preserve"> is essential</w:t>
            </w:r>
            <w:r w:rsidR="009B6C48">
              <w:rPr>
                <w:rFonts w:asciiTheme="minorHAnsi" w:hAnsiTheme="minorHAnsi" w:cstheme="minorHAnsi"/>
                <w:bCs/>
              </w:rPr>
              <w:t xml:space="preserve"> and should be</w:t>
            </w:r>
            <w:r w:rsidR="00CC4407" w:rsidRPr="000F5726">
              <w:rPr>
                <w:rFonts w:asciiTheme="minorHAnsi" w:hAnsiTheme="minorHAnsi" w:cstheme="minorHAnsi"/>
                <w:bCs/>
              </w:rPr>
              <w:t xml:space="preserve"> guided by the Washin</w:t>
            </w:r>
            <w:r w:rsidR="009B6C48">
              <w:rPr>
                <w:rFonts w:asciiTheme="minorHAnsi" w:hAnsiTheme="minorHAnsi" w:cstheme="minorHAnsi"/>
                <w:bCs/>
              </w:rPr>
              <w:t xml:space="preserve">gton Group Short Set questions. In addition, it is important to </w:t>
            </w:r>
            <w:r w:rsidR="00CC4407" w:rsidRPr="000F5726">
              <w:rPr>
                <w:rFonts w:asciiTheme="minorHAnsi" w:hAnsiTheme="minorHAnsi" w:cstheme="minorHAnsi"/>
                <w:bCs/>
              </w:rPr>
              <w:t>conduct regular disability-specific surveys, systematize administrative data collection processes and take steps to harmonize disability data collection across diverse data tools.</w:t>
            </w:r>
            <w:r w:rsidR="005E2A23" w:rsidRPr="000F5726">
              <w:rPr>
                <w:rFonts w:asciiTheme="minorHAnsi" w:hAnsiTheme="minorHAnsi" w:cstheme="minorHAnsi"/>
                <w:bCs/>
              </w:rPr>
              <w:t xml:space="preserve"> Human rights indicators can also help States to measure and monitor action to implement national plans and programmes related to persons with disabilities, as well as the Convention and policy commitments enshrined in the 2030 Agenda for Sustainable Development.</w:t>
            </w:r>
            <w:r w:rsidR="000F5726" w:rsidRPr="000F5726">
              <w:rPr>
                <w:rFonts w:asciiTheme="minorHAnsi" w:hAnsiTheme="minorHAnsi" w:cstheme="minorHAnsi"/>
                <w:bCs/>
              </w:rPr>
              <w:t xml:space="preserve"> Disability assessment tools should be fit for purpose to ensure that all eligible persons with disabilities can access services and support to exercise their rights on an equal basis with others. </w:t>
            </w:r>
            <w:r w:rsidR="009B6C48">
              <w:rPr>
                <w:rFonts w:asciiTheme="minorHAnsi" w:hAnsiTheme="minorHAnsi" w:cstheme="minorHAnsi"/>
                <w:bCs/>
              </w:rPr>
              <w:t>Furthermore, it is key that d</w:t>
            </w:r>
            <w:r w:rsidR="000F5726" w:rsidRPr="000F5726">
              <w:rPr>
                <w:rFonts w:asciiTheme="minorHAnsi" w:hAnsiTheme="minorHAnsi" w:cstheme="minorHAnsi"/>
                <w:bCs/>
              </w:rPr>
              <w:t xml:space="preserve">ata protection laws </w:t>
            </w:r>
            <w:r w:rsidR="009B6C48">
              <w:rPr>
                <w:rFonts w:asciiTheme="minorHAnsi" w:hAnsiTheme="minorHAnsi" w:cstheme="minorHAnsi"/>
                <w:bCs/>
              </w:rPr>
              <w:t xml:space="preserve">are inclusive of </w:t>
            </w:r>
            <w:r w:rsidR="000F5726" w:rsidRPr="000F5726">
              <w:rPr>
                <w:rFonts w:asciiTheme="minorHAnsi" w:hAnsiTheme="minorHAnsi" w:cstheme="minorHAnsi"/>
                <w:bCs/>
              </w:rPr>
              <w:t xml:space="preserve">persons with disabilities </w:t>
            </w:r>
            <w:r w:rsidR="009B6C48">
              <w:rPr>
                <w:rFonts w:asciiTheme="minorHAnsi" w:hAnsiTheme="minorHAnsi" w:cstheme="minorHAnsi"/>
                <w:bCs/>
              </w:rPr>
              <w:t>with respect to</w:t>
            </w:r>
            <w:r w:rsidR="000F5726" w:rsidRPr="000F5726">
              <w:rPr>
                <w:rFonts w:asciiTheme="minorHAnsi" w:hAnsiTheme="minorHAnsi" w:cstheme="minorHAnsi"/>
                <w:bCs/>
              </w:rPr>
              <w:t xml:space="preserve"> </w:t>
            </w:r>
            <w:r w:rsidR="009B6C48">
              <w:rPr>
                <w:rFonts w:asciiTheme="minorHAnsi" w:hAnsiTheme="minorHAnsi" w:cstheme="minorHAnsi"/>
                <w:bCs/>
              </w:rPr>
              <w:t xml:space="preserve">statistical </w:t>
            </w:r>
            <w:proofErr w:type="gramStart"/>
            <w:r w:rsidR="009B6C48">
              <w:rPr>
                <w:rFonts w:asciiTheme="minorHAnsi" w:hAnsiTheme="minorHAnsi" w:cstheme="minorHAnsi"/>
                <w:bCs/>
              </w:rPr>
              <w:t>confidentiality, and</w:t>
            </w:r>
            <w:proofErr w:type="gramEnd"/>
            <w:r w:rsidR="009B6C48">
              <w:rPr>
                <w:rFonts w:asciiTheme="minorHAnsi" w:hAnsiTheme="minorHAnsi" w:cstheme="minorHAnsi"/>
                <w:bCs/>
              </w:rPr>
              <w:t xml:space="preserve"> </w:t>
            </w:r>
            <w:r w:rsidR="000F5726" w:rsidRPr="000F5726">
              <w:rPr>
                <w:rFonts w:asciiTheme="minorHAnsi" w:hAnsiTheme="minorHAnsi" w:cstheme="minorHAnsi"/>
                <w:bCs/>
              </w:rPr>
              <w:t xml:space="preserve">promote access to accessible information to enable persons with disabilities to participate in the design, implementation and monitoring of data-related policies and, more broadly, the Convention. </w:t>
            </w:r>
          </w:p>
        </w:tc>
      </w:tr>
      <w:tr w:rsidR="00333B61" w:rsidRPr="00283924" w14:paraId="35B4B10D" w14:textId="77777777" w:rsidTr="00304796">
        <w:tc>
          <w:tcPr>
            <w:tcW w:w="1450" w:type="dxa"/>
            <w:shd w:val="clear" w:color="auto" w:fill="auto"/>
          </w:tcPr>
          <w:p w14:paraId="30A6A091" w14:textId="77777777" w:rsidR="00333B61" w:rsidRPr="00283924" w:rsidRDefault="00333B61" w:rsidP="00333B61">
            <w:pPr>
              <w:spacing w:after="0" w:line="240" w:lineRule="auto"/>
              <w:rPr>
                <w:rFonts w:cs="Arial"/>
                <w:b/>
              </w:rPr>
            </w:pPr>
            <w:r w:rsidRPr="00283924">
              <w:rPr>
                <w:rFonts w:cs="Arial"/>
                <w:b/>
              </w:rPr>
              <w:lastRenderedPageBreak/>
              <w:t>Background documents:</w:t>
            </w:r>
          </w:p>
        </w:tc>
        <w:tc>
          <w:tcPr>
            <w:tcW w:w="8756" w:type="dxa"/>
            <w:shd w:val="clear" w:color="auto" w:fill="auto"/>
          </w:tcPr>
          <w:p w14:paraId="7F4E724F" w14:textId="77777777" w:rsidR="002F2544" w:rsidRPr="00C077A7" w:rsidRDefault="00FC3F47" w:rsidP="002F2544">
            <w:pPr>
              <w:numPr>
                <w:ilvl w:val="0"/>
                <w:numId w:val="7"/>
              </w:numPr>
              <w:spacing w:after="80" w:line="240" w:lineRule="auto"/>
              <w:rPr>
                <w:rFonts w:asciiTheme="minorHAnsi" w:hAnsiTheme="minorHAnsi" w:cstheme="minorHAnsi"/>
                <w:bCs/>
                <w:lang w:val="en-US"/>
              </w:rPr>
            </w:pPr>
            <w:hyperlink r:id="rId15" w:history="1">
              <w:r w:rsidR="002F2544" w:rsidRPr="00C077A7">
                <w:rPr>
                  <w:rStyle w:val="Hyperlink"/>
                  <w:rFonts w:asciiTheme="minorHAnsi" w:hAnsiTheme="minorHAnsi" w:cstheme="minorHAnsi"/>
                  <w:bCs/>
                  <w:lang w:val="en-US"/>
                </w:rPr>
                <w:t>Human Rights Council resolution 43/23</w:t>
              </w:r>
            </w:hyperlink>
            <w:r w:rsidR="002F2544" w:rsidRPr="00C077A7">
              <w:rPr>
                <w:rFonts w:asciiTheme="minorHAnsi" w:hAnsiTheme="minorHAnsi" w:cstheme="minorHAnsi"/>
                <w:bCs/>
                <w:lang w:val="en-US"/>
              </w:rPr>
              <w:t xml:space="preserve"> of 22 June 2020 on awareness-raising on the rights of persons with disabilities and habilitation and rehabilitation</w:t>
            </w:r>
          </w:p>
          <w:p w14:paraId="778AE79D" w14:textId="3701FBDF" w:rsidR="002F2544" w:rsidRDefault="002F2544" w:rsidP="002F2544">
            <w:pPr>
              <w:numPr>
                <w:ilvl w:val="0"/>
                <w:numId w:val="7"/>
              </w:numPr>
              <w:spacing w:after="80" w:line="240" w:lineRule="auto"/>
              <w:rPr>
                <w:rFonts w:asciiTheme="minorHAnsi" w:hAnsiTheme="minorHAnsi" w:cstheme="minorHAnsi"/>
                <w:bCs/>
                <w:lang w:val="en-US"/>
              </w:rPr>
            </w:pPr>
            <w:r w:rsidRPr="00C077A7">
              <w:rPr>
                <w:rFonts w:asciiTheme="minorHAnsi" w:hAnsiTheme="minorHAnsi" w:cstheme="minorHAnsi"/>
                <w:bCs/>
                <w:lang w:val="en-US"/>
              </w:rPr>
              <w:t xml:space="preserve">Report of OHCHR on </w:t>
            </w:r>
            <w:bookmarkStart w:id="0" w:name="_Toc502062836"/>
            <w:r w:rsidR="00BC3C25">
              <w:rPr>
                <w:rFonts w:asciiTheme="minorHAnsi" w:hAnsiTheme="minorHAnsi" w:cstheme="minorHAnsi"/>
                <w:bCs/>
                <w:lang w:val="en-US"/>
              </w:rPr>
              <w:t>statistics and data collection under article 31</w:t>
            </w:r>
            <w:r w:rsidRPr="00C077A7">
              <w:rPr>
                <w:rFonts w:asciiTheme="minorHAnsi" w:hAnsiTheme="minorHAnsi" w:cstheme="minorHAnsi"/>
                <w:bCs/>
                <w:lang w:val="en-US"/>
              </w:rPr>
              <w:t xml:space="preserve"> of the Convention on the Rights of Persons with Disabilities</w:t>
            </w:r>
            <w:bookmarkEnd w:id="0"/>
            <w:r w:rsidRPr="00C077A7">
              <w:rPr>
                <w:rFonts w:asciiTheme="minorHAnsi" w:hAnsiTheme="minorHAnsi" w:cstheme="minorHAnsi"/>
                <w:bCs/>
                <w:lang w:val="en-US"/>
              </w:rPr>
              <w:t xml:space="preserve"> (</w:t>
            </w:r>
            <w:hyperlink r:id="rId16" w:history="1">
              <w:r w:rsidR="009A380C" w:rsidRPr="000728FD">
                <w:rPr>
                  <w:rStyle w:val="Hyperlink"/>
                  <w:rFonts w:asciiTheme="minorHAnsi" w:hAnsiTheme="minorHAnsi" w:cstheme="minorHAnsi"/>
                  <w:bCs/>
                  <w:lang w:val="en-US"/>
                </w:rPr>
                <w:t>A/HRC/49/60</w:t>
              </w:r>
            </w:hyperlink>
            <w:r w:rsidRPr="00C077A7">
              <w:rPr>
                <w:rFonts w:asciiTheme="minorHAnsi" w:hAnsiTheme="minorHAnsi" w:cstheme="minorHAnsi"/>
                <w:bCs/>
                <w:lang w:val="en-US"/>
              </w:rPr>
              <w:t>)</w:t>
            </w:r>
          </w:p>
          <w:p w14:paraId="6228684F" w14:textId="55A4460D" w:rsidR="00913864" w:rsidRPr="00C077A7" w:rsidRDefault="00FC3F47" w:rsidP="00913864">
            <w:pPr>
              <w:numPr>
                <w:ilvl w:val="1"/>
                <w:numId w:val="7"/>
              </w:numPr>
              <w:spacing w:after="80" w:line="240" w:lineRule="auto"/>
              <w:rPr>
                <w:rFonts w:asciiTheme="minorHAnsi" w:hAnsiTheme="minorHAnsi" w:cstheme="minorHAnsi"/>
                <w:bCs/>
                <w:lang w:val="en-US"/>
              </w:rPr>
            </w:pPr>
            <w:hyperlink r:id="rId17" w:history="1">
              <w:r w:rsidR="00913864" w:rsidRPr="00913864">
                <w:rPr>
                  <w:rStyle w:val="Hyperlink"/>
                  <w:rFonts w:asciiTheme="minorHAnsi" w:hAnsiTheme="minorHAnsi" w:cstheme="minorHAnsi"/>
                  <w:bCs/>
                  <w:lang w:val="en-US"/>
                </w:rPr>
                <w:t>Easy to read version</w:t>
              </w:r>
            </w:hyperlink>
            <w:r w:rsidR="00913864">
              <w:rPr>
                <w:rFonts w:asciiTheme="minorHAnsi" w:hAnsiTheme="minorHAnsi" w:cstheme="minorHAnsi"/>
                <w:bCs/>
                <w:lang w:val="en-US"/>
              </w:rPr>
              <w:t xml:space="preserve"> of the report in English</w:t>
            </w:r>
          </w:p>
          <w:p w14:paraId="036AA0BD" w14:textId="32A4CE4B" w:rsidR="00333B61" w:rsidRPr="00C077A7" w:rsidRDefault="00FC3F47" w:rsidP="00333B61">
            <w:pPr>
              <w:numPr>
                <w:ilvl w:val="0"/>
                <w:numId w:val="7"/>
              </w:numPr>
              <w:spacing w:after="80" w:line="240" w:lineRule="auto"/>
              <w:ind w:left="357" w:hanging="357"/>
              <w:rPr>
                <w:rFonts w:asciiTheme="minorHAnsi" w:hAnsiTheme="minorHAnsi" w:cstheme="minorHAnsi"/>
                <w:bCs/>
                <w:lang w:val="en-US"/>
              </w:rPr>
            </w:pPr>
            <w:hyperlink r:id="rId18" w:history="1">
              <w:r w:rsidR="00333B61" w:rsidRPr="00C077A7">
                <w:rPr>
                  <w:rStyle w:val="Hyperlink"/>
                  <w:rFonts w:asciiTheme="minorHAnsi" w:hAnsiTheme="minorHAnsi" w:cstheme="minorHAnsi"/>
                  <w:bCs/>
                  <w:lang w:val="en-US"/>
                </w:rPr>
                <w:t>Human Rights Council resolution 7/9</w:t>
              </w:r>
            </w:hyperlink>
            <w:r w:rsidR="00333B61" w:rsidRPr="00C077A7">
              <w:rPr>
                <w:rFonts w:asciiTheme="minorHAnsi" w:hAnsiTheme="minorHAnsi" w:cstheme="minorHAnsi"/>
                <w:bCs/>
                <w:lang w:val="en-US"/>
              </w:rPr>
              <w:t xml:space="preserve"> of 27 March 2008 on human rights of persons with disabilities</w:t>
            </w:r>
          </w:p>
          <w:p w14:paraId="56632CA6" w14:textId="44F003D6" w:rsidR="00333B61" w:rsidRPr="00C077A7" w:rsidRDefault="00333B61" w:rsidP="00333B61">
            <w:pPr>
              <w:numPr>
                <w:ilvl w:val="0"/>
                <w:numId w:val="7"/>
              </w:numPr>
              <w:spacing w:after="80" w:line="240" w:lineRule="auto"/>
              <w:ind w:left="357" w:hanging="357"/>
              <w:rPr>
                <w:rFonts w:asciiTheme="minorHAnsi" w:hAnsiTheme="minorHAnsi" w:cstheme="minorHAnsi"/>
                <w:bCs/>
                <w:lang w:val="en-US"/>
              </w:rPr>
            </w:pPr>
            <w:r w:rsidRPr="00C077A7">
              <w:rPr>
                <w:rFonts w:asciiTheme="minorHAnsi" w:hAnsiTheme="minorHAnsi" w:cstheme="minorHAnsi"/>
                <w:bCs/>
                <w:lang w:val="en-US"/>
              </w:rPr>
              <w:t xml:space="preserve">OHCHR web page with </w:t>
            </w:r>
            <w:hyperlink r:id="rId19" w:history="1">
              <w:r w:rsidRPr="00C077A7">
                <w:rPr>
                  <w:rStyle w:val="Hyperlink"/>
                  <w:rFonts w:asciiTheme="minorHAnsi" w:hAnsiTheme="minorHAnsi" w:cstheme="minorHAnsi"/>
                  <w:bCs/>
                  <w:lang w:val="en-US"/>
                </w:rPr>
                <w:t xml:space="preserve">studies, </w:t>
              </w:r>
              <w:proofErr w:type="gramStart"/>
              <w:r w:rsidRPr="00C077A7">
                <w:rPr>
                  <w:rStyle w:val="Hyperlink"/>
                  <w:rFonts w:asciiTheme="minorHAnsi" w:hAnsiTheme="minorHAnsi" w:cstheme="minorHAnsi"/>
                  <w:bCs/>
                  <w:lang w:val="en-US"/>
                </w:rPr>
                <w:t>reports</w:t>
              </w:r>
              <w:proofErr w:type="gramEnd"/>
              <w:r w:rsidRPr="00C077A7">
                <w:rPr>
                  <w:rStyle w:val="Hyperlink"/>
                  <w:rFonts w:asciiTheme="minorHAnsi" w:hAnsiTheme="minorHAnsi" w:cstheme="minorHAnsi"/>
                  <w:bCs/>
                  <w:lang w:val="en-US"/>
                </w:rPr>
                <w:t xml:space="preserve"> and papers on the rights of persons with disabilities</w:t>
              </w:r>
            </w:hyperlink>
          </w:p>
        </w:tc>
      </w:tr>
      <w:tr w:rsidR="00913864" w:rsidRPr="00283924" w14:paraId="7C8B0E3B" w14:textId="77777777" w:rsidTr="00304796">
        <w:tc>
          <w:tcPr>
            <w:tcW w:w="1450" w:type="dxa"/>
            <w:shd w:val="clear" w:color="auto" w:fill="auto"/>
          </w:tcPr>
          <w:p w14:paraId="143F8FA3" w14:textId="77777777" w:rsidR="00913864" w:rsidRPr="00283924" w:rsidRDefault="00913864" w:rsidP="00333B61">
            <w:pPr>
              <w:spacing w:after="0" w:line="240" w:lineRule="auto"/>
              <w:rPr>
                <w:rFonts w:cs="Arial"/>
                <w:b/>
              </w:rPr>
            </w:pPr>
          </w:p>
        </w:tc>
        <w:tc>
          <w:tcPr>
            <w:tcW w:w="8756" w:type="dxa"/>
            <w:shd w:val="clear" w:color="auto" w:fill="auto"/>
          </w:tcPr>
          <w:p w14:paraId="65760AD9" w14:textId="77777777" w:rsidR="00913864" w:rsidRDefault="00913864" w:rsidP="00913864">
            <w:pPr>
              <w:spacing w:after="80" w:line="240" w:lineRule="auto"/>
            </w:pPr>
          </w:p>
        </w:tc>
      </w:tr>
    </w:tbl>
    <w:p w14:paraId="6FF903E8" w14:textId="77777777" w:rsidR="00FF74C5" w:rsidRPr="00283924" w:rsidRDefault="00FF74C5" w:rsidP="00FF74C5">
      <w:pPr>
        <w:spacing w:after="0" w:line="240" w:lineRule="auto"/>
        <w:rPr>
          <w:rFonts w:cs="Arial"/>
          <w:b/>
          <w:sz w:val="20"/>
          <w:szCs w:val="20"/>
          <w:u w:val="single"/>
        </w:rPr>
      </w:pPr>
    </w:p>
    <w:sectPr w:rsidR="00FF74C5" w:rsidRPr="00283924" w:rsidSect="009853EB">
      <w:footerReference w:type="default" r:id="rId20"/>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28C97" w14:textId="77777777" w:rsidR="00570CC0" w:rsidRDefault="00570CC0" w:rsidP="002F2CB9">
      <w:pPr>
        <w:spacing w:after="0" w:line="240" w:lineRule="auto"/>
      </w:pPr>
      <w:r>
        <w:separator/>
      </w:r>
    </w:p>
  </w:endnote>
  <w:endnote w:type="continuationSeparator" w:id="0">
    <w:p w14:paraId="3F88A183" w14:textId="77777777" w:rsidR="00570CC0" w:rsidRDefault="00570CC0"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19DD" w14:textId="34050B3C" w:rsidR="00861631" w:rsidRDefault="00861631">
    <w:pPr>
      <w:pStyle w:val="Footer"/>
      <w:jc w:val="center"/>
    </w:pPr>
    <w:r>
      <w:fldChar w:fldCharType="begin"/>
    </w:r>
    <w:r>
      <w:instrText xml:space="preserve"> PAGE   \* MERGEFORMAT </w:instrText>
    </w:r>
    <w:r>
      <w:fldChar w:fldCharType="separate"/>
    </w:r>
    <w:r w:rsidR="00EF26C0">
      <w:rPr>
        <w:noProof/>
      </w:rPr>
      <w:t>1</w:t>
    </w:r>
    <w:r>
      <w:rPr>
        <w:noProof/>
      </w:rPr>
      <w:fldChar w:fldCharType="end"/>
    </w:r>
  </w:p>
  <w:p w14:paraId="76C31DD5" w14:textId="77777777" w:rsidR="00861631" w:rsidRDefault="0086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186CD" w14:textId="77777777" w:rsidR="00570CC0" w:rsidRDefault="00570CC0" w:rsidP="002F2CB9">
      <w:pPr>
        <w:spacing w:after="0" w:line="240" w:lineRule="auto"/>
      </w:pPr>
      <w:r>
        <w:separator/>
      </w:r>
    </w:p>
  </w:footnote>
  <w:footnote w:type="continuationSeparator" w:id="0">
    <w:p w14:paraId="69869AB0" w14:textId="77777777" w:rsidR="00570CC0" w:rsidRDefault="00570CC0" w:rsidP="002F2CB9">
      <w:pPr>
        <w:spacing w:after="0" w:line="240" w:lineRule="auto"/>
      </w:pPr>
      <w:r>
        <w:continuationSeparator/>
      </w:r>
    </w:p>
  </w:footnote>
  <w:footnote w:id="1">
    <w:p w14:paraId="3B1A3A50" w14:textId="096123A1" w:rsidR="00333B61" w:rsidRPr="00084ADC" w:rsidRDefault="00333B61" w:rsidP="00DE4654">
      <w:pPr>
        <w:pStyle w:val="FootnoteText"/>
        <w:spacing w:after="0" w:line="240" w:lineRule="auto"/>
        <w:rPr>
          <w:rFonts w:asciiTheme="minorHAnsi" w:hAnsiTheme="minorHAnsi" w:cstheme="minorHAnsi"/>
        </w:rPr>
      </w:pPr>
      <w:r w:rsidRPr="00EF26C0">
        <w:rPr>
          <w:rStyle w:val="FootnoteReference"/>
          <w:rFonts w:asciiTheme="minorHAnsi" w:hAnsiTheme="minorHAnsi" w:cstheme="minorHAnsi"/>
        </w:rPr>
        <w:footnoteRef/>
      </w:r>
      <w:r w:rsidRPr="00EF26C0">
        <w:rPr>
          <w:rFonts w:asciiTheme="minorHAnsi" w:hAnsiTheme="minorHAnsi" w:cstheme="minorHAnsi"/>
        </w:rPr>
        <w:t xml:space="preserve"> See </w:t>
      </w:r>
      <w:hyperlink r:id="rId1" w:history="1">
        <w:r w:rsidR="00FC3F47" w:rsidRPr="00045F16">
          <w:rPr>
            <w:rStyle w:val="Hyperlink"/>
          </w:rPr>
          <w:t>https://www.ohchr.org/EN/Issues/Disability/Pages/CFI-statistics-data-collection.aspx</w:t>
        </w:r>
      </w:hyperlink>
      <w:r w:rsidR="00FC3F47">
        <w:t xml:space="preserve"> </w:t>
      </w:r>
    </w:p>
  </w:footnote>
  <w:footnote w:id="2">
    <w:p w14:paraId="7D49DF86" w14:textId="30E34A0B" w:rsidR="007A3017" w:rsidRPr="007A3017" w:rsidRDefault="007A3017" w:rsidP="007A3017">
      <w:pPr>
        <w:pStyle w:val="FootnoteText"/>
      </w:pPr>
      <w:r>
        <w:rPr>
          <w:rStyle w:val="FootnoteReference"/>
        </w:rPr>
        <w:footnoteRef/>
      </w:r>
      <w:r w:rsidRPr="007A3017">
        <w:t xml:space="preserve"> </w:t>
      </w:r>
      <w:r w:rsidR="006F3CDD" w:rsidRPr="006F3CDD">
        <w:t>Convention on the Rights of Persons with Disabilities</w:t>
      </w:r>
      <w:r w:rsidRPr="007A3017">
        <w:t>, article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6"/>
  </w:num>
  <w:num w:numId="4">
    <w:abstractNumId w:val="12"/>
  </w:num>
  <w:num w:numId="5">
    <w:abstractNumId w:val="0"/>
  </w:num>
  <w:num w:numId="6">
    <w:abstractNumId w:val="4"/>
  </w:num>
  <w:num w:numId="7">
    <w:abstractNumId w:val="9"/>
  </w:num>
  <w:num w:numId="8">
    <w:abstractNumId w:val="5"/>
  </w:num>
  <w:num w:numId="9">
    <w:abstractNumId w:val="2"/>
  </w:num>
  <w:num w:numId="10">
    <w:abstractNumId w:val="1"/>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200DE"/>
    <w:rsid w:val="000234E3"/>
    <w:rsid w:val="000265D9"/>
    <w:rsid w:val="000272FB"/>
    <w:rsid w:val="00033219"/>
    <w:rsid w:val="00046AA2"/>
    <w:rsid w:val="00053DA5"/>
    <w:rsid w:val="00054D79"/>
    <w:rsid w:val="00062D97"/>
    <w:rsid w:val="000650DA"/>
    <w:rsid w:val="000669F1"/>
    <w:rsid w:val="000716B3"/>
    <w:rsid w:val="000728FD"/>
    <w:rsid w:val="0007332C"/>
    <w:rsid w:val="00074CC4"/>
    <w:rsid w:val="00075A01"/>
    <w:rsid w:val="0007720A"/>
    <w:rsid w:val="00081178"/>
    <w:rsid w:val="00084ADC"/>
    <w:rsid w:val="000867DF"/>
    <w:rsid w:val="00087DFD"/>
    <w:rsid w:val="00094A0B"/>
    <w:rsid w:val="00095EC7"/>
    <w:rsid w:val="0009673E"/>
    <w:rsid w:val="000A502E"/>
    <w:rsid w:val="000A7C24"/>
    <w:rsid w:val="000B1CE2"/>
    <w:rsid w:val="000B2188"/>
    <w:rsid w:val="000B7CF9"/>
    <w:rsid w:val="000C5E13"/>
    <w:rsid w:val="000C6EBE"/>
    <w:rsid w:val="000D0318"/>
    <w:rsid w:val="000D344E"/>
    <w:rsid w:val="000D4160"/>
    <w:rsid w:val="000E1E0B"/>
    <w:rsid w:val="000E224A"/>
    <w:rsid w:val="000F3562"/>
    <w:rsid w:val="000F5726"/>
    <w:rsid w:val="000F5AD6"/>
    <w:rsid w:val="000F5C6B"/>
    <w:rsid w:val="0010087D"/>
    <w:rsid w:val="00100CC5"/>
    <w:rsid w:val="00103276"/>
    <w:rsid w:val="0010534C"/>
    <w:rsid w:val="0011279B"/>
    <w:rsid w:val="00115670"/>
    <w:rsid w:val="00127EC6"/>
    <w:rsid w:val="001329E4"/>
    <w:rsid w:val="00133749"/>
    <w:rsid w:val="00136AD2"/>
    <w:rsid w:val="00136FA5"/>
    <w:rsid w:val="00137B1A"/>
    <w:rsid w:val="00152095"/>
    <w:rsid w:val="00153A41"/>
    <w:rsid w:val="0015685E"/>
    <w:rsid w:val="00160B92"/>
    <w:rsid w:val="00165849"/>
    <w:rsid w:val="00166AC1"/>
    <w:rsid w:val="00166ADB"/>
    <w:rsid w:val="0017182D"/>
    <w:rsid w:val="00172476"/>
    <w:rsid w:val="00187036"/>
    <w:rsid w:val="001900DD"/>
    <w:rsid w:val="00191CF5"/>
    <w:rsid w:val="001A1783"/>
    <w:rsid w:val="001A1BF1"/>
    <w:rsid w:val="001A39D6"/>
    <w:rsid w:val="001A451D"/>
    <w:rsid w:val="001A772A"/>
    <w:rsid w:val="001B220F"/>
    <w:rsid w:val="001B28B0"/>
    <w:rsid w:val="001B7658"/>
    <w:rsid w:val="001B7BB9"/>
    <w:rsid w:val="001C108F"/>
    <w:rsid w:val="001D1367"/>
    <w:rsid w:val="001D3CAC"/>
    <w:rsid w:val="001E14CD"/>
    <w:rsid w:val="001E335E"/>
    <w:rsid w:val="001E42C3"/>
    <w:rsid w:val="001F000D"/>
    <w:rsid w:val="001F04AC"/>
    <w:rsid w:val="001F07C3"/>
    <w:rsid w:val="00200A6B"/>
    <w:rsid w:val="00200E2E"/>
    <w:rsid w:val="0020130A"/>
    <w:rsid w:val="002021C7"/>
    <w:rsid w:val="00203BD7"/>
    <w:rsid w:val="0020665D"/>
    <w:rsid w:val="002169F8"/>
    <w:rsid w:val="00222BF2"/>
    <w:rsid w:val="00223A57"/>
    <w:rsid w:val="00225C6C"/>
    <w:rsid w:val="00226120"/>
    <w:rsid w:val="00235215"/>
    <w:rsid w:val="002400DF"/>
    <w:rsid w:val="0024578D"/>
    <w:rsid w:val="0025306D"/>
    <w:rsid w:val="00253323"/>
    <w:rsid w:val="00257AA8"/>
    <w:rsid w:val="002656E2"/>
    <w:rsid w:val="00270795"/>
    <w:rsid w:val="00274AC1"/>
    <w:rsid w:val="002766C6"/>
    <w:rsid w:val="00276A4B"/>
    <w:rsid w:val="00277A97"/>
    <w:rsid w:val="00283924"/>
    <w:rsid w:val="0028599F"/>
    <w:rsid w:val="00285E7B"/>
    <w:rsid w:val="00286B74"/>
    <w:rsid w:val="00287518"/>
    <w:rsid w:val="002A646E"/>
    <w:rsid w:val="002A729D"/>
    <w:rsid w:val="002B5E36"/>
    <w:rsid w:val="002C1D51"/>
    <w:rsid w:val="002C5A51"/>
    <w:rsid w:val="002D01C1"/>
    <w:rsid w:val="002D0DED"/>
    <w:rsid w:val="002D2084"/>
    <w:rsid w:val="002E2EF5"/>
    <w:rsid w:val="002E51AF"/>
    <w:rsid w:val="002F0868"/>
    <w:rsid w:val="002F2126"/>
    <w:rsid w:val="002F2544"/>
    <w:rsid w:val="002F2CB9"/>
    <w:rsid w:val="002F414D"/>
    <w:rsid w:val="002F7161"/>
    <w:rsid w:val="003011B9"/>
    <w:rsid w:val="00304796"/>
    <w:rsid w:val="00304F7C"/>
    <w:rsid w:val="00304FA8"/>
    <w:rsid w:val="003057D7"/>
    <w:rsid w:val="00317B9D"/>
    <w:rsid w:val="003203B3"/>
    <w:rsid w:val="003216FE"/>
    <w:rsid w:val="00323533"/>
    <w:rsid w:val="00333B61"/>
    <w:rsid w:val="00335263"/>
    <w:rsid w:val="003373C5"/>
    <w:rsid w:val="0033753D"/>
    <w:rsid w:val="003437EF"/>
    <w:rsid w:val="0034689B"/>
    <w:rsid w:val="00351108"/>
    <w:rsid w:val="0036235A"/>
    <w:rsid w:val="0036464B"/>
    <w:rsid w:val="00367A44"/>
    <w:rsid w:val="003720D2"/>
    <w:rsid w:val="0037272E"/>
    <w:rsid w:val="00374A73"/>
    <w:rsid w:val="00377153"/>
    <w:rsid w:val="0038356D"/>
    <w:rsid w:val="0038675A"/>
    <w:rsid w:val="00393554"/>
    <w:rsid w:val="00394BB7"/>
    <w:rsid w:val="00397B45"/>
    <w:rsid w:val="003A7917"/>
    <w:rsid w:val="003B19B8"/>
    <w:rsid w:val="003B5AC0"/>
    <w:rsid w:val="003B6DFF"/>
    <w:rsid w:val="003C5825"/>
    <w:rsid w:val="003C687A"/>
    <w:rsid w:val="003C7B4B"/>
    <w:rsid w:val="003D17C6"/>
    <w:rsid w:val="003D1999"/>
    <w:rsid w:val="003D29FB"/>
    <w:rsid w:val="003D5E3B"/>
    <w:rsid w:val="003E0F4B"/>
    <w:rsid w:val="003E4646"/>
    <w:rsid w:val="003E6201"/>
    <w:rsid w:val="003E7F68"/>
    <w:rsid w:val="003F2A6D"/>
    <w:rsid w:val="003F3580"/>
    <w:rsid w:val="003F4519"/>
    <w:rsid w:val="003F692C"/>
    <w:rsid w:val="003F6C68"/>
    <w:rsid w:val="003F7678"/>
    <w:rsid w:val="0040254A"/>
    <w:rsid w:val="00415007"/>
    <w:rsid w:val="004161FB"/>
    <w:rsid w:val="00422A30"/>
    <w:rsid w:val="004232BA"/>
    <w:rsid w:val="00425047"/>
    <w:rsid w:val="00426305"/>
    <w:rsid w:val="00436FB6"/>
    <w:rsid w:val="00440942"/>
    <w:rsid w:val="00442298"/>
    <w:rsid w:val="004431E7"/>
    <w:rsid w:val="0044451A"/>
    <w:rsid w:val="004450A8"/>
    <w:rsid w:val="00445652"/>
    <w:rsid w:val="00445E25"/>
    <w:rsid w:val="00450F17"/>
    <w:rsid w:val="00452948"/>
    <w:rsid w:val="00454102"/>
    <w:rsid w:val="00454CD0"/>
    <w:rsid w:val="00456848"/>
    <w:rsid w:val="0045722B"/>
    <w:rsid w:val="00457578"/>
    <w:rsid w:val="00464C3E"/>
    <w:rsid w:val="00470ED4"/>
    <w:rsid w:val="004717BC"/>
    <w:rsid w:val="00471EE0"/>
    <w:rsid w:val="00471F51"/>
    <w:rsid w:val="00472940"/>
    <w:rsid w:val="00473282"/>
    <w:rsid w:val="004751BD"/>
    <w:rsid w:val="004810AD"/>
    <w:rsid w:val="004875BC"/>
    <w:rsid w:val="00491429"/>
    <w:rsid w:val="004A1D2A"/>
    <w:rsid w:val="004A441E"/>
    <w:rsid w:val="004A4C37"/>
    <w:rsid w:val="004C0938"/>
    <w:rsid w:val="004C1844"/>
    <w:rsid w:val="004C1A32"/>
    <w:rsid w:val="004C2AE3"/>
    <w:rsid w:val="004C6E4B"/>
    <w:rsid w:val="004D0A62"/>
    <w:rsid w:val="004D4A30"/>
    <w:rsid w:val="004D5CC8"/>
    <w:rsid w:val="004D675D"/>
    <w:rsid w:val="004E536D"/>
    <w:rsid w:val="004F4D51"/>
    <w:rsid w:val="004F547C"/>
    <w:rsid w:val="004F7F7E"/>
    <w:rsid w:val="00500D80"/>
    <w:rsid w:val="0050106C"/>
    <w:rsid w:val="00502465"/>
    <w:rsid w:val="00507391"/>
    <w:rsid w:val="005104BB"/>
    <w:rsid w:val="00510B7E"/>
    <w:rsid w:val="005119FF"/>
    <w:rsid w:val="00512E9B"/>
    <w:rsid w:val="00524789"/>
    <w:rsid w:val="005317F8"/>
    <w:rsid w:val="00537D34"/>
    <w:rsid w:val="00537F20"/>
    <w:rsid w:val="00545FF5"/>
    <w:rsid w:val="005471EA"/>
    <w:rsid w:val="00551091"/>
    <w:rsid w:val="005541FD"/>
    <w:rsid w:val="005626F3"/>
    <w:rsid w:val="00563F85"/>
    <w:rsid w:val="0056770A"/>
    <w:rsid w:val="00570CC0"/>
    <w:rsid w:val="0057347B"/>
    <w:rsid w:val="0057603F"/>
    <w:rsid w:val="005934FC"/>
    <w:rsid w:val="005B3A57"/>
    <w:rsid w:val="005B63D3"/>
    <w:rsid w:val="005B717C"/>
    <w:rsid w:val="005D2F50"/>
    <w:rsid w:val="005D652D"/>
    <w:rsid w:val="005D76D3"/>
    <w:rsid w:val="005E2A23"/>
    <w:rsid w:val="005E3FDC"/>
    <w:rsid w:val="005F5078"/>
    <w:rsid w:val="005F6FE1"/>
    <w:rsid w:val="00600C0A"/>
    <w:rsid w:val="0060532B"/>
    <w:rsid w:val="006061E2"/>
    <w:rsid w:val="00611D7F"/>
    <w:rsid w:val="00617086"/>
    <w:rsid w:val="006217D0"/>
    <w:rsid w:val="00625399"/>
    <w:rsid w:val="006257D6"/>
    <w:rsid w:val="00626DCB"/>
    <w:rsid w:val="006302B7"/>
    <w:rsid w:val="006308C6"/>
    <w:rsid w:val="006356E1"/>
    <w:rsid w:val="0064197D"/>
    <w:rsid w:val="00641991"/>
    <w:rsid w:val="0064432C"/>
    <w:rsid w:val="00650139"/>
    <w:rsid w:val="00661F1D"/>
    <w:rsid w:val="006A0398"/>
    <w:rsid w:val="006B2742"/>
    <w:rsid w:val="006C0141"/>
    <w:rsid w:val="006C2003"/>
    <w:rsid w:val="006C2C0B"/>
    <w:rsid w:val="006C4501"/>
    <w:rsid w:val="006D320D"/>
    <w:rsid w:val="006D4E3D"/>
    <w:rsid w:val="006D7CAA"/>
    <w:rsid w:val="006E299D"/>
    <w:rsid w:val="006E4E65"/>
    <w:rsid w:val="006E7E02"/>
    <w:rsid w:val="006F286F"/>
    <w:rsid w:val="006F3CDD"/>
    <w:rsid w:val="006F5801"/>
    <w:rsid w:val="006F76CB"/>
    <w:rsid w:val="006F7743"/>
    <w:rsid w:val="00700183"/>
    <w:rsid w:val="00702A37"/>
    <w:rsid w:val="007035FA"/>
    <w:rsid w:val="00714887"/>
    <w:rsid w:val="00720D6C"/>
    <w:rsid w:val="00726F8C"/>
    <w:rsid w:val="00737151"/>
    <w:rsid w:val="00740ED4"/>
    <w:rsid w:val="00747AB9"/>
    <w:rsid w:val="007535CC"/>
    <w:rsid w:val="00761B98"/>
    <w:rsid w:val="00762323"/>
    <w:rsid w:val="007644D5"/>
    <w:rsid w:val="00765338"/>
    <w:rsid w:val="00781F25"/>
    <w:rsid w:val="007846C2"/>
    <w:rsid w:val="007A1369"/>
    <w:rsid w:val="007A2709"/>
    <w:rsid w:val="007A3017"/>
    <w:rsid w:val="007A79C0"/>
    <w:rsid w:val="007B68C1"/>
    <w:rsid w:val="007C7AFA"/>
    <w:rsid w:val="007D4F58"/>
    <w:rsid w:val="007E102D"/>
    <w:rsid w:val="007E3266"/>
    <w:rsid w:val="007E5A04"/>
    <w:rsid w:val="007E690A"/>
    <w:rsid w:val="007E703E"/>
    <w:rsid w:val="007F299D"/>
    <w:rsid w:val="007F5F56"/>
    <w:rsid w:val="007F711F"/>
    <w:rsid w:val="00800C4D"/>
    <w:rsid w:val="00810714"/>
    <w:rsid w:val="008146E5"/>
    <w:rsid w:val="0082232A"/>
    <w:rsid w:val="00822C88"/>
    <w:rsid w:val="00823887"/>
    <w:rsid w:val="00834A2E"/>
    <w:rsid w:val="00836EC1"/>
    <w:rsid w:val="00841D26"/>
    <w:rsid w:val="008522C6"/>
    <w:rsid w:val="00855A63"/>
    <w:rsid w:val="00856BD2"/>
    <w:rsid w:val="00856CCF"/>
    <w:rsid w:val="00860903"/>
    <w:rsid w:val="00861610"/>
    <w:rsid w:val="00861631"/>
    <w:rsid w:val="00862E42"/>
    <w:rsid w:val="008759C3"/>
    <w:rsid w:val="0088434B"/>
    <w:rsid w:val="00887CA1"/>
    <w:rsid w:val="0089015B"/>
    <w:rsid w:val="00896501"/>
    <w:rsid w:val="008A1448"/>
    <w:rsid w:val="008A3AF0"/>
    <w:rsid w:val="008B26BD"/>
    <w:rsid w:val="008B3941"/>
    <w:rsid w:val="008B48DB"/>
    <w:rsid w:val="008C7EE0"/>
    <w:rsid w:val="008F0D72"/>
    <w:rsid w:val="008F44F1"/>
    <w:rsid w:val="00901CDA"/>
    <w:rsid w:val="009021C4"/>
    <w:rsid w:val="0090286A"/>
    <w:rsid w:val="0091082A"/>
    <w:rsid w:val="009115AA"/>
    <w:rsid w:val="00913864"/>
    <w:rsid w:val="00913921"/>
    <w:rsid w:val="00915005"/>
    <w:rsid w:val="0092121A"/>
    <w:rsid w:val="00921929"/>
    <w:rsid w:val="009238A1"/>
    <w:rsid w:val="00924548"/>
    <w:rsid w:val="00932A24"/>
    <w:rsid w:val="00935870"/>
    <w:rsid w:val="009405D3"/>
    <w:rsid w:val="00945D15"/>
    <w:rsid w:val="00952C3E"/>
    <w:rsid w:val="009536D9"/>
    <w:rsid w:val="009542C1"/>
    <w:rsid w:val="009568F6"/>
    <w:rsid w:val="00965557"/>
    <w:rsid w:val="00973B68"/>
    <w:rsid w:val="00980162"/>
    <w:rsid w:val="00980DA6"/>
    <w:rsid w:val="009853EB"/>
    <w:rsid w:val="00987656"/>
    <w:rsid w:val="00991EA6"/>
    <w:rsid w:val="0099267E"/>
    <w:rsid w:val="009942D8"/>
    <w:rsid w:val="00997E6F"/>
    <w:rsid w:val="009A2FC3"/>
    <w:rsid w:val="009A323B"/>
    <w:rsid w:val="009A380C"/>
    <w:rsid w:val="009A7F53"/>
    <w:rsid w:val="009B0F2A"/>
    <w:rsid w:val="009B523B"/>
    <w:rsid w:val="009B6C48"/>
    <w:rsid w:val="009C05D5"/>
    <w:rsid w:val="009C06DD"/>
    <w:rsid w:val="009C24CE"/>
    <w:rsid w:val="009C5A79"/>
    <w:rsid w:val="009D1554"/>
    <w:rsid w:val="009D7F38"/>
    <w:rsid w:val="009E08AC"/>
    <w:rsid w:val="009E6855"/>
    <w:rsid w:val="009E7156"/>
    <w:rsid w:val="009F0FDF"/>
    <w:rsid w:val="009F2971"/>
    <w:rsid w:val="00A0666D"/>
    <w:rsid w:val="00A06BBB"/>
    <w:rsid w:val="00A07D68"/>
    <w:rsid w:val="00A10EA6"/>
    <w:rsid w:val="00A12ECA"/>
    <w:rsid w:val="00A20605"/>
    <w:rsid w:val="00A20645"/>
    <w:rsid w:val="00A25225"/>
    <w:rsid w:val="00A256DB"/>
    <w:rsid w:val="00A41007"/>
    <w:rsid w:val="00A415A3"/>
    <w:rsid w:val="00A53BF2"/>
    <w:rsid w:val="00A56B27"/>
    <w:rsid w:val="00A57010"/>
    <w:rsid w:val="00A61F6F"/>
    <w:rsid w:val="00A718A0"/>
    <w:rsid w:val="00A73865"/>
    <w:rsid w:val="00A778CA"/>
    <w:rsid w:val="00A80D2A"/>
    <w:rsid w:val="00A82CE9"/>
    <w:rsid w:val="00A84547"/>
    <w:rsid w:val="00A8699A"/>
    <w:rsid w:val="00A90F07"/>
    <w:rsid w:val="00AA09DC"/>
    <w:rsid w:val="00AA4ABD"/>
    <w:rsid w:val="00AA7316"/>
    <w:rsid w:val="00AB4A1A"/>
    <w:rsid w:val="00AC10D2"/>
    <w:rsid w:val="00AC6C25"/>
    <w:rsid w:val="00AC754B"/>
    <w:rsid w:val="00AD225B"/>
    <w:rsid w:val="00AD33A1"/>
    <w:rsid w:val="00AD382E"/>
    <w:rsid w:val="00AD686E"/>
    <w:rsid w:val="00AE3CAC"/>
    <w:rsid w:val="00AE4A0C"/>
    <w:rsid w:val="00AE5C5C"/>
    <w:rsid w:val="00AE6E07"/>
    <w:rsid w:val="00AF4B70"/>
    <w:rsid w:val="00B03CCB"/>
    <w:rsid w:val="00B05E94"/>
    <w:rsid w:val="00B10BDA"/>
    <w:rsid w:val="00B17B04"/>
    <w:rsid w:val="00B22AA3"/>
    <w:rsid w:val="00B24ED5"/>
    <w:rsid w:val="00B32267"/>
    <w:rsid w:val="00B32B42"/>
    <w:rsid w:val="00B34BA9"/>
    <w:rsid w:val="00B36752"/>
    <w:rsid w:val="00B367C6"/>
    <w:rsid w:val="00B4016A"/>
    <w:rsid w:val="00B52B2D"/>
    <w:rsid w:val="00B614C5"/>
    <w:rsid w:val="00B64E8D"/>
    <w:rsid w:val="00B80139"/>
    <w:rsid w:val="00B81D93"/>
    <w:rsid w:val="00B82A87"/>
    <w:rsid w:val="00B85386"/>
    <w:rsid w:val="00B864FC"/>
    <w:rsid w:val="00B920BF"/>
    <w:rsid w:val="00B93758"/>
    <w:rsid w:val="00B94441"/>
    <w:rsid w:val="00B94C8B"/>
    <w:rsid w:val="00BA5B3D"/>
    <w:rsid w:val="00BB096A"/>
    <w:rsid w:val="00BB4A58"/>
    <w:rsid w:val="00BC3C13"/>
    <w:rsid w:val="00BC3C25"/>
    <w:rsid w:val="00BC45D2"/>
    <w:rsid w:val="00BD0DAE"/>
    <w:rsid w:val="00BD1118"/>
    <w:rsid w:val="00BD5E88"/>
    <w:rsid w:val="00BD71E6"/>
    <w:rsid w:val="00BE03E8"/>
    <w:rsid w:val="00BE3FC5"/>
    <w:rsid w:val="00BF027F"/>
    <w:rsid w:val="00BF3550"/>
    <w:rsid w:val="00C077A7"/>
    <w:rsid w:val="00C10A9E"/>
    <w:rsid w:val="00C12978"/>
    <w:rsid w:val="00C12E64"/>
    <w:rsid w:val="00C138B6"/>
    <w:rsid w:val="00C13CEB"/>
    <w:rsid w:val="00C14920"/>
    <w:rsid w:val="00C14F1F"/>
    <w:rsid w:val="00C15149"/>
    <w:rsid w:val="00C16956"/>
    <w:rsid w:val="00C226B3"/>
    <w:rsid w:val="00C240E2"/>
    <w:rsid w:val="00C24A68"/>
    <w:rsid w:val="00C34D82"/>
    <w:rsid w:val="00C36AA3"/>
    <w:rsid w:val="00C371B0"/>
    <w:rsid w:val="00C40671"/>
    <w:rsid w:val="00C42EEF"/>
    <w:rsid w:val="00C53FC9"/>
    <w:rsid w:val="00C54EC7"/>
    <w:rsid w:val="00C55383"/>
    <w:rsid w:val="00C61F42"/>
    <w:rsid w:val="00C8027D"/>
    <w:rsid w:val="00C815DC"/>
    <w:rsid w:val="00C81BC5"/>
    <w:rsid w:val="00C821B6"/>
    <w:rsid w:val="00C828AC"/>
    <w:rsid w:val="00C84FCA"/>
    <w:rsid w:val="00C85246"/>
    <w:rsid w:val="00C94568"/>
    <w:rsid w:val="00C94C3B"/>
    <w:rsid w:val="00C96143"/>
    <w:rsid w:val="00CA443D"/>
    <w:rsid w:val="00CA639A"/>
    <w:rsid w:val="00CB358C"/>
    <w:rsid w:val="00CC4407"/>
    <w:rsid w:val="00CC4D95"/>
    <w:rsid w:val="00CC51A6"/>
    <w:rsid w:val="00CD1AA2"/>
    <w:rsid w:val="00CD3539"/>
    <w:rsid w:val="00CD68DA"/>
    <w:rsid w:val="00CE0A4E"/>
    <w:rsid w:val="00CE3C07"/>
    <w:rsid w:val="00CE44CF"/>
    <w:rsid w:val="00CE53C0"/>
    <w:rsid w:val="00CE575B"/>
    <w:rsid w:val="00CE6FDF"/>
    <w:rsid w:val="00CE741A"/>
    <w:rsid w:val="00CE7B0E"/>
    <w:rsid w:val="00D055A1"/>
    <w:rsid w:val="00D114C0"/>
    <w:rsid w:val="00D17224"/>
    <w:rsid w:val="00D17A96"/>
    <w:rsid w:val="00D20713"/>
    <w:rsid w:val="00D2209B"/>
    <w:rsid w:val="00D223D8"/>
    <w:rsid w:val="00D25CC1"/>
    <w:rsid w:val="00D26A1B"/>
    <w:rsid w:val="00D27C64"/>
    <w:rsid w:val="00D30CFA"/>
    <w:rsid w:val="00D3307D"/>
    <w:rsid w:val="00D35A1A"/>
    <w:rsid w:val="00D44DD4"/>
    <w:rsid w:val="00D478BB"/>
    <w:rsid w:val="00D507CE"/>
    <w:rsid w:val="00D51B4D"/>
    <w:rsid w:val="00D51F24"/>
    <w:rsid w:val="00D55804"/>
    <w:rsid w:val="00D5580F"/>
    <w:rsid w:val="00D57236"/>
    <w:rsid w:val="00D60DAA"/>
    <w:rsid w:val="00D65B6F"/>
    <w:rsid w:val="00D662BC"/>
    <w:rsid w:val="00D70DD0"/>
    <w:rsid w:val="00D76263"/>
    <w:rsid w:val="00D8667E"/>
    <w:rsid w:val="00D906E7"/>
    <w:rsid w:val="00D90D81"/>
    <w:rsid w:val="00D95F36"/>
    <w:rsid w:val="00D9625A"/>
    <w:rsid w:val="00DA22F4"/>
    <w:rsid w:val="00DA48D2"/>
    <w:rsid w:val="00DA5418"/>
    <w:rsid w:val="00DA6F56"/>
    <w:rsid w:val="00DB08FA"/>
    <w:rsid w:val="00DB1AE4"/>
    <w:rsid w:val="00DB595A"/>
    <w:rsid w:val="00DC16B5"/>
    <w:rsid w:val="00DC3265"/>
    <w:rsid w:val="00DC5FE6"/>
    <w:rsid w:val="00DC641C"/>
    <w:rsid w:val="00DD244C"/>
    <w:rsid w:val="00DD2A31"/>
    <w:rsid w:val="00DD37FE"/>
    <w:rsid w:val="00DD4076"/>
    <w:rsid w:val="00DE4654"/>
    <w:rsid w:val="00DE517B"/>
    <w:rsid w:val="00DE532F"/>
    <w:rsid w:val="00DE58C7"/>
    <w:rsid w:val="00DE6C2D"/>
    <w:rsid w:val="00DF640F"/>
    <w:rsid w:val="00E02876"/>
    <w:rsid w:val="00E05C3E"/>
    <w:rsid w:val="00E06E67"/>
    <w:rsid w:val="00E10453"/>
    <w:rsid w:val="00E125FF"/>
    <w:rsid w:val="00E14472"/>
    <w:rsid w:val="00E15C80"/>
    <w:rsid w:val="00E172F9"/>
    <w:rsid w:val="00E2300A"/>
    <w:rsid w:val="00E23A49"/>
    <w:rsid w:val="00E24E68"/>
    <w:rsid w:val="00E2648C"/>
    <w:rsid w:val="00E35896"/>
    <w:rsid w:val="00E37477"/>
    <w:rsid w:val="00E37C8F"/>
    <w:rsid w:val="00E41058"/>
    <w:rsid w:val="00E424BD"/>
    <w:rsid w:val="00E43218"/>
    <w:rsid w:val="00E4750D"/>
    <w:rsid w:val="00E65633"/>
    <w:rsid w:val="00E7173D"/>
    <w:rsid w:val="00E758A9"/>
    <w:rsid w:val="00E80181"/>
    <w:rsid w:val="00E80485"/>
    <w:rsid w:val="00E808CB"/>
    <w:rsid w:val="00E81023"/>
    <w:rsid w:val="00E8185D"/>
    <w:rsid w:val="00E859EC"/>
    <w:rsid w:val="00E85BC1"/>
    <w:rsid w:val="00E92AA7"/>
    <w:rsid w:val="00E9722D"/>
    <w:rsid w:val="00EA6568"/>
    <w:rsid w:val="00EB1A20"/>
    <w:rsid w:val="00EB2393"/>
    <w:rsid w:val="00EB7324"/>
    <w:rsid w:val="00EC0DE0"/>
    <w:rsid w:val="00EC269D"/>
    <w:rsid w:val="00EC4B4D"/>
    <w:rsid w:val="00EC5D87"/>
    <w:rsid w:val="00EC6F0F"/>
    <w:rsid w:val="00ED583A"/>
    <w:rsid w:val="00ED6B62"/>
    <w:rsid w:val="00EE1510"/>
    <w:rsid w:val="00EF26C0"/>
    <w:rsid w:val="00EF27C0"/>
    <w:rsid w:val="00EF285B"/>
    <w:rsid w:val="00EF700F"/>
    <w:rsid w:val="00F0240C"/>
    <w:rsid w:val="00F026D9"/>
    <w:rsid w:val="00F03AF9"/>
    <w:rsid w:val="00F04FFB"/>
    <w:rsid w:val="00F068F2"/>
    <w:rsid w:val="00F26495"/>
    <w:rsid w:val="00F37ABD"/>
    <w:rsid w:val="00F4397E"/>
    <w:rsid w:val="00F47B01"/>
    <w:rsid w:val="00F50E88"/>
    <w:rsid w:val="00F6000A"/>
    <w:rsid w:val="00F60587"/>
    <w:rsid w:val="00F61A39"/>
    <w:rsid w:val="00F61AEB"/>
    <w:rsid w:val="00F638DA"/>
    <w:rsid w:val="00F7623F"/>
    <w:rsid w:val="00F80FB8"/>
    <w:rsid w:val="00F81CC7"/>
    <w:rsid w:val="00F8774A"/>
    <w:rsid w:val="00F90056"/>
    <w:rsid w:val="00F904BD"/>
    <w:rsid w:val="00F9447E"/>
    <w:rsid w:val="00F95774"/>
    <w:rsid w:val="00F965BE"/>
    <w:rsid w:val="00F97F59"/>
    <w:rsid w:val="00FA00F2"/>
    <w:rsid w:val="00FA44B7"/>
    <w:rsid w:val="00FB3D53"/>
    <w:rsid w:val="00FB3F6F"/>
    <w:rsid w:val="00FB5C4B"/>
    <w:rsid w:val="00FB616F"/>
    <w:rsid w:val="00FC1371"/>
    <w:rsid w:val="00FC1E02"/>
    <w:rsid w:val="00FC30AF"/>
    <w:rsid w:val="00FC32B7"/>
    <w:rsid w:val="00FC3F47"/>
    <w:rsid w:val="00FC541D"/>
    <w:rsid w:val="00FD143C"/>
    <w:rsid w:val="00FD30A7"/>
    <w:rsid w:val="00FD5743"/>
    <w:rsid w:val="00FD6005"/>
    <w:rsid w:val="00FE02CA"/>
    <w:rsid w:val="00FE39E3"/>
    <w:rsid w:val="00FE4789"/>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amtext.net/player?event=CFI-UNOG" TargetMode="External"/><Relationship Id="rId18" Type="http://schemas.openxmlformats.org/officeDocument/2006/relationships/hyperlink" Target="http://ap.ohchr.org/documents/dpage_e.aspx?si=A/HRC/RES/7/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A/HRC/RES/43/23" TargetMode="External"/><Relationship Id="rId17" Type="http://schemas.openxmlformats.org/officeDocument/2006/relationships/hyperlink" Target="https://www.ohchr.org/Documents/Issues/Disability/A-HRC-49-60-ETR.docx" TargetMode="External"/><Relationship Id="rId2" Type="http://schemas.openxmlformats.org/officeDocument/2006/relationships/customXml" Target="../customXml/item2.xml"/><Relationship Id="rId16" Type="http://schemas.openxmlformats.org/officeDocument/2006/relationships/hyperlink" Target="https://undocs.org/A/HRC/49/6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5" Type="http://schemas.openxmlformats.org/officeDocument/2006/relationships/numbering" Target="numbering.xml"/><Relationship Id="rId15" Type="http://schemas.openxmlformats.org/officeDocument/2006/relationships/hyperlink" Target="https://undocs.org/A/HRC/RES/43/23" TargetMode="External"/><Relationship Id="rId10" Type="http://schemas.openxmlformats.org/officeDocument/2006/relationships/endnotes" Target="endnotes.xml"/><Relationship Id="rId19" Type="http://schemas.openxmlformats.org/officeDocument/2006/relationships/hyperlink" Target="http://www.ohchr.org/EN/Issues/Disability/Pages/StudiesReportsPap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Pages/Accessibility.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Disability/Pages/CFI-statistics-data-colle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7CFBE4EAD965439F00E4BE4DFB4A03" ma:contentTypeVersion="1" ma:contentTypeDescription="Create a new document." ma:contentTypeScope="" ma:versionID="1edaf94cb7c58c384237ceaba5cce1f7">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customXml/itemProps2.xml><?xml version="1.0" encoding="utf-8"?>
<ds:datastoreItem xmlns:ds="http://schemas.openxmlformats.org/officeDocument/2006/customXml" ds:itemID="{F8FD81EA-4031-4486-B9E4-9333CA9F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4.xml><?xml version="1.0" encoding="utf-8"?>
<ds:datastoreItem xmlns:ds="http://schemas.openxmlformats.org/officeDocument/2006/customXml" ds:itemID="{FA46F8BB-DB16-469D-9446-4910102DA4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11755</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Petra</cp:lastModifiedBy>
  <cp:revision>6</cp:revision>
  <cp:lastPrinted>2016-01-29T19:13:00Z</cp:lastPrinted>
  <dcterms:created xsi:type="dcterms:W3CDTF">2022-03-10T18:36:00Z</dcterms:created>
  <dcterms:modified xsi:type="dcterms:W3CDTF">2022-03-11T09:11:00Z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0x010100027CFBE4EAD965439F00E4BE4DFB4A03</vt:lpwstr>
  </property>
</Properties>
</file>