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3CAFF5F" w14:textId="77777777" w:rsidTr="00562621">
        <w:trPr>
          <w:trHeight w:val="851"/>
        </w:trPr>
        <w:tc>
          <w:tcPr>
            <w:tcW w:w="1259" w:type="dxa"/>
            <w:tcBorders>
              <w:top w:val="nil"/>
              <w:left w:val="nil"/>
              <w:bottom w:val="single" w:sz="4" w:space="0" w:color="auto"/>
              <w:right w:val="nil"/>
            </w:tcBorders>
          </w:tcPr>
          <w:p w14:paraId="501B5D28"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4D1A6EA" w14:textId="07BA9BCB"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9FD419D" w14:textId="77777777" w:rsidR="00446DE4" w:rsidRPr="00DE3EC0" w:rsidRDefault="007F3CD9" w:rsidP="007F3CD9">
            <w:pPr>
              <w:jc w:val="right"/>
            </w:pPr>
            <w:r w:rsidRPr="007F3CD9">
              <w:rPr>
                <w:sz w:val="40"/>
              </w:rPr>
              <w:t>A</w:t>
            </w:r>
            <w:r>
              <w:t>/HRC/49/48</w:t>
            </w:r>
          </w:p>
        </w:tc>
      </w:tr>
      <w:tr w:rsidR="003107FA" w14:paraId="3B28A33E" w14:textId="77777777" w:rsidTr="00562621">
        <w:trPr>
          <w:trHeight w:val="2835"/>
        </w:trPr>
        <w:tc>
          <w:tcPr>
            <w:tcW w:w="1259" w:type="dxa"/>
            <w:tcBorders>
              <w:top w:val="single" w:sz="4" w:space="0" w:color="auto"/>
              <w:left w:val="nil"/>
              <w:bottom w:val="single" w:sz="12" w:space="0" w:color="auto"/>
              <w:right w:val="nil"/>
            </w:tcBorders>
          </w:tcPr>
          <w:p w14:paraId="5DB3C975" w14:textId="57B2CDE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5448790" w14:textId="7551E8EE" w:rsidR="003107FA" w:rsidRPr="00B3317B" w:rsidRDefault="0027512E"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1117508" w14:textId="77777777" w:rsidR="003107FA" w:rsidRDefault="007F3CD9" w:rsidP="007F3CD9">
            <w:pPr>
              <w:spacing w:before="240" w:line="240" w:lineRule="exact"/>
            </w:pPr>
            <w:r>
              <w:t>Distr.: General</w:t>
            </w:r>
          </w:p>
          <w:p w14:paraId="55C385F4" w14:textId="77777777" w:rsidR="007F3CD9" w:rsidRDefault="000436CA" w:rsidP="007F3CD9">
            <w:pPr>
              <w:spacing w:line="240" w:lineRule="exact"/>
            </w:pPr>
            <w:r>
              <w:t>4</w:t>
            </w:r>
            <w:r w:rsidR="007F3CD9">
              <w:t xml:space="preserve"> </w:t>
            </w:r>
            <w:r w:rsidR="00C74EEA">
              <w:t>March</w:t>
            </w:r>
            <w:r w:rsidR="007F3CD9">
              <w:t xml:space="preserve"> 2022</w:t>
            </w:r>
          </w:p>
          <w:p w14:paraId="48F6B782" w14:textId="77777777" w:rsidR="007F3CD9" w:rsidRDefault="007F3CD9" w:rsidP="007F3CD9">
            <w:pPr>
              <w:spacing w:line="240" w:lineRule="exact"/>
            </w:pPr>
          </w:p>
          <w:p w14:paraId="3BEAD636" w14:textId="77777777" w:rsidR="007F3CD9" w:rsidRDefault="007F3CD9" w:rsidP="007F3CD9">
            <w:pPr>
              <w:spacing w:line="240" w:lineRule="exact"/>
            </w:pPr>
            <w:r>
              <w:t>Original: English</w:t>
            </w:r>
          </w:p>
        </w:tc>
      </w:tr>
    </w:tbl>
    <w:p w14:paraId="210B6242" w14:textId="77777777" w:rsidR="0061291D" w:rsidRPr="00177C19" w:rsidRDefault="0061291D" w:rsidP="0061291D">
      <w:pPr>
        <w:kinsoku w:val="0"/>
        <w:overflowPunct w:val="0"/>
        <w:autoSpaceDE w:val="0"/>
        <w:autoSpaceDN w:val="0"/>
        <w:adjustRightInd w:val="0"/>
        <w:snapToGrid w:val="0"/>
        <w:spacing w:before="120"/>
        <w:rPr>
          <w:rFonts w:eastAsia="Calibri"/>
          <w:b/>
          <w:bCs/>
          <w:sz w:val="24"/>
          <w:szCs w:val="24"/>
        </w:rPr>
      </w:pPr>
      <w:r w:rsidRPr="00177C19">
        <w:rPr>
          <w:rFonts w:eastAsia="Calibri"/>
          <w:b/>
          <w:bCs/>
          <w:sz w:val="24"/>
          <w:szCs w:val="24"/>
        </w:rPr>
        <w:t xml:space="preserve">Human Rights Council </w:t>
      </w:r>
    </w:p>
    <w:p w14:paraId="4CC5448F" w14:textId="77777777" w:rsidR="0061291D" w:rsidRPr="00177C19" w:rsidRDefault="0061291D" w:rsidP="0061291D">
      <w:pPr>
        <w:kinsoku w:val="0"/>
        <w:overflowPunct w:val="0"/>
        <w:autoSpaceDE w:val="0"/>
        <w:autoSpaceDN w:val="0"/>
        <w:adjustRightInd w:val="0"/>
        <w:snapToGrid w:val="0"/>
        <w:rPr>
          <w:rFonts w:eastAsia="Calibri"/>
          <w:b/>
          <w:bCs/>
        </w:rPr>
      </w:pPr>
      <w:r>
        <w:rPr>
          <w:rFonts w:eastAsia="Calibri"/>
          <w:b/>
          <w:bCs/>
        </w:rPr>
        <w:t>Forty-ninth</w:t>
      </w:r>
      <w:r w:rsidRPr="00177C19">
        <w:rPr>
          <w:rFonts w:eastAsia="Calibri"/>
          <w:b/>
          <w:bCs/>
        </w:rPr>
        <w:t xml:space="preserve"> session</w:t>
      </w:r>
    </w:p>
    <w:p w14:paraId="46E3FFD6" w14:textId="50F01F91" w:rsidR="0061291D" w:rsidRPr="00D62485" w:rsidRDefault="00B87FB1" w:rsidP="0061291D">
      <w:pPr>
        <w:kinsoku w:val="0"/>
        <w:overflowPunct w:val="0"/>
        <w:autoSpaceDE w:val="0"/>
        <w:autoSpaceDN w:val="0"/>
        <w:adjustRightInd w:val="0"/>
        <w:snapToGrid w:val="0"/>
        <w:rPr>
          <w:rFonts w:eastAsia="Calibri"/>
        </w:rPr>
      </w:pPr>
      <w:r>
        <w:rPr>
          <w:rFonts w:eastAsia="Calibri"/>
        </w:rPr>
        <w:t>28 February 2022–</w:t>
      </w:r>
      <w:r w:rsidR="0061291D" w:rsidRPr="009C1D32">
        <w:rPr>
          <w:rFonts w:eastAsia="Calibri"/>
        </w:rPr>
        <w:t>1 April 2022</w:t>
      </w:r>
    </w:p>
    <w:p w14:paraId="33DA7F12" w14:textId="77777777" w:rsidR="0061291D" w:rsidRPr="00177C19" w:rsidRDefault="0061291D" w:rsidP="0061291D">
      <w:pPr>
        <w:kinsoku w:val="0"/>
        <w:overflowPunct w:val="0"/>
        <w:autoSpaceDE w:val="0"/>
        <w:autoSpaceDN w:val="0"/>
        <w:adjustRightInd w:val="0"/>
        <w:snapToGrid w:val="0"/>
        <w:rPr>
          <w:rFonts w:eastAsia="Calibri"/>
        </w:rPr>
      </w:pPr>
      <w:r w:rsidRPr="00177C19">
        <w:rPr>
          <w:rFonts w:eastAsia="Calibri"/>
        </w:rPr>
        <w:t xml:space="preserve">Agenda item 3 </w:t>
      </w:r>
    </w:p>
    <w:p w14:paraId="6049B692" w14:textId="77777777" w:rsidR="001E1299" w:rsidRPr="004E74E4" w:rsidRDefault="0061291D" w:rsidP="0061291D">
      <w:pPr>
        <w:kinsoku w:val="0"/>
        <w:overflowPunct w:val="0"/>
        <w:autoSpaceDE w:val="0"/>
        <w:autoSpaceDN w:val="0"/>
        <w:adjustRightInd w:val="0"/>
        <w:snapToGrid w:val="0"/>
        <w:rPr>
          <w:rFonts w:eastAsia="Calibri"/>
        </w:rPr>
      </w:pPr>
      <w:r w:rsidRPr="00177C19">
        <w:rPr>
          <w:rFonts w:eastAsia="Calibri"/>
          <w:b/>
          <w:bCs/>
        </w:rPr>
        <w:t xml:space="preserve">Promotion and protection of all human rights, civil, </w:t>
      </w:r>
      <w:r w:rsidRPr="00177C19">
        <w:rPr>
          <w:rFonts w:eastAsia="Calibri"/>
          <w:b/>
          <w:bCs/>
        </w:rPr>
        <w:br/>
        <w:t xml:space="preserve">political, economic, social and cultural rights, </w:t>
      </w:r>
      <w:r w:rsidRPr="00177C19">
        <w:rPr>
          <w:rFonts w:eastAsia="Calibri"/>
          <w:b/>
          <w:bCs/>
        </w:rPr>
        <w:br/>
        <w:t>including the right to development</w:t>
      </w:r>
    </w:p>
    <w:p w14:paraId="6EF09289" w14:textId="77777777" w:rsidR="001E1299" w:rsidRPr="0061291D" w:rsidRDefault="0061291D" w:rsidP="0061291D">
      <w:pPr>
        <w:pStyle w:val="HChG"/>
        <w:rPr>
          <w:rFonts w:eastAsia="Calibri"/>
        </w:rPr>
      </w:pPr>
      <w:r>
        <w:rPr>
          <w:rFonts w:eastAsia="Calibri"/>
        </w:rPr>
        <w:tab/>
      </w:r>
      <w:r>
        <w:rPr>
          <w:rFonts w:eastAsia="Calibri"/>
        </w:rPr>
        <w:tab/>
      </w:r>
      <w:r w:rsidR="001E1299" w:rsidRPr="001E1299">
        <w:rPr>
          <w:rFonts w:eastAsia="Calibri"/>
        </w:rPr>
        <w:t>Spatial segregation and the right to adequate housing</w:t>
      </w:r>
    </w:p>
    <w:p w14:paraId="1E3283F6" w14:textId="77777777" w:rsidR="001E1299" w:rsidRPr="0061291D" w:rsidRDefault="0061291D" w:rsidP="0061291D">
      <w:pPr>
        <w:pStyle w:val="H1G"/>
        <w:rPr>
          <w:rFonts w:eastAsia="Calibri"/>
          <w:bCs/>
        </w:rPr>
      </w:pPr>
      <w:r>
        <w:tab/>
      </w:r>
      <w:r>
        <w:tab/>
        <w:t>R</w:t>
      </w:r>
      <w:r w:rsidRPr="00C05200">
        <w:t xml:space="preserve">eport of the Special Rapporteur on adequate housing as a component of the right to an adequate standard of living, and on the right to non-discrimination in this context, </w:t>
      </w:r>
      <w:proofErr w:type="spellStart"/>
      <w:r w:rsidRPr="00C05200">
        <w:t>Balakri</w:t>
      </w:r>
      <w:r w:rsidR="00852560">
        <w:t>shnan</w:t>
      </w:r>
      <w:proofErr w:type="spellEnd"/>
      <w:r w:rsidR="00852560">
        <w:t xml:space="preserve"> </w:t>
      </w:r>
      <w:proofErr w:type="spellStart"/>
      <w:r w:rsidR="00852560">
        <w:t>Rajagopal</w:t>
      </w:r>
      <w:proofErr w:type="spellEnd"/>
      <w:r w:rsidR="00330E9B" w:rsidRPr="00B87FB1">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1E1299" w14:paraId="02B1078D" w14:textId="77777777" w:rsidTr="00CE14C2">
        <w:trPr>
          <w:jc w:val="center"/>
        </w:trPr>
        <w:tc>
          <w:tcPr>
            <w:tcW w:w="9629" w:type="dxa"/>
            <w:shd w:val="clear" w:color="auto" w:fill="auto"/>
          </w:tcPr>
          <w:p w14:paraId="12FD4751" w14:textId="77777777" w:rsidR="001E1299" w:rsidRDefault="001E1299" w:rsidP="007E6888">
            <w:pPr>
              <w:spacing w:before="240" w:after="120"/>
              <w:ind w:left="255"/>
              <w:rPr>
                <w:i/>
                <w:sz w:val="24"/>
              </w:rPr>
            </w:pPr>
            <w:r w:rsidRPr="00C6263E">
              <w:rPr>
                <w:i/>
                <w:sz w:val="24"/>
              </w:rPr>
              <w:t>Summary</w:t>
            </w:r>
          </w:p>
          <w:p w14:paraId="19A5A4D4" w14:textId="77777777" w:rsidR="0061291D" w:rsidRPr="00C6263E" w:rsidRDefault="0061291D" w:rsidP="0035528D"/>
        </w:tc>
      </w:tr>
      <w:tr w:rsidR="001E1299" w14:paraId="02EB1507" w14:textId="77777777" w:rsidTr="00CE14C2">
        <w:trPr>
          <w:jc w:val="center"/>
        </w:trPr>
        <w:tc>
          <w:tcPr>
            <w:tcW w:w="9629" w:type="dxa"/>
            <w:shd w:val="clear" w:color="auto" w:fill="auto"/>
          </w:tcPr>
          <w:p w14:paraId="5C7B57FB" w14:textId="06DE4DF5" w:rsidR="0061291D" w:rsidRDefault="00E16DDC" w:rsidP="00D05421">
            <w:pPr>
              <w:pStyle w:val="SingleTxtG"/>
              <w:ind w:firstLine="567"/>
            </w:pPr>
            <w:r>
              <w:rPr>
                <w:highlight w:val="white"/>
              </w:rPr>
              <w:tab/>
            </w:r>
            <w:r w:rsidR="00CE14C2" w:rsidRPr="00CE14C2">
              <w:rPr>
                <w:highlight w:val="white"/>
              </w:rPr>
              <w:t>In</w:t>
            </w:r>
            <w:r w:rsidR="00CE14C2" w:rsidRPr="00CE14C2">
              <w:rPr>
                <w:highlight w:val="white"/>
                <w:lang w:val="en-US" w:eastAsia="en-GB"/>
              </w:rPr>
              <w:t xml:space="preserve"> this report the Special Rapporteur draws attention to spatial segregation as a major obstacle to enjoying the right to adequate housing. Spatial segregation is a reflection of multiple, compounded and intersectional forms of discrimination</w:t>
            </w:r>
            <w:r w:rsidR="00D05421">
              <w:rPr>
                <w:highlight w:val="white"/>
                <w:lang w:val="en-US" w:eastAsia="en-GB"/>
              </w:rPr>
              <w:t>,</w:t>
            </w:r>
            <w:r w:rsidR="00131451">
              <w:rPr>
                <w:highlight w:val="white"/>
                <w:lang w:val="en-US" w:eastAsia="en-GB"/>
              </w:rPr>
              <w:t xml:space="preserve"> </w:t>
            </w:r>
            <w:r w:rsidR="00CE14C2" w:rsidRPr="00CE14C2">
              <w:rPr>
                <w:highlight w:val="white"/>
                <w:lang w:val="en-US" w:eastAsia="en-GB"/>
              </w:rPr>
              <w:t>results in violations of the equal and non-discriminatory enjoyment of the right to adequate housing</w:t>
            </w:r>
            <w:r w:rsidR="00D05421">
              <w:rPr>
                <w:highlight w:val="white"/>
                <w:lang w:val="en-US" w:eastAsia="en-GB"/>
              </w:rPr>
              <w:t>,</w:t>
            </w:r>
            <w:r w:rsidR="00CE14C2" w:rsidRPr="00CE14C2">
              <w:rPr>
                <w:highlight w:val="white"/>
                <w:lang w:val="en-US" w:eastAsia="en-GB"/>
              </w:rPr>
              <w:t xml:space="preserve"> and is also linked to the violation of a wide range of other inter-related human rights.</w:t>
            </w:r>
          </w:p>
        </w:tc>
      </w:tr>
      <w:tr w:rsidR="0035528D" w14:paraId="7BA12582" w14:textId="77777777" w:rsidTr="00CE14C2">
        <w:trPr>
          <w:jc w:val="center"/>
        </w:trPr>
        <w:tc>
          <w:tcPr>
            <w:tcW w:w="9629" w:type="dxa"/>
            <w:shd w:val="clear" w:color="auto" w:fill="auto"/>
          </w:tcPr>
          <w:p w14:paraId="0F9253AF" w14:textId="1E21332E" w:rsidR="0035528D" w:rsidRPr="00CE14C2" w:rsidRDefault="00A8064A" w:rsidP="001E627F">
            <w:pPr>
              <w:pStyle w:val="SingleTxtG"/>
              <w:ind w:firstLine="567"/>
            </w:pPr>
            <w:r>
              <w:rPr>
                <w:highlight w:val="white"/>
                <w:lang w:val="en-US" w:eastAsia="en-GB"/>
              </w:rPr>
              <w:tab/>
            </w:r>
            <w:r w:rsidR="00CE14C2" w:rsidRPr="00CE14C2">
              <w:rPr>
                <w:highlight w:val="white"/>
                <w:lang w:val="en-US" w:eastAsia="en-GB"/>
              </w:rPr>
              <w:t xml:space="preserve">In order to address and reverse the detrimental consequences of spatial segregation, it is important to understand its different forms, to identify it correctly, and to understand the frameworks and mechanisms through which it is manifested. Alongside </w:t>
            </w:r>
            <w:r w:rsidR="001E627F">
              <w:rPr>
                <w:highlight w:val="white"/>
                <w:lang w:val="en-US" w:eastAsia="en-GB"/>
              </w:rPr>
              <w:t>historic</w:t>
            </w:r>
            <w:r w:rsidR="00CE14C2" w:rsidRPr="00CE14C2">
              <w:rPr>
                <w:highlight w:val="white"/>
                <w:lang w:val="en-US" w:eastAsia="en-GB"/>
              </w:rPr>
              <w:t xml:space="preserve"> forms of spatial segregation, such as those that existed in apartheid South Africa, the Special Rapporteur points to informal settlements, resettlement sites, gated communities, and residential institutions as types of spatial segregatio</w:t>
            </w:r>
            <w:r w:rsidR="00BB1A3D">
              <w:rPr>
                <w:highlight w:val="white"/>
                <w:lang w:val="en-US" w:eastAsia="en-GB"/>
              </w:rPr>
              <w:t>n</w:t>
            </w:r>
            <w:r w:rsidR="00CE46BA">
              <w:rPr>
                <w:highlight w:val="white"/>
                <w:lang w:val="en-US" w:eastAsia="en-GB"/>
              </w:rPr>
              <w:t xml:space="preserve"> </w:t>
            </w:r>
            <w:r w:rsidR="00BB1A3D">
              <w:rPr>
                <w:highlight w:val="white"/>
                <w:lang w:val="en-US" w:eastAsia="en-GB"/>
              </w:rPr>
              <w:t xml:space="preserve">that </w:t>
            </w:r>
            <w:r w:rsidR="00CE14C2" w:rsidRPr="00CE14C2">
              <w:rPr>
                <w:highlight w:val="white"/>
                <w:lang w:val="en-US" w:eastAsia="en-GB"/>
              </w:rPr>
              <w:t xml:space="preserve">can </w:t>
            </w:r>
            <w:r w:rsidR="00BB1A3D">
              <w:rPr>
                <w:highlight w:val="white"/>
                <w:lang w:val="en-US" w:eastAsia="en-GB"/>
              </w:rPr>
              <w:t xml:space="preserve">have similar </w:t>
            </w:r>
            <w:r w:rsidR="000C25DF">
              <w:rPr>
                <w:highlight w:val="white"/>
                <w:lang w:val="en-US" w:eastAsia="en-GB"/>
              </w:rPr>
              <w:t>damaging and long-lasting</w:t>
            </w:r>
            <w:r w:rsidR="00BB1A3D">
              <w:rPr>
                <w:highlight w:val="white"/>
                <w:lang w:val="en-US" w:eastAsia="en-GB"/>
              </w:rPr>
              <w:t xml:space="preserve"> consequences</w:t>
            </w:r>
            <w:r w:rsidR="000C25DF">
              <w:rPr>
                <w:highlight w:val="white"/>
                <w:lang w:val="en-US" w:eastAsia="en-GB"/>
              </w:rPr>
              <w:t xml:space="preserve">. </w:t>
            </w:r>
            <w:r w:rsidR="00CE14C2" w:rsidRPr="00CE14C2">
              <w:rPr>
                <w:highlight w:val="white"/>
                <w:lang w:val="en-US" w:eastAsia="en-GB"/>
              </w:rPr>
              <w:t xml:space="preserve">Measuring, spatial mapping and data visualization are identified as important tools for identifying cases of spatial segregation. The report examines how land use planning and discriminatory zoning, </w:t>
            </w:r>
            <w:r w:rsidR="00CE14C2" w:rsidRPr="00CE14C2">
              <w:rPr>
                <w:lang w:val="en-US" w:eastAsia="en-GB"/>
              </w:rPr>
              <w:t>physical barriers, forced evictions and displacement, social and public housing policies, criminalization and stigmatization of vulnerable minority groups can become drivers of spatial segregation.</w:t>
            </w:r>
          </w:p>
        </w:tc>
      </w:tr>
      <w:tr w:rsidR="0035528D" w14:paraId="6B56BD0D" w14:textId="77777777" w:rsidTr="00CE14C2">
        <w:trPr>
          <w:jc w:val="center"/>
        </w:trPr>
        <w:tc>
          <w:tcPr>
            <w:tcW w:w="9629" w:type="dxa"/>
            <w:shd w:val="clear" w:color="auto" w:fill="auto"/>
          </w:tcPr>
          <w:p w14:paraId="7028E143" w14:textId="3B021A0F" w:rsidR="0035528D" w:rsidRPr="00CE14C2" w:rsidRDefault="00A8064A" w:rsidP="008F1541">
            <w:pPr>
              <w:pStyle w:val="SingleTxtG"/>
              <w:ind w:firstLine="567"/>
            </w:pPr>
            <w:r>
              <w:rPr>
                <w:lang w:val="en-US" w:eastAsia="en-GB"/>
              </w:rPr>
              <w:tab/>
            </w:r>
            <w:r w:rsidR="00CE14C2" w:rsidRPr="00CE14C2">
              <w:rPr>
                <w:lang w:val="en-US" w:eastAsia="en-GB"/>
              </w:rPr>
              <w:t xml:space="preserve">Finally, the report discusses how international frameworks, strategic litigation, housing policies, urban and territorial planning, and neighborhood upgrading programs can be effective in addressing and reverting the consequences of spatial segregation – and draws </w:t>
            </w:r>
            <w:r w:rsidR="00CE14C2" w:rsidRPr="00CE14C2">
              <w:rPr>
                <w:lang w:val="en-US" w:eastAsia="en-GB"/>
              </w:rPr>
              <w:lastRenderedPageBreak/>
              <w:t>out relevant recommendations.</w:t>
            </w:r>
            <w:r w:rsidR="00BB1A3D" w:rsidRPr="00CE14C2">
              <w:rPr>
                <w:lang w:val="en-CA" w:eastAsia="en-GB"/>
              </w:rPr>
              <w:t xml:space="preserve"> This report is the second of two interrelated thematic reports of the Special Rapporteur. His first report on discrimination in the context of housing was presented to the General Assembly in October 2021.</w:t>
            </w:r>
          </w:p>
        </w:tc>
      </w:tr>
      <w:tr w:rsidR="002729C7" w14:paraId="31CB1F42" w14:textId="77777777" w:rsidTr="00CE14C2">
        <w:trPr>
          <w:jc w:val="center"/>
        </w:trPr>
        <w:tc>
          <w:tcPr>
            <w:tcW w:w="9629" w:type="dxa"/>
            <w:shd w:val="clear" w:color="auto" w:fill="auto"/>
          </w:tcPr>
          <w:p w14:paraId="3B9A841D" w14:textId="77777777" w:rsidR="002729C7" w:rsidRDefault="002729C7" w:rsidP="00BB1A3D">
            <w:pPr>
              <w:pStyle w:val="SingleTxtG"/>
              <w:ind w:firstLine="567"/>
              <w:rPr>
                <w:lang w:val="en-CA" w:eastAsia="en-GB"/>
              </w:rPr>
            </w:pPr>
          </w:p>
        </w:tc>
      </w:tr>
    </w:tbl>
    <w:p w14:paraId="35E43DF2" w14:textId="77777777" w:rsidR="002729C7" w:rsidRPr="00802580" w:rsidRDefault="002729C7" w:rsidP="00ED4CEA">
      <w:pPr>
        <w:spacing w:after="120"/>
        <w:rPr>
          <w:sz w:val="28"/>
          <w:lang w:val="fr-FR"/>
        </w:rPr>
      </w:pPr>
      <w:r w:rsidRPr="00802580">
        <w:rPr>
          <w:sz w:val="28"/>
          <w:lang w:val="fr-FR"/>
        </w:rPr>
        <w:t>Contents</w:t>
      </w:r>
    </w:p>
    <w:p w14:paraId="10293FCA" w14:textId="77777777" w:rsidR="002729C7" w:rsidRPr="00802580" w:rsidRDefault="002729C7" w:rsidP="0060322E">
      <w:pPr>
        <w:tabs>
          <w:tab w:val="right" w:pos="9638"/>
        </w:tabs>
        <w:spacing w:after="120"/>
        <w:ind w:left="283"/>
        <w:rPr>
          <w:sz w:val="18"/>
          <w:lang w:val="fr-FR"/>
        </w:rPr>
      </w:pPr>
      <w:r w:rsidRPr="00802580">
        <w:rPr>
          <w:i/>
          <w:sz w:val="18"/>
          <w:lang w:val="fr-FR"/>
        </w:rPr>
        <w:tab/>
        <w:t>Page</w:t>
      </w:r>
    </w:p>
    <w:p w14:paraId="772D6277" w14:textId="14E66E9A" w:rsidR="00802580" w:rsidRPr="008F1541" w:rsidRDefault="00802580" w:rsidP="00802580">
      <w:pPr>
        <w:tabs>
          <w:tab w:val="right" w:pos="850"/>
          <w:tab w:val="left" w:pos="1134"/>
          <w:tab w:val="left" w:pos="1559"/>
          <w:tab w:val="left" w:pos="1984"/>
          <w:tab w:val="left" w:leader="dot" w:pos="8929"/>
          <w:tab w:val="right" w:pos="9638"/>
        </w:tabs>
        <w:spacing w:after="120"/>
        <w:rPr>
          <w:lang w:val="fr-FR"/>
        </w:rPr>
      </w:pPr>
      <w:r>
        <w:rPr>
          <w:lang w:val="fr-FR"/>
        </w:rPr>
        <w:tab/>
      </w:r>
      <w:r w:rsidRPr="008F1541">
        <w:rPr>
          <w:lang w:val="fr-FR"/>
        </w:rPr>
        <w:t>I.</w:t>
      </w:r>
      <w:r w:rsidRPr="008F1541">
        <w:rPr>
          <w:lang w:val="fr-FR"/>
        </w:rPr>
        <w:tab/>
        <w:t>Introduction</w:t>
      </w:r>
      <w:r w:rsidRPr="008F1541">
        <w:rPr>
          <w:lang w:val="fr-FR"/>
        </w:rPr>
        <w:tab/>
      </w:r>
      <w:r w:rsidRPr="008F1541">
        <w:rPr>
          <w:lang w:val="fr-FR"/>
        </w:rPr>
        <w:tab/>
        <w:t>3</w:t>
      </w:r>
    </w:p>
    <w:p w14:paraId="232765C5" w14:textId="4F1D81CA" w:rsidR="00802580" w:rsidRPr="001E627F" w:rsidRDefault="00802580" w:rsidP="00802580">
      <w:pPr>
        <w:tabs>
          <w:tab w:val="right" w:pos="850"/>
          <w:tab w:val="left" w:pos="1134"/>
          <w:tab w:val="left" w:pos="1559"/>
          <w:tab w:val="left" w:pos="1984"/>
          <w:tab w:val="left" w:leader="dot" w:pos="8929"/>
          <w:tab w:val="right" w:pos="9638"/>
        </w:tabs>
        <w:spacing w:after="120"/>
        <w:rPr>
          <w:lang w:val="fr-FR"/>
        </w:rPr>
      </w:pPr>
      <w:r w:rsidRPr="008F1541">
        <w:rPr>
          <w:lang w:val="fr-FR"/>
        </w:rPr>
        <w:tab/>
      </w:r>
      <w:r w:rsidRPr="001E627F">
        <w:rPr>
          <w:lang w:val="fr-FR"/>
        </w:rPr>
        <w:t>II.</w:t>
      </w:r>
      <w:r w:rsidRPr="001E627F">
        <w:rPr>
          <w:lang w:val="fr-FR"/>
        </w:rPr>
        <w:tab/>
        <w:t xml:space="preserve">International normative </w:t>
      </w:r>
      <w:r w:rsidRPr="00022537">
        <w:t>framework</w:t>
      </w:r>
      <w:r w:rsidRPr="001E627F">
        <w:rPr>
          <w:lang w:val="fr-FR"/>
        </w:rPr>
        <w:tab/>
      </w:r>
      <w:r w:rsidRPr="001E627F">
        <w:rPr>
          <w:lang w:val="fr-FR"/>
        </w:rPr>
        <w:tab/>
        <w:t>4</w:t>
      </w:r>
    </w:p>
    <w:p w14:paraId="3977F7D4" w14:textId="522C1A33" w:rsidR="00802580" w:rsidRPr="00802580" w:rsidRDefault="00802580" w:rsidP="00802580">
      <w:pPr>
        <w:tabs>
          <w:tab w:val="right" w:pos="850"/>
          <w:tab w:val="left" w:pos="1134"/>
          <w:tab w:val="left" w:pos="1559"/>
          <w:tab w:val="left" w:pos="1984"/>
          <w:tab w:val="left" w:leader="dot" w:pos="8929"/>
          <w:tab w:val="right" w:pos="9638"/>
        </w:tabs>
        <w:spacing w:after="120"/>
      </w:pPr>
      <w:r w:rsidRPr="001E627F">
        <w:rPr>
          <w:lang w:val="fr-FR"/>
        </w:rPr>
        <w:tab/>
      </w:r>
      <w:r w:rsidRPr="00802580">
        <w:t>III.</w:t>
      </w:r>
      <w:r>
        <w:tab/>
      </w:r>
      <w:r w:rsidRPr="00802580">
        <w:t>Defining and identifying spatial segregation</w:t>
      </w:r>
      <w:r w:rsidRPr="00802580">
        <w:tab/>
      </w:r>
      <w:r>
        <w:tab/>
      </w:r>
      <w:r w:rsidRPr="00802580">
        <w:t>7</w:t>
      </w:r>
    </w:p>
    <w:p w14:paraId="4A6B61DF" w14:textId="2C6EA532" w:rsidR="00802580" w:rsidRPr="00802580" w:rsidRDefault="005350E8" w:rsidP="00802580">
      <w:pPr>
        <w:tabs>
          <w:tab w:val="right" w:pos="850"/>
          <w:tab w:val="left" w:pos="1134"/>
          <w:tab w:val="left" w:pos="1559"/>
          <w:tab w:val="left" w:pos="1984"/>
          <w:tab w:val="left" w:leader="dot" w:pos="8929"/>
          <w:tab w:val="right" w:pos="9638"/>
        </w:tabs>
        <w:spacing w:after="120"/>
      </w:pPr>
      <w:r>
        <w:tab/>
      </w:r>
      <w:r>
        <w:tab/>
        <w:t>A.</w:t>
      </w:r>
      <w:r>
        <w:tab/>
      </w:r>
      <w:r w:rsidR="00802580" w:rsidRPr="00802580">
        <w:t>Forms of spatial segregation</w:t>
      </w:r>
      <w:r w:rsidR="00802580" w:rsidRPr="00802580">
        <w:tab/>
      </w:r>
      <w:r w:rsidR="00A3415C">
        <w:tab/>
      </w:r>
      <w:r w:rsidR="00802580" w:rsidRPr="00802580">
        <w:t>7</w:t>
      </w:r>
    </w:p>
    <w:p w14:paraId="14968A65" w14:textId="1A90F38F"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t>B.</w:t>
      </w:r>
      <w:r>
        <w:tab/>
      </w:r>
      <w:r w:rsidR="00802580" w:rsidRPr="00802580">
        <w:t>Measuring spatial and residential segregation</w:t>
      </w:r>
      <w:r w:rsidR="00802580" w:rsidRPr="00802580">
        <w:tab/>
      </w:r>
      <w:r>
        <w:tab/>
      </w:r>
      <w:r w:rsidR="00802580" w:rsidRPr="00802580">
        <w:t>8</w:t>
      </w:r>
    </w:p>
    <w:p w14:paraId="6E480B1F" w14:textId="1701B1B6" w:rsidR="00802580" w:rsidRPr="00802580" w:rsidRDefault="00A3415C" w:rsidP="00802580">
      <w:pPr>
        <w:tabs>
          <w:tab w:val="right" w:pos="850"/>
          <w:tab w:val="left" w:pos="1134"/>
          <w:tab w:val="left" w:pos="1559"/>
          <w:tab w:val="left" w:pos="1984"/>
          <w:tab w:val="left" w:leader="dot" w:pos="8929"/>
          <w:tab w:val="right" w:pos="9638"/>
        </w:tabs>
        <w:spacing w:after="120"/>
      </w:pPr>
      <w:r>
        <w:tab/>
      </w:r>
      <w:r w:rsidR="00802580" w:rsidRPr="00802580">
        <w:t>IV.</w:t>
      </w:r>
      <w:r>
        <w:tab/>
      </w:r>
      <w:r w:rsidR="00802580" w:rsidRPr="00802580">
        <w:t>Drivers of segregation</w:t>
      </w:r>
      <w:r w:rsidR="00802580" w:rsidRPr="00802580">
        <w:tab/>
      </w:r>
      <w:r>
        <w:tab/>
      </w:r>
      <w:r w:rsidR="00802580" w:rsidRPr="00802580">
        <w:t>9</w:t>
      </w:r>
    </w:p>
    <w:p w14:paraId="5CDF9A92" w14:textId="6472C04B"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A.</w:t>
      </w:r>
      <w:r>
        <w:tab/>
      </w:r>
      <w:r w:rsidR="00802580" w:rsidRPr="00802580">
        <w:t>Land use planning and discriminatory zoning</w:t>
      </w:r>
      <w:r w:rsidR="00802580" w:rsidRPr="00802580">
        <w:tab/>
      </w:r>
      <w:r>
        <w:tab/>
      </w:r>
      <w:r w:rsidR="00802580" w:rsidRPr="00802580">
        <w:t>9</w:t>
      </w:r>
    </w:p>
    <w:p w14:paraId="0939CC0D" w14:textId="38C4945C"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B.</w:t>
      </w:r>
      <w:r>
        <w:tab/>
      </w:r>
      <w:r w:rsidR="00802580" w:rsidRPr="00802580">
        <w:t>Physical barriers</w:t>
      </w:r>
      <w:r w:rsidR="00802580" w:rsidRPr="00802580">
        <w:tab/>
      </w:r>
      <w:r>
        <w:tab/>
      </w:r>
      <w:r w:rsidR="00802580" w:rsidRPr="00802580">
        <w:t>10</w:t>
      </w:r>
    </w:p>
    <w:p w14:paraId="0955CF9D" w14:textId="23314D6A"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C.</w:t>
      </w:r>
      <w:r>
        <w:tab/>
      </w:r>
      <w:r w:rsidR="00802580" w:rsidRPr="00802580">
        <w:t>Forced evictions and displacement</w:t>
      </w:r>
      <w:r w:rsidR="00802580" w:rsidRPr="00802580">
        <w:tab/>
      </w:r>
      <w:r>
        <w:tab/>
      </w:r>
      <w:r w:rsidR="00802580" w:rsidRPr="00802580">
        <w:t>11</w:t>
      </w:r>
    </w:p>
    <w:p w14:paraId="3C0A790D" w14:textId="450035F1"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t>D.</w:t>
      </w:r>
      <w:r>
        <w:tab/>
      </w:r>
      <w:r w:rsidR="00802580" w:rsidRPr="00802580">
        <w:t>Social and public housing policies</w:t>
      </w:r>
      <w:r w:rsidR="00802580" w:rsidRPr="00802580">
        <w:tab/>
      </w:r>
      <w:r>
        <w:tab/>
      </w:r>
      <w:r w:rsidR="00802580" w:rsidRPr="00802580">
        <w:t>12</w:t>
      </w:r>
    </w:p>
    <w:p w14:paraId="78D2B858" w14:textId="58811623"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E</w:t>
      </w:r>
      <w:r>
        <w:t>.</w:t>
      </w:r>
      <w:r>
        <w:tab/>
      </w:r>
      <w:r w:rsidR="00802580" w:rsidRPr="00802580">
        <w:t>Criminalization and stigmatization of minority groups</w:t>
      </w:r>
      <w:r w:rsidR="00802580" w:rsidRPr="00802580">
        <w:tab/>
      </w:r>
      <w:r>
        <w:tab/>
      </w:r>
      <w:r w:rsidR="00802580" w:rsidRPr="00802580">
        <w:t>13</w:t>
      </w:r>
    </w:p>
    <w:p w14:paraId="46F6F2E4" w14:textId="4FF10BE7" w:rsidR="00802580" w:rsidRPr="00802580" w:rsidRDefault="00A3415C" w:rsidP="00802580">
      <w:pPr>
        <w:tabs>
          <w:tab w:val="right" w:pos="850"/>
          <w:tab w:val="left" w:pos="1134"/>
          <w:tab w:val="left" w:pos="1559"/>
          <w:tab w:val="left" w:pos="1984"/>
          <w:tab w:val="left" w:leader="dot" w:pos="8929"/>
          <w:tab w:val="right" w:pos="9638"/>
        </w:tabs>
        <w:spacing w:after="120"/>
      </w:pPr>
      <w:r>
        <w:tab/>
      </w:r>
      <w:r w:rsidR="00802580" w:rsidRPr="00802580">
        <w:t>V.</w:t>
      </w:r>
      <w:r>
        <w:tab/>
      </w:r>
      <w:r w:rsidR="00802580" w:rsidRPr="00802580">
        <w:t>The impact of segregation on the enjoyment of other interrelated human rights</w:t>
      </w:r>
      <w:r w:rsidR="00802580" w:rsidRPr="00802580">
        <w:tab/>
      </w:r>
      <w:r>
        <w:tab/>
      </w:r>
      <w:r w:rsidR="00802580" w:rsidRPr="00802580">
        <w:t>13</w:t>
      </w:r>
    </w:p>
    <w:p w14:paraId="0AD0F677" w14:textId="4AB2E3A8" w:rsidR="00802580" w:rsidRPr="00802580" w:rsidRDefault="00A3415C" w:rsidP="00802580">
      <w:pPr>
        <w:tabs>
          <w:tab w:val="right" w:pos="850"/>
          <w:tab w:val="left" w:pos="1134"/>
          <w:tab w:val="left" w:pos="1559"/>
          <w:tab w:val="left" w:pos="1984"/>
          <w:tab w:val="left" w:leader="dot" w:pos="8929"/>
          <w:tab w:val="right" w:pos="9638"/>
        </w:tabs>
        <w:spacing w:after="120"/>
      </w:pPr>
      <w:r>
        <w:rPr>
          <w:b/>
        </w:rPr>
        <w:tab/>
      </w:r>
      <w:r w:rsidR="00802580" w:rsidRPr="00A3415C">
        <w:t>VI.</w:t>
      </w:r>
      <w:r>
        <w:rPr>
          <w:b/>
        </w:rPr>
        <w:tab/>
      </w:r>
      <w:r w:rsidR="00802580" w:rsidRPr="00802580">
        <w:t>Addressing spatial segregation</w:t>
      </w:r>
      <w:r w:rsidR="00802580" w:rsidRPr="00802580">
        <w:tab/>
      </w:r>
      <w:r>
        <w:tab/>
      </w:r>
      <w:r w:rsidR="00802580" w:rsidRPr="00802580">
        <w:t>14</w:t>
      </w:r>
    </w:p>
    <w:p w14:paraId="0D8BDA59" w14:textId="0531E02E"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A.</w:t>
      </w:r>
      <w:r>
        <w:tab/>
      </w:r>
      <w:r w:rsidR="00802580" w:rsidRPr="00802580">
        <w:t>International frameworks</w:t>
      </w:r>
      <w:r w:rsidR="00802580" w:rsidRPr="00802580">
        <w:tab/>
      </w:r>
      <w:r>
        <w:tab/>
      </w:r>
      <w:r w:rsidR="00802580" w:rsidRPr="00802580">
        <w:t>15</w:t>
      </w:r>
    </w:p>
    <w:p w14:paraId="494434C4" w14:textId="08EDFB02" w:rsidR="00802580" w:rsidRPr="00802580" w:rsidRDefault="00A3415C" w:rsidP="00802580">
      <w:pPr>
        <w:tabs>
          <w:tab w:val="right" w:pos="850"/>
          <w:tab w:val="left" w:pos="1134"/>
          <w:tab w:val="left" w:pos="1559"/>
          <w:tab w:val="left" w:pos="1984"/>
          <w:tab w:val="left" w:leader="dot" w:pos="8929"/>
          <w:tab w:val="right" w:pos="9638"/>
        </w:tabs>
        <w:spacing w:after="120"/>
      </w:pPr>
      <w:r>
        <w:tab/>
      </w:r>
      <w:r>
        <w:tab/>
      </w:r>
      <w:r w:rsidR="00802580" w:rsidRPr="00802580">
        <w:t>B.</w:t>
      </w:r>
      <w:r>
        <w:tab/>
      </w:r>
      <w:r w:rsidR="00802580" w:rsidRPr="00802580">
        <w:t>Strategic litigation</w:t>
      </w:r>
      <w:r w:rsidR="00802580" w:rsidRPr="00802580">
        <w:tab/>
      </w:r>
      <w:r>
        <w:tab/>
      </w:r>
      <w:r w:rsidR="00802580" w:rsidRPr="00802580">
        <w:t>15</w:t>
      </w:r>
    </w:p>
    <w:p w14:paraId="58A91207" w14:textId="370C8E74" w:rsidR="00802580" w:rsidRPr="00802580" w:rsidRDefault="009125B6" w:rsidP="00802580">
      <w:pPr>
        <w:tabs>
          <w:tab w:val="right" w:pos="850"/>
          <w:tab w:val="left" w:pos="1134"/>
          <w:tab w:val="left" w:pos="1559"/>
          <w:tab w:val="left" w:pos="1984"/>
          <w:tab w:val="left" w:leader="dot" w:pos="8929"/>
          <w:tab w:val="right" w:pos="9638"/>
        </w:tabs>
        <w:spacing w:after="120"/>
      </w:pPr>
      <w:r>
        <w:tab/>
      </w:r>
      <w:r>
        <w:tab/>
      </w:r>
      <w:r w:rsidR="00802580" w:rsidRPr="00802580">
        <w:t>C.</w:t>
      </w:r>
      <w:r>
        <w:tab/>
      </w:r>
      <w:r w:rsidR="00802580" w:rsidRPr="00802580">
        <w:t>Housing policies</w:t>
      </w:r>
      <w:r w:rsidR="00802580" w:rsidRPr="00802580">
        <w:tab/>
      </w:r>
      <w:r>
        <w:tab/>
      </w:r>
      <w:r w:rsidR="00802580" w:rsidRPr="00802580">
        <w:t>16</w:t>
      </w:r>
    </w:p>
    <w:p w14:paraId="692573AD" w14:textId="3075CF30" w:rsidR="00802580" w:rsidRPr="00802580" w:rsidRDefault="009125B6" w:rsidP="00802580">
      <w:pPr>
        <w:tabs>
          <w:tab w:val="right" w:pos="850"/>
          <w:tab w:val="left" w:pos="1134"/>
          <w:tab w:val="left" w:pos="1559"/>
          <w:tab w:val="left" w:pos="1984"/>
          <w:tab w:val="left" w:leader="dot" w:pos="8929"/>
          <w:tab w:val="right" w:pos="9638"/>
        </w:tabs>
        <w:spacing w:after="120"/>
      </w:pPr>
      <w:r>
        <w:tab/>
      </w:r>
      <w:r>
        <w:tab/>
      </w:r>
      <w:r w:rsidR="00802580" w:rsidRPr="00802580">
        <w:t>D.</w:t>
      </w:r>
      <w:r>
        <w:tab/>
      </w:r>
      <w:r w:rsidR="00802580" w:rsidRPr="00802580">
        <w:t>Urban and territorial planning</w:t>
      </w:r>
      <w:r w:rsidR="00802580" w:rsidRPr="00802580">
        <w:tab/>
      </w:r>
      <w:r>
        <w:tab/>
      </w:r>
      <w:r w:rsidR="00802580" w:rsidRPr="00802580">
        <w:t>17</w:t>
      </w:r>
    </w:p>
    <w:p w14:paraId="5CD3AB95" w14:textId="5E97C705" w:rsidR="00802580" w:rsidRPr="00802580" w:rsidRDefault="009125B6" w:rsidP="00802580">
      <w:pPr>
        <w:tabs>
          <w:tab w:val="right" w:pos="850"/>
          <w:tab w:val="left" w:pos="1134"/>
          <w:tab w:val="left" w:pos="1559"/>
          <w:tab w:val="left" w:pos="1984"/>
          <w:tab w:val="left" w:leader="dot" w:pos="8929"/>
          <w:tab w:val="right" w:pos="9638"/>
        </w:tabs>
        <w:spacing w:after="120"/>
      </w:pPr>
      <w:r>
        <w:rPr>
          <w:b/>
        </w:rPr>
        <w:tab/>
      </w:r>
      <w:r w:rsidR="002B7661">
        <w:rPr>
          <w:b/>
        </w:rPr>
        <w:tab/>
      </w:r>
      <w:r w:rsidR="00802580" w:rsidRPr="009125B6">
        <w:t>E.</w:t>
      </w:r>
      <w:r>
        <w:rPr>
          <w:b/>
        </w:rPr>
        <w:tab/>
      </w:r>
      <w:r w:rsidR="00802580" w:rsidRPr="00802580">
        <w:t>Neighbourhood upgrading programs</w:t>
      </w:r>
      <w:r w:rsidR="00802580" w:rsidRPr="00802580">
        <w:tab/>
      </w:r>
      <w:r>
        <w:tab/>
      </w:r>
      <w:r w:rsidR="00802580" w:rsidRPr="00802580">
        <w:t>18</w:t>
      </w:r>
    </w:p>
    <w:p w14:paraId="1980D7D1" w14:textId="5EC575C8" w:rsidR="002729C7" w:rsidRDefault="009125B6" w:rsidP="00802580">
      <w:pPr>
        <w:tabs>
          <w:tab w:val="right" w:pos="850"/>
          <w:tab w:val="left" w:pos="1134"/>
          <w:tab w:val="left" w:pos="1559"/>
          <w:tab w:val="left" w:pos="1984"/>
          <w:tab w:val="left" w:leader="dot" w:pos="8929"/>
          <w:tab w:val="right" w:pos="9638"/>
        </w:tabs>
        <w:spacing w:after="120"/>
      </w:pPr>
      <w:r>
        <w:tab/>
      </w:r>
      <w:r w:rsidR="00802580" w:rsidRPr="00802580">
        <w:t>VII.</w:t>
      </w:r>
      <w:r>
        <w:tab/>
      </w:r>
      <w:r w:rsidR="00802580" w:rsidRPr="00802580">
        <w:t>Conclusions and recommendations</w:t>
      </w:r>
      <w:r w:rsidR="00802580" w:rsidRPr="00802580">
        <w:tab/>
      </w:r>
      <w:r>
        <w:tab/>
      </w:r>
      <w:r w:rsidR="00802580" w:rsidRPr="00802580">
        <w:t>18</w:t>
      </w:r>
    </w:p>
    <w:p w14:paraId="01AF5511" w14:textId="296FA108" w:rsidR="002729C7" w:rsidRDefault="002729C7">
      <w:pPr>
        <w:suppressAutoHyphens w:val="0"/>
        <w:spacing w:line="240" w:lineRule="auto"/>
      </w:pPr>
    </w:p>
    <w:p w14:paraId="444D6841" w14:textId="3169B8F9" w:rsidR="002729C7" w:rsidRDefault="002729C7">
      <w:pPr>
        <w:suppressAutoHyphens w:val="0"/>
        <w:spacing w:line="240" w:lineRule="auto"/>
      </w:pPr>
      <w:r>
        <w:br w:type="page"/>
      </w:r>
    </w:p>
    <w:p w14:paraId="38F80A35" w14:textId="77777777" w:rsidR="001E1299" w:rsidRDefault="0061291D" w:rsidP="0061291D">
      <w:pPr>
        <w:pStyle w:val="HChG"/>
      </w:pPr>
      <w:r>
        <w:lastRenderedPageBreak/>
        <w:tab/>
        <w:t>I</w:t>
      </w:r>
      <w:r w:rsidR="00284BD7">
        <w:t>.</w:t>
      </w:r>
      <w:r>
        <w:tab/>
        <w:t>Introduction</w:t>
      </w:r>
    </w:p>
    <w:p w14:paraId="1EAC6680" w14:textId="77777777" w:rsidR="0061291D" w:rsidRDefault="00A76BF8" w:rsidP="00A76BF8">
      <w:pPr>
        <w:pStyle w:val="ParNoG"/>
      </w:pPr>
      <w:r>
        <w:t>The realities of most cities and territories today are marked by drastic inequalities, most visibly manifested in the form of spatial segregation that affects historically marginalized groups. Whether de jure or de facto, spatial segregation is a reflection of multiple, compounded and intersectional forms of discrimination and an incursion on the equal enjoyment of the right to adequate housing. Spatial segregation is also linked to the violation of a wide range of other inter-related human rights.</w:t>
      </w:r>
    </w:p>
    <w:p w14:paraId="56E50EC5" w14:textId="77777777" w:rsidR="00A76BF8" w:rsidRDefault="00A76BF8" w:rsidP="00A76BF8">
      <w:pPr>
        <w:pStyle w:val="ParNoG"/>
      </w:pPr>
      <w:r>
        <w:t>Spatial segregation can be understood as the imposed or preferred separation of groups of people in a particular territory along the lines of race, caste, ethnicity, language, religion, disability, income or other status. Spatial, including residential, segregation can assume different forms depending on the territorial, cultural or historical context, but these are almost always characterized by economic and social exclusion, and inequality in accessing infrastructure, services and livelihood opportunities. Spatial segregation is thus of major concern to the Special Rapporteur and to the equal enjoyment of human rights without any discrimination.</w:t>
      </w:r>
    </w:p>
    <w:p w14:paraId="2C748657" w14:textId="5E087A61" w:rsidR="00A76BF8" w:rsidRDefault="00A76BF8" w:rsidP="00A76BF8">
      <w:pPr>
        <w:pStyle w:val="ParNoG"/>
      </w:pPr>
      <w:r>
        <w:rPr>
          <w:highlight w:val="white"/>
        </w:rPr>
        <w:t>As highlighted in Special Rapporteur’s recent report (</w:t>
      </w:r>
      <w:r w:rsidRPr="00312369">
        <w:t>A/76/408</w:t>
      </w:r>
      <w:r w:rsidR="00EA39FA">
        <w:rPr>
          <w:highlight w:val="white"/>
        </w:rPr>
        <w:t>)</w:t>
      </w:r>
      <w:r>
        <w:rPr>
          <w:highlight w:val="white"/>
        </w:rPr>
        <w:t xml:space="preserve">, across the globe </w:t>
      </w:r>
      <w:r>
        <w:t xml:space="preserve">racial, ethnic or religious minorities, migrants, refugees, and internally displaced persons, women, indigenous peoples, LGBTQI+ persons, persons with disabilities, children, older persons, persons </w:t>
      </w:r>
      <w:r w:rsidR="0009305F">
        <w:t xml:space="preserve">experiencing </w:t>
      </w:r>
      <w:r>
        <w:t>homelessness, in informal settlements, or in poverty are particularly affected by systemic housing discrimination and spatial segregation.</w:t>
      </w:r>
    </w:p>
    <w:p w14:paraId="0D528B3B" w14:textId="53E17145" w:rsidR="00A76BF8" w:rsidRDefault="00645F4A" w:rsidP="00A76BF8">
      <w:pPr>
        <w:pStyle w:val="ParNoG"/>
      </w:pPr>
      <w:r>
        <w:t>P</w:t>
      </w:r>
      <w:r w:rsidR="00A76BF8">
        <w:t xml:space="preserve">rior to the creation of the current mandate, the Special Rapporteur on promoting the realization of the right to adequate housing </w:t>
      </w:r>
      <w:r w:rsidR="00A63A12">
        <w:t xml:space="preserve">reporting to </w:t>
      </w:r>
      <w:r w:rsidR="00A76BF8">
        <w:t>the then Commission on Human Rights</w:t>
      </w:r>
      <w:r w:rsidR="00EA39FA">
        <w:t>,</w:t>
      </w:r>
      <w:r w:rsidR="00A76BF8">
        <w:t xml:space="preserve"> Mr. </w:t>
      </w:r>
      <w:proofErr w:type="spellStart"/>
      <w:r w:rsidR="00A76BF8">
        <w:t>Rajindar</w:t>
      </w:r>
      <w:proofErr w:type="spellEnd"/>
      <w:r w:rsidR="00A76BF8">
        <w:t xml:space="preserve"> </w:t>
      </w:r>
      <w:proofErr w:type="spellStart"/>
      <w:r w:rsidR="00A76BF8">
        <w:t>Sachar</w:t>
      </w:r>
      <w:proofErr w:type="spellEnd"/>
      <w:r w:rsidR="00A76BF8">
        <w:t>, was concerned with spatial segregation. Reflecting on colonially administered lands and contemporary geopolitical contexts</w:t>
      </w:r>
      <w:r w:rsidR="00173DE8">
        <w:t>, namely</w:t>
      </w:r>
      <w:r w:rsidR="00A76BF8">
        <w:t xml:space="preserve"> South Africa during Apartheid and Palestine, he wrote in 1994 that “the housing domain formed the cornerstone of minority-led policies of segregation, discrimination, land confiscation, relocation and marginalization”</w:t>
      </w:r>
      <w:r w:rsidR="001C29BE">
        <w:t>.</w:t>
      </w:r>
      <w:r w:rsidR="00A76BF8">
        <w:rPr>
          <w:rStyle w:val="FootnoteReference"/>
        </w:rPr>
        <w:footnoteReference w:id="3"/>
      </w:r>
    </w:p>
    <w:p w14:paraId="32B3FED2" w14:textId="5F2D050C" w:rsidR="00A76BF8" w:rsidRDefault="005F39C4" w:rsidP="0039007A">
      <w:pPr>
        <w:pStyle w:val="ParNoG"/>
      </w:pPr>
      <w:r>
        <w:t>Spatial segregation was a major concern</w:t>
      </w:r>
      <w:r>
        <w:rPr>
          <w:rStyle w:val="FootnoteReference"/>
        </w:rPr>
        <w:footnoteReference w:id="4"/>
      </w:r>
      <w:r>
        <w:t xml:space="preserve"> for the first Special Rapporteur on the right to adequate housing, Mr. </w:t>
      </w:r>
      <w:proofErr w:type="spellStart"/>
      <w:r>
        <w:t>Miloon</w:t>
      </w:r>
      <w:proofErr w:type="spellEnd"/>
      <w:r>
        <w:t xml:space="preserve"> Kothari, who warned already in 2002 that “segregation in housing can be based not only on </w:t>
      </w:r>
      <w:r w:rsidRPr="0039007A">
        <w:t>grounds</w:t>
      </w:r>
      <w:r>
        <w:t xml:space="preserve"> of race, class or gender, but can also result from poverty and economic marginalization”</w:t>
      </w:r>
      <w:r w:rsidR="001C29BE">
        <w:t>.</w:t>
      </w:r>
      <w:r>
        <w:rPr>
          <w:rStyle w:val="FootnoteReference"/>
        </w:rPr>
        <w:footnoteReference w:id="5"/>
      </w:r>
      <w:r>
        <w:t xml:space="preserve"> He pointed at forced evictions</w:t>
      </w:r>
      <w:r w:rsidR="001C29BE">
        <w:t>,</w:t>
      </w:r>
      <w:r>
        <w:rPr>
          <w:rStyle w:val="FootnoteReference"/>
        </w:rPr>
        <w:footnoteReference w:id="6"/>
      </w:r>
      <w:r>
        <w:t xml:space="preserve"> discrimination in accessing public services</w:t>
      </w:r>
      <w:r>
        <w:rPr>
          <w:rStyle w:val="FootnoteReference"/>
        </w:rPr>
        <w:footnoteReference w:id="7"/>
      </w:r>
      <w:r>
        <w:t xml:space="preserve"> and land and house speculation</w:t>
      </w:r>
      <w:r>
        <w:rPr>
          <w:rStyle w:val="FootnoteReference"/>
        </w:rPr>
        <w:footnoteReference w:id="8"/>
      </w:r>
      <w:r>
        <w:t xml:space="preserve"> as being drivers of segregation, “urban apartheid” and “ghettoization”. The subsequent mandate holder, Ms. Raquel </w:t>
      </w:r>
      <w:proofErr w:type="spellStart"/>
      <w:r>
        <w:t>Rolnik</w:t>
      </w:r>
      <w:proofErr w:type="spellEnd"/>
      <w:r>
        <w:t>, flagged the increased stigmatization of public housing as locations of extreme poverty, crime and segregation</w:t>
      </w:r>
      <w:r>
        <w:rPr>
          <w:rStyle w:val="FootnoteReference"/>
        </w:rPr>
        <w:footnoteReference w:id="9"/>
      </w:r>
      <w:r>
        <w:t xml:space="preserve"> and drew attention to the fact that migrants experience segregation in urban areas</w:t>
      </w:r>
      <w:r w:rsidR="001C29BE">
        <w:t>.</w:t>
      </w:r>
      <w:r>
        <w:rPr>
          <w:rStyle w:val="FootnoteReference"/>
        </w:rPr>
        <w:footnoteReference w:id="10"/>
      </w:r>
      <w:r>
        <w:t xml:space="preserve"> When studying the issue of </w:t>
      </w:r>
      <w:proofErr w:type="spellStart"/>
      <w:r>
        <w:t>financialization</w:t>
      </w:r>
      <w:proofErr w:type="spellEnd"/>
      <w:r>
        <w:t xml:space="preserve"> of housing, the previous mandate holder, Ms. Leilani </w:t>
      </w:r>
      <w:proofErr w:type="spellStart"/>
      <w:r>
        <w:t>Farha</w:t>
      </w:r>
      <w:proofErr w:type="spellEnd"/>
      <w:r>
        <w:t xml:space="preserve">, indicated that the impact of wealth and private investment </w:t>
      </w:r>
      <w:r>
        <w:lastRenderedPageBreak/>
        <w:t>has also created and perpetuated spatial segregation and inequality in cities</w:t>
      </w:r>
      <w:r w:rsidR="001C29BE">
        <w:t>.</w:t>
      </w:r>
      <w:r>
        <w:rPr>
          <w:rStyle w:val="FootnoteReference"/>
        </w:rPr>
        <w:footnoteReference w:id="11"/>
      </w:r>
      <w:r>
        <w:t xml:space="preserve"> </w:t>
      </w:r>
      <w:r w:rsidR="00EF1508">
        <w:t>S</w:t>
      </w:r>
      <w:r>
        <w:t xml:space="preserve">he </w:t>
      </w:r>
      <w:r w:rsidR="00EF1508">
        <w:t xml:space="preserve">also </w:t>
      </w:r>
      <w:r>
        <w:t>described the “poor door” phenomenon whereby low-income tenants are compelled to use separate entrances and segregated services</w:t>
      </w:r>
      <w:r w:rsidR="001C29BE">
        <w:t>.</w:t>
      </w:r>
      <w:r>
        <w:rPr>
          <w:rStyle w:val="FootnoteReference"/>
        </w:rPr>
        <w:footnoteReference w:id="12"/>
      </w:r>
      <w:r>
        <w:t xml:space="preserve"> These previous mandate holders have also taken on spatial or residential segregation in their country visit reports</w:t>
      </w:r>
      <w:r w:rsidR="001C29BE">
        <w:t>.</w:t>
      </w:r>
      <w:r w:rsidR="00A701D3">
        <w:rPr>
          <w:rStyle w:val="FootnoteReference"/>
        </w:rPr>
        <w:footnoteReference w:id="13"/>
      </w:r>
      <w:r>
        <w:t xml:space="preserve"> The mandate has issued several communications</w:t>
      </w:r>
      <w:r w:rsidR="00A701D3">
        <w:rPr>
          <w:rStyle w:val="FootnoteReference"/>
        </w:rPr>
        <w:footnoteReference w:id="14"/>
      </w:r>
      <w:r>
        <w:t xml:space="preserve"> to States raising concerns over spatial or residential segregation.</w:t>
      </w:r>
    </w:p>
    <w:p w14:paraId="3E439475" w14:textId="7F421D37" w:rsidR="007C7F56" w:rsidRPr="00993858" w:rsidRDefault="007C7F56" w:rsidP="007C7F56">
      <w:pPr>
        <w:pStyle w:val="ParNoG"/>
      </w:pPr>
      <w:r w:rsidRPr="007C7F56">
        <w:rPr>
          <w:lang w:val="en-US" w:eastAsia="en-GB"/>
        </w:rPr>
        <w:t xml:space="preserve">The current mandate holder believes that the issue of spatial segregation is so pervasive, </w:t>
      </w:r>
      <w:r w:rsidR="00913586">
        <w:rPr>
          <w:lang w:val="en-US" w:eastAsia="en-GB"/>
        </w:rPr>
        <w:t xml:space="preserve">with long-lasting and detrimental </w:t>
      </w:r>
      <w:r w:rsidRPr="007C7F56">
        <w:rPr>
          <w:lang w:val="en-US" w:eastAsia="en-GB"/>
        </w:rPr>
        <w:t xml:space="preserve">effects on the enjoyment of </w:t>
      </w:r>
      <w:r w:rsidR="00913586">
        <w:rPr>
          <w:lang w:val="en-US" w:eastAsia="en-GB"/>
        </w:rPr>
        <w:t xml:space="preserve">human </w:t>
      </w:r>
      <w:r w:rsidRPr="007C7F56">
        <w:rPr>
          <w:lang w:val="en-US" w:eastAsia="en-GB"/>
        </w:rPr>
        <w:t>right</w:t>
      </w:r>
      <w:r w:rsidR="00913586">
        <w:rPr>
          <w:lang w:val="en-US" w:eastAsia="en-GB"/>
        </w:rPr>
        <w:t>s</w:t>
      </w:r>
      <w:r w:rsidRPr="007C7F56">
        <w:rPr>
          <w:lang w:val="en-US" w:eastAsia="en-GB"/>
        </w:rPr>
        <w:t>, that it merits a separate report dedicated to it. He believes that addressing spatial segregation and its consequences is an important facet in the current debate on racial justice and equality, especially for Afro-descendent communities</w:t>
      </w:r>
      <w:r w:rsidR="001C29BE">
        <w:rPr>
          <w:lang w:val="en-US" w:eastAsia="en-GB"/>
        </w:rPr>
        <w:t>.</w:t>
      </w:r>
      <w:r w:rsidR="00993858">
        <w:rPr>
          <w:rStyle w:val="FootnoteReference"/>
          <w:lang w:val="en-US" w:eastAsia="en-GB"/>
        </w:rPr>
        <w:footnoteReference w:id="15"/>
      </w:r>
      <w:r w:rsidRPr="007C7F56">
        <w:rPr>
          <w:lang w:val="en-US" w:eastAsia="en-GB"/>
        </w:rPr>
        <w:t xml:space="preserve"> As the COVID-19 pandemic </w:t>
      </w:r>
      <w:r w:rsidR="002064C0">
        <w:rPr>
          <w:lang w:val="en-US" w:eastAsia="en-GB"/>
        </w:rPr>
        <w:t>demonstrated</w:t>
      </w:r>
      <w:r w:rsidRPr="007C7F56">
        <w:rPr>
          <w:lang w:val="en-US" w:eastAsia="en-GB"/>
        </w:rPr>
        <w:t>, vulnerable groups that live in distressed communities, particularly those that lack access to essential infrastructure and services, are disproportionately impacted by crisis. Increasingly, research on the impacts of climate change points to the disproportionate vulnerability faced by spatially segregated communities</w:t>
      </w:r>
      <w:r w:rsidR="001C29BE">
        <w:rPr>
          <w:lang w:val="en-US" w:eastAsia="en-GB"/>
        </w:rPr>
        <w:t>.</w:t>
      </w:r>
      <w:r w:rsidR="00993858">
        <w:rPr>
          <w:rStyle w:val="FootnoteReference"/>
          <w:lang w:val="en-US" w:eastAsia="en-GB"/>
        </w:rPr>
        <w:footnoteReference w:id="16"/>
      </w:r>
      <w:r w:rsidRPr="007C7F56">
        <w:rPr>
          <w:lang w:val="en-US" w:eastAsia="en-GB"/>
        </w:rPr>
        <w:t xml:space="preserve"> </w:t>
      </w:r>
      <w:r w:rsidR="002064C0">
        <w:rPr>
          <w:lang w:val="en-US" w:eastAsia="en-GB"/>
        </w:rPr>
        <w:t>T</w:t>
      </w:r>
      <w:r w:rsidRPr="007C7F56">
        <w:rPr>
          <w:lang w:val="en-US" w:eastAsia="en-GB"/>
        </w:rPr>
        <w:t>hese realities underscore</w:t>
      </w:r>
      <w:r w:rsidR="002064C0">
        <w:rPr>
          <w:lang w:val="en-US" w:eastAsia="en-GB"/>
        </w:rPr>
        <w:t xml:space="preserve"> that</w:t>
      </w:r>
      <w:r w:rsidRPr="007C7F56">
        <w:rPr>
          <w:lang w:val="en-US" w:eastAsia="en-GB"/>
        </w:rPr>
        <w:t xml:space="preserve"> addressing spatial segregation is an urgent and critical component to advancing equitable and sustainable development and ensuring community resiliency.</w:t>
      </w:r>
    </w:p>
    <w:p w14:paraId="2A5C1725" w14:textId="4C6174CD" w:rsidR="00993858" w:rsidRPr="00993858" w:rsidRDefault="00097B02" w:rsidP="0039007A">
      <w:pPr>
        <w:pStyle w:val="ParNoG"/>
      </w:pPr>
      <w:r>
        <w:t xml:space="preserve">The report was prepared on the basis of </w:t>
      </w:r>
      <w:r w:rsidR="00993858">
        <w:t xml:space="preserve">an extensive </w:t>
      </w:r>
      <w:r>
        <w:t xml:space="preserve">literature </w:t>
      </w:r>
      <w:r w:rsidR="00993858">
        <w:t xml:space="preserve">review </w:t>
      </w:r>
      <w:r>
        <w:t xml:space="preserve">and </w:t>
      </w:r>
      <w:r w:rsidR="00993858">
        <w:t xml:space="preserve">a broad public consultation process with representatives from States, local Governments, equality </w:t>
      </w:r>
      <w:r w:rsidR="00993858" w:rsidRPr="0039007A">
        <w:t>bodies</w:t>
      </w:r>
      <w:r w:rsidR="00993858">
        <w:t xml:space="preserve"> and national human rights institutions, judges, lawyers, civil society groups and academic experts. This process included four virtual consultations with over 400 participants and over 100 written submissions. The present </w:t>
      </w:r>
      <w:r w:rsidR="00993858">
        <w:rPr>
          <w:color w:val="000000"/>
        </w:rPr>
        <w:t xml:space="preserve">report was developed and should be read in conjunction with </w:t>
      </w:r>
      <w:r w:rsidR="00BB1A3D">
        <w:rPr>
          <w:color w:val="000000"/>
        </w:rPr>
        <w:t xml:space="preserve">his recent </w:t>
      </w:r>
      <w:r w:rsidR="00993858">
        <w:rPr>
          <w:color w:val="000000"/>
        </w:rPr>
        <w:t xml:space="preserve">thematic report </w:t>
      </w:r>
      <w:r w:rsidR="00993858">
        <w:rPr>
          <w:highlight w:val="white"/>
        </w:rPr>
        <w:t>(</w:t>
      </w:r>
      <w:r w:rsidR="00993858" w:rsidRPr="00312369">
        <w:t>A/76/408</w:t>
      </w:r>
      <w:r w:rsidR="00993858">
        <w:rPr>
          <w:highlight w:val="white"/>
        </w:rPr>
        <w:t>)</w:t>
      </w:r>
      <w:r w:rsidR="00993858">
        <w:t xml:space="preserve"> </w:t>
      </w:r>
      <w:r w:rsidR="00993858">
        <w:rPr>
          <w:color w:val="000000"/>
        </w:rPr>
        <w:t>on non-discrimination in the context of the right to adequate housing.</w:t>
      </w:r>
    </w:p>
    <w:p w14:paraId="29F0A250" w14:textId="77777777" w:rsidR="00993858" w:rsidRDefault="00284BD7" w:rsidP="00993858">
      <w:pPr>
        <w:pStyle w:val="HChG"/>
      </w:pPr>
      <w:r>
        <w:rPr>
          <w:color w:val="000000"/>
          <w:sz w:val="22"/>
          <w:szCs w:val="22"/>
        </w:rPr>
        <w:tab/>
      </w:r>
      <w:r w:rsidRPr="00284BD7">
        <w:t>II.</w:t>
      </w:r>
      <w:r w:rsidRPr="00284BD7">
        <w:tab/>
      </w:r>
      <w:r>
        <w:t>International normative framework</w:t>
      </w:r>
    </w:p>
    <w:p w14:paraId="0F8F8F90" w14:textId="77777777" w:rsidR="00284BD7" w:rsidRDefault="000D781A" w:rsidP="000D781A">
      <w:pPr>
        <w:pStyle w:val="ParNoG"/>
      </w:pPr>
      <w:r>
        <w:t>International human rights law has long affirmed that segregation is a form of discrimination. Upon ratifying the International Convention on the Elimination of all Forms of Racial Discrimination (1966), States agreed to condemn racial segregation and apartheid and undertook to prevent, prohibit and eradicate all practices of this nature in territories under their jurisdiction (article 3)</w:t>
      </w:r>
      <w:r>
        <w:rPr>
          <w:highlight w:val="white"/>
        </w:rPr>
        <w:t>.</w:t>
      </w:r>
    </w:p>
    <w:p w14:paraId="11833925" w14:textId="7DC7EBBA" w:rsidR="000D781A" w:rsidRDefault="000D781A" w:rsidP="000D781A">
      <w:pPr>
        <w:pStyle w:val="ParNoG"/>
      </w:pPr>
      <w:r>
        <w:rPr>
          <w:highlight w:val="white"/>
        </w:rPr>
        <w:t xml:space="preserve">In its General Recommendation 19, the Committee on the Elimination of Racial Discrimination clarified that </w:t>
      </w:r>
      <w:r>
        <w:t xml:space="preserve">article 3 of the Convention applies to all countries and that the obligation to eradicate all practices of this nature includes the obligation to eradicate the consequences of such practices undertaken or tolerated by previous Governments in the State or imposed by forces outside the State. It affirms that while conditions of racial segregation may in some countries have been created by governmental policies, a condition of partial segregation may also arise as an unintended bi-product of </w:t>
      </w:r>
      <w:r>
        <w:lastRenderedPageBreak/>
        <w:t xml:space="preserve">the actions of private persons. </w:t>
      </w:r>
      <w:r w:rsidR="006701D4">
        <w:t>T</w:t>
      </w:r>
      <w:r>
        <w:t xml:space="preserve">he Committee </w:t>
      </w:r>
      <w:r>
        <w:rPr>
          <w:highlight w:val="white"/>
        </w:rPr>
        <w:t>asserted that States should monitor all trends which can give rise to racial segregation and work for the eradication of any negative consequences that ensue.</w:t>
      </w:r>
      <w:r w:rsidR="00BB1A3D">
        <w:rPr>
          <w:highlight w:val="white"/>
        </w:rPr>
        <w:t xml:space="preserve"> </w:t>
      </w:r>
      <w:r w:rsidR="00DA0741">
        <w:rPr>
          <w:highlight w:val="white"/>
        </w:rPr>
        <w:t>I</w:t>
      </w:r>
      <w:r>
        <w:rPr>
          <w:highlight w:val="white"/>
        </w:rPr>
        <w:t xml:space="preserve">n its General Recommendation 27, the Committee specifically recommended that States </w:t>
      </w:r>
      <w:r w:rsidR="002E64E9">
        <w:rPr>
          <w:highlight w:val="white"/>
        </w:rPr>
        <w:t xml:space="preserve">should develop and implement policies and projects aimed to avoid segregation of Roma communities and </w:t>
      </w:r>
      <w:r>
        <w:rPr>
          <w:highlight w:val="white"/>
        </w:rPr>
        <w:t xml:space="preserve">involve </w:t>
      </w:r>
      <w:r w:rsidR="002E64E9">
        <w:rPr>
          <w:highlight w:val="white"/>
        </w:rPr>
        <w:t xml:space="preserve">them </w:t>
      </w:r>
      <w:r>
        <w:rPr>
          <w:highlight w:val="white"/>
        </w:rPr>
        <w:t>in housing project construction, rehabilitation and maintenance</w:t>
      </w:r>
      <w:r w:rsidR="002E64E9">
        <w:rPr>
          <w:highlight w:val="white"/>
        </w:rPr>
        <w:t>.</w:t>
      </w:r>
      <w:r>
        <w:rPr>
          <w:highlight w:val="white"/>
        </w:rPr>
        <w:t xml:space="preserve"> </w:t>
      </w:r>
      <w:r w:rsidR="002E64E9">
        <w:rPr>
          <w:highlight w:val="white"/>
        </w:rPr>
        <w:t>I</w:t>
      </w:r>
      <w:r>
        <w:rPr>
          <w:highlight w:val="white"/>
        </w:rPr>
        <w:t>n its General</w:t>
      </w:r>
      <w:r>
        <w:t xml:space="preserve"> </w:t>
      </w:r>
      <w:r>
        <w:rPr>
          <w:highlight w:val="white"/>
        </w:rPr>
        <w:t xml:space="preserve">Recommendation 30, </w:t>
      </w:r>
      <w:r>
        <w:t>the Committee recommended to avoid segregation in housing of non-citizens and to ensure that housing agencies refrain from engaging in discriminatory practices.</w:t>
      </w:r>
    </w:p>
    <w:p w14:paraId="7233EBE6" w14:textId="4F659170" w:rsidR="00A350E7" w:rsidRDefault="00A350E7" w:rsidP="00A350E7">
      <w:pPr>
        <w:pStyle w:val="ParNoG"/>
      </w:pPr>
      <w:r>
        <w:t>In its concluding observations, t</w:t>
      </w:r>
      <w:r>
        <w:rPr>
          <w:highlight w:val="white"/>
        </w:rPr>
        <w:t xml:space="preserve">he Committee made on </w:t>
      </w:r>
      <w:r>
        <w:t>numerous occasions specific recommendations</w:t>
      </w:r>
      <w:r>
        <w:rPr>
          <w:rStyle w:val="FootnoteReference"/>
        </w:rPr>
        <w:footnoteReference w:id="17"/>
      </w:r>
      <w:r>
        <w:t xml:space="preserve"> to States concerning segregation in housing. Recommended measures include the adoption of necessary legislative and policy measures to </w:t>
      </w:r>
      <w:r w:rsidRPr="006B75A3">
        <w:t>address problems of ethnically</w:t>
      </w:r>
      <w:r>
        <w:t>-based</w:t>
      </w:r>
      <w:r w:rsidRPr="006B75A3">
        <w:t xml:space="preserve"> social exclusion and segregation</w:t>
      </w:r>
      <w:r w:rsidR="001C29BE">
        <w:t>,</w:t>
      </w:r>
      <w:r>
        <w:rPr>
          <w:rStyle w:val="FootnoteReference"/>
        </w:rPr>
        <w:footnoteReference w:id="18"/>
      </w:r>
      <w:r>
        <w:t xml:space="preserve"> to prohibit the construction of walls that separate communities of different ethnicities</w:t>
      </w:r>
      <w:r w:rsidR="001C29BE">
        <w:t>,</w:t>
      </w:r>
      <w:r>
        <w:rPr>
          <w:rStyle w:val="FootnoteReference"/>
        </w:rPr>
        <w:footnoteReference w:id="19"/>
      </w:r>
      <w:r>
        <w:t xml:space="preserve"> to ensure that social housing programmes do not result in a situation of de facto racial segregation</w:t>
      </w:r>
      <w:r w:rsidR="001C29BE">
        <w:t>,</w:t>
      </w:r>
      <w:r>
        <w:rPr>
          <w:rStyle w:val="FootnoteReference"/>
        </w:rPr>
        <w:footnoteReference w:id="20"/>
      </w:r>
      <w:r>
        <w:t xml:space="preserve"> </w:t>
      </w:r>
      <w:r w:rsidR="00BF789B">
        <w:t>analyse</w:t>
      </w:r>
      <w:r>
        <w:t xml:space="preserve"> the reasons behind concentration of certain immigrant groups in distinct areas and address actions of private parties which may result in de facto segregation</w:t>
      </w:r>
      <w:r w:rsidR="001C29BE">
        <w:t>.</w:t>
      </w:r>
      <w:r>
        <w:rPr>
          <w:rStyle w:val="FootnoteReference"/>
        </w:rPr>
        <w:footnoteReference w:id="21"/>
      </w:r>
      <w:r>
        <w:t xml:space="preserve"> It is worth noting that the Committee is currently reviewing a complaint lodged on 23 April 2018 by the State of Palestine against Israel under its inter-state communications procedure under article 11 of the Convention, referring among others to segregation under article 3. The Committee also decided to establish an ad-hoc Conciliation Commission which is due to work on an amicable settlement on the dispute between both States parties</w:t>
      </w:r>
      <w:r w:rsidR="001C29BE">
        <w:t>.</w:t>
      </w:r>
      <w:r>
        <w:rPr>
          <w:rStyle w:val="FootnoteReference"/>
        </w:rPr>
        <w:footnoteReference w:id="22"/>
      </w:r>
    </w:p>
    <w:p w14:paraId="4CEDBDE1" w14:textId="77777777" w:rsidR="00047F23" w:rsidRDefault="00047F23" w:rsidP="00047F23">
      <w:pPr>
        <w:pStyle w:val="ParNoG"/>
      </w:pPr>
      <w:r>
        <w:t>When establishing the mandate of the Special Rapporteur,</w:t>
      </w:r>
      <w:r>
        <w:rPr>
          <w:rStyle w:val="FootnoteReference"/>
        </w:rPr>
        <w:footnoteReference w:id="23"/>
      </w:r>
      <w:r>
        <w:t xml:space="preserve"> States recognized that the right </w:t>
      </w:r>
      <w:r w:rsidR="00B347B5">
        <w:t>to adequate housing is anchored</w:t>
      </w:r>
      <w:r>
        <w:t xml:space="preserve"> in the right to an adequate standard of living, as well as the right to non-discrimination, referencing the International Convention on the Elimination of All Forms of Racial Discrimination (article 5 (2)). This definition helps to understand that spatial segregation constitutes a prohibited, systemic form of discrimination that prevents realization of the right to adequate housing.</w:t>
      </w:r>
    </w:p>
    <w:p w14:paraId="579A4D29" w14:textId="1D5EC631" w:rsidR="00047F23" w:rsidRDefault="00586565" w:rsidP="008B7D7A">
      <w:pPr>
        <w:pStyle w:val="ParNoG"/>
      </w:pPr>
      <w:r>
        <w:t>S</w:t>
      </w:r>
      <w:r w:rsidR="00047F23">
        <w:t xml:space="preserve">patial segregation goes hand in hand with a violation of one or several of the elements of housing as a human right, </w:t>
      </w:r>
      <w:r w:rsidR="00B347B5">
        <w:t xml:space="preserve">as </w:t>
      </w:r>
      <w:r w:rsidR="00047F23">
        <w:t>defined by the Committee on Economic, Social and Cultural Rights in its General Comment No. 4</w:t>
      </w:r>
      <w:r w:rsidR="00D3322B">
        <w:t>. These are namely</w:t>
      </w:r>
      <w:r w:rsidR="00047F23" w:rsidRPr="007E6888">
        <w:t xml:space="preserve"> </w:t>
      </w:r>
      <w:r w:rsidR="00047F23" w:rsidRPr="00EA39FA">
        <w:t>legal security of tenure; availability of services, materials, facilities and infrastructure; affordability; habitability; accessibility; location; and cultural adequacy</w:t>
      </w:r>
      <w:r w:rsidR="00047F23" w:rsidRPr="007D63B8">
        <w:rPr>
          <w:i/>
        </w:rPr>
        <w:t xml:space="preserve">. </w:t>
      </w:r>
      <w:r w:rsidR="00655C90" w:rsidRPr="00586565">
        <w:rPr>
          <w:highlight w:val="white"/>
        </w:rPr>
        <w:t xml:space="preserve">The Special Rapporteur </w:t>
      </w:r>
      <w:r w:rsidRPr="00586565">
        <w:rPr>
          <w:highlight w:val="white"/>
        </w:rPr>
        <w:t xml:space="preserve">wishes to </w:t>
      </w:r>
      <w:r w:rsidR="00655C90" w:rsidRPr="00586565">
        <w:rPr>
          <w:highlight w:val="white"/>
        </w:rPr>
        <w:t>point to the aspect of location</w:t>
      </w:r>
      <w:r w:rsidR="00655C90" w:rsidRPr="00586565">
        <w:rPr>
          <w:i/>
          <w:highlight w:val="white"/>
        </w:rPr>
        <w:t xml:space="preserve"> </w:t>
      </w:r>
      <w:r w:rsidR="00655C90" w:rsidRPr="00586565">
        <w:rPr>
          <w:highlight w:val="white"/>
        </w:rPr>
        <w:t xml:space="preserve">in particular as key to understanding spatial segregation as a violation of the right to adequate housing, due to its inherent physical or geographic character. </w:t>
      </w:r>
      <w:r w:rsidR="00047F23" w:rsidRPr="00586565">
        <w:rPr>
          <w:highlight w:val="white"/>
        </w:rPr>
        <w:t xml:space="preserve">When housing is located in segregated neighbourhoods, it usually lacks infrastructure, basic services and connectivity, to schools and employment opportunities, and is subject to precarious or hazardous conditions. Core elements of the right to adequate housing are therefore </w:t>
      </w:r>
      <w:r w:rsidR="00047F23" w:rsidRPr="00586565">
        <w:rPr>
          <w:highlight w:val="white"/>
        </w:rPr>
        <w:lastRenderedPageBreak/>
        <w:t>violated, often simultaneously.</w:t>
      </w:r>
      <w:r w:rsidRPr="00586565" w:rsidDel="00DE5406">
        <w:rPr>
          <w:highlight w:val="white"/>
        </w:rPr>
        <w:t xml:space="preserve"> </w:t>
      </w:r>
      <w:r w:rsidRPr="00586565">
        <w:rPr>
          <w:highlight w:val="white"/>
        </w:rPr>
        <w:t xml:space="preserve">The Committee has </w:t>
      </w:r>
      <w:r w:rsidR="007D63B8">
        <w:rPr>
          <w:highlight w:val="white"/>
        </w:rPr>
        <w:t xml:space="preserve">as well </w:t>
      </w:r>
      <w:r w:rsidRPr="00586565">
        <w:rPr>
          <w:highlight w:val="white"/>
        </w:rPr>
        <w:t xml:space="preserve">made a number of references to spatial </w:t>
      </w:r>
      <w:r w:rsidR="00682690">
        <w:rPr>
          <w:highlight w:val="white"/>
        </w:rPr>
        <w:t xml:space="preserve">and </w:t>
      </w:r>
      <w:r w:rsidRPr="00586565">
        <w:rPr>
          <w:highlight w:val="white"/>
        </w:rPr>
        <w:t xml:space="preserve"> residential segregation in its </w:t>
      </w:r>
      <w:r w:rsidRPr="00682690">
        <w:t>concluding observations</w:t>
      </w:r>
      <w:r w:rsidR="007D63B8" w:rsidRPr="00682690">
        <w:rPr>
          <w:rStyle w:val="FootnoteReference"/>
        </w:rPr>
        <w:footnoteReference w:id="24"/>
      </w:r>
      <w:r w:rsidRPr="00682690">
        <w:rPr>
          <w:vertAlign w:val="superscript"/>
        </w:rPr>
        <w:t xml:space="preserve"> </w:t>
      </w:r>
      <w:r w:rsidRPr="00586565">
        <w:rPr>
          <w:highlight w:val="white"/>
        </w:rPr>
        <w:t>when commenting on the right to adequate housing.</w:t>
      </w:r>
    </w:p>
    <w:p w14:paraId="67CE63F6" w14:textId="5704F81F" w:rsidR="00A350E7" w:rsidRDefault="007D63B8" w:rsidP="00222285">
      <w:pPr>
        <w:pStyle w:val="ParNoG"/>
      </w:pPr>
      <w:r>
        <w:t>I</w:t>
      </w:r>
      <w:r w:rsidR="00222285">
        <w:t>n its General Comment No. 20 on non-discrimination in economic, social and cultural rights</w:t>
      </w:r>
      <w:r>
        <w:t xml:space="preserve"> the Committee has pointed out</w:t>
      </w:r>
      <w:r w:rsidR="00222285">
        <w:t xml:space="preserve"> that States have an obligation to adopt an active approach to eliminating systemic discrimination and segregation in practice, particularly through a range of laws, policies and programs, including temporary special measures. The Committee </w:t>
      </w:r>
      <w:r w:rsidR="00586565">
        <w:t xml:space="preserve">further </w:t>
      </w:r>
      <w:r w:rsidR="00222285">
        <w:t xml:space="preserve">recognized in its General Comment No. 5 on persons with disabilities that segregation and isolation constitute </w:t>
      </w:r>
      <w:r w:rsidR="00222285" w:rsidRPr="00FC3D72">
        <w:t>more “subtle”</w:t>
      </w:r>
      <w:r w:rsidR="00222285">
        <w:t xml:space="preserve"> forms of discrimination </w:t>
      </w:r>
      <w:r w:rsidR="00222285" w:rsidRPr="00A02109">
        <w:t>achieved through the imposition of physical and social barriers</w:t>
      </w:r>
      <w:r w:rsidR="00222285">
        <w:t xml:space="preserve"> and that, through practices of </w:t>
      </w:r>
      <w:r w:rsidR="00222285" w:rsidRPr="00A36294">
        <w:t>exclusion, distinction or separation, persons with disabilities have very often been prevented from exercising their economic, social or cultural rights on an equal basis with persons without disabilities</w:t>
      </w:r>
      <w:r w:rsidR="00222285">
        <w:t>.</w:t>
      </w:r>
    </w:p>
    <w:p w14:paraId="73DDB2C6" w14:textId="2C588914" w:rsidR="00217049" w:rsidRPr="007D63B8" w:rsidRDefault="00A54D4C" w:rsidP="00A54D4C">
      <w:pPr>
        <w:pStyle w:val="ParNoG"/>
      </w:pPr>
      <w:r w:rsidRPr="00A54D4C">
        <w:rPr>
          <w:lang w:val="en-US" w:eastAsia="en-GB"/>
        </w:rPr>
        <w:t>In outlining the framework of international human rights law addressing segregation, it is imperative to note that, historically, attention to segregation and its impacts on the violation of human rights came in hand with the international outcry and condemnation of apartheid, specifically the State-sanctioned apartheid system that took hold in Sou</w:t>
      </w:r>
      <w:r w:rsidRPr="00A54D4C">
        <w:rPr>
          <w:color w:val="000000"/>
          <w:lang w:val="en-US" w:eastAsia="en-GB"/>
        </w:rPr>
        <w:t xml:space="preserve">th Africa for more than 80 years. The </w:t>
      </w:r>
      <w:r w:rsidR="00217049">
        <w:rPr>
          <w:color w:val="000000"/>
          <w:lang w:val="en-US" w:eastAsia="en-GB"/>
        </w:rPr>
        <w:t>latter</w:t>
      </w:r>
      <w:r w:rsidRPr="00A54D4C">
        <w:rPr>
          <w:color w:val="000000"/>
          <w:lang w:val="en-US" w:eastAsia="en-GB"/>
        </w:rPr>
        <w:t xml:space="preserve"> included a range of discriminatory policies and measures aimed at displacing black South Africans from their lands, imposing residential and comprehensive social segregation and a complete denial of political and civil rights. </w:t>
      </w:r>
    </w:p>
    <w:p w14:paraId="1B20510A" w14:textId="49E4A0AE" w:rsidR="00217049" w:rsidRPr="007D63B8" w:rsidRDefault="00A54D4C" w:rsidP="00A54D4C">
      <w:pPr>
        <w:pStyle w:val="ParNoG"/>
      </w:pPr>
      <w:r w:rsidRPr="00A54D4C">
        <w:rPr>
          <w:color w:val="000000"/>
          <w:lang w:val="en-US" w:eastAsia="en-GB"/>
        </w:rPr>
        <w:t xml:space="preserve">Following a 1966 resolution </w:t>
      </w:r>
      <w:r w:rsidRPr="00A54D4C">
        <w:rPr>
          <w:lang w:val="en-US" w:eastAsia="en-GB"/>
        </w:rPr>
        <w:t>of the UN General Assembly</w:t>
      </w:r>
      <w:r>
        <w:rPr>
          <w:rStyle w:val="FootnoteReference"/>
          <w:lang w:val="en-US" w:eastAsia="en-GB"/>
        </w:rPr>
        <w:footnoteReference w:id="25"/>
      </w:r>
      <w:r w:rsidRPr="00A54D4C">
        <w:rPr>
          <w:color w:val="000000"/>
          <w:vertAlign w:val="superscript"/>
          <w:lang w:val="en-US" w:eastAsia="en-GB"/>
        </w:rPr>
        <w:t>,</w:t>
      </w:r>
      <w:r w:rsidRPr="00A54D4C">
        <w:rPr>
          <w:color w:val="000000"/>
          <w:lang w:val="en-US" w:eastAsia="en-GB"/>
        </w:rPr>
        <w:t xml:space="preserve"> the international community defined apartheid as a crime against humanity in the</w:t>
      </w:r>
      <w:r w:rsidRPr="00A54D4C">
        <w:rPr>
          <w:lang w:val="en-US" w:eastAsia="en-GB"/>
        </w:rPr>
        <w:t xml:space="preserve"> 1973 International Convention on the Suppression and Punishment of the Crime of Apartheid</w:t>
      </w:r>
      <w:r w:rsidRPr="00A54D4C">
        <w:rPr>
          <w:color w:val="000000"/>
          <w:lang w:val="en-US" w:eastAsia="en-GB"/>
        </w:rPr>
        <w:t xml:space="preserve">. </w:t>
      </w:r>
      <w:r w:rsidRPr="00A54D4C">
        <w:rPr>
          <w:lang w:val="en-US" w:eastAsia="en-GB"/>
        </w:rPr>
        <w:t>T</w:t>
      </w:r>
      <w:r w:rsidRPr="00A54D4C">
        <w:rPr>
          <w:color w:val="000000"/>
          <w:lang w:val="en-US" w:eastAsia="en-GB"/>
        </w:rPr>
        <w:t xml:space="preserve">he Convention, </w:t>
      </w:r>
      <w:r w:rsidRPr="00A54D4C">
        <w:rPr>
          <w:lang w:val="en-US" w:eastAsia="en-GB"/>
        </w:rPr>
        <w:t xml:space="preserve">although </w:t>
      </w:r>
      <w:r w:rsidRPr="00A54D4C">
        <w:rPr>
          <w:color w:val="000000"/>
          <w:lang w:val="en-US" w:eastAsia="en-GB"/>
        </w:rPr>
        <w:t xml:space="preserve">adopted with the context of South Africa in mind, speaks </w:t>
      </w:r>
      <w:r w:rsidRPr="00A54D4C">
        <w:rPr>
          <w:lang w:val="en-US" w:eastAsia="en-GB"/>
        </w:rPr>
        <w:t xml:space="preserve">more broadly </w:t>
      </w:r>
      <w:r w:rsidRPr="00A54D4C">
        <w:rPr>
          <w:color w:val="000000"/>
          <w:lang w:val="en-US" w:eastAsia="en-GB"/>
        </w:rPr>
        <w:t>to the question of apartheid, as well as segregation</w:t>
      </w:r>
      <w:r w:rsidR="00217049">
        <w:rPr>
          <w:color w:val="000000"/>
          <w:lang w:val="en-US" w:eastAsia="en-GB"/>
        </w:rPr>
        <w:t>.</w:t>
      </w:r>
    </w:p>
    <w:p w14:paraId="247C06E0" w14:textId="77777777" w:rsidR="00A54D4C" w:rsidRDefault="00A54D4C" w:rsidP="00A54D4C">
      <w:pPr>
        <w:pStyle w:val="ParNoG"/>
      </w:pPr>
      <w:r>
        <w:t xml:space="preserve">Aside from declaring apartheid a crime against humanity, the Convention specifies that racial segregation is an inhuman act resulting from the policies and practices of apartheid and as such is a crime violating the principles of international law, and constituting a serious threat to international peace and security (Article I). It further defines the “crimes of apartheid” to include several inhuman acts, including, </w:t>
      </w:r>
      <w:r w:rsidRPr="00BF789B">
        <w:t>inter alia</w:t>
      </w:r>
      <w:r>
        <w:t>, the deliberate imposition on a racial group or groups of living conditions calculated to cause its or their physical destruction in whole or in part; and any measures including legislative measures, designed to divide the population along racial lines by the creation of separate reserves and ghettos for the members of a racial group or groups (Article II). It further establishes parameters under which international criminal responsibility applies for these crimes (article III) and requires states to take legislative and other measures to suppress and prevent any encouragements of the crime of apartheid and similar segregationist policies or their manifestations (Article IV).</w:t>
      </w:r>
    </w:p>
    <w:p w14:paraId="0E356992" w14:textId="6CB03FB8" w:rsidR="00A54D4C" w:rsidRDefault="00217049" w:rsidP="00A54D4C">
      <w:pPr>
        <w:pStyle w:val="ParNoG"/>
      </w:pPr>
      <w:r w:rsidRPr="00E66136">
        <w:rPr>
          <w:shd w:val="clear" w:color="auto" w:fill="FFFFFF"/>
          <w:lang w:bidi="ta-IN"/>
        </w:rPr>
        <w:t>In 1977, Additional Protocol I of the Geneva Conventions of 1949 recognized apartheid as a “grave breach” of the Protocol (art. 85, paragraph 4 (c)) without any geographical limitation.</w:t>
      </w:r>
      <w:r>
        <w:rPr>
          <w:shd w:val="clear" w:color="auto" w:fill="FFFFFF"/>
          <w:lang w:bidi="ta-IN"/>
        </w:rPr>
        <w:t xml:space="preserve"> More recently, t</w:t>
      </w:r>
      <w:r w:rsidR="00A54D4C">
        <w:t xml:space="preserve">he Rome Statute of the International Criminal Court recognized the crime of apartheid as one of the acts constituting a crime against humanity (Article 7). There is, at present, interest in the Court’s investigation of the situation in the Occupied Palestinian </w:t>
      </w:r>
      <w:r w:rsidR="00A54D4C">
        <w:lastRenderedPageBreak/>
        <w:t>Territories and renewed attention</w:t>
      </w:r>
      <w:r w:rsidR="00A54D4C">
        <w:rPr>
          <w:rStyle w:val="FootnoteReference"/>
        </w:rPr>
        <w:footnoteReference w:id="26"/>
      </w:r>
      <w:r w:rsidR="00A54D4C">
        <w:t xml:space="preserve"> to the crime of apartheid as defined in international law.</w:t>
      </w:r>
    </w:p>
    <w:p w14:paraId="10FD28C0" w14:textId="3802183F" w:rsidR="005317BD" w:rsidRDefault="005317BD" w:rsidP="008B7D7A">
      <w:pPr>
        <w:pStyle w:val="ParNoG"/>
      </w:pPr>
      <w:r w:rsidRPr="00C01FF5">
        <w:rPr>
          <w:highlight w:val="white"/>
        </w:rPr>
        <w:t>In considering provisions in international human rights law that are helpful to deal with the issue of spatial</w:t>
      </w:r>
      <w:r>
        <w:t xml:space="preserve"> </w:t>
      </w:r>
      <w:r w:rsidRPr="00C01FF5">
        <w:rPr>
          <w:highlight w:val="white"/>
        </w:rPr>
        <w:t xml:space="preserve">segregation, it should further be noted that laws and regulations that require individuals to live in a particular area, settlement, home or institution are prima facie incompatible with the liberty of movement and freedom to choose one’s residence as enshrined in Article 12.1 of the International Covenant on Civil and Political Rights. </w:t>
      </w:r>
      <w:r w:rsidR="00C01FF5">
        <w:rPr>
          <w:highlight w:val="white"/>
        </w:rPr>
        <w:t xml:space="preserve">Similarly, the </w:t>
      </w:r>
      <w:r w:rsidR="00C01FF5" w:rsidRPr="00C01FF5">
        <w:rPr>
          <w:highlight w:val="white"/>
        </w:rPr>
        <w:t xml:space="preserve">Convention on the Rights of Persons with Disabilities </w:t>
      </w:r>
      <w:r w:rsidR="007D63B8">
        <w:rPr>
          <w:highlight w:val="white"/>
        </w:rPr>
        <w:t xml:space="preserve">refers to </w:t>
      </w:r>
      <w:r w:rsidR="00C01FF5" w:rsidRPr="00C01FF5">
        <w:rPr>
          <w:highlight w:val="white"/>
        </w:rPr>
        <w:t>the equal right of persons with disabilit</w:t>
      </w:r>
      <w:r w:rsidR="00C01FF5">
        <w:rPr>
          <w:highlight w:val="white"/>
        </w:rPr>
        <w:t>ies</w:t>
      </w:r>
      <w:r w:rsidR="00C01FF5" w:rsidRPr="00C01FF5">
        <w:rPr>
          <w:highlight w:val="white"/>
        </w:rPr>
        <w:t xml:space="preserve"> to live </w:t>
      </w:r>
      <w:r w:rsidR="00C01FF5">
        <w:rPr>
          <w:highlight w:val="white"/>
        </w:rPr>
        <w:t xml:space="preserve">independently </w:t>
      </w:r>
      <w:r w:rsidR="00C01FF5" w:rsidRPr="00C01FF5">
        <w:rPr>
          <w:highlight w:val="white"/>
        </w:rPr>
        <w:t xml:space="preserve">in the community and chose their place of residence </w:t>
      </w:r>
      <w:r w:rsidR="00C01FF5">
        <w:t xml:space="preserve">and with whom to live on an equal basis </w:t>
      </w:r>
      <w:r w:rsidR="007D63B8">
        <w:t xml:space="preserve">in its </w:t>
      </w:r>
      <w:r w:rsidR="00C01FF5">
        <w:t xml:space="preserve">Article 19. </w:t>
      </w:r>
      <w:r w:rsidRPr="00C01FF5">
        <w:rPr>
          <w:highlight w:val="white"/>
        </w:rPr>
        <w:t>Restrictions on choosing one’s residence may only be permissible if they are provided by law, are necessary to protect national security, public order (</w:t>
      </w:r>
      <w:proofErr w:type="spellStart"/>
      <w:r w:rsidRPr="00C01FF5">
        <w:rPr>
          <w:highlight w:val="white"/>
        </w:rPr>
        <w:t>ordre</w:t>
      </w:r>
      <w:proofErr w:type="spellEnd"/>
      <w:r w:rsidRPr="00C01FF5">
        <w:rPr>
          <w:highlight w:val="white"/>
        </w:rPr>
        <w:t xml:space="preserve"> public), public health or morals or the rights and freedoms of others, and are consistent with the other rights (Article 12.3</w:t>
      </w:r>
      <w:r w:rsidR="00C01FF5">
        <w:rPr>
          <w:highlight w:val="white"/>
        </w:rPr>
        <w:t xml:space="preserve"> ICCPR</w:t>
      </w:r>
      <w:r w:rsidRPr="00C01FF5">
        <w:rPr>
          <w:highlight w:val="white"/>
        </w:rPr>
        <w:t xml:space="preserve">). </w:t>
      </w:r>
      <w:r w:rsidRPr="005317BD">
        <w:t>As clarified by the Human Rights Committee in its General Comment No. 27 on freedom of movement, the application of restrictions in any individual case must be based on clear legal grounds and meet the test of necessity and the requirements of proportionality, such as for example limitations on the freedom of outsiders to settle in areas inhabited by indigenous or minority communities.</w:t>
      </w:r>
      <w:r>
        <w:rPr>
          <w:rStyle w:val="FootnoteReference"/>
        </w:rPr>
        <w:footnoteReference w:id="27"/>
      </w:r>
    </w:p>
    <w:p w14:paraId="5B110CD7" w14:textId="77777777" w:rsidR="00A54D4C" w:rsidRDefault="005317BD" w:rsidP="005317BD">
      <w:pPr>
        <w:pStyle w:val="ParNoG"/>
      </w:pPr>
      <w:r w:rsidRPr="005317BD">
        <w:t xml:space="preserve">This means as well that </w:t>
      </w:r>
      <w:r w:rsidRPr="007E6888">
        <w:t>voluntary clustering</w:t>
      </w:r>
      <w:r w:rsidRPr="005317BD">
        <w:rPr>
          <w:i/>
        </w:rPr>
        <w:t xml:space="preserve"> - </w:t>
      </w:r>
      <w:r w:rsidRPr="005317BD">
        <w:t>when people from a same group decide to live together in a community - are not per se incompatible with international human rights law, as long as this does not have the purpose or effect of the discriminatory exclusion of all members of other groups or result in unequal and discriminatory living conditions.</w:t>
      </w:r>
      <w:r w:rsidR="00BF789B">
        <w:t xml:space="preserve"> </w:t>
      </w:r>
      <w:r w:rsidRPr="005317BD">
        <w:t>Such clustering becomes a form of spatial segregation</w:t>
      </w:r>
      <w:r w:rsidR="00BF789B">
        <w:t xml:space="preserve">, </w:t>
      </w:r>
      <w:r w:rsidRPr="005317BD">
        <w:t>and therefore of conc</w:t>
      </w:r>
      <w:r w:rsidR="00BF789B">
        <w:t xml:space="preserve">ern to the Special Rapporteur, </w:t>
      </w:r>
      <w:r w:rsidRPr="005317BD">
        <w:t>when</w:t>
      </w:r>
      <w:r>
        <w:t xml:space="preserve"> </w:t>
      </w:r>
      <w:r w:rsidRPr="005317BD">
        <w:t>communities</w:t>
      </w:r>
      <w:r w:rsidR="00BF789B">
        <w:t>,</w:t>
      </w:r>
      <w:r w:rsidRPr="005317BD">
        <w:t xml:space="preserve"> defined by common race, ethnicity, caste, gender, language, religion, disability, income, sexual orientation o</w:t>
      </w:r>
      <w:r w:rsidR="00BF789B">
        <w:t>r other characteristics,</w:t>
      </w:r>
      <w:r>
        <w:t xml:space="preserve"> </w:t>
      </w:r>
      <w:r w:rsidRPr="005317BD">
        <w:t>become subject to unequal enjoyment of the right to adequate housing as well as related human rights, whether instituted intentionally or by omission by State or private actors.</w:t>
      </w:r>
    </w:p>
    <w:p w14:paraId="38266BB3" w14:textId="36FBBEF0" w:rsidR="005317BD" w:rsidRDefault="005317BD" w:rsidP="005317BD">
      <w:pPr>
        <w:pStyle w:val="ParNoG"/>
      </w:pPr>
      <w:r>
        <w:t xml:space="preserve">While national and local Governments </w:t>
      </w:r>
      <w:r w:rsidR="00C01FF5">
        <w:t xml:space="preserve">should </w:t>
      </w:r>
      <w:r>
        <w:t xml:space="preserve">adopt policies that encourage socially-mixed </w:t>
      </w:r>
      <w:r w:rsidR="00BF789B">
        <w:t>neighbourhoods</w:t>
      </w:r>
      <w:r>
        <w:t xml:space="preserve"> to overcome segregation and its lasting consequences, prohibiting access to housing in particular areas on the basis of race, nationality, religion, descent or any other prohibited grounds with the view to chang</w:t>
      </w:r>
      <w:r w:rsidR="00C01FF5">
        <w:t>ing</w:t>
      </w:r>
      <w:r>
        <w:t xml:space="preserve"> the composition of the residential population in a particular </w:t>
      </w:r>
      <w:r w:rsidR="00BF789B">
        <w:t>neighbourhood</w:t>
      </w:r>
      <w:r>
        <w:t>, would be incompatible with international human rights law.</w:t>
      </w:r>
      <w:r>
        <w:rPr>
          <w:rStyle w:val="FootnoteReference"/>
        </w:rPr>
        <w:footnoteReference w:id="28"/>
      </w:r>
      <w:r>
        <w:t xml:space="preserve"> Inclusionary clustering that is voluntary in nature should not to be confused with exclusionary spatial segregation, which is involuntary and has detrimental consequences on the equal enjoyment of human rights. Nor may limitations to the freedom of choice of residency to protect minorities, justify discriminatory exclusion of members of such minorities from the equal enjoyment of the right to housing and other human rights, for example, by </w:t>
      </w:r>
      <w:r>
        <w:lastRenderedPageBreak/>
        <w:t>discriminatory provision of public services, water and sanitation, health care or education to areas predominantly inhabited by members of such minorities.</w:t>
      </w:r>
    </w:p>
    <w:p w14:paraId="34FE7277" w14:textId="77777777" w:rsidR="007D5799" w:rsidRDefault="009267F0" w:rsidP="009267F0">
      <w:pPr>
        <w:pStyle w:val="HChG"/>
      </w:pPr>
      <w:r>
        <w:tab/>
      </w:r>
      <w:r w:rsidRPr="009267F0">
        <w:t>III.</w:t>
      </w:r>
      <w:r>
        <w:tab/>
      </w:r>
      <w:r w:rsidRPr="009267F0">
        <w:t>Defining and identif</w:t>
      </w:r>
      <w:r w:rsidR="0075514B">
        <w:t>ying spatial segregation</w:t>
      </w:r>
    </w:p>
    <w:p w14:paraId="207A212A" w14:textId="04CEEB26" w:rsidR="0075514B" w:rsidRDefault="00C01FF5" w:rsidP="0075514B">
      <w:pPr>
        <w:pStyle w:val="ParNoG"/>
      </w:pPr>
      <w:r>
        <w:t>M</w:t>
      </w:r>
      <w:r w:rsidR="0075514B" w:rsidRPr="0014326F">
        <w:t>ethodologies for measuring spatial segregation are instrumental for helping us understand how it is present</w:t>
      </w:r>
      <w:r w:rsidR="0075514B">
        <w:t xml:space="preserve"> </w:t>
      </w:r>
      <w:r w:rsidR="0075514B" w:rsidRPr="0014326F">
        <w:t>- and what intensity it has</w:t>
      </w:r>
      <w:r>
        <w:t xml:space="preserve"> </w:t>
      </w:r>
      <w:r w:rsidR="0075514B" w:rsidRPr="0014326F">
        <w:t>- in a given city or regional context. Depending on whether spatial segregation is instituted by formal segregationist policies or not, the Special Rapporteur distinguishes between two types of spatial segrega</w:t>
      </w:r>
      <w:r w:rsidR="000436CA">
        <w:t xml:space="preserve">tion, </w:t>
      </w:r>
      <w:r w:rsidR="0075514B">
        <w:t>“direct” and “indirect”,</w:t>
      </w:r>
      <w:r w:rsidR="0075514B" w:rsidRPr="0014326F">
        <w:t xml:space="preserve"> in the same way we distinguish between direct and indirect discrimination. In some cases, spatial segregation is instituted by intentional policies,</w:t>
      </w:r>
      <w:r w:rsidR="0075514B">
        <w:t xml:space="preserve"> </w:t>
      </w:r>
      <w:r w:rsidR="0075514B" w:rsidRPr="0014326F">
        <w:t>while in other cases it is the result of poorly-conceived or implemented policies, or the lack thereof.</w:t>
      </w:r>
      <w:r w:rsidR="0075514B">
        <w:t xml:space="preserve"> In order to address spatial segregation, it is first important to understand its different manifestations.</w:t>
      </w:r>
    </w:p>
    <w:p w14:paraId="08570B3F" w14:textId="77777777" w:rsidR="0075514B" w:rsidRDefault="00BB6D9E" w:rsidP="0075514B">
      <w:pPr>
        <w:pStyle w:val="H1G"/>
      </w:pPr>
      <w:r>
        <w:tab/>
        <w:t>A.</w:t>
      </w:r>
      <w:r>
        <w:tab/>
      </w:r>
      <w:r w:rsidR="0075514B">
        <w:t>Forms of spatial segregation</w:t>
      </w:r>
    </w:p>
    <w:p w14:paraId="0E573234" w14:textId="30524DCA" w:rsidR="009142CC" w:rsidRDefault="009142CC" w:rsidP="009142CC">
      <w:pPr>
        <w:pStyle w:val="ParNoG"/>
      </w:pPr>
      <w:r>
        <w:t xml:space="preserve">A major pattern of spatial segregation over the last decades is the proliferation of informal settlements in the peripheries of cities, where low income and racial, </w:t>
      </w:r>
      <w:proofErr w:type="spellStart"/>
      <w:r>
        <w:t>casteist</w:t>
      </w:r>
      <w:proofErr w:type="spellEnd"/>
      <w:r>
        <w:t xml:space="preserve">, ethnic, migrant, internally displaced, refugee and other minority populations are often concentrated. In India, for example, there are significant and persistent patterns of spatial segregation based on caste and religious lines, with members of groups from scheduled castes, such as </w:t>
      </w:r>
      <w:proofErr w:type="spellStart"/>
      <w:r>
        <w:t>Dalits</w:t>
      </w:r>
      <w:proofErr w:type="spellEnd"/>
      <w:r>
        <w:t>, and religious minorities, particularly Muslims, facing disproportionate segregation</w:t>
      </w:r>
      <w:r>
        <w:rPr>
          <w:rStyle w:val="FootnoteReference"/>
        </w:rPr>
        <w:footnoteReference w:id="29"/>
      </w:r>
      <w:r>
        <w:t xml:space="preserve"> in areas such as </w:t>
      </w:r>
      <w:proofErr w:type="spellStart"/>
      <w:r>
        <w:t>Juhapura</w:t>
      </w:r>
      <w:proofErr w:type="spellEnd"/>
      <w:r>
        <w:t xml:space="preserve"> in Ahmedabad. </w:t>
      </w:r>
    </w:p>
    <w:p w14:paraId="422D9EDA" w14:textId="5BC77507" w:rsidR="009142CC" w:rsidRDefault="009142CC" w:rsidP="009142CC">
      <w:pPr>
        <w:pStyle w:val="ParNoG"/>
      </w:pPr>
      <w:r w:rsidRPr="009142CC">
        <w:t xml:space="preserve">The phenomenon of gated communities has proliferated across the globe over the last few decades as a way to provide ‘privacy, protection and prestige’ for wealthy inhabitants. This form of spatial segregation has in fact expanded beyond the typical suburban gated communities to increasingly include luxury residential towers in city </w:t>
      </w:r>
      <w:r w:rsidR="00BF789B" w:rsidRPr="009142CC">
        <w:t>centres</w:t>
      </w:r>
      <w:r w:rsidRPr="009142CC">
        <w:t xml:space="preserve">, which function under similar characteristics. </w:t>
      </w:r>
      <w:r w:rsidR="00D03315">
        <w:t>R</w:t>
      </w:r>
      <w:r w:rsidRPr="009142CC">
        <w:t>esearch has pointed to how gated communities exacerbate residential segregation, particularly through the privatization of space and services, and how the exclusionary restrictions by which they are governed serve to preclude potential buyers or renters based on income, race or ethnic origin.</w:t>
      </w:r>
    </w:p>
    <w:p w14:paraId="6B33E03E" w14:textId="6D951ABA" w:rsidR="009142CC" w:rsidRDefault="009142CC" w:rsidP="009142CC">
      <w:pPr>
        <w:pStyle w:val="ParNoG"/>
      </w:pPr>
      <w:r w:rsidRPr="009142CC">
        <w:t xml:space="preserve">Placing people of particular vulnerable groups in institutions is also a form of spatial segregation </w:t>
      </w:r>
      <w:r w:rsidR="00D03315">
        <w:t xml:space="preserve">that </w:t>
      </w:r>
      <w:r w:rsidRPr="009142CC">
        <w:t xml:space="preserve">often results in violations of the right to adequate housing. Examples of institutions where people may be isolated </w:t>
      </w:r>
      <w:r w:rsidR="00D2666C">
        <w:t xml:space="preserve">or segregated </w:t>
      </w:r>
      <w:r w:rsidRPr="009142CC">
        <w:t>are institutions for persons with disabilities, particularly people with developmental or me</w:t>
      </w:r>
      <w:r w:rsidR="000436CA">
        <w:t xml:space="preserve">ntal disabilities; </w:t>
      </w:r>
      <w:r w:rsidR="00D03315">
        <w:t>c</w:t>
      </w:r>
      <w:r w:rsidR="00D2666C">
        <w:t xml:space="preserve">hild protection institutions </w:t>
      </w:r>
      <w:r w:rsidR="000436CA">
        <w:t>for children</w:t>
      </w:r>
      <w:r w:rsidR="00D03315">
        <w:t xml:space="preserve">, </w:t>
      </w:r>
      <w:r w:rsidR="00D2666C">
        <w:t xml:space="preserve">care homes for </w:t>
      </w:r>
      <w:r w:rsidRPr="009142CC">
        <w:t>older people</w:t>
      </w:r>
      <w:r w:rsidR="00D03315">
        <w:t xml:space="preserve"> or correctional institutions</w:t>
      </w:r>
      <w:r w:rsidRPr="009142CC">
        <w:t xml:space="preserve">. </w:t>
      </w:r>
      <w:r w:rsidR="00D03315">
        <w:t>Minorities</w:t>
      </w:r>
      <w:r w:rsidRPr="009142CC">
        <w:t xml:space="preserve"> such as Roma</w:t>
      </w:r>
      <w:r w:rsidR="00D03315">
        <w:t xml:space="preserve"> and </w:t>
      </w:r>
      <w:r w:rsidRPr="009142CC">
        <w:t>indigenous people in different world regions</w:t>
      </w:r>
      <w:r w:rsidR="00D03315">
        <w:t xml:space="preserve"> </w:t>
      </w:r>
      <w:r w:rsidRPr="009142CC">
        <w:t xml:space="preserve">are </w:t>
      </w:r>
      <w:r w:rsidR="00D03315">
        <w:t xml:space="preserve">also </w:t>
      </w:r>
      <w:r w:rsidRPr="009142CC">
        <w:t xml:space="preserve">more prone to being isolated in </w:t>
      </w:r>
      <w:r w:rsidR="00D03315">
        <w:t xml:space="preserve">such </w:t>
      </w:r>
      <w:r w:rsidRPr="009142CC">
        <w:t xml:space="preserve">institutions. Refugees and internally displaced persons </w:t>
      </w:r>
      <w:r w:rsidR="00D03315">
        <w:t xml:space="preserve">frequently </w:t>
      </w:r>
      <w:r w:rsidRPr="009142CC">
        <w:t xml:space="preserve">end up in de facto spatial segregation, as they may spend many years in host-territory camps which overtime come to resemble informal settlements, lacking in infrastructure and services, located far away from livelihood sources and mainstream schooling.  More often than not, the living conditions in these institutions </w:t>
      </w:r>
      <w:r w:rsidR="00D03315">
        <w:t xml:space="preserve">or camp settings do not conform with </w:t>
      </w:r>
      <w:r w:rsidRPr="009142CC">
        <w:t xml:space="preserve">the right to adequate housing. </w:t>
      </w:r>
    </w:p>
    <w:p w14:paraId="402E9C91" w14:textId="6DE880ED" w:rsidR="009142CC" w:rsidRPr="009142CC" w:rsidRDefault="009142CC" w:rsidP="009142CC">
      <w:pPr>
        <w:pStyle w:val="ParNoG"/>
      </w:pPr>
      <w:r w:rsidRPr="009142CC">
        <w:lastRenderedPageBreak/>
        <w:t>Since institutions illustrate a very specific type of spatial segregation, the present report will not be examining them more closely, but the Special Rapporteur would nevertheless like to point out the detrimental effects they have on the equal enjoyment of the right to adequate hou</w:t>
      </w:r>
      <w:r w:rsidR="00BF789B">
        <w:t xml:space="preserve">sing and other rights. </w:t>
      </w:r>
      <w:r w:rsidRPr="009142CC">
        <w:t>To avoid spatial segregation and social exclusion, States should give preference to individual, decentralized and multi-generational housing within the community, accompanied by required ambulant or semi-stationary services as individually needed, instead of placing them in segregated institutional settings or collective accommodation. This is also necessary to ensure the right of older persons and persons with disabilities to live independently within the community with persons of their choice.</w:t>
      </w:r>
      <w:r>
        <w:rPr>
          <w:rStyle w:val="FootnoteReference"/>
        </w:rPr>
        <w:footnoteReference w:id="30"/>
      </w:r>
      <w:r w:rsidRPr="009142CC">
        <w:t xml:space="preserve"> States must furthermore ensure that accommodation in institutions meets the criteria of housing adequacy, including the right to privacy, and avoid</w:t>
      </w:r>
      <w:r w:rsidR="00E36EE5">
        <w:t>s</w:t>
      </w:r>
      <w:r w:rsidRPr="009142CC">
        <w:t xml:space="preserve"> the over-representation of marginalized groups in such institutions. In order to ensure that living conditions in residential and correctional institutions conform to the same human rights standards applicable for persons living in individual housing, States should adopt minimum standards for the accommodation of persons in institutional settings that cover all elements of the right to adequate housing and other human rights.</w:t>
      </w:r>
    </w:p>
    <w:p w14:paraId="57392BD5" w14:textId="77777777" w:rsidR="0075514B" w:rsidRDefault="00D01135" w:rsidP="00D01135">
      <w:pPr>
        <w:pStyle w:val="H1G"/>
      </w:pPr>
      <w:r>
        <w:tab/>
        <w:t>B.</w:t>
      </w:r>
      <w:r>
        <w:tab/>
        <w:t>Measuring spatial and residential segregation</w:t>
      </w:r>
    </w:p>
    <w:p w14:paraId="47537D52" w14:textId="609FC0FD" w:rsidR="00D01135" w:rsidRDefault="00D01135" w:rsidP="00D01135">
      <w:pPr>
        <w:pStyle w:val="ParNoG"/>
        <w:rPr>
          <w:color w:val="000000"/>
        </w:rPr>
      </w:pPr>
      <w:r>
        <w:t>An important body of social science research over the latter half of the 20</w:t>
      </w:r>
      <w:r>
        <w:rPr>
          <w:vertAlign w:val="superscript"/>
        </w:rPr>
        <w:t>th</w:t>
      </w:r>
      <w:r>
        <w:t xml:space="preserve"> century has contributed to the development of a range of methodologies and indices to measure segregation, particularly as it pertains to residential segregation by race, ethnicity and income. A long-established measure to compare levels of residential segregation of racial and ethnic groups within urban areas is the index of dissimilarity, which compares the evenness of distribution of groups across </w:t>
      </w:r>
      <w:r w:rsidR="00BF789B">
        <w:t>neighbourhoods</w:t>
      </w:r>
      <w:r>
        <w:t xml:space="preserve"> in the same city or metropolitan area linking relative separation to dissimilarity and low separation to integration. While still one of the most commonly used measures, over the last decades, research on residential segregation has expanded and spurred the development of more comprehensive, multi-dimensional methodologies for measuring residential segregation. For example, one of the most influential studies in this line conceived five distinct dimensions for assessing segregation</w:t>
      </w:r>
      <w:r w:rsidR="00177098">
        <w:t>,</w:t>
      </w:r>
      <w:r>
        <w:t xml:space="preserve"> evenness, exposure, concentration, centralization and clustering</w:t>
      </w:r>
      <w:r w:rsidR="00347DD3">
        <w:t>.</w:t>
      </w:r>
      <w:r>
        <w:rPr>
          <w:rStyle w:val="FootnoteReference"/>
        </w:rPr>
        <w:footnoteReference w:id="31"/>
      </w:r>
      <w:r>
        <w:t xml:space="preserve"> </w:t>
      </w:r>
      <w:r>
        <w:rPr>
          <w:color w:val="000000"/>
          <w:highlight w:val="white"/>
        </w:rPr>
        <w:t>Evenness refers to the differential distribution of social groups among areas</w:t>
      </w:r>
      <w:r w:rsidR="00177098">
        <w:rPr>
          <w:color w:val="000000"/>
          <w:highlight w:val="white"/>
        </w:rPr>
        <w:t>,</w:t>
      </w:r>
      <w:r>
        <w:rPr>
          <w:color w:val="000000"/>
          <w:highlight w:val="white"/>
        </w:rPr>
        <w:t xml:space="preserve"> evenness is maximized and segregation minimized when all areas have the same relative number of minority and majority groups as the city as a whole; </w:t>
      </w:r>
      <w:r>
        <w:rPr>
          <w:color w:val="000000"/>
        </w:rPr>
        <w:t xml:space="preserve">residential exposure refers to the degree of  interaction, between minority and majority group members within particular geographic areas of a city; concentration refers to relative amount of physical space occupied by a minority group in the urban environment; </w:t>
      </w:r>
      <w:r w:rsidR="00E36EE5">
        <w:rPr>
          <w:color w:val="000000"/>
        </w:rPr>
        <w:t>c</w:t>
      </w:r>
      <w:r>
        <w:rPr>
          <w:color w:val="000000"/>
        </w:rPr>
        <w:t xml:space="preserve">entralization is the degree to which a group is spatially located near the </w:t>
      </w:r>
      <w:r w:rsidR="000436CA">
        <w:rPr>
          <w:color w:val="000000"/>
        </w:rPr>
        <w:t>centre</w:t>
      </w:r>
      <w:r>
        <w:rPr>
          <w:color w:val="000000"/>
        </w:rPr>
        <w:t xml:space="preserve"> of an urban area </w:t>
      </w:r>
      <w:r w:rsidR="00E36EE5">
        <w:rPr>
          <w:color w:val="000000"/>
        </w:rPr>
        <w:t xml:space="preserve"> as </w:t>
      </w:r>
      <w:r>
        <w:rPr>
          <w:color w:val="000000"/>
        </w:rPr>
        <w:t>often, marginalized groups are forced to peripheral areas of cities; the last dimension in this measure is the degree of spatial clustering</w:t>
      </w:r>
      <w:r w:rsidR="00177098">
        <w:rPr>
          <w:color w:val="000000"/>
        </w:rPr>
        <w:t>,</w:t>
      </w:r>
      <w:r>
        <w:rPr>
          <w:color w:val="000000"/>
        </w:rPr>
        <w:t xml:space="preserve"> that is, the extent to which areas inhabited by minority groups are clustered </w:t>
      </w:r>
      <w:r w:rsidR="00177098">
        <w:rPr>
          <w:color w:val="000000"/>
        </w:rPr>
        <w:t>together in a particular space.</w:t>
      </w:r>
      <w:r>
        <w:rPr>
          <w:color w:val="000000"/>
        </w:rPr>
        <w:t xml:space="preserve"> There has also been an attempt to measure the level of segregation and ghettoization through a ‘segregation index</w:t>
      </w:r>
      <w:r w:rsidR="00645F4A">
        <w:rPr>
          <w:color w:val="000000"/>
        </w:rPr>
        <w:t>’</w:t>
      </w:r>
      <w:r>
        <w:rPr>
          <w:color w:val="000000"/>
        </w:rPr>
        <w:t xml:space="preserve">, relying on the </w:t>
      </w:r>
      <w:r>
        <w:rPr>
          <w:color w:val="000000"/>
        </w:rPr>
        <w:lastRenderedPageBreak/>
        <w:t>index of dissimilarity, in the context of spatial segregation of Muslims in Indian cities</w:t>
      </w:r>
      <w:r w:rsidR="00347DD3">
        <w:rPr>
          <w:color w:val="000000"/>
        </w:rPr>
        <w:t>.</w:t>
      </w:r>
      <w:r>
        <w:rPr>
          <w:rStyle w:val="FootnoteReference"/>
          <w:color w:val="000000"/>
        </w:rPr>
        <w:footnoteReference w:id="32"/>
      </w:r>
    </w:p>
    <w:p w14:paraId="68FB7EB0" w14:textId="0DC927BA" w:rsidR="00D01135" w:rsidRDefault="00E36EE5" w:rsidP="00D01135">
      <w:pPr>
        <w:pStyle w:val="ParNoG"/>
      </w:pPr>
      <w:r>
        <w:t>S</w:t>
      </w:r>
      <w:r w:rsidR="00D01135" w:rsidRPr="00D01135">
        <w:t>patial mapping and data visualization tools have also greatly added to methods for identifying and measuring segregation, particularly in the fields of urban geography and urban planning. These maps most often take demographic, census track and household-level data to demonstrate how spatial segregation patterns take hold in a particular territorial context, for example examining how diversified the ethnic, racial and income composition of a city is. In addition, such spatial tools can be used to overlay demographic data with other indicators, such as contemporary and historical land use data, providing important insights into factors that drive and intersect with conditions of residential segregation. Such maps may also help make visible the ‘costs’ or impacts of spatial segregation, for example the distances residentially segregated communities face to access essential public services and facilities.</w:t>
      </w:r>
    </w:p>
    <w:p w14:paraId="13382638" w14:textId="77777777" w:rsidR="00D01135" w:rsidRDefault="00D01135" w:rsidP="00D01135">
      <w:pPr>
        <w:pStyle w:val="ParNoG"/>
      </w:pPr>
      <w:r w:rsidRPr="00D01135">
        <w:t xml:space="preserve">While such methodologies have been largely applied in academic investigations, they can provide a critical perspective to policy makers for better understanding and monitoring </w:t>
      </w:r>
      <w:r>
        <w:t xml:space="preserve">dynamics </w:t>
      </w:r>
      <w:r w:rsidRPr="00D01135">
        <w:t xml:space="preserve">of residential segregation and how this takes hold in the spatial configuration of cities and </w:t>
      </w:r>
      <w:r w:rsidR="00BF789B" w:rsidRPr="00D01135">
        <w:t>neighbourhoods</w:t>
      </w:r>
      <w:r w:rsidRPr="00D01135">
        <w:t xml:space="preserve">. In this context, States, local and regional governments should ensure robust and adequate data collection, disaggregated by grounds of discrimination recognized in international human rights law such as ethnicity, race, sex, age, gender identity, disability, income, religion and civil status. Moreover, this data should be </w:t>
      </w:r>
      <w:r w:rsidR="00BF789B" w:rsidRPr="00D01135">
        <w:t>analysed</w:t>
      </w:r>
      <w:r w:rsidRPr="00D01135">
        <w:t xml:space="preserve"> at ward and district levels to identify and measure inequalities at </w:t>
      </w:r>
      <w:r w:rsidR="00BF789B" w:rsidRPr="00D01135">
        <w:t>neighbourhood</w:t>
      </w:r>
      <w:r w:rsidRPr="00D01135">
        <w:t xml:space="preserve"> and city-wide scales.</w:t>
      </w:r>
    </w:p>
    <w:p w14:paraId="6C1EE49E" w14:textId="77777777" w:rsidR="001E39F9" w:rsidRDefault="001E39F9" w:rsidP="001E39F9">
      <w:pPr>
        <w:pStyle w:val="HChG"/>
      </w:pPr>
      <w:r>
        <w:tab/>
        <w:t>IV.</w:t>
      </w:r>
      <w:r>
        <w:tab/>
        <w:t>Drivers of segregation</w:t>
      </w:r>
    </w:p>
    <w:p w14:paraId="78357D07" w14:textId="77777777" w:rsidR="006A4607" w:rsidRDefault="006A4607" w:rsidP="006A4607">
      <w:pPr>
        <w:pStyle w:val="ParNoG"/>
      </w:pPr>
      <w:r>
        <w:t xml:space="preserve">Being a form of structural discrimination, it is critical to examine spatial segregation as a system of policies, measures and practices that perpetuate disadvantages for vulnerable groups. Contrary to misleading presumptions and generalizations that pin the causes of residential segregation to the de facto prejudices or the “natural” preferences of private actors, research shows that residential segregation is very much the outcome of past and present State policies and measures (or the lack thereof). Discriminatory practices and prejudiced </w:t>
      </w:r>
      <w:r w:rsidR="00BF789B">
        <w:t>behaviours</w:t>
      </w:r>
      <w:r>
        <w:t xml:space="preserve"> by private actors certainly play a role in exacerbating segregation but ultimately such practices should be monitored and regulated by States, as guided by international human rights standards.</w:t>
      </w:r>
    </w:p>
    <w:p w14:paraId="370A6AA8" w14:textId="2E0200C7" w:rsidR="006A4607" w:rsidRDefault="006A4607" w:rsidP="006A4607">
      <w:pPr>
        <w:pStyle w:val="ParNoG"/>
      </w:pPr>
      <w:r w:rsidRPr="006A4607">
        <w:t>The persistence of segregation in cities and territories across the globe is tied both to the legacies of former segregationist policies as well as to</w:t>
      </w:r>
      <w:r>
        <w:t xml:space="preserve"> </w:t>
      </w:r>
      <w:r w:rsidRPr="006A4607">
        <w:t>policies, measures and practices, particularly land and housing policies, that appear neutral but have a discriminatory effect and lead to segregated territories,</w:t>
      </w:r>
      <w:r>
        <w:t xml:space="preserve"> </w:t>
      </w:r>
      <w:r w:rsidRPr="006A4607">
        <w:t>detrimentally impacting on the enjoyment of the right to adequate housing by all. These ‘drivers’ of segregation are often present simultaneously, working as a complex assemblage of factors that can drive and compound spatial segregation.</w:t>
      </w:r>
    </w:p>
    <w:p w14:paraId="25AA8547" w14:textId="7646BAD9" w:rsidR="001E39F9" w:rsidRDefault="00E36EE5" w:rsidP="006A4607">
      <w:pPr>
        <w:pStyle w:val="ParNoG"/>
      </w:pPr>
      <w:r>
        <w:t xml:space="preserve">Drivers of segregation often </w:t>
      </w:r>
      <w:r w:rsidR="006A4607" w:rsidRPr="006A4607">
        <w:t xml:space="preserve">reflect macro processes driving inequality in territories, </w:t>
      </w:r>
      <w:r>
        <w:t xml:space="preserve">such as the </w:t>
      </w:r>
      <w:proofErr w:type="spellStart"/>
      <w:r w:rsidR="006A4607" w:rsidRPr="006A4607">
        <w:t>financialization</w:t>
      </w:r>
      <w:proofErr w:type="spellEnd"/>
      <w:r w:rsidR="006A4607" w:rsidRPr="006A4607">
        <w:t xml:space="preserve"> and commodification of housing and land. In</w:t>
      </w:r>
      <w:r w:rsidR="006A4607">
        <w:t xml:space="preserve"> </w:t>
      </w:r>
      <w:r w:rsidR="006A4607" w:rsidRPr="006A4607">
        <w:t xml:space="preserve">the last decades many cities have seen the extreme concentration of wealth which, combined with the lack of regulations on land and housing </w:t>
      </w:r>
      <w:r w:rsidR="006A4607" w:rsidRPr="006A4607">
        <w:lastRenderedPageBreak/>
        <w:t xml:space="preserve">speculation, has led to the concentration of wealthy </w:t>
      </w:r>
      <w:r w:rsidR="00BF789B" w:rsidRPr="006A4607">
        <w:t>neighbourhoods</w:t>
      </w:r>
      <w:r w:rsidR="006A4607" w:rsidRPr="006A4607">
        <w:t>, displacing low-</w:t>
      </w:r>
      <w:r w:rsidR="006A4607">
        <w:t xml:space="preserve"> </w:t>
      </w:r>
      <w:r w:rsidR="006A4607" w:rsidRPr="006A4607">
        <w:t>and moderate</w:t>
      </w:r>
      <w:r w:rsidR="006A4607">
        <w:t>-</w:t>
      </w:r>
      <w:r w:rsidR="006A4607" w:rsidRPr="006A4607">
        <w:t>income households and exacerbating patterns of spatial segregation.</w:t>
      </w:r>
    </w:p>
    <w:p w14:paraId="19C7AAE5" w14:textId="77777777" w:rsidR="009C4DD2" w:rsidRDefault="009C4DD2" w:rsidP="009C4DD2">
      <w:pPr>
        <w:pStyle w:val="H1G"/>
        <w:rPr>
          <w:sz w:val="22"/>
          <w:szCs w:val="22"/>
        </w:rPr>
      </w:pPr>
      <w:r>
        <w:tab/>
        <w:t>A.</w:t>
      </w:r>
      <w:r>
        <w:tab/>
      </w:r>
      <w:r>
        <w:rPr>
          <w:sz w:val="22"/>
          <w:szCs w:val="22"/>
        </w:rPr>
        <w:t>Land use planning and discriminatory zoning</w:t>
      </w:r>
    </w:p>
    <w:p w14:paraId="1BF3CC37" w14:textId="7A535AAE" w:rsidR="00EC27FF" w:rsidRDefault="00EC27FF" w:rsidP="00EC27FF">
      <w:pPr>
        <w:pStyle w:val="ParNoG"/>
      </w:pPr>
      <w:r>
        <w:t>Land use planning policies and instruments</w:t>
      </w:r>
      <w:r w:rsidR="00E36EE5">
        <w:t xml:space="preserve"> </w:t>
      </w:r>
      <w:r>
        <w:t xml:space="preserve">are decisive in determining how and in what conditions development takes place in a given territory and, consequently the conditions in which households and </w:t>
      </w:r>
      <w:r w:rsidR="00BF789B">
        <w:t>neighbourhoods</w:t>
      </w:r>
      <w:r>
        <w:t xml:space="preserve"> are situated. Land use planning and mechanisms like zoning and urban planning are </w:t>
      </w:r>
      <w:r w:rsidR="00E36EE5">
        <w:t xml:space="preserve">in many countries </w:t>
      </w:r>
      <w:r>
        <w:t>governed largely at local level</w:t>
      </w:r>
      <w:r w:rsidR="00E36EE5">
        <w:t xml:space="preserve">, </w:t>
      </w:r>
      <w:r>
        <w:t>but can also be determined by national legislation, judicial rulings, policies, measures, guidelines and funding. In</w:t>
      </w:r>
      <w:r w:rsidR="000C25DF">
        <w:t xml:space="preserve"> fact,</w:t>
      </w:r>
      <w:r>
        <w:t xml:space="preserve"> in some countries, zoning and land use planning </w:t>
      </w:r>
      <w:r w:rsidR="00A86B5A">
        <w:t xml:space="preserve">is </w:t>
      </w:r>
      <w:r>
        <w:t xml:space="preserve">largely centralized. Therefore, critically examining how land use planning may be contributing to segregation must include taking stock of policies and frameworks of land administration at multiple scales of governance. </w:t>
      </w:r>
    </w:p>
    <w:p w14:paraId="72EE1638" w14:textId="77777777" w:rsidR="00EC27FF" w:rsidRDefault="00EC27FF" w:rsidP="00EC27FF">
      <w:pPr>
        <w:pStyle w:val="ParNoG"/>
      </w:pPr>
      <w:r w:rsidRPr="00EC27FF">
        <w:t>A prominent form of discriminatory practice in land use planning, including for example in the United States of America, is exclusionary zoning, or zoning practices that effectively bar low- and moderate-</w:t>
      </w:r>
      <w:r>
        <w:t xml:space="preserve"> </w:t>
      </w:r>
      <w:r w:rsidRPr="00EC27FF">
        <w:t>income households from finding affordable housing due to the imposition of density restrictions.</w:t>
      </w:r>
      <w:r w:rsidR="000C25DF">
        <w:rPr>
          <w:rStyle w:val="FootnoteReference"/>
        </w:rPr>
        <w:footnoteReference w:id="33"/>
      </w:r>
      <w:r>
        <w:t xml:space="preserve"> </w:t>
      </w:r>
      <w:r w:rsidRPr="00EC27FF">
        <w:t>It can include practices such as single-family zoning, ordained minimum-lot sizes, restrictions on the number of units in multi-family buildings and building height caps. Such regulations increase the costs of housing and land and pose barriers to the construction of affordable housing. In the United States of America, extensive research has shown how exclusionary zoning perpetuates racial segregation. In cities and towns where exclusionary zoning measures were present, data shows there was a higher concentration of predominately white residents and a marked lack of racial, ethnic and socio-economic diversity.</w:t>
      </w:r>
      <w:r w:rsidR="000C25DF">
        <w:rPr>
          <w:rStyle w:val="FootnoteReference"/>
        </w:rPr>
        <w:footnoteReference w:id="34"/>
      </w:r>
      <w:r w:rsidRPr="00EC27FF">
        <w:t xml:space="preserve"> </w:t>
      </w:r>
    </w:p>
    <w:p w14:paraId="32D7640C" w14:textId="2CF9B84F" w:rsidR="00EC27FF" w:rsidRDefault="00EC27FF" w:rsidP="00EC27FF">
      <w:pPr>
        <w:pStyle w:val="ParNoG"/>
      </w:pPr>
      <w:r w:rsidRPr="00EC27FF">
        <w:t xml:space="preserve">Differential, discriminatory treatment in land use planning can also include regulations such as growth caps and restrictions on building permits, which can compound conditions of spatial segregation in a particular </w:t>
      </w:r>
      <w:r w:rsidR="00BF789B" w:rsidRPr="00EC27FF">
        <w:t>neighbourhood</w:t>
      </w:r>
      <w:r w:rsidRPr="00EC27FF">
        <w:t xml:space="preserve"> and community. In the Occupied </w:t>
      </w:r>
      <w:r w:rsidR="00A86B5A">
        <w:t xml:space="preserve">Palestinian </w:t>
      </w:r>
      <w:r w:rsidRPr="00EC27FF">
        <w:t>Territor</w:t>
      </w:r>
      <w:r w:rsidR="00A86B5A">
        <w:t xml:space="preserve">y </w:t>
      </w:r>
      <w:r w:rsidRPr="00EC27FF">
        <w:t>for example, civil society testimony points to how the discriminatory application of planning regulations and procedures by Israeli authorities serves to hinder the development of Palestinian communities and the provision of basic services</w:t>
      </w:r>
      <w:r w:rsidR="00AD14F7">
        <w:t>.</w:t>
      </w:r>
      <w:r w:rsidR="000C25DF">
        <w:rPr>
          <w:rStyle w:val="FootnoteReference"/>
        </w:rPr>
        <w:footnoteReference w:id="35"/>
      </w:r>
      <w:r w:rsidRPr="00EC27FF">
        <w:t xml:space="preserve"> This includes measures such as the arbitrary and strict restriction of construction permits in “Area C” of the West Bank for Palestinian residents, while simultaneously permitting the expansion of illegal Israeli settlements that are only for Jewish residents. For example, between 2009 and 2018 only 2% of permits to build were approved. In addition, Palestinian communities in “Area C” of the West Bank are under constant threat of forced eviction and demolition of their homes and infrastructure. </w:t>
      </w:r>
      <w:r w:rsidR="00A86B5A">
        <w:t>D</w:t>
      </w:r>
      <w:r w:rsidRPr="00EC27FF">
        <w:t>uring the first quarter of 2021 alone, Israeli authorities seized, demolished or forced people to demolish at least 292 Palestinian-owned structures across the West Bank, including East Jerusalem, displacing 450 people, including 246 children</w:t>
      </w:r>
      <w:r w:rsidR="00AD14F7">
        <w:t>.</w:t>
      </w:r>
      <w:r w:rsidR="000C25DF">
        <w:rPr>
          <w:rStyle w:val="FootnoteReference"/>
        </w:rPr>
        <w:footnoteReference w:id="36"/>
      </w:r>
      <w:r w:rsidRPr="00EC27FF">
        <w:t xml:space="preserve"> </w:t>
      </w:r>
    </w:p>
    <w:p w14:paraId="0C25E406" w14:textId="77777777" w:rsidR="009C4DD2" w:rsidRDefault="00EC27FF" w:rsidP="00EC27FF">
      <w:pPr>
        <w:pStyle w:val="ParNoG"/>
      </w:pPr>
      <w:r w:rsidRPr="00EC27FF">
        <w:lastRenderedPageBreak/>
        <w:t>Zoning and land use decisions can also</w:t>
      </w:r>
      <w:r>
        <w:t xml:space="preserve"> </w:t>
      </w:r>
      <w:r w:rsidRPr="00EC27FF">
        <w:t xml:space="preserve">have a discriminatory effect and compound conditions of spatial segregation when </w:t>
      </w:r>
      <w:r w:rsidR="00BF789B" w:rsidRPr="00EC27FF">
        <w:t>neighbourhoods</w:t>
      </w:r>
      <w:r>
        <w:t xml:space="preserve"> </w:t>
      </w:r>
      <w:r w:rsidRPr="00EC27FF">
        <w:t>with a concentration of low-income</w:t>
      </w:r>
      <w:r>
        <w:t xml:space="preserve"> </w:t>
      </w:r>
      <w:r w:rsidRPr="00EC27FF">
        <w:t>or minority group households are targeted for increased industrial use zoning and other forms of land use that result in increased pollution, contamination</w:t>
      </w:r>
      <w:r>
        <w:t xml:space="preserve"> </w:t>
      </w:r>
      <w:r w:rsidRPr="00EC27FF">
        <w:t xml:space="preserve">or other environmental health hazards. In the United States, for example, numerous studies have found that polluting industrial facilities, fossil-fuel storage and transportation sites and waste facilities are disproportionately located in low-income </w:t>
      </w:r>
      <w:r w:rsidR="00BF789B" w:rsidRPr="00EC27FF">
        <w:t>neighbourhoods</w:t>
      </w:r>
      <w:r w:rsidRPr="00EC27FF">
        <w:t xml:space="preserve"> and communities of </w:t>
      </w:r>
      <w:r w:rsidR="00BF789B" w:rsidRPr="00EC27FF">
        <w:t>colour</w:t>
      </w:r>
      <w:r w:rsidR="00AD14F7">
        <w:t>.</w:t>
      </w:r>
      <w:r w:rsidR="000C25DF">
        <w:rPr>
          <w:rStyle w:val="FootnoteReference"/>
        </w:rPr>
        <w:footnoteReference w:id="37"/>
      </w:r>
    </w:p>
    <w:p w14:paraId="24A96E7B" w14:textId="77777777" w:rsidR="00FE110F" w:rsidRDefault="004D5F84" w:rsidP="004D5F84">
      <w:pPr>
        <w:pStyle w:val="H1G"/>
      </w:pPr>
      <w:r>
        <w:tab/>
        <w:t>B.</w:t>
      </w:r>
      <w:r>
        <w:tab/>
        <w:t>Physical barriers</w:t>
      </w:r>
    </w:p>
    <w:p w14:paraId="13003649" w14:textId="62469B17" w:rsidR="004D5F84" w:rsidRDefault="004D5F84" w:rsidP="004D5F84">
      <w:pPr>
        <w:pStyle w:val="ParNoG"/>
      </w:pPr>
      <w:r>
        <w:t>The erection of physical barriers or separation walls between communities constitutes a particularly egregious form of spatial segregation</w:t>
      </w:r>
      <w:r w:rsidR="00A86B5A">
        <w:t>, o</w:t>
      </w:r>
      <w:r>
        <w:t xml:space="preserve">ften </w:t>
      </w:r>
      <w:r w:rsidR="00A86B5A">
        <w:t xml:space="preserve">observed </w:t>
      </w:r>
      <w:r>
        <w:t xml:space="preserve">in contexts where forms of ethnic, religious or other social conflict and intolerance are present. In Jerusalem for example, the Palestinian </w:t>
      </w:r>
      <w:r w:rsidR="00BF789B">
        <w:t>neighbourhood</w:t>
      </w:r>
      <w:r>
        <w:t xml:space="preserve"> of </w:t>
      </w:r>
      <w:proofErr w:type="spellStart"/>
      <w:r>
        <w:t>Kafr</w:t>
      </w:r>
      <w:proofErr w:type="spellEnd"/>
      <w:r>
        <w:t xml:space="preserve">’ </w:t>
      </w:r>
      <w:proofErr w:type="spellStart"/>
      <w:r>
        <w:t>Aqab</w:t>
      </w:r>
      <w:proofErr w:type="spellEnd"/>
      <w:r>
        <w:t xml:space="preserve"> in East Jerusalem is separated from the rest of </w:t>
      </w:r>
      <w:r w:rsidR="00A86B5A">
        <w:t xml:space="preserve">the </w:t>
      </w:r>
      <w:r>
        <w:t xml:space="preserve">city by a concrete barrier placed by Israeli authorities. This segregation has subjected the area to inadequate public infrastructure, overcrowding and the concentration of poverty and insecurity, </w:t>
      </w:r>
      <w:r w:rsidR="00A86B5A">
        <w:t>since</w:t>
      </w:r>
      <w:r>
        <w:t xml:space="preserve"> the </w:t>
      </w:r>
      <w:r w:rsidR="00BF789B">
        <w:t>neighbourhood</w:t>
      </w:r>
      <w:r>
        <w:t xml:space="preserve"> does not receive the same attention of municipal services as areas outside the separation wall.</w:t>
      </w:r>
      <w:r w:rsidR="009F3B3E">
        <w:rPr>
          <w:rStyle w:val="FootnoteReference"/>
        </w:rPr>
        <w:footnoteReference w:id="38"/>
      </w:r>
    </w:p>
    <w:p w14:paraId="0A2F3A95" w14:textId="175766C9" w:rsidR="004D5F84" w:rsidRPr="004D5F84" w:rsidRDefault="004D5F84" w:rsidP="0039007A">
      <w:pPr>
        <w:pStyle w:val="ParNoG"/>
      </w:pPr>
      <w:r w:rsidRPr="004D5F84">
        <w:t xml:space="preserve">In many other regional contexts, physical walls have been put up to separate impoverished informal </w:t>
      </w:r>
      <w:r w:rsidRPr="0039007A">
        <w:t>settlements</w:t>
      </w:r>
      <w:r w:rsidRPr="004D5F84">
        <w:t xml:space="preserve"> from surrounding </w:t>
      </w:r>
      <w:r w:rsidR="00BF789B" w:rsidRPr="004D5F84">
        <w:t>neighbourhoods</w:t>
      </w:r>
      <w:r w:rsidRPr="004D5F84">
        <w:t xml:space="preserve"> and to limit th</w:t>
      </w:r>
      <w:r w:rsidR="009F3B3E">
        <w:t xml:space="preserve">e growth of these communities. </w:t>
      </w:r>
      <w:r w:rsidRPr="004D5F84">
        <w:t>In India’s Ahmedabad, for example, the local municipal corporation built a</w:t>
      </w:r>
      <w:r>
        <w:t xml:space="preserve"> </w:t>
      </w:r>
      <w:r w:rsidRPr="004D5F84">
        <w:t xml:space="preserve">500-meter-long wall in front of the </w:t>
      </w:r>
      <w:proofErr w:type="spellStart"/>
      <w:r w:rsidRPr="004D5F84">
        <w:t>Saraniyavaas</w:t>
      </w:r>
      <w:proofErr w:type="spellEnd"/>
      <w:r w:rsidRPr="004D5F84">
        <w:t xml:space="preserve"> informal settlement as part of ‘beautification project’ to hide the impoverished slum area from view of a highway. The area is home to over 2,500 people from the </w:t>
      </w:r>
      <w:proofErr w:type="spellStart"/>
      <w:r w:rsidRPr="004D5F84">
        <w:t>Saranias</w:t>
      </w:r>
      <w:proofErr w:type="spellEnd"/>
      <w:r w:rsidRPr="004D5F84">
        <w:t xml:space="preserve"> ethnic community which have resided there for multiple generations.</w:t>
      </w:r>
      <w:r w:rsidR="009F3B3E">
        <w:rPr>
          <w:rStyle w:val="FootnoteReference"/>
          <w:szCs w:val="22"/>
        </w:rPr>
        <w:footnoteReference w:id="39"/>
      </w:r>
      <w:r w:rsidR="009F3B3E">
        <w:t xml:space="preserve"> </w:t>
      </w:r>
      <w:r w:rsidRPr="004D5F84">
        <w:t>In Lima, Peru, a six-mile long concrete wall, 10 foot high and topped with barbed wire, separates the city’s rich residents from less affluent and poor residents.</w:t>
      </w:r>
      <w:r w:rsidR="009F3B3E">
        <w:rPr>
          <w:rStyle w:val="FootnoteReference"/>
          <w:szCs w:val="22"/>
        </w:rPr>
        <w:footnoteReference w:id="40"/>
      </w:r>
      <w:r w:rsidRPr="004D5F84">
        <w:t xml:space="preserve"> </w:t>
      </w:r>
    </w:p>
    <w:p w14:paraId="50E7121C" w14:textId="77777777" w:rsidR="004D5F84" w:rsidRDefault="004D5F84" w:rsidP="0039007A">
      <w:pPr>
        <w:pStyle w:val="ParNoG"/>
      </w:pPr>
      <w:r w:rsidRPr="004D5F84">
        <w:t xml:space="preserve">The development of gated communities is another form of spatial segregation in which the construction of physical barriers is employed. Generally, gated communities are considered to be residential areas that are enclosed by the use of gates, walls, fences or landscaping that provide a </w:t>
      </w:r>
      <w:r w:rsidRPr="0039007A">
        <w:t>physical</w:t>
      </w:r>
      <w:r w:rsidRPr="004D5F84">
        <w:t xml:space="preserve"> barrier to entry to both the residences and to the public spaces, services and amenities that the </w:t>
      </w:r>
      <w:r w:rsidR="00BF789B" w:rsidRPr="004D5F84">
        <w:t>neighbourhood</w:t>
      </w:r>
      <w:r w:rsidRPr="004D5F84">
        <w:t xml:space="preserve"> contains.</w:t>
      </w:r>
      <w:r w:rsidR="009F3B3E">
        <w:rPr>
          <w:rStyle w:val="FootnoteReference"/>
          <w:szCs w:val="22"/>
        </w:rPr>
        <w:footnoteReference w:id="41"/>
      </w:r>
      <w:r w:rsidRPr="004D5F84">
        <w:t xml:space="preserve"> These residential areas are most often managed by self-governing homeowner associations, which </w:t>
      </w:r>
      <w:r w:rsidRPr="0039007A">
        <w:t>establish</w:t>
      </w:r>
      <w:r w:rsidRPr="004D5F84">
        <w:t xml:space="preserve"> covenants, conditions and restrictions as part of the deed (including collection of fees) and also commonly contain private security staff and systems to monitor access such as CCTV systems as well as private maintenance.</w:t>
      </w:r>
      <w:r w:rsidR="009F3B3E">
        <w:rPr>
          <w:rStyle w:val="FootnoteReference"/>
          <w:szCs w:val="22"/>
        </w:rPr>
        <w:footnoteReference w:id="42"/>
      </w:r>
    </w:p>
    <w:p w14:paraId="4BAEADEA" w14:textId="2AFA1568" w:rsidR="004D5F84" w:rsidRPr="009F3B3E" w:rsidRDefault="004D5F84" w:rsidP="0039007A">
      <w:pPr>
        <w:pStyle w:val="ParNoG"/>
      </w:pPr>
      <w:r w:rsidRPr="004D5F84">
        <w:lastRenderedPageBreak/>
        <w:t xml:space="preserve">In addition to </w:t>
      </w:r>
      <w:r w:rsidR="00A86B5A">
        <w:t xml:space="preserve">walls </w:t>
      </w:r>
      <w:r w:rsidR="00C1352B">
        <w:t xml:space="preserve">and fences </w:t>
      </w:r>
      <w:r w:rsidRPr="004D5F84">
        <w:t xml:space="preserve">it should be </w:t>
      </w:r>
      <w:r w:rsidRPr="0039007A">
        <w:t>recognized</w:t>
      </w:r>
      <w:r w:rsidRPr="004D5F84">
        <w:t xml:space="preserve"> that other </w:t>
      </w:r>
      <w:r w:rsidR="00C1352B">
        <w:t xml:space="preserve">physical barriers and </w:t>
      </w:r>
      <w:r w:rsidRPr="004D5F84">
        <w:t xml:space="preserve">markers of division such as railways and roadways, segregate communities and </w:t>
      </w:r>
      <w:r w:rsidR="00BF789B" w:rsidRPr="004D5F84">
        <w:t>neighbourhoods</w:t>
      </w:r>
      <w:r w:rsidRPr="004D5F84">
        <w:t>.</w:t>
      </w:r>
    </w:p>
    <w:p w14:paraId="0752B983" w14:textId="77777777" w:rsidR="009F3B3E" w:rsidRDefault="00875078" w:rsidP="00875078">
      <w:pPr>
        <w:pStyle w:val="H1G"/>
      </w:pPr>
      <w:r>
        <w:tab/>
        <w:t>C.</w:t>
      </w:r>
      <w:r>
        <w:tab/>
        <w:t>Forced evictions and displacement</w:t>
      </w:r>
    </w:p>
    <w:p w14:paraId="0BA37F5B" w14:textId="37145B55" w:rsidR="00B55C3E" w:rsidRDefault="00B55C3E" w:rsidP="0039007A">
      <w:pPr>
        <w:pStyle w:val="ParNoG"/>
      </w:pPr>
      <w:r>
        <w:t>Since its creation, the mandate has given extensive attention to how forced evictions and displacement constitute a gross violation of the right to adequate housing and other interrelated human rights.</w:t>
      </w:r>
      <w:r>
        <w:rPr>
          <w:rStyle w:val="FootnoteReference"/>
        </w:rPr>
        <w:footnoteReference w:id="43"/>
      </w:r>
      <w:r>
        <w:t xml:space="preserve"> By displacing entire communities, often to new locations lacking in infrastructure and detached from education and livelihood sources, forced evictions often result in spatial segregation and lead to impoverishment or worse living conditions.</w:t>
      </w:r>
      <w:r>
        <w:rPr>
          <w:rStyle w:val="FootnoteReference"/>
        </w:rPr>
        <w:footnoteReference w:id="44"/>
      </w:r>
      <w:r>
        <w:t xml:space="preserve"> Since March 2020, the mandate has sent at least 19 communications</w:t>
      </w:r>
      <w:r>
        <w:rPr>
          <w:rStyle w:val="FootnoteReference"/>
        </w:rPr>
        <w:footnoteReference w:id="45"/>
      </w:r>
      <w:r>
        <w:t xml:space="preserve"> flagging how forced evictions exacerbate vulnerabilities during the Covid-19 pandemic, especially of marginalized communities. As many segregated communities do not enjoy security of tenure, they are also more vulnerable to be subjected to repeated forced evictions. Areas where minority communities live are also subject to higher risks of evictions and forced displacement due to gentrification, speculation and higher land and housing prices.</w:t>
      </w:r>
      <w:r>
        <w:rPr>
          <w:rStyle w:val="FootnoteReference"/>
        </w:rPr>
        <w:footnoteReference w:id="46"/>
      </w:r>
      <w:r>
        <w:t xml:space="preserve"> </w:t>
      </w:r>
    </w:p>
    <w:p w14:paraId="1A597258" w14:textId="7BA1428E" w:rsidR="00875078" w:rsidRDefault="00B55C3E" w:rsidP="00B55C3E">
      <w:pPr>
        <w:pStyle w:val="ParNoG"/>
      </w:pPr>
      <w:r w:rsidRPr="00B55C3E">
        <w:t xml:space="preserve">In a comprehensive evaluation of forced displacement patterns in the city of Milwaukee, United States, a study found that renters who experienced forced relocation were more likely to relocate to more disadvantaged </w:t>
      </w:r>
      <w:r w:rsidR="00BF789B" w:rsidRPr="00B55C3E">
        <w:t>neighbourhoods</w:t>
      </w:r>
      <w:r w:rsidRPr="00B55C3E">
        <w:t>, with increased poverty and crime rates, in comparison to those households who moved voluntarily.</w:t>
      </w:r>
      <w:r>
        <w:rPr>
          <w:rStyle w:val="FootnoteReference"/>
        </w:rPr>
        <w:footnoteReference w:id="47"/>
      </w:r>
      <w:r w:rsidRPr="00B55C3E">
        <w:t xml:space="preserve"> In Delhi, India, a study of for</w:t>
      </w:r>
      <w:r>
        <w:t xml:space="preserve">ced evictions of </w:t>
      </w:r>
      <w:proofErr w:type="spellStart"/>
      <w:r>
        <w:t>Jhuggi</w:t>
      </w:r>
      <w:proofErr w:type="spellEnd"/>
      <w:r>
        <w:t xml:space="preserve"> </w:t>
      </w:r>
      <w:proofErr w:type="spellStart"/>
      <w:r>
        <w:t>Jhopri</w:t>
      </w:r>
      <w:proofErr w:type="spellEnd"/>
      <w:r>
        <w:t xml:space="preserve"> </w:t>
      </w:r>
      <w:r w:rsidRPr="00B55C3E">
        <w:t xml:space="preserve">clusters, or informal settlements of urban migrants, found that over several decades cluster residents in centrally located areas were systematically targeted for evictions in the name of infrastructure development, urban “beautification” and health considerations and resettled in increasingly peripheral sites. </w:t>
      </w:r>
      <w:r w:rsidR="00C1352B">
        <w:t>O</w:t>
      </w:r>
      <w:r w:rsidRPr="00B55C3E">
        <w:t>ver time resettlements sites were constructed further from the core of the city, placing the residents up to four hours away from central locations, necessitating long, expensive bus rides to reach employment opportunities and urban amenities.</w:t>
      </w:r>
      <w:r w:rsidR="00927F67">
        <w:rPr>
          <w:rStyle w:val="FootnoteReference"/>
        </w:rPr>
        <w:footnoteReference w:id="48"/>
      </w:r>
    </w:p>
    <w:p w14:paraId="74845ADB" w14:textId="77777777" w:rsidR="004F3B44" w:rsidRDefault="004F3B44" w:rsidP="004F3B44">
      <w:pPr>
        <w:pStyle w:val="H1G"/>
      </w:pPr>
      <w:r>
        <w:tab/>
        <w:t>D.</w:t>
      </w:r>
      <w:r>
        <w:tab/>
        <w:t xml:space="preserve">Social </w:t>
      </w:r>
      <w:r w:rsidRPr="004F3B44">
        <w:t>and</w:t>
      </w:r>
      <w:r>
        <w:t xml:space="preserve"> public housing policies</w:t>
      </w:r>
    </w:p>
    <w:p w14:paraId="149E68F1" w14:textId="3E9780A9" w:rsidR="004F3B44" w:rsidRDefault="004F3B44" w:rsidP="0039007A">
      <w:pPr>
        <w:pStyle w:val="ParNoG"/>
      </w:pPr>
      <w:r>
        <w:t>A major challenge in addressing spatial segregation is closely tied to social, public and affordable housing policy</w:t>
      </w:r>
      <w:r w:rsidR="00C1352B">
        <w:t xml:space="preserve">. </w:t>
      </w:r>
      <w:r>
        <w:t xml:space="preserve">Too often social housing </w:t>
      </w:r>
      <w:r w:rsidR="00C1352B">
        <w:t xml:space="preserve">is </w:t>
      </w:r>
      <w:r>
        <w:t xml:space="preserve">located in peripheral and under resourced </w:t>
      </w:r>
      <w:r w:rsidR="00C1352B">
        <w:t xml:space="preserve">parts </w:t>
      </w:r>
      <w:r>
        <w:t xml:space="preserve">of cities, perpetuating segregation. In Chile for example, research points to how a majority of social housing complexes have been located in distant peripheral areas of major </w:t>
      </w:r>
      <w:r>
        <w:lastRenderedPageBreak/>
        <w:t>cities.</w:t>
      </w:r>
      <w:r>
        <w:rPr>
          <w:rStyle w:val="FootnoteReference"/>
        </w:rPr>
        <w:footnoteReference w:id="49"/>
      </w:r>
      <w:r>
        <w:t xml:space="preserve"> </w:t>
      </w:r>
      <w:r w:rsidR="00D2666C">
        <w:t xml:space="preserve">After </w:t>
      </w:r>
      <w:r w:rsidR="00C1352B">
        <w:t xml:space="preserve">her </w:t>
      </w:r>
      <w:r>
        <w:t>visit to Chile, the previous Special Rapporteur noted this legacy of historic segregation and isolation of the most marginalized segments of the population, with many living in low-quality units, and urged it required immediate attention to prevent further exclusion.</w:t>
      </w:r>
      <w:r>
        <w:rPr>
          <w:rStyle w:val="FootnoteReference"/>
        </w:rPr>
        <w:footnoteReference w:id="50"/>
      </w:r>
      <w:r>
        <w:t xml:space="preserve"> In France, research points to how the concentration of public housing in peripheral areas of cities has led to a marginalization of the communities that reside in those </w:t>
      </w:r>
      <w:r w:rsidR="00BF789B">
        <w:t>neighbourhoods</w:t>
      </w:r>
      <w:r>
        <w:t>, particularly migrants and racial and ethnic minorities that are disproportionately housed in these suburbs.</w:t>
      </w:r>
      <w:r>
        <w:rPr>
          <w:rStyle w:val="FootnoteReference"/>
        </w:rPr>
        <w:footnoteReference w:id="51"/>
      </w:r>
      <w:r>
        <w:t xml:space="preserve"> </w:t>
      </w:r>
    </w:p>
    <w:p w14:paraId="1C2C8FE3" w14:textId="40AAF337" w:rsidR="004F3B44" w:rsidRPr="004F3B44" w:rsidRDefault="004F3B44" w:rsidP="0039007A">
      <w:pPr>
        <w:pStyle w:val="ParNoG"/>
      </w:pPr>
      <w:r w:rsidRPr="004F3B44">
        <w:t xml:space="preserve">The lack of </w:t>
      </w:r>
      <w:r w:rsidR="00C1352B">
        <w:t xml:space="preserve">central- </w:t>
      </w:r>
      <w:r w:rsidRPr="004F3B44">
        <w:t xml:space="preserve">and local-level housing policies to direct the allocation of adequate land for the construction of affordable housing contributes to this problem. It also underscores how land policies must be tied to housing policies that advance the enjoyment of the right to adequate </w:t>
      </w:r>
      <w:r>
        <w:t xml:space="preserve">housing. </w:t>
      </w:r>
    </w:p>
    <w:p w14:paraId="7498C2FD" w14:textId="4CC885BF" w:rsidR="004F3B44" w:rsidRPr="004F3B44" w:rsidRDefault="00C1352B" w:rsidP="0039007A">
      <w:pPr>
        <w:pStyle w:val="ParNoG"/>
      </w:pPr>
      <w:r>
        <w:t>S</w:t>
      </w:r>
      <w:r w:rsidR="004F3B44" w:rsidRPr="004F3B44">
        <w:t>ystemic barriers to access</w:t>
      </w:r>
      <w:r>
        <w:t xml:space="preserve">ing </w:t>
      </w:r>
      <w:r w:rsidR="004F3B44" w:rsidRPr="004F3B44">
        <w:t xml:space="preserve">social housing programs can also contribute to </w:t>
      </w:r>
      <w:r>
        <w:t xml:space="preserve">spatial </w:t>
      </w:r>
      <w:r w:rsidR="004F3B44" w:rsidRPr="0039007A">
        <w:t>segregation</w:t>
      </w:r>
      <w:r w:rsidR="004F3B44" w:rsidRPr="004F3B44">
        <w:t xml:space="preserve">. For example, where regulations systematically prohibit or limit the ability of particular groups such as migrants, IDPs, or persons experiencing extreme poverty to apply or access affordable housing. Eligibility requirements such as minimum incomes, credit scores, formal employment and residency permits are examples of the type of possible discriminatory barriers. Such systematic denial or lack of access to affordable housing options contributes to the disproportionate number of households from vulnerable groups concentrating in high poverty </w:t>
      </w:r>
      <w:r w:rsidR="00BF789B" w:rsidRPr="004F3B44">
        <w:t>neighbourhoods</w:t>
      </w:r>
      <w:r w:rsidR="004F3B44" w:rsidRPr="004F3B44">
        <w:t xml:space="preserve"> and, in many countries, in informal settlements. In China, for example, research points to how migrant workers or other mobile population groups that do not have city resident permits under the ‘</w:t>
      </w:r>
      <w:proofErr w:type="spellStart"/>
      <w:r w:rsidR="004F3B44" w:rsidRPr="004F3B44">
        <w:t>hukou</w:t>
      </w:r>
      <w:proofErr w:type="spellEnd"/>
      <w:r w:rsidR="004F3B44" w:rsidRPr="004F3B44">
        <w:t>’ household registration system are not eligible for the affordable housing programs in urban areas, forcing these households to find shelter in informal settlements or ‘urban villages’ with substandard living and sanitation conditions</w:t>
      </w:r>
      <w:r w:rsidR="004F3B44">
        <w:t>.</w:t>
      </w:r>
      <w:r w:rsidR="004F3B44">
        <w:rPr>
          <w:vertAlign w:val="superscript"/>
        </w:rPr>
        <w:t>.</w:t>
      </w:r>
      <w:r w:rsidR="004F3B44">
        <w:rPr>
          <w:rStyle w:val="FootnoteReference"/>
        </w:rPr>
        <w:footnoteReference w:id="52"/>
      </w:r>
    </w:p>
    <w:p w14:paraId="237D67B6" w14:textId="77777777" w:rsidR="004F3B44" w:rsidRPr="004F3B44" w:rsidRDefault="004F3B44" w:rsidP="0039007A">
      <w:pPr>
        <w:pStyle w:val="ParNoG"/>
      </w:pPr>
      <w:r w:rsidRPr="004F3B44">
        <w:rPr>
          <w:highlight w:val="white"/>
        </w:rPr>
        <w:t xml:space="preserve">In Lebanon, civil society testimony points that many low-income families are concentrated in areas of environmental risk because this is where they are able to access low rents - </w:t>
      </w:r>
      <w:r w:rsidRPr="0039007A">
        <w:rPr>
          <w:highlight w:val="white"/>
        </w:rPr>
        <w:t>such</w:t>
      </w:r>
      <w:r w:rsidRPr="004F3B44">
        <w:rPr>
          <w:highlight w:val="white"/>
        </w:rPr>
        <w:t xml:space="preserve"> as communities near the power plant of </w:t>
      </w:r>
      <w:proofErr w:type="spellStart"/>
      <w:r w:rsidRPr="004F3B44">
        <w:rPr>
          <w:highlight w:val="white"/>
        </w:rPr>
        <w:t>Zouk</w:t>
      </w:r>
      <w:proofErr w:type="spellEnd"/>
      <w:r w:rsidRPr="004F3B44">
        <w:rPr>
          <w:highlight w:val="white"/>
        </w:rPr>
        <w:t xml:space="preserve"> Mikael (north of Beirut), communities living near dumpsites in </w:t>
      </w:r>
      <w:proofErr w:type="spellStart"/>
      <w:r w:rsidRPr="004F3B44">
        <w:rPr>
          <w:highlight w:val="white"/>
        </w:rPr>
        <w:t>Bourj</w:t>
      </w:r>
      <w:proofErr w:type="spellEnd"/>
      <w:r w:rsidRPr="004F3B44">
        <w:rPr>
          <w:highlight w:val="white"/>
        </w:rPr>
        <w:t xml:space="preserve"> </w:t>
      </w:r>
      <w:proofErr w:type="spellStart"/>
      <w:r w:rsidRPr="004F3B44">
        <w:rPr>
          <w:highlight w:val="white"/>
        </w:rPr>
        <w:t>Hammoud</w:t>
      </w:r>
      <w:proofErr w:type="spellEnd"/>
      <w:r w:rsidRPr="004F3B44">
        <w:rPr>
          <w:highlight w:val="white"/>
        </w:rPr>
        <w:t xml:space="preserve">, Tripoli, </w:t>
      </w:r>
      <w:proofErr w:type="spellStart"/>
      <w:r w:rsidRPr="004F3B44">
        <w:rPr>
          <w:highlight w:val="white"/>
        </w:rPr>
        <w:t>Saida</w:t>
      </w:r>
      <w:proofErr w:type="spellEnd"/>
      <w:r w:rsidRPr="004F3B44">
        <w:rPr>
          <w:highlight w:val="white"/>
        </w:rPr>
        <w:t xml:space="preserve"> and Costa Brava, and communities living in flood zones (such as those living in Hay el </w:t>
      </w:r>
      <w:proofErr w:type="spellStart"/>
      <w:r w:rsidRPr="004F3B44">
        <w:rPr>
          <w:highlight w:val="white"/>
        </w:rPr>
        <w:t>Sellom</w:t>
      </w:r>
      <w:proofErr w:type="spellEnd"/>
      <w:r w:rsidRPr="004F3B44">
        <w:rPr>
          <w:highlight w:val="white"/>
        </w:rPr>
        <w:t xml:space="preserve"> next to Al </w:t>
      </w:r>
      <w:proofErr w:type="spellStart"/>
      <w:r w:rsidRPr="004F3B44">
        <w:rPr>
          <w:highlight w:val="white"/>
        </w:rPr>
        <w:t>Ghadir</w:t>
      </w:r>
      <w:proofErr w:type="spellEnd"/>
      <w:r w:rsidRPr="004F3B44">
        <w:rPr>
          <w:highlight w:val="white"/>
        </w:rPr>
        <w:t xml:space="preserve"> river or in informal </w:t>
      </w:r>
      <w:r w:rsidR="00BF789B" w:rsidRPr="004F3B44">
        <w:rPr>
          <w:highlight w:val="white"/>
        </w:rPr>
        <w:t>neighbourhoods</w:t>
      </w:r>
      <w:r w:rsidRPr="004F3B44">
        <w:rPr>
          <w:highlight w:val="white"/>
        </w:rPr>
        <w:t xml:space="preserve"> of </w:t>
      </w:r>
      <w:proofErr w:type="spellStart"/>
      <w:r w:rsidRPr="004F3B44">
        <w:rPr>
          <w:highlight w:val="white"/>
        </w:rPr>
        <w:t>Ouzai</w:t>
      </w:r>
      <w:proofErr w:type="spellEnd"/>
      <w:r w:rsidRPr="004F3B44">
        <w:rPr>
          <w:highlight w:val="white"/>
        </w:rPr>
        <w:t>).</w:t>
      </w:r>
      <w:r>
        <w:rPr>
          <w:rStyle w:val="FootnoteReference"/>
          <w:szCs w:val="22"/>
          <w:highlight w:val="white"/>
        </w:rPr>
        <w:footnoteReference w:id="53"/>
      </w:r>
      <w:r w:rsidRPr="004F3B44">
        <w:rPr>
          <w:highlight w:val="white"/>
        </w:rPr>
        <w:t xml:space="preserve"> </w:t>
      </w:r>
    </w:p>
    <w:p w14:paraId="1D007814" w14:textId="77777777" w:rsidR="004F3B44" w:rsidRPr="004D3366" w:rsidRDefault="004F3B44" w:rsidP="0039007A">
      <w:pPr>
        <w:pStyle w:val="ParNoG"/>
      </w:pPr>
      <w:r w:rsidRPr="004F3B44">
        <w:rPr>
          <w:highlight w:val="white"/>
        </w:rPr>
        <w:t xml:space="preserve">In Poland, it is reported that municipal housing for low income tenants in Warsaw is often located in depleted old </w:t>
      </w:r>
      <w:r w:rsidRPr="0039007A">
        <w:rPr>
          <w:highlight w:val="white"/>
        </w:rPr>
        <w:t>buildings</w:t>
      </w:r>
      <w:r w:rsidRPr="004F3B44">
        <w:rPr>
          <w:highlight w:val="white"/>
        </w:rPr>
        <w:t xml:space="preserve"> with poor sanitary conditions - more than 18% of </w:t>
      </w:r>
      <w:r w:rsidRPr="0039007A">
        <w:rPr>
          <w:highlight w:val="white"/>
        </w:rPr>
        <w:t>municipal</w:t>
      </w:r>
      <w:r w:rsidRPr="004F3B44">
        <w:rPr>
          <w:highlight w:val="white"/>
        </w:rPr>
        <w:t xml:space="preserve"> housing stock in Warsaw is in poor condition; more than 30% of municipal flats do not have access to bathroom and toilet and 27% lack adequate heating.</w:t>
      </w:r>
      <w:r>
        <w:rPr>
          <w:rStyle w:val="FootnoteReference"/>
          <w:szCs w:val="22"/>
          <w:highlight w:val="white"/>
        </w:rPr>
        <w:footnoteReference w:id="54"/>
      </w:r>
    </w:p>
    <w:p w14:paraId="360B4B44" w14:textId="5FD8E4B3" w:rsidR="004D3366" w:rsidRDefault="004D3366" w:rsidP="004D3366">
      <w:pPr>
        <w:pStyle w:val="H1G"/>
      </w:pPr>
      <w:r>
        <w:lastRenderedPageBreak/>
        <w:tab/>
        <w:t>E.</w:t>
      </w:r>
      <w:r>
        <w:tab/>
        <w:t>Criminalization and stigmatization of minority groups</w:t>
      </w:r>
    </w:p>
    <w:p w14:paraId="6A534BCA" w14:textId="54D78F35" w:rsidR="0039007A" w:rsidRDefault="008B7D7A" w:rsidP="0039007A">
      <w:pPr>
        <w:pStyle w:val="ParNoG"/>
      </w:pPr>
      <w:r>
        <w:t>P</w:t>
      </w:r>
      <w:r w:rsidR="0039007A">
        <w:t xml:space="preserve">ublic policies that directly or indirectly stigmatize or criminalize vulnerable groups and the </w:t>
      </w:r>
      <w:r w:rsidR="00BF789B">
        <w:t>neighbourhoods</w:t>
      </w:r>
      <w:r w:rsidR="0039007A">
        <w:t xml:space="preserve"> in which they reside can also contribute to driving and compounding segregation. </w:t>
      </w:r>
    </w:p>
    <w:p w14:paraId="188F674A" w14:textId="79A5DD77" w:rsidR="0039007A" w:rsidRDefault="008B7D7A" w:rsidP="003E51F5">
      <w:pPr>
        <w:pStyle w:val="ParNoG"/>
      </w:pPr>
      <w:r>
        <w:t xml:space="preserve">A </w:t>
      </w:r>
      <w:r w:rsidR="0039007A" w:rsidRPr="0039007A">
        <w:t xml:space="preserve">group that has </w:t>
      </w:r>
      <w:r>
        <w:t xml:space="preserve">often </w:t>
      </w:r>
      <w:r w:rsidR="0039007A" w:rsidRPr="0039007A">
        <w:t xml:space="preserve">been a systematic target of discrimination, stigmatization and criminalization policies are sex workers, the majority of whom are women and many of whom identify as LGBTQI+ and migrants. Historically and to date, sex work has generally been segregated from the rest of society in the form of red-light districts. These zones are often designated in areas that are more desolate and </w:t>
      </w:r>
      <w:r w:rsidR="00BF789B" w:rsidRPr="0039007A">
        <w:t>harbour</w:t>
      </w:r>
      <w:r w:rsidR="0039007A" w:rsidRPr="0039007A">
        <w:t xml:space="preserve"> a greater risk of violence against sex workers. In countries </w:t>
      </w:r>
      <w:r w:rsidR="0039007A" w:rsidRPr="003E51F5">
        <w:t xml:space="preserve">where sex work has been legalized and is regulated, such as Austria, Germany, the Netherlands, and Switzerland, there are still laws and policies restricting the spatial distribution of sex work businesses. In Germany, for example, there are so-called “locked zones” in which sex work </w:t>
      </w:r>
      <w:r w:rsidR="0039007A" w:rsidRPr="0039007A">
        <w:t>is not allowed to take place. Urban gentrification in German cities have resulted in an expansion of locked-zone areas, pushing brothels and other sex work venues out of inner cities and into more peripheral areas.</w:t>
      </w:r>
      <w:r w:rsidR="00494D79">
        <w:rPr>
          <w:rStyle w:val="FootnoteReference"/>
        </w:rPr>
        <w:footnoteReference w:id="55"/>
      </w:r>
    </w:p>
    <w:p w14:paraId="507A52BB" w14:textId="77777777" w:rsidR="004D3366" w:rsidRDefault="0039007A" w:rsidP="0039007A">
      <w:pPr>
        <w:pStyle w:val="ParNoG"/>
      </w:pPr>
      <w:r w:rsidRPr="0039007A">
        <w:t>In India, the Gujarat Disturbed Areas Act (1991) gives the state government power to declare an area “disturbed” on arbitrary grounds such as the perceived improper clustering of people, polarization or the maintenance of demographic equilibrium and allows the state to bar persons from undertaking a sale or purchase of properties in a “disturbed area”. This has resulted in the stigmatization and discrimination of minority groups, particularly Muslims, and is being challenged in courts for the ghettoization and spatial segregation it has driven.</w:t>
      </w:r>
      <w:r w:rsidR="00494D79">
        <w:rPr>
          <w:rStyle w:val="FootnoteReference"/>
        </w:rPr>
        <w:footnoteReference w:id="56"/>
      </w:r>
    </w:p>
    <w:p w14:paraId="7FC4A965" w14:textId="77777777" w:rsidR="00494D79" w:rsidRDefault="00494D79" w:rsidP="00BF789B">
      <w:pPr>
        <w:pStyle w:val="HChG"/>
      </w:pPr>
      <w:r>
        <w:tab/>
        <w:t>V.</w:t>
      </w:r>
      <w:r>
        <w:tab/>
        <w:t xml:space="preserve">The </w:t>
      </w:r>
      <w:r w:rsidRPr="00494D79">
        <w:t xml:space="preserve">impact of segregation on the </w:t>
      </w:r>
      <w:r w:rsidRPr="00BF789B">
        <w:t>enjoyment</w:t>
      </w:r>
      <w:r w:rsidRPr="00494D79">
        <w:t xml:space="preserve"> of </w:t>
      </w:r>
      <w:r w:rsidRPr="00BF789B">
        <w:t>other</w:t>
      </w:r>
      <w:r w:rsidRPr="00494D79">
        <w:t xml:space="preserve"> interrelated human rights</w:t>
      </w:r>
    </w:p>
    <w:p w14:paraId="36A38340" w14:textId="700B275D" w:rsidR="003E51F5" w:rsidRDefault="008B7D7A" w:rsidP="003E51F5">
      <w:pPr>
        <w:pStyle w:val="ParNoG"/>
        <w:rPr>
          <w:highlight w:val="white"/>
        </w:rPr>
      </w:pPr>
      <w:r>
        <w:rPr>
          <w:highlight w:val="white"/>
        </w:rPr>
        <w:t>S</w:t>
      </w:r>
      <w:r w:rsidR="003E51F5">
        <w:rPr>
          <w:highlight w:val="white"/>
        </w:rPr>
        <w:t xml:space="preserve">patial segregation can lead to the violation of other interrelated human rights such as the right of everyone to the enjoyment of the highest attainable standard of physical and mental health, the right to food, the right to safe drinking water and sanitation, the right to education, the right to work and the right to safety and security of the person. </w:t>
      </w:r>
      <w:r>
        <w:rPr>
          <w:highlight w:val="white"/>
        </w:rPr>
        <w:t>C</w:t>
      </w:r>
      <w:r w:rsidR="003E51F5">
        <w:rPr>
          <w:highlight w:val="white"/>
        </w:rPr>
        <w:t xml:space="preserve">ommunities in residentially segregated </w:t>
      </w:r>
      <w:r w:rsidR="00BF789B">
        <w:rPr>
          <w:highlight w:val="white"/>
        </w:rPr>
        <w:t>neighbourhoods</w:t>
      </w:r>
      <w:r>
        <w:rPr>
          <w:highlight w:val="white"/>
        </w:rPr>
        <w:t xml:space="preserve"> face human rights impacts ranging </w:t>
      </w:r>
      <w:r w:rsidR="003E51F5">
        <w:rPr>
          <w:highlight w:val="white"/>
        </w:rPr>
        <w:t xml:space="preserve">from higher risks </w:t>
      </w:r>
      <w:r>
        <w:rPr>
          <w:highlight w:val="white"/>
        </w:rPr>
        <w:t xml:space="preserve">of </w:t>
      </w:r>
      <w:r w:rsidR="003E51F5">
        <w:rPr>
          <w:highlight w:val="white"/>
        </w:rPr>
        <w:t>serious health conditions like cancer to detrimental impacts on basic livelihoods such as access to job opportunities and quality education.</w:t>
      </w:r>
    </w:p>
    <w:p w14:paraId="39EEF5F5" w14:textId="53387802" w:rsidR="003E51F5" w:rsidRDefault="008B7D7A" w:rsidP="003E51F5">
      <w:pPr>
        <w:pStyle w:val="ParNoG"/>
        <w:rPr>
          <w:highlight w:val="white"/>
        </w:rPr>
      </w:pPr>
      <w:r>
        <w:rPr>
          <w:highlight w:val="white"/>
        </w:rPr>
        <w:t>S</w:t>
      </w:r>
      <w:r w:rsidR="003E51F5" w:rsidRPr="003E51F5">
        <w:rPr>
          <w:highlight w:val="white"/>
        </w:rPr>
        <w:t>egregated areas</w:t>
      </w:r>
      <w:r w:rsidR="00D2666C">
        <w:rPr>
          <w:highlight w:val="white"/>
        </w:rPr>
        <w:t xml:space="preserve"> in which </w:t>
      </w:r>
      <w:r w:rsidR="003E51F5" w:rsidRPr="003E51F5">
        <w:rPr>
          <w:highlight w:val="white"/>
        </w:rPr>
        <w:t xml:space="preserve">low income and minority residents are concentrated are often deprived of basic utility services and infrastructure. In Eastern Europe for example, Roma communities are concentrated in segregated </w:t>
      </w:r>
      <w:r w:rsidR="00BF789B" w:rsidRPr="003E51F5">
        <w:rPr>
          <w:highlight w:val="white"/>
        </w:rPr>
        <w:t>neighbourhoods</w:t>
      </w:r>
      <w:r w:rsidR="003E51F5" w:rsidRPr="003E51F5">
        <w:rPr>
          <w:highlight w:val="white"/>
        </w:rPr>
        <w:t xml:space="preserve"> that lack basic utilities</w:t>
      </w:r>
      <w:r>
        <w:rPr>
          <w:highlight w:val="white"/>
        </w:rPr>
        <w:t>. I</w:t>
      </w:r>
      <w:r w:rsidR="003E51F5" w:rsidRPr="003E51F5">
        <w:rPr>
          <w:highlight w:val="white"/>
        </w:rPr>
        <w:t>n Bulgaria</w:t>
      </w:r>
      <w:r>
        <w:rPr>
          <w:highlight w:val="white"/>
        </w:rPr>
        <w:t xml:space="preserve"> for example </w:t>
      </w:r>
      <w:r w:rsidR="003E51F5" w:rsidRPr="003E51F5">
        <w:rPr>
          <w:highlight w:val="white"/>
        </w:rPr>
        <w:t>half of the Roma-inhabited households in segregated areas ha</w:t>
      </w:r>
      <w:r>
        <w:rPr>
          <w:highlight w:val="white"/>
        </w:rPr>
        <w:t>ve</w:t>
      </w:r>
      <w:r w:rsidR="003E51F5" w:rsidRPr="003E51F5">
        <w:rPr>
          <w:highlight w:val="white"/>
        </w:rPr>
        <w:t xml:space="preserve"> no sewage system, and in Romania over 40% of the Roma communities lack access to running water.</w:t>
      </w:r>
      <w:r w:rsidR="00C4504F">
        <w:rPr>
          <w:rStyle w:val="FootnoteReference"/>
          <w:highlight w:val="white"/>
        </w:rPr>
        <w:footnoteReference w:id="57"/>
      </w:r>
      <w:r w:rsidR="00C4504F" w:rsidRPr="003E51F5">
        <w:rPr>
          <w:highlight w:val="white"/>
        </w:rPr>
        <w:t xml:space="preserve"> </w:t>
      </w:r>
      <w:r w:rsidR="003E51F5" w:rsidRPr="003E51F5">
        <w:rPr>
          <w:highlight w:val="white"/>
        </w:rPr>
        <w:t xml:space="preserve">Such inadequate conditions in spatially segregated </w:t>
      </w:r>
      <w:r w:rsidR="00BF789B" w:rsidRPr="003E51F5">
        <w:rPr>
          <w:highlight w:val="white"/>
        </w:rPr>
        <w:t>neighbourhoods</w:t>
      </w:r>
      <w:r w:rsidR="003E51F5" w:rsidRPr="003E51F5">
        <w:rPr>
          <w:highlight w:val="white"/>
        </w:rPr>
        <w:t xml:space="preserve"> affect the habitability of housing.</w:t>
      </w:r>
    </w:p>
    <w:p w14:paraId="1F5E8B54" w14:textId="21A26F2A" w:rsidR="003E51F5" w:rsidRDefault="003E51F5" w:rsidP="003E51F5">
      <w:pPr>
        <w:pStyle w:val="ParNoG"/>
        <w:rPr>
          <w:highlight w:val="white"/>
        </w:rPr>
      </w:pPr>
      <w:r w:rsidRPr="003E51F5">
        <w:rPr>
          <w:highlight w:val="white"/>
        </w:rPr>
        <w:t xml:space="preserve">In the face of increasing threats </w:t>
      </w:r>
      <w:r w:rsidR="008B7D7A">
        <w:rPr>
          <w:highlight w:val="white"/>
        </w:rPr>
        <w:t xml:space="preserve">that climate change </w:t>
      </w:r>
      <w:r w:rsidRPr="003E51F5">
        <w:rPr>
          <w:highlight w:val="white"/>
        </w:rPr>
        <w:t xml:space="preserve">poses to human settlements, the question of location gains </w:t>
      </w:r>
      <w:r w:rsidR="008B7D7A">
        <w:rPr>
          <w:highlight w:val="white"/>
        </w:rPr>
        <w:t xml:space="preserve">particular </w:t>
      </w:r>
      <w:r w:rsidRPr="003E51F5">
        <w:rPr>
          <w:highlight w:val="white"/>
        </w:rPr>
        <w:t xml:space="preserve">importance in securing </w:t>
      </w:r>
      <w:r w:rsidRPr="003E51F5">
        <w:rPr>
          <w:highlight w:val="white"/>
        </w:rPr>
        <w:lastRenderedPageBreak/>
        <w:t xml:space="preserve">the right to adequate housing. Segregated communities that are in environmental risk zones, such as flood risk zones, areas vulnerable to landslides or other natural disasters </w:t>
      </w:r>
      <w:r w:rsidR="00D2666C">
        <w:rPr>
          <w:highlight w:val="white"/>
        </w:rPr>
        <w:t xml:space="preserve">more </w:t>
      </w:r>
      <w:r w:rsidR="00781CC4">
        <w:rPr>
          <w:highlight w:val="white"/>
        </w:rPr>
        <w:t xml:space="preserve">regularly experience the </w:t>
      </w:r>
      <w:r w:rsidRPr="003E51F5">
        <w:rPr>
          <w:highlight w:val="white"/>
        </w:rPr>
        <w:t xml:space="preserve">impacts of climate change. </w:t>
      </w:r>
    </w:p>
    <w:p w14:paraId="0913C865" w14:textId="6C90B7D0" w:rsidR="003E51F5" w:rsidRDefault="003E51F5" w:rsidP="00C4504F">
      <w:pPr>
        <w:pStyle w:val="ParNoG"/>
        <w:rPr>
          <w:highlight w:val="white"/>
        </w:rPr>
      </w:pPr>
      <w:r w:rsidRPr="003E51F5">
        <w:rPr>
          <w:highlight w:val="white"/>
          <w:lang w:val="en-US" w:eastAsia="en-GB"/>
        </w:rPr>
        <w:t xml:space="preserve">The location of housing also has an impact on the enjoyment of the human right to a clean, healthy and sustainable environment. In Kenya, the informal settlements of </w:t>
      </w:r>
      <w:proofErr w:type="spellStart"/>
      <w:r w:rsidRPr="003E51F5">
        <w:rPr>
          <w:highlight w:val="white"/>
          <w:lang w:val="en-US" w:eastAsia="en-GB"/>
        </w:rPr>
        <w:t>Dandora</w:t>
      </w:r>
      <w:proofErr w:type="spellEnd"/>
      <w:r w:rsidRPr="003E51F5">
        <w:rPr>
          <w:highlight w:val="white"/>
          <w:lang w:val="en-US" w:eastAsia="en-GB"/>
        </w:rPr>
        <w:t xml:space="preserve"> and </w:t>
      </w:r>
      <w:proofErr w:type="spellStart"/>
      <w:r w:rsidRPr="003E51F5">
        <w:rPr>
          <w:highlight w:val="white"/>
          <w:lang w:val="en-US" w:eastAsia="en-GB"/>
        </w:rPr>
        <w:t>Korogocho</w:t>
      </w:r>
      <w:proofErr w:type="spellEnd"/>
      <w:r w:rsidRPr="003E51F5">
        <w:rPr>
          <w:highlight w:val="white"/>
          <w:lang w:val="en-US" w:eastAsia="en-GB"/>
        </w:rPr>
        <w:t xml:space="preserve"> in Nairobi near the city’s main dump site</w:t>
      </w:r>
      <w:r w:rsidR="00781CC4">
        <w:rPr>
          <w:highlight w:val="white"/>
          <w:lang w:val="en-US" w:eastAsia="en-GB"/>
        </w:rPr>
        <w:t xml:space="preserve"> are </w:t>
      </w:r>
      <w:r w:rsidRPr="003E51F5">
        <w:rPr>
          <w:highlight w:val="white"/>
          <w:lang w:val="en-US" w:eastAsia="en-GB"/>
        </w:rPr>
        <w:t>exposed to toxic conditions</w:t>
      </w:r>
      <w:r w:rsidR="00781CC4">
        <w:rPr>
          <w:highlight w:val="white"/>
          <w:lang w:val="en-US" w:eastAsia="en-GB"/>
        </w:rPr>
        <w:t>,</w:t>
      </w:r>
      <w:r w:rsidRPr="003E51F5">
        <w:rPr>
          <w:highlight w:val="white"/>
          <w:lang w:val="en-US" w:eastAsia="en-GB"/>
        </w:rPr>
        <w:t xml:space="preserve"> air pollution and contamination of ground water.</w:t>
      </w:r>
      <w:r w:rsidR="00C4504F">
        <w:rPr>
          <w:rStyle w:val="FootnoteReference"/>
          <w:highlight w:val="white"/>
          <w:lang w:val="en-US" w:eastAsia="en-GB"/>
        </w:rPr>
        <w:footnoteReference w:id="58"/>
      </w:r>
      <w:r w:rsidRPr="003E51F5">
        <w:rPr>
          <w:highlight w:val="white"/>
          <w:lang w:val="en-US" w:eastAsia="en-GB"/>
        </w:rPr>
        <w:t xml:space="preserve"> In </w:t>
      </w:r>
      <w:sdt>
        <w:sdtPr>
          <w:rPr>
            <w:highlight w:val="white"/>
            <w:lang w:val="en-US" w:eastAsia="en-GB"/>
          </w:rPr>
          <w:tag w:val="goog_rdk_32"/>
          <w:id w:val="2058504725"/>
        </w:sdtPr>
        <w:sdtEndPr/>
        <w:sdtContent>
          <w:proofErr w:type="spellStart"/>
          <w:r w:rsidRPr="003E51F5">
            <w:rPr>
              <w:highlight w:val="white"/>
              <w:lang w:val="en-US" w:eastAsia="en-GB"/>
            </w:rPr>
            <w:t>Cluj</w:t>
          </w:r>
          <w:proofErr w:type="spellEnd"/>
          <w:r w:rsidRPr="003E51F5">
            <w:rPr>
              <w:highlight w:val="white"/>
              <w:lang w:val="en-US" w:eastAsia="en-GB"/>
            </w:rPr>
            <w:t xml:space="preserve"> </w:t>
          </w:r>
          <w:proofErr w:type="spellStart"/>
          <w:r w:rsidRPr="003E51F5">
            <w:rPr>
              <w:highlight w:val="white"/>
              <w:lang w:val="en-US" w:eastAsia="en-GB"/>
            </w:rPr>
            <w:t>Napoca</w:t>
          </w:r>
          <w:proofErr w:type="spellEnd"/>
          <w:r w:rsidRPr="003E51F5">
            <w:rPr>
              <w:highlight w:val="white"/>
              <w:lang w:val="en-US" w:eastAsia="en-GB"/>
            </w:rPr>
            <w:t xml:space="preserve">, </w:t>
          </w:r>
        </w:sdtContent>
      </w:sdt>
      <w:sdt>
        <w:sdtPr>
          <w:rPr>
            <w:highlight w:val="white"/>
            <w:lang w:val="en-US" w:eastAsia="en-GB"/>
          </w:rPr>
          <w:tag w:val="goog_rdk_33"/>
          <w:id w:val="1687640522"/>
        </w:sdtPr>
        <w:sdtEndPr/>
        <w:sdtContent/>
      </w:sdt>
      <w:r w:rsidR="00C4504F">
        <w:rPr>
          <w:highlight w:val="white"/>
          <w:lang w:val="en-US" w:eastAsia="en-GB"/>
        </w:rPr>
        <w:t xml:space="preserve">Romania, </w:t>
      </w:r>
      <w:r w:rsidR="00C4504F" w:rsidRPr="00C4504F">
        <w:rPr>
          <w:lang w:val="en-US" w:eastAsia="en-GB"/>
        </w:rPr>
        <w:t>hundreds of Roma households evicted from the city center were forced to relocate in the polluted and marginalized</w:t>
      </w:r>
      <w:r w:rsidRPr="003E51F5">
        <w:rPr>
          <w:highlight w:val="white"/>
          <w:lang w:val="en-US" w:eastAsia="en-GB"/>
        </w:rPr>
        <w:t xml:space="preserve"> </w:t>
      </w:r>
      <w:proofErr w:type="spellStart"/>
      <w:r w:rsidRPr="003E51F5">
        <w:rPr>
          <w:highlight w:val="white"/>
          <w:lang w:val="en-US" w:eastAsia="en-GB"/>
        </w:rPr>
        <w:t>Pata</w:t>
      </w:r>
      <w:proofErr w:type="spellEnd"/>
      <w:r w:rsidRPr="003E51F5">
        <w:rPr>
          <w:highlight w:val="white"/>
          <w:lang w:val="en-US" w:eastAsia="en-GB"/>
        </w:rPr>
        <w:t xml:space="preserve"> Rat area, near municipal landfills</w:t>
      </w:r>
      <w:r w:rsidR="00C4504F">
        <w:rPr>
          <w:highlight w:val="white"/>
          <w:lang w:val="en-US" w:eastAsia="en-GB"/>
        </w:rPr>
        <w:t>.</w:t>
      </w:r>
      <w:r w:rsidR="00C4504F">
        <w:rPr>
          <w:highlight w:val="white"/>
          <w:vertAlign w:val="superscript"/>
          <w:lang w:val="en-US" w:eastAsia="en-GB"/>
        </w:rPr>
        <w:t>.</w:t>
      </w:r>
      <w:r w:rsidR="00C4504F">
        <w:rPr>
          <w:rStyle w:val="FootnoteReference"/>
          <w:highlight w:val="white"/>
          <w:lang w:val="en-US" w:eastAsia="en-GB"/>
        </w:rPr>
        <w:footnoteReference w:id="59"/>
      </w:r>
    </w:p>
    <w:p w14:paraId="56FB8AFB" w14:textId="0561C4ED" w:rsidR="003E51F5" w:rsidRDefault="00781CC4" w:rsidP="003E51F5">
      <w:pPr>
        <w:pStyle w:val="ParNoG"/>
        <w:rPr>
          <w:highlight w:val="white"/>
        </w:rPr>
      </w:pPr>
      <w:r>
        <w:rPr>
          <w:highlight w:val="white"/>
        </w:rPr>
        <w:t>R</w:t>
      </w:r>
      <w:r w:rsidR="003E51F5" w:rsidRPr="003E51F5">
        <w:rPr>
          <w:highlight w:val="white"/>
        </w:rPr>
        <w:t>esidential segregation is a fundamental cause of racial disparities in health and direct</w:t>
      </w:r>
      <w:r>
        <w:rPr>
          <w:highlight w:val="white"/>
        </w:rPr>
        <w:t>ly</w:t>
      </w:r>
      <w:r w:rsidR="003E51F5" w:rsidRPr="003E51F5">
        <w:rPr>
          <w:highlight w:val="white"/>
        </w:rPr>
        <w:t xml:space="preserve"> correlat</w:t>
      </w:r>
      <w:r>
        <w:rPr>
          <w:highlight w:val="white"/>
        </w:rPr>
        <w:t xml:space="preserve">ed with other </w:t>
      </w:r>
      <w:r w:rsidR="003E51F5" w:rsidRPr="003E51F5">
        <w:rPr>
          <w:highlight w:val="white"/>
        </w:rPr>
        <w:t>social determinants of health.</w:t>
      </w:r>
      <w:r w:rsidR="00C4504F">
        <w:rPr>
          <w:rStyle w:val="FootnoteReference"/>
          <w:highlight w:val="white"/>
        </w:rPr>
        <w:footnoteReference w:id="60"/>
      </w:r>
      <w:r w:rsidR="003E51F5" w:rsidRPr="003E51F5">
        <w:rPr>
          <w:highlight w:val="white"/>
        </w:rPr>
        <w:t xml:space="preserve"> In Europe, studies point to </w:t>
      </w:r>
      <w:r>
        <w:rPr>
          <w:highlight w:val="white"/>
        </w:rPr>
        <w:t xml:space="preserve">a </w:t>
      </w:r>
      <w:r w:rsidR="003E51F5" w:rsidRPr="003E51F5">
        <w:rPr>
          <w:highlight w:val="white"/>
        </w:rPr>
        <w:t xml:space="preserve">correlation between systemic discrimination, segregation in housing, poor health statistics and </w:t>
      </w:r>
      <w:r>
        <w:rPr>
          <w:highlight w:val="white"/>
        </w:rPr>
        <w:t>a</w:t>
      </w:r>
      <w:r w:rsidR="00661C0B">
        <w:rPr>
          <w:highlight w:val="white"/>
        </w:rPr>
        <w:t xml:space="preserve"> reduced</w:t>
      </w:r>
      <w:r>
        <w:rPr>
          <w:highlight w:val="white"/>
        </w:rPr>
        <w:t xml:space="preserve"> </w:t>
      </w:r>
      <w:r w:rsidR="003E51F5" w:rsidRPr="003E51F5">
        <w:rPr>
          <w:highlight w:val="white"/>
        </w:rPr>
        <w:t xml:space="preserve">lifespan of Roma compared to </w:t>
      </w:r>
      <w:r>
        <w:rPr>
          <w:highlight w:val="white"/>
        </w:rPr>
        <w:t>other population groups</w:t>
      </w:r>
      <w:r w:rsidR="003E51F5" w:rsidRPr="003E51F5">
        <w:rPr>
          <w:highlight w:val="white"/>
        </w:rPr>
        <w:t>.</w:t>
      </w:r>
      <w:r w:rsidR="00C4504F">
        <w:rPr>
          <w:rStyle w:val="FootnoteReference"/>
          <w:highlight w:val="white"/>
        </w:rPr>
        <w:footnoteReference w:id="61"/>
      </w:r>
      <w:r w:rsidR="003E51F5" w:rsidRPr="003E51F5">
        <w:rPr>
          <w:highlight w:val="white"/>
        </w:rPr>
        <w:t xml:space="preserve"> A study on segregation and racial cancer disparities in the United States found that residing in segregated African-American areas was associated with higher rates of later stage diagnosis of breast and lung cancer, higher mortality rates and higher cumulative cancer risks associated with exposure to ambient air toxics.</w:t>
      </w:r>
      <w:r w:rsidR="00C4504F">
        <w:rPr>
          <w:rStyle w:val="FootnoteReference"/>
          <w:highlight w:val="white"/>
        </w:rPr>
        <w:footnoteReference w:id="62"/>
      </w:r>
      <w:r w:rsidR="003E51F5" w:rsidRPr="003E51F5">
        <w:rPr>
          <w:highlight w:val="white"/>
        </w:rPr>
        <w:t xml:space="preserve"> The factors affecting segregation and the right to health can be varied and include exposure to environmental hazards, the lack of access to health care facilities and services</w:t>
      </w:r>
      <w:r w:rsidR="006D386C">
        <w:rPr>
          <w:highlight w:val="white"/>
        </w:rPr>
        <w:t xml:space="preserve"> and </w:t>
      </w:r>
      <w:r w:rsidR="003E51F5" w:rsidRPr="003E51F5">
        <w:rPr>
          <w:highlight w:val="white"/>
        </w:rPr>
        <w:t xml:space="preserve">the exposure to </w:t>
      </w:r>
      <w:r w:rsidR="006D386C">
        <w:rPr>
          <w:highlight w:val="white"/>
        </w:rPr>
        <w:t>unin</w:t>
      </w:r>
      <w:r w:rsidR="003E51F5" w:rsidRPr="003E51F5">
        <w:rPr>
          <w:highlight w:val="white"/>
        </w:rPr>
        <w:t xml:space="preserve">habitable </w:t>
      </w:r>
      <w:r w:rsidR="006D386C">
        <w:rPr>
          <w:highlight w:val="white"/>
        </w:rPr>
        <w:t xml:space="preserve">or </w:t>
      </w:r>
      <w:r w:rsidR="003E51F5" w:rsidRPr="003E51F5">
        <w:rPr>
          <w:highlight w:val="white"/>
        </w:rPr>
        <w:t xml:space="preserve">inadequate living conditions, such as overcrowding. </w:t>
      </w:r>
    </w:p>
    <w:p w14:paraId="0B0F932F" w14:textId="2E8CC992" w:rsidR="003E51F5" w:rsidRDefault="003E51F5" w:rsidP="003E51F5">
      <w:pPr>
        <w:pStyle w:val="ParNoG"/>
        <w:rPr>
          <w:highlight w:val="white"/>
        </w:rPr>
      </w:pPr>
      <w:r w:rsidRPr="003E51F5">
        <w:rPr>
          <w:highlight w:val="white"/>
        </w:rPr>
        <w:t>The COVID-19 pandemic ha</w:t>
      </w:r>
      <w:r w:rsidR="006D386C">
        <w:rPr>
          <w:highlight w:val="white"/>
        </w:rPr>
        <w:t>s</w:t>
      </w:r>
      <w:r w:rsidRPr="003E51F5">
        <w:rPr>
          <w:highlight w:val="white"/>
        </w:rPr>
        <w:t xml:space="preserve"> manifested acutely how households in spatially segregated </w:t>
      </w:r>
      <w:r w:rsidR="00BF789B" w:rsidRPr="003E51F5">
        <w:rPr>
          <w:highlight w:val="white"/>
        </w:rPr>
        <w:t>neighbourhoods</w:t>
      </w:r>
      <w:r w:rsidRPr="003E51F5">
        <w:rPr>
          <w:highlight w:val="white"/>
        </w:rPr>
        <w:t xml:space="preserve">, often lacking in energy, water and sanitation services, </w:t>
      </w:r>
      <w:r w:rsidR="006D386C">
        <w:rPr>
          <w:highlight w:val="white"/>
        </w:rPr>
        <w:t xml:space="preserve">and therefore cannot </w:t>
      </w:r>
      <w:r w:rsidRPr="003E51F5">
        <w:rPr>
          <w:highlight w:val="white"/>
        </w:rPr>
        <w:t xml:space="preserve">observe public health and safety measures. </w:t>
      </w:r>
    </w:p>
    <w:p w14:paraId="6F8E16F0" w14:textId="77777777" w:rsidR="003E51F5" w:rsidRPr="003E51F5" w:rsidRDefault="003E51F5" w:rsidP="003E51F5">
      <w:pPr>
        <w:pStyle w:val="ParNoG"/>
        <w:rPr>
          <w:highlight w:val="white"/>
        </w:rPr>
      </w:pPr>
      <w:r w:rsidRPr="003E51F5">
        <w:rPr>
          <w:highlight w:val="white"/>
        </w:rPr>
        <w:t xml:space="preserve">The right to education is also affected by spatial segregation, as segregation can affect access to educational facilities, the quality of education and in addition may result in </w:t>
      </w:r>
      <w:r w:rsidRPr="003E51F5">
        <w:rPr>
          <w:i/>
          <w:highlight w:val="white"/>
        </w:rPr>
        <w:t>de facto</w:t>
      </w:r>
      <w:r w:rsidRPr="003E51F5">
        <w:rPr>
          <w:highlight w:val="white"/>
        </w:rPr>
        <w:t xml:space="preserve"> segregation in education as well. In Zambia, for example, where residential segregation is largely driven by a proliferation of informal settlements,</w:t>
      </w:r>
      <w:r>
        <w:t xml:space="preserve"> </w:t>
      </w:r>
      <w:r w:rsidRPr="003E51F5">
        <w:rPr>
          <w:highlight w:val="white"/>
        </w:rPr>
        <w:t>these communities have long distances to cross to reach educational facilities.</w:t>
      </w:r>
      <w:r w:rsidR="00A174AA">
        <w:rPr>
          <w:rStyle w:val="FootnoteReference"/>
          <w:highlight w:val="white"/>
        </w:rPr>
        <w:footnoteReference w:id="63"/>
      </w:r>
      <w:r w:rsidRPr="003E51F5">
        <w:rPr>
          <w:highlight w:val="white"/>
        </w:rPr>
        <w:t xml:space="preserve"> In the United States</w:t>
      </w:r>
      <w:r w:rsidR="006D386C">
        <w:rPr>
          <w:highlight w:val="white"/>
        </w:rPr>
        <w:t xml:space="preserve"> of America</w:t>
      </w:r>
      <w:r w:rsidRPr="003E51F5">
        <w:rPr>
          <w:highlight w:val="white"/>
        </w:rPr>
        <w:t>, residential segregation</w:t>
      </w:r>
      <w:r>
        <w:t xml:space="preserve"> </w:t>
      </w:r>
      <w:r w:rsidRPr="003E51F5">
        <w:rPr>
          <w:highlight w:val="white"/>
        </w:rPr>
        <w:t xml:space="preserve">often results in </w:t>
      </w:r>
      <w:r w:rsidRPr="00177098">
        <w:rPr>
          <w:highlight w:val="white"/>
        </w:rPr>
        <w:t>de facto</w:t>
      </w:r>
      <w:r w:rsidRPr="003E51F5">
        <w:rPr>
          <w:i/>
          <w:highlight w:val="white"/>
        </w:rPr>
        <w:t xml:space="preserve"> </w:t>
      </w:r>
      <w:r w:rsidRPr="003E51F5">
        <w:rPr>
          <w:highlight w:val="white"/>
        </w:rPr>
        <w:t xml:space="preserve">school segregation marked by acute differences in education outcomes as students are often assigned to schools in their </w:t>
      </w:r>
      <w:r w:rsidR="00BF789B" w:rsidRPr="003E51F5">
        <w:rPr>
          <w:highlight w:val="white"/>
        </w:rPr>
        <w:t>neighbourhood</w:t>
      </w:r>
      <w:r w:rsidRPr="003E51F5">
        <w:rPr>
          <w:highlight w:val="white"/>
        </w:rPr>
        <w:t xml:space="preserve"> and school funding is tied into property taxes.</w:t>
      </w:r>
      <w:r w:rsidR="00A174AA">
        <w:rPr>
          <w:rStyle w:val="FootnoteReference"/>
          <w:highlight w:val="white"/>
        </w:rPr>
        <w:footnoteReference w:id="64"/>
      </w:r>
      <w:r w:rsidRPr="003E51F5">
        <w:rPr>
          <w:highlight w:val="white"/>
        </w:rPr>
        <w:t xml:space="preserve"> Where segregated </w:t>
      </w:r>
      <w:r w:rsidR="00BF789B" w:rsidRPr="003E51F5">
        <w:rPr>
          <w:highlight w:val="white"/>
        </w:rPr>
        <w:t>neighbourhoods</w:t>
      </w:r>
      <w:r w:rsidRPr="003E51F5">
        <w:rPr>
          <w:highlight w:val="white"/>
        </w:rPr>
        <w:t xml:space="preserve"> have concentrated poverty, it is likely that schools may be under-funded and under-resourced. </w:t>
      </w:r>
    </w:p>
    <w:p w14:paraId="3912DD1D" w14:textId="62B46766" w:rsidR="00494D79" w:rsidRPr="008D1CDF" w:rsidRDefault="003E51F5" w:rsidP="003E51F5">
      <w:pPr>
        <w:pStyle w:val="ParNoG"/>
        <w:rPr>
          <w:highlight w:val="white"/>
        </w:rPr>
      </w:pPr>
      <w:r w:rsidRPr="003E51F5">
        <w:t xml:space="preserve">Most recently, in light of </w:t>
      </w:r>
      <w:r w:rsidR="006D386C">
        <w:t>the</w:t>
      </w:r>
      <w:r w:rsidRPr="003E51F5">
        <w:t xml:space="preserve"> global movement to address systemic racism and police violence, there has been increased attention to how racial </w:t>
      </w:r>
      <w:r w:rsidRPr="003E51F5">
        <w:lastRenderedPageBreak/>
        <w:t xml:space="preserve">profiling and police violence disproportionately affects racial and ethnic minorities living in segregated </w:t>
      </w:r>
      <w:r w:rsidR="00BF789B" w:rsidRPr="003E51F5">
        <w:t>neighbourhoods</w:t>
      </w:r>
      <w:r w:rsidRPr="003E51F5">
        <w:t xml:space="preserve">. Such examinations also question how policing practices serve to reinforce </w:t>
      </w:r>
      <w:r w:rsidR="006D386C">
        <w:t xml:space="preserve">spatial </w:t>
      </w:r>
      <w:r w:rsidRPr="003E51F5">
        <w:t>segregat</w:t>
      </w:r>
      <w:r w:rsidR="006D386C">
        <w:t xml:space="preserve">ion </w:t>
      </w:r>
      <w:r w:rsidRPr="003E51F5">
        <w:t>by, for example, targeting racial and ethnic minorities in areas that have mostly white residents, as a way to exclude non-white residents from these residential areas.</w:t>
      </w:r>
      <w:r w:rsidR="00A174AA">
        <w:rPr>
          <w:rStyle w:val="FootnoteReference"/>
        </w:rPr>
        <w:footnoteReference w:id="65"/>
      </w:r>
      <w:r w:rsidRPr="003E51F5">
        <w:t xml:space="preserve"> Th</w:t>
      </w:r>
      <w:r w:rsidR="006D386C">
        <w:t xml:space="preserve">is is one example of </w:t>
      </w:r>
      <w:r w:rsidRPr="003E51F5">
        <w:t xml:space="preserve">how segregation </w:t>
      </w:r>
      <w:r w:rsidR="006D386C">
        <w:t xml:space="preserve">and policing </w:t>
      </w:r>
      <w:r w:rsidRPr="003E51F5">
        <w:t>can affect the right to safety and security of the person.</w:t>
      </w:r>
    </w:p>
    <w:p w14:paraId="23B978FB" w14:textId="77777777" w:rsidR="008D1CDF" w:rsidRDefault="008D1CDF" w:rsidP="008D1CDF">
      <w:pPr>
        <w:pStyle w:val="HChG"/>
        <w:rPr>
          <w:highlight w:val="white"/>
        </w:rPr>
      </w:pPr>
      <w:r>
        <w:rPr>
          <w:highlight w:val="white"/>
        </w:rPr>
        <w:tab/>
        <w:t>VI.</w:t>
      </w:r>
      <w:r>
        <w:rPr>
          <w:highlight w:val="white"/>
        </w:rPr>
        <w:tab/>
        <w:t>Addressing spatial segregation</w:t>
      </w:r>
    </w:p>
    <w:p w14:paraId="1D62E7B0" w14:textId="1A594B92" w:rsidR="0082651B" w:rsidRPr="0082651B" w:rsidRDefault="0082651B" w:rsidP="0082651B">
      <w:pPr>
        <w:pStyle w:val="ParNoG"/>
      </w:pPr>
      <w:r w:rsidRPr="0082651B">
        <w:t>Just</w:t>
      </w:r>
      <w:r>
        <w:t xml:space="preserve"> as State policies and measures can drive and compound spatial segregation, they also play a central role in preventing </w:t>
      </w:r>
      <w:r w:rsidR="00431F7B">
        <w:t xml:space="preserve">and addressing </w:t>
      </w:r>
      <w:r>
        <w:t xml:space="preserve">segregation and its impacts on the right to adequate housing and interrelated human rights. </w:t>
      </w:r>
      <w:r w:rsidR="00D81F0E">
        <w:t>Since many complex factors drive and compound spatial segregation, a robust combination of interventions is necessary.</w:t>
      </w:r>
      <w:r w:rsidR="00D81F0E" w:rsidDel="00431F7B">
        <w:t xml:space="preserve"> </w:t>
      </w:r>
      <w:r w:rsidR="00431F7B">
        <w:t>M</w:t>
      </w:r>
      <w:r>
        <w:t>easures and strategies that guarantee the right to adequate housing</w:t>
      </w:r>
      <w:r w:rsidR="00431F7B">
        <w:t xml:space="preserve"> have </w:t>
      </w:r>
      <w:r>
        <w:t>include</w:t>
      </w:r>
      <w:r w:rsidR="00431F7B">
        <w:t>d</w:t>
      </w:r>
      <w:r>
        <w:t xml:space="preserve"> reforms in housing, urban and land use policy, </w:t>
      </w:r>
      <w:r w:rsidR="00BF789B">
        <w:t>neighbourhood</w:t>
      </w:r>
      <w:r>
        <w:t xml:space="preserve"> investment and in-situ upgrading initiatives, anti-displacement and just resettlement policies and more broadly re-distributive measures. </w:t>
      </w:r>
      <w:r w:rsidR="0034657B">
        <w:t>S</w:t>
      </w:r>
      <w:r>
        <w:t xml:space="preserve">olutions to address spatial segregation should be oriented around the principles of non-discrimination, equality, justice, inclusion and spatial re-distribution and ensuring the integral protection and </w:t>
      </w:r>
      <w:r w:rsidR="00BF789B">
        <w:t>fulfilment</w:t>
      </w:r>
      <w:r>
        <w:t xml:space="preserve"> of all components that constitute the right to adequate housing. </w:t>
      </w:r>
    </w:p>
    <w:p w14:paraId="37C59DFD" w14:textId="77777777" w:rsidR="008D1CDF" w:rsidRDefault="002252EC" w:rsidP="002252EC">
      <w:pPr>
        <w:pStyle w:val="H1G"/>
      </w:pPr>
      <w:r>
        <w:rPr>
          <w:highlight w:val="white"/>
        </w:rPr>
        <w:tab/>
        <w:t>A.</w:t>
      </w:r>
      <w:r>
        <w:rPr>
          <w:highlight w:val="white"/>
        </w:rPr>
        <w:tab/>
      </w:r>
      <w:r w:rsidRPr="009D55E7">
        <w:t>International frameworks</w:t>
      </w:r>
    </w:p>
    <w:p w14:paraId="334ABC44" w14:textId="71DECDDF" w:rsidR="002252EC" w:rsidRPr="00B37E0B" w:rsidRDefault="002252EC" w:rsidP="002252EC">
      <w:pPr>
        <w:pStyle w:val="ParNoG"/>
        <w:rPr>
          <w:highlight w:val="white"/>
        </w:rPr>
      </w:pPr>
      <w:r>
        <w:t>The right to the city and social/spatial justice movements provide an important contribution to how equitable development, free of discrimination and spatial segregation can be envisioned and advanced. The New Urban Agenda and the 2030 Agenda for Sustainable Development recognize the need for inclusionary development and to leave no one behind. The New Urban Agenda  recognized that social and economic exclusion and spatial segregation is regrettably an irrefutable reality in cities and human settlements.</w:t>
      </w:r>
      <w:r>
        <w:rPr>
          <w:rStyle w:val="FootnoteReference"/>
        </w:rPr>
        <w:footnoteReference w:id="66"/>
      </w:r>
      <w:r>
        <w:t xml:space="preserve"> States therefore committed “</w:t>
      </w:r>
      <w:r w:rsidRPr="00C21B85">
        <w:t>to stimulating the supply of a variety of adequate housing options that</w:t>
      </w:r>
      <w:r>
        <w:t xml:space="preserve"> </w:t>
      </w:r>
      <w:r w:rsidRPr="00C21B85">
        <w:t>are safe, affordable and accessible for members of different income groups of society, taking into</w:t>
      </w:r>
      <w:r>
        <w:t xml:space="preserve"> </w:t>
      </w:r>
      <w:r w:rsidRPr="00C21B85">
        <w:t>consideration the socioeconomic and cultural integration of marginalized communities, homeless</w:t>
      </w:r>
      <w:r>
        <w:t xml:space="preserve"> </w:t>
      </w:r>
      <w:r w:rsidRPr="00C21B85">
        <w:t>persons and those in vulnerable situations and preventing segregation.</w:t>
      </w:r>
      <w:r>
        <w:t>”</w:t>
      </w:r>
      <w:r>
        <w:rPr>
          <w:rStyle w:val="FootnoteReference"/>
        </w:rPr>
        <w:footnoteReference w:id="67"/>
      </w:r>
      <w:r w:rsidRPr="00C21B85">
        <w:t xml:space="preserve"> </w:t>
      </w:r>
      <w:r>
        <w:t>They underlined their vision that cities and settlements provide</w:t>
      </w:r>
      <w:r w:rsidRPr="005E55E0">
        <w:t xml:space="preserve">, </w:t>
      </w:r>
      <w:r>
        <w:t>“</w:t>
      </w:r>
      <w:r w:rsidRPr="005E55E0">
        <w:t>universal access to safe</w:t>
      </w:r>
      <w:r>
        <w:t xml:space="preserve"> </w:t>
      </w:r>
      <w:r w:rsidRPr="005E55E0">
        <w:t>and affordable drinking water and sanitation, as well as equal access for all to public goods and</w:t>
      </w:r>
      <w:r>
        <w:t xml:space="preserve"> </w:t>
      </w:r>
      <w:r w:rsidRPr="005E55E0">
        <w:t>quality services in areas such as food security and nutrition, health, education, infrastructure,</w:t>
      </w:r>
      <w:r>
        <w:t xml:space="preserve"> </w:t>
      </w:r>
      <w:r w:rsidRPr="005E55E0">
        <w:t>mobility and transportation, energy, air quality and livelihoo</w:t>
      </w:r>
      <w:r>
        <w:t>ds”.</w:t>
      </w:r>
      <w:r>
        <w:rPr>
          <w:rStyle w:val="FootnoteReference"/>
        </w:rPr>
        <w:footnoteReference w:id="68"/>
      </w:r>
      <w:r>
        <w:t xml:space="preserve"> States furthermore agreed to “</w:t>
      </w:r>
      <w:r w:rsidRPr="005E55E0">
        <w:t>promote planned urban extensions and infill, prioritizing renewal, regeneration and</w:t>
      </w:r>
      <w:r>
        <w:t xml:space="preserve"> </w:t>
      </w:r>
      <w:r w:rsidRPr="005E55E0">
        <w:t>retrofitting of urban areas, as appropriate, including the upgrading of slums and informal</w:t>
      </w:r>
      <w:r>
        <w:t xml:space="preserve"> </w:t>
      </w:r>
      <w:r w:rsidRPr="005E55E0">
        <w:t>settlements, providing high-quality buildings and public spaces, promoting integrated and</w:t>
      </w:r>
      <w:r>
        <w:t xml:space="preserve"> </w:t>
      </w:r>
      <w:r w:rsidRPr="005E55E0">
        <w:t xml:space="preserve">participatory approaches </w:t>
      </w:r>
      <w:r w:rsidRPr="005E55E0">
        <w:lastRenderedPageBreak/>
        <w:t>involving all relevant stakeholders and inhabitants and avoiding spatial</w:t>
      </w:r>
      <w:r>
        <w:t xml:space="preserve"> </w:t>
      </w:r>
      <w:r w:rsidRPr="005E55E0">
        <w:t>and socioeconom</w:t>
      </w:r>
      <w:r>
        <w:t>ic segregation and gentrification.</w:t>
      </w:r>
      <w:r>
        <w:rPr>
          <w:rStyle w:val="FootnoteReference"/>
        </w:rPr>
        <w:footnoteReference w:id="69"/>
      </w:r>
    </w:p>
    <w:p w14:paraId="55254FDF" w14:textId="77777777" w:rsidR="00B37E0B" w:rsidRDefault="00B37E0B" w:rsidP="00B37E0B">
      <w:pPr>
        <w:pStyle w:val="H1G"/>
        <w:rPr>
          <w:highlight w:val="white"/>
        </w:rPr>
      </w:pPr>
      <w:r>
        <w:rPr>
          <w:highlight w:val="white"/>
        </w:rPr>
        <w:tab/>
        <w:t>B.</w:t>
      </w:r>
      <w:r>
        <w:rPr>
          <w:highlight w:val="white"/>
        </w:rPr>
        <w:tab/>
        <w:t>Strategic litigation</w:t>
      </w:r>
    </w:p>
    <w:p w14:paraId="13760FAE" w14:textId="4DBFA46A" w:rsidR="00B37E0B" w:rsidRPr="00B37E0B" w:rsidRDefault="00B37E0B" w:rsidP="00B37E0B">
      <w:pPr>
        <w:pStyle w:val="ParNoG"/>
        <w:rPr>
          <w:highlight w:val="white"/>
        </w:rPr>
      </w:pPr>
      <w:r w:rsidRPr="00B37E0B">
        <w:rPr>
          <w:highlight w:val="white"/>
          <w:lang w:val="en-US" w:eastAsia="en-GB"/>
        </w:rPr>
        <w:t>While only few examples could be identified where spatial segregation has been challenged successfully in courts, strategic litigation represents a powerful strategy that residents and others acting in their interest can employ to challenge spatial segregation and the measures that lead to or result from such segregation.</w:t>
      </w:r>
      <w:r>
        <w:rPr>
          <w:highlight w:val="white"/>
          <w:lang w:val="en-US" w:eastAsia="en-GB"/>
        </w:rPr>
        <w:t xml:space="preserve"> </w:t>
      </w:r>
      <w:r w:rsidRPr="00B37E0B">
        <w:rPr>
          <w:highlight w:val="white"/>
          <w:lang w:val="en-US" w:eastAsia="en-GB"/>
        </w:rPr>
        <w:t xml:space="preserve">Such litigation is not only explored through domestic courts, but is also increasingly possible through international judicial mechanisms, including the </w:t>
      </w:r>
      <w:r w:rsidR="00DA5157">
        <w:rPr>
          <w:highlight w:val="white"/>
          <w:lang w:val="en-US" w:eastAsia="en-GB"/>
        </w:rPr>
        <w:t>I</w:t>
      </w:r>
      <w:r w:rsidRPr="00B37E0B">
        <w:rPr>
          <w:highlight w:val="white"/>
          <w:lang w:val="en-US" w:eastAsia="en-GB"/>
        </w:rPr>
        <w:t xml:space="preserve">nternational </w:t>
      </w:r>
      <w:r w:rsidR="00DA5157">
        <w:rPr>
          <w:highlight w:val="white"/>
          <w:lang w:val="en-US" w:eastAsia="en-GB"/>
        </w:rPr>
        <w:t>C</w:t>
      </w:r>
      <w:r w:rsidRPr="00B37E0B">
        <w:rPr>
          <w:highlight w:val="white"/>
          <w:lang w:val="en-US" w:eastAsia="en-GB"/>
        </w:rPr>
        <w:t xml:space="preserve">riminal </w:t>
      </w:r>
      <w:r w:rsidR="00DA5157">
        <w:rPr>
          <w:highlight w:val="white"/>
          <w:lang w:val="en-US" w:eastAsia="en-GB"/>
        </w:rPr>
        <w:t>C</w:t>
      </w:r>
      <w:r w:rsidRPr="00B37E0B">
        <w:rPr>
          <w:highlight w:val="white"/>
          <w:lang w:val="en-US" w:eastAsia="en-GB"/>
        </w:rPr>
        <w:t>ourt, especially as there is renewed attention to the phenomenon of apartheid, a crime under international law</w:t>
      </w:r>
      <w:r>
        <w:rPr>
          <w:highlight w:val="white"/>
          <w:lang w:val="en-US" w:eastAsia="en-GB"/>
        </w:rPr>
        <w:t>.</w:t>
      </w:r>
    </w:p>
    <w:p w14:paraId="33444EBE" w14:textId="77777777" w:rsidR="00B37E0B" w:rsidRDefault="009B7AF9" w:rsidP="009B7AF9">
      <w:pPr>
        <w:pStyle w:val="ParNoG"/>
        <w:rPr>
          <w:highlight w:val="white"/>
        </w:rPr>
      </w:pPr>
      <w:r>
        <w:rPr>
          <w:highlight w:val="white"/>
        </w:rPr>
        <w:t xml:space="preserve">Instances of strategic litigation can be found in many countries. For example, in South Africa, </w:t>
      </w:r>
      <w:proofErr w:type="spellStart"/>
      <w:r w:rsidRPr="0006760B">
        <w:rPr>
          <w:highlight w:val="white"/>
        </w:rPr>
        <w:t>Ndifuna</w:t>
      </w:r>
      <w:proofErr w:type="spellEnd"/>
      <w:r w:rsidRPr="0006760B">
        <w:rPr>
          <w:highlight w:val="white"/>
        </w:rPr>
        <w:t xml:space="preserve"> </w:t>
      </w:r>
      <w:proofErr w:type="spellStart"/>
      <w:r w:rsidRPr="0006760B">
        <w:rPr>
          <w:highlight w:val="white"/>
        </w:rPr>
        <w:t>Ukwazi</w:t>
      </w:r>
      <w:proofErr w:type="spellEnd"/>
      <w:r w:rsidRPr="0006760B">
        <w:rPr>
          <w:highlight w:val="white"/>
        </w:rPr>
        <w:t xml:space="preserve"> </w:t>
      </w:r>
      <w:r>
        <w:rPr>
          <w:highlight w:val="white"/>
        </w:rPr>
        <w:t xml:space="preserve">challenged </w:t>
      </w:r>
      <w:r w:rsidRPr="0006760B">
        <w:rPr>
          <w:highlight w:val="white"/>
        </w:rPr>
        <w:t xml:space="preserve">the </w:t>
      </w:r>
      <w:r>
        <w:rPr>
          <w:highlight w:val="white"/>
        </w:rPr>
        <w:t xml:space="preserve">2016 </w:t>
      </w:r>
      <w:r w:rsidRPr="0006760B">
        <w:rPr>
          <w:highlight w:val="white"/>
        </w:rPr>
        <w:t xml:space="preserve">sale of a </w:t>
      </w:r>
      <w:r>
        <w:rPr>
          <w:highlight w:val="white"/>
        </w:rPr>
        <w:t>government-</w:t>
      </w:r>
      <w:r w:rsidRPr="0006760B">
        <w:rPr>
          <w:highlight w:val="white"/>
        </w:rPr>
        <w:t>owned property in central Cape Town</w:t>
      </w:r>
      <w:r>
        <w:rPr>
          <w:highlight w:val="white"/>
        </w:rPr>
        <w:t xml:space="preserve"> </w:t>
      </w:r>
      <w:r w:rsidRPr="0006760B">
        <w:rPr>
          <w:highlight w:val="white"/>
        </w:rPr>
        <w:t>to a private development</w:t>
      </w:r>
      <w:r>
        <w:rPr>
          <w:highlight w:val="white"/>
        </w:rPr>
        <w:t>,</w:t>
      </w:r>
      <w:r w:rsidRPr="0006760B">
        <w:rPr>
          <w:highlight w:val="white"/>
        </w:rPr>
        <w:t xml:space="preserve"> rather than being identified as a site sui</w:t>
      </w:r>
      <w:r>
        <w:rPr>
          <w:highlight w:val="white"/>
        </w:rPr>
        <w:t>table for social housing. In a</w:t>
      </w:r>
      <w:r w:rsidRPr="0006760B">
        <w:rPr>
          <w:highlight w:val="white"/>
        </w:rPr>
        <w:t xml:space="preserve"> recent ground-breaking judgement </w:t>
      </w:r>
      <w:r>
        <w:rPr>
          <w:highlight w:val="white"/>
        </w:rPr>
        <w:t xml:space="preserve">in </w:t>
      </w:r>
      <w:r w:rsidRPr="0006760B">
        <w:rPr>
          <w:highlight w:val="white"/>
        </w:rPr>
        <w:t>the case</w:t>
      </w:r>
      <w:r>
        <w:rPr>
          <w:highlight w:val="white"/>
        </w:rPr>
        <w:t>,</w:t>
      </w:r>
      <w:r>
        <w:rPr>
          <w:rStyle w:val="FootnoteReference"/>
          <w:highlight w:val="white"/>
        </w:rPr>
        <w:footnoteReference w:id="70"/>
      </w:r>
      <w:r w:rsidRPr="0006760B">
        <w:rPr>
          <w:highlight w:val="white"/>
        </w:rPr>
        <w:t xml:space="preserve"> the Western Cape High Court held that the sale was in contravention of the provincial and local government’s constitutional and statutory obligations, especially </w:t>
      </w:r>
      <w:r>
        <w:rPr>
          <w:highlight w:val="white"/>
        </w:rPr>
        <w:t xml:space="preserve">regarding </w:t>
      </w:r>
      <w:r w:rsidRPr="0006760B">
        <w:rPr>
          <w:highlight w:val="white"/>
        </w:rPr>
        <w:t xml:space="preserve">the fulfilment of the rights of access to land and housing for the purpose of addressing the past spatial inequalities in central Cape Town. In his decision, the </w:t>
      </w:r>
      <w:r>
        <w:rPr>
          <w:highlight w:val="white"/>
        </w:rPr>
        <w:t>j</w:t>
      </w:r>
      <w:r w:rsidRPr="0006760B">
        <w:rPr>
          <w:highlight w:val="white"/>
        </w:rPr>
        <w:t xml:space="preserve">udge </w:t>
      </w:r>
      <w:r>
        <w:rPr>
          <w:highlight w:val="white"/>
        </w:rPr>
        <w:t xml:space="preserve">presiding </w:t>
      </w:r>
      <w:r w:rsidRPr="0006760B">
        <w:rPr>
          <w:highlight w:val="white"/>
        </w:rPr>
        <w:t>the case stated: “[I]t is fair to say that the statutory and policy framework which finds its origins in the Constitution and the legislation mandated thereunder, renders it necessary for [the state] to redress the legacy of spatial apartheid as a matte</w:t>
      </w:r>
      <w:r>
        <w:rPr>
          <w:highlight w:val="white"/>
        </w:rPr>
        <w:t>r of constitutional injunction.</w:t>
      </w:r>
      <w:r w:rsidRPr="0006760B">
        <w:rPr>
          <w:highlight w:val="white"/>
        </w:rPr>
        <w:t xml:space="preserve"> The constitutional and statutory obligations of </w:t>
      </w:r>
      <w:r w:rsidR="006C4C33">
        <w:rPr>
          <w:highlight w:val="white"/>
        </w:rPr>
        <w:t>[</w:t>
      </w:r>
      <w:r w:rsidRPr="0006760B">
        <w:rPr>
          <w:highlight w:val="white"/>
        </w:rPr>
        <w:t>...</w:t>
      </w:r>
      <w:r w:rsidR="006C4C33">
        <w:rPr>
          <w:highlight w:val="white"/>
        </w:rPr>
        <w:t>]</w:t>
      </w:r>
      <w:r w:rsidRPr="0006760B">
        <w:rPr>
          <w:highlight w:val="white"/>
        </w:rPr>
        <w:t xml:space="preserve"> government to provide access to land and housing on a progressive basis, encompass the need to urgently address apartheid’s shameful and divisive legacy of spatial injustice and manifest inequality.”</w:t>
      </w:r>
      <w:r>
        <w:rPr>
          <w:rStyle w:val="FootnoteReference"/>
          <w:highlight w:val="white"/>
        </w:rPr>
        <w:footnoteReference w:id="71"/>
      </w:r>
    </w:p>
    <w:p w14:paraId="5E8DA244" w14:textId="77777777" w:rsidR="00DF1C24" w:rsidRDefault="00DF1C24" w:rsidP="00DF1C24">
      <w:pPr>
        <w:pStyle w:val="H1G"/>
        <w:rPr>
          <w:highlight w:val="white"/>
        </w:rPr>
      </w:pPr>
      <w:r>
        <w:rPr>
          <w:highlight w:val="white"/>
        </w:rPr>
        <w:tab/>
        <w:t>C.</w:t>
      </w:r>
      <w:r>
        <w:rPr>
          <w:highlight w:val="white"/>
        </w:rPr>
        <w:tab/>
      </w:r>
      <w:r w:rsidRPr="00DF1C24">
        <w:rPr>
          <w:highlight w:val="white"/>
        </w:rPr>
        <w:t>Housing</w:t>
      </w:r>
      <w:r>
        <w:rPr>
          <w:highlight w:val="white"/>
        </w:rPr>
        <w:t xml:space="preserve"> policies</w:t>
      </w:r>
    </w:p>
    <w:p w14:paraId="7A970356" w14:textId="0E1A5A95" w:rsidR="00DF1C24" w:rsidRPr="00DF1C24" w:rsidRDefault="009C7EE6" w:rsidP="00DF1C24">
      <w:pPr>
        <w:pStyle w:val="ParNoG"/>
      </w:pPr>
      <w:r>
        <w:t>Allocating</w:t>
      </w:r>
      <w:r w:rsidR="00DF1C24">
        <w:t xml:space="preserve"> public and social housing in well located land, with adequate infrastructure and services, and access to livelihood opportunities is one essential way to prevent spatial segregation. To ensure social integration, </w:t>
      </w:r>
      <w:r w:rsidR="00A0094C">
        <w:t>authorities</w:t>
      </w:r>
      <w:r w:rsidR="00DF1C24">
        <w:t xml:space="preserve"> can specify that building permits or urban renewal projects may only be approved if a certain percentage of all newly erected or renovated housing units </w:t>
      </w:r>
      <w:r w:rsidR="00DF5D6E">
        <w:t xml:space="preserve">are designated </w:t>
      </w:r>
      <w:r w:rsidR="00DF1C24">
        <w:t xml:space="preserve">as public or social housing. The erection of separate “social housing blocks” which are in many countries subject to social exclusion or rapid deterioration, can be prevented if regulations specify that </w:t>
      </w:r>
      <w:r w:rsidR="006D5915">
        <w:t xml:space="preserve">buildings with </w:t>
      </w:r>
      <w:r w:rsidR="00DF1C24">
        <w:t>multiple housing unit</w:t>
      </w:r>
      <w:r w:rsidR="006D5915">
        <w:t>s</w:t>
      </w:r>
      <w:r w:rsidR="00DF1C24">
        <w:t xml:space="preserve"> must contain a certain percentage of public or social housing units, including units accessible for older persons and persons with disabilities. </w:t>
      </w:r>
    </w:p>
    <w:p w14:paraId="0E67E505" w14:textId="77777777" w:rsidR="00DF1C24" w:rsidRPr="00DF1C24" w:rsidRDefault="00DF1C24" w:rsidP="00DF1C24">
      <w:pPr>
        <w:pStyle w:val="ParNoG"/>
      </w:pPr>
      <w:r>
        <w:t xml:space="preserve">The creation of land banks is an important mechanism through which States and local governments can allocate public, vacant or other underused land in centrally located, well serviced areas for the development of affordable housing. In </w:t>
      </w:r>
      <w:sdt>
        <w:sdtPr>
          <w:tag w:val="goog_rdk_8"/>
          <w:id w:val="457074464"/>
        </w:sdtPr>
        <w:sdtEndPr/>
        <w:sdtContent/>
      </w:sdt>
      <w:r>
        <w:t>Uruguay for example,</w:t>
      </w:r>
      <w:r w:rsidRPr="00496E26">
        <w:t xml:space="preserve"> </w:t>
      </w:r>
      <w:r w:rsidRPr="00BF527A">
        <w:t xml:space="preserve">measures taken at the local level of the </w:t>
      </w:r>
      <w:r>
        <w:lastRenderedPageBreak/>
        <w:t>m</w:t>
      </w:r>
      <w:r w:rsidRPr="00BF527A">
        <w:t>unicipality of Montevideo</w:t>
      </w:r>
      <w:r>
        <w:rPr>
          <w:rStyle w:val="FootnoteReference"/>
        </w:rPr>
        <w:footnoteReference w:id="72"/>
      </w:r>
      <w:r w:rsidRPr="00BF527A">
        <w:t xml:space="preserve"> as well as at the national level,</w:t>
      </w:r>
      <w:r>
        <w:rPr>
          <w:rStyle w:val="FootnoteReference"/>
        </w:rPr>
        <w:footnoteReference w:id="73"/>
      </w:r>
      <w:r w:rsidRPr="00BF527A">
        <w:t xml:space="preserve"> through the Ministry of Housing, have established state land banks to allocate land to social housing projects. These have been instrumental for transferring hundreds of parcels for the development of affordable</w:t>
      </w:r>
      <w:r>
        <w:t xml:space="preserve"> housing</w:t>
      </w:r>
      <w:r w:rsidRPr="00BF527A">
        <w:t xml:space="preserve">, particularly through </w:t>
      </w:r>
      <w:r w:rsidRPr="00496E26">
        <w:t>mutual aid cooperatives.</w:t>
      </w:r>
      <w:r>
        <w:t xml:space="preserve"> </w:t>
      </w:r>
    </w:p>
    <w:p w14:paraId="42C99E26" w14:textId="25AF67D5" w:rsidR="00DF1C24" w:rsidRDefault="00DF1C24" w:rsidP="00DF1C24">
      <w:pPr>
        <w:pStyle w:val="ParNoG"/>
      </w:pPr>
      <w:r>
        <w:t xml:space="preserve">Housing voucher programmes, which provide government subsidies to assist low-income households to pay rent in privately-owned, market rate housing, are another type of housing policy that, if effectively designed and implemented, can contribute to addressing residential segregation. A recent study in the city of Seattle in the United States of America found that when designed to facilitate mobility of households into ‘high opportunity’ </w:t>
      </w:r>
      <w:r w:rsidR="00BF789B">
        <w:t>neighbourhoods</w:t>
      </w:r>
      <w:r>
        <w:t>, housing voucher programs can help reduce residential segregation and increase upward economic mobility of households.</w:t>
      </w:r>
      <w:r>
        <w:rPr>
          <w:rStyle w:val="FootnoteReference"/>
        </w:rPr>
        <w:footnoteReference w:id="74"/>
      </w:r>
      <w:r>
        <w:t xml:space="preserve"> </w:t>
      </w:r>
      <w:r w:rsidR="003D5A4B">
        <w:t>T</w:t>
      </w:r>
      <w:r>
        <w:t xml:space="preserve">he program </w:t>
      </w:r>
      <w:r w:rsidR="003D5A4B">
        <w:t xml:space="preserve">included </w:t>
      </w:r>
      <w:r>
        <w:t xml:space="preserve">support services to households to access housing in ‘high opportunity’ </w:t>
      </w:r>
      <w:r w:rsidR="00BF789B">
        <w:t>neighbourhoods</w:t>
      </w:r>
      <w:r>
        <w:t xml:space="preserve">, such as assistance with the housing search, landlord engagement and short-term financial assistance. </w:t>
      </w:r>
      <w:r w:rsidR="003D5A4B">
        <w:t>A</w:t>
      </w:r>
      <w:r>
        <w:t xml:space="preserve">s housing voucher holders often face discrimination from landlords when seeking housing, housing policies that aim to address residential segregation should </w:t>
      </w:r>
      <w:r w:rsidR="003D5A4B">
        <w:t xml:space="preserve">pay </w:t>
      </w:r>
      <w:r>
        <w:t xml:space="preserve">attention to </w:t>
      </w:r>
      <w:r w:rsidR="00444101">
        <w:t xml:space="preserve">such </w:t>
      </w:r>
      <w:r>
        <w:t xml:space="preserve">discrimination. </w:t>
      </w:r>
    </w:p>
    <w:p w14:paraId="4BC4ED86" w14:textId="41E579AE" w:rsidR="00DF1C24" w:rsidRDefault="00C36D51" w:rsidP="00DF1C24">
      <w:pPr>
        <w:pStyle w:val="ParNoG"/>
      </w:pPr>
      <w:r>
        <w:t>I</w:t>
      </w:r>
      <w:r w:rsidR="00DF1C24" w:rsidRPr="00DF1C24">
        <w:t>n Singapore, an ethnic integration housing policy in place since the late 1980s requires that housing projects provided by the State</w:t>
      </w:r>
      <w:r w:rsidR="008910A9">
        <w:t xml:space="preserve"> Housing and Development Board </w:t>
      </w:r>
      <w:r w:rsidR="00DF1C24" w:rsidRPr="00DF1C24">
        <w:t>include a specific quota of units for minority households.</w:t>
      </w:r>
      <w:r w:rsidR="00DF1C24">
        <w:rPr>
          <w:rStyle w:val="FootnoteReference"/>
        </w:rPr>
        <w:footnoteReference w:id="75"/>
      </w:r>
      <w:r w:rsidR="00DF1C24" w:rsidRPr="00DF1C24">
        <w:t xml:space="preserve"> The aim of this policy is to prevent the creation of ethnic enclaves and to ensure the inclusion of minority groups into the State social housing programs. While such policies can be part of the type of special measures authorities advance to affirmatively seek more inclusionary development, caution should be exercised to ensure that integration efforts in any housing policy do not take the form of forced racial quotas that could create new forms of exclusion, induce social conflict and violate the human rights of residents.</w:t>
      </w:r>
    </w:p>
    <w:p w14:paraId="5CD8FFBA" w14:textId="77777777" w:rsidR="003F0B33" w:rsidRDefault="003F0B33" w:rsidP="003F0B33">
      <w:pPr>
        <w:pStyle w:val="H1G"/>
      </w:pPr>
      <w:r>
        <w:tab/>
        <w:t>D.</w:t>
      </w:r>
      <w:r>
        <w:tab/>
        <w:t>Urban and territorial planning</w:t>
      </w:r>
    </w:p>
    <w:p w14:paraId="0BD75871" w14:textId="2807EAAC" w:rsidR="003F0B33" w:rsidRPr="003F0B33" w:rsidRDefault="003F0B33" w:rsidP="003F0B33">
      <w:pPr>
        <w:pStyle w:val="ParNoG"/>
      </w:pPr>
      <w:r>
        <w:t xml:space="preserve">Advancing urban and territorial planning that </w:t>
      </w:r>
      <w:r w:rsidR="00BF789B">
        <w:t>centres</w:t>
      </w:r>
      <w:r>
        <w:t xml:space="preserve"> on equitable and inclusionary development is critical to addressing spatial segregation and ensuring the right to adequate housing for all. This includes reforms in planning mechanisms to ensure there is non-discrimination and resident participation in the application of zoning, land use and other development measures. Where exclusionary measures are in place that detrimentally impact minority groups, such as arbitrary restrictions on building permits that hinder the construction of affordable housing, these should be prohibited. </w:t>
      </w:r>
    </w:p>
    <w:p w14:paraId="5F68A0AB" w14:textId="48F58800" w:rsidR="003F0B33" w:rsidRPr="003F0B33" w:rsidRDefault="003F0B33" w:rsidP="003F0B33">
      <w:pPr>
        <w:pStyle w:val="ParNoG"/>
      </w:pPr>
      <w:r>
        <w:lastRenderedPageBreak/>
        <w:t xml:space="preserve">Since urban and territorial planning is regulated by both national and local institutions in most countries, reforms at both these levels can contribute to addressing spatial segregation. In South Africa for example, the national </w:t>
      </w:r>
      <w:r>
        <w:rPr>
          <w:color w:val="000000"/>
          <w:highlight w:val="white"/>
        </w:rPr>
        <w:t>Spatial Planning and Land Use Management Act (2013)</w:t>
      </w:r>
      <w:r>
        <w:t xml:space="preserve"> put in place directives for local territorial planning that places spatial justice </w:t>
      </w:r>
      <w:r w:rsidR="00CD44B8">
        <w:t xml:space="preserve">at the core of </w:t>
      </w:r>
      <w:r>
        <w:t>land use</w:t>
      </w:r>
      <w:r w:rsidR="00CD44B8">
        <w:t xml:space="preserve"> policy</w:t>
      </w:r>
      <w:r>
        <w:t>, stipulating that spatial planning should</w:t>
      </w:r>
      <w:r w:rsidR="003C6FDE">
        <w:t xml:space="preserve"> address racial inequality, segregation and unsustainable settlement practices.</w:t>
      </w:r>
      <w:r w:rsidR="0079098E">
        <w:rPr>
          <w:rStyle w:val="FootnoteReference"/>
        </w:rPr>
        <w:footnoteReference w:id="76"/>
      </w:r>
      <w:r>
        <w:t xml:space="preserve"> This national legislation has provided an important legal foundation for inclusionary housing and zoning </w:t>
      </w:r>
      <w:r w:rsidR="006D5915">
        <w:t xml:space="preserve">and allows </w:t>
      </w:r>
      <w:r>
        <w:t xml:space="preserve">municipalities </w:t>
      </w:r>
      <w:r w:rsidR="009359D9">
        <w:t xml:space="preserve">to </w:t>
      </w:r>
      <w:r>
        <w:t xml:space="preserve">require private developers to provide affordable housing at below-market rates when new residential or mixed-use developments are constructed. </w:t>
      </w:r>
    </w:p>
    <w:p w14:paraId="4BE8B41C" w14:textId="0B3B31F4" w:rsidR="003F0B33" w:rsidRPr="003F0B33" w:rsidRDefault="003F0B33" w:rsidP="003F0B33">
      <w:pPr>
        <w:pStyle w:val="ParNoG"/>
      </w:pPr>
      <w:r>
        <w:t xml:space="preserve">Inclusionary zoning policies typically </w:t>
      </w:r>
      <w:r w:rsidR="006704D0">
        <w:t xml:space="preserve">specify that </w:t>
      </w:r>
      <w:r>
        <w:t>developers sell or rent 10-30% of units to lower-income residents, to develop affordable housing off</w:t>
      </w:r>
      <w:r w:rsidR="00BB33C0">
        <w:t>-</w:t>
      </w:r>
      <w:r>
        <w:t xml:space="preserve">site or to pay a fee in lieu of that to a municipal fund for affordable housing. In expanding access to housing </w:t>
      </w:r>
      <w:r w:rsidR="00600661">
        <w:t xml:space="preserve">to disadvantaged </w:t>
      </w:r>
      <w:r>
        <w:t xml:space="preserve">households, inclusionary zoning can be an important tool to help desegregate cities. To this end, attention should be paid to the specific ways inclusionary zoning policies are implemented in conjunction with housing policies, as measures should be designed to ensure that eligibility requirements allow households from </w:t>
      </w:r>
      <w:r w:rsidR="002B31E7">
        <w:t xml:space="preserve">marginalized </w:t>
      </w:r>
      <w:r>
        <w:t xml:space="preserve">groups to access the units made available, that the units provided are under equitable conditions as the rest of the housing development (no ‘poor doors’) and, in cases where the affordable housing is developed off site, that the allocation of units in well-located land is prioritized. </w:t>
      </w:r>
    </w:p>
    <w:p w14:paraId="395276E8" w14:textId="13419512" w:rsidR="003F0B33" w:rsidRPr="003F0B33" w:rsidRDefault="003F0B33" w:rsidP="003F0B33">
      <w:pPr>
        <w:pStyle w:val="ParNoG"/>
      </w:pPr>
      <w:r>
        <w:t xml:space="preserve">At a local level, other innovative examples exist of how zoning and land use planning measures are being reformed to address spatial segregation. In the city of Boston, United States, for example, the city council passed an ordinance in 2019 that requires developers to </w:t>
      </w:r>
      <w:r w:rsidR="00374B72">
        <w:t xml:space="preserve">give the same consideration to </w:t>
      </w:r>
      <w:r>
        <w:t xml:space="preserve">racial integration and anti-discrimination as </w:t>
      </w:r>
      <w:r w:rsidR="00374B72">
        <w:t xml:space="preserve">to </w:t>
      </w:r>
      <w:r>
        <w:t xml:space="preserve">environmental </w:t>
      </w:r>
      <w:r w:rsidR="006D5915">
        <w:t xml:space="preserve">impacts </w:t>
      </w:r>
      <w:r>
        <w:t>and transportation.</w:t>
      </w:r>
      <w:r w:rsidR="0079098E">
        <w:rPr>
          <w:rStyle w:val="FootnoteReference"/>
        </w:rPr>
        <w:footnoteReference w:id="77"/>
      </w:r>
      <w:r>
        <w:t xml:space="preserve"> Specifically</w:t>
      </w:r>
      <w:r w:rsidR="0052659D">
        <w:t>,</w:t>
      </w:r>
      <w:r>
        <w:t xml:space="preserve"> this includes: (1) a historical exclusion and displacement report of the property purchased; (2) a comprehensive assessment tool to analyse the impact of their development on the social-spatial fabric </w:t>
      </w:r>
      <w:r w:rsidR="002D19AA">
        <w:t xml:space="preserve">such as </w:t>
      </w:r>
      <w:r>
        <w:t>rents</w:t>
      </w:r>
      <w:r w:rsidR="002D19AA">
        <w:t xml:space="preserve"> and</w:t>
      </w:r>
      <w:r>
        <w:t xml:space="preserve"> </w:t>
      </w:r>
      <w:r w:rsidR="002D19AA">
        <w:t>possible economic displacement</w:t>
      </w:r>
      <w:r>
        <w:t>; and (3) a list of mitigation measures that can be taken by developers, such as the inclusion of additional affordable housing units or providing tenants with the right of first refusal in case of purchase. These tools permit the city government to assess more comprehensively all projects and the required mitigation measures, and to ultimately decide whether the development project should be allowed to move forward or not.</w:t>
      </w:r>
    </w:p>
    <w:p w14:paraId="2BA868DE" w14:textId="3502B7D6" w:rsidR="003F0B33" w:rsidRPr="0052659D" w:rsidRDefault="003C4AF7" w:rsidP="003F0B33">
      <w:pPr>
        <w:pStyle w:val="ParNoG"/>
      </w:pPr>
      <w:r>
        <w:t>L</w:t>
      </w:r>
      <w:r w:rsidR="003F0B33">
        <w:t xml:space="preserve">and value capture mechanisms in urban and territorial planning, such as property taxes, building fees for large developers and betterment contributions can help address spatial injustice. When the revenue generated from such public fees and taxes is reinvested into distressed communities and affordable housing, these measures can help spatially redistribute the value generated from land and development and ameliorate spatial segregation. </w:t>
      </w:r>
    </w:p>
    <w:p w14:paraId="76CBC42B" w14:textId="10AD7D6B" w:rsidR="003F0B33" w:rsidRDefault="003F0B33" w:rsidP="0052659D">
      <w:pPr>
        <w:pStyle w:val="ParNoG"/>
      </w:pPr>
      <w:r>
        <w:t xml:space="preserve">Alongside such policy or regulatory measures to effectively address spatial segregation, it is important to ensure that participatory processes are built into local planning and that guidelines </w:t>
      </w:r>
      <w:r w:rsidR="00763717">
        <w:t xml:space="preserve">are </w:t>
      </w:r>
      <w:r>
        <w:t>in place for spatial planning</w:t>
      </w:r>
      <w:r w:rsidR="00B0066C">
        <w:t>. T</w:t>
      </w:r>
      <w:r>
        <w:t>he UN Habitat International Guidelines on Urban and Territorial Planning</w:t>
      </w:r>
      <w:r w:rsidR="0079098E">
        <w:rPr>
          <w:rStyle w:val="FootnoteReference"/>
        </w:rPr>
        <w:footnoteReference w:id="78"/>
      </w:r>
      <w:r>
        <w:t xml:space="preserve"> </w:t>
      </w:r>
      <w:r>
        <w:lastRenderedPageBreak/>
        <w:t>include an explicit focus on strategies for addressing spatial segregation as a component of advancing inclusionary, equitable development.</w:t>
      </w:r>
    </w:p>
    <w:p w14:paraId="02319651" w14:textId="789FBE6E" w:rsidR="00FF2AC0" w:rsidRDefault="00FF2AC0" w:rsidP="00FF2AC0">
      <w:pPr>
        <w:pStyle w:val="H1G"/>
      </w:pPr>
      <w:r>
        <w:tab/>
        <w:t>E.</w:t>
      </w:r>
      <w:r>
        <w:tab/>
      </w:r>
      <w:r w:rsidR="00BF789B">
        <w:t>Neighbourhood</w:t>
      </w:r>
      <w:r>
        <w:t xml:space="preserve"> </w:t>
      </w:r>
      <w:r w:rsidR="00802580">
        <w:t>u</w:t>
      </w:r>
      <w:r>
        <w:t>pgrad</w:t>
      </w:r>
      <w:r w:rsidR="00802580">
        <w:t>ing p</w:t>
      </w:r>
      <w:r>
        <w:t>rograms</w:t>
      </w:r>
    </w:p>
    <w:p w14:paraId="43605C18" w14:textId="77777777" w:rsidR="003A5456" w:rsidRPr="003A5456" w:rsidRDefault="003A5456" w:rsidP="003A5456">
      <w:pPr>
        <w:pStyle w:val="ParNoG"/>
      </w:pPr>
      <w:r>
        <w:t xml:space="preserve">Ensuring that communities have adequate and equitable access to essential public infrastructure and services, in ways that safeguard the right to a healthy environment and to livelihood opportunities, is critical to addressing spatial segregation and guaranteeing the right to adequate housing. In this regard, </w:t>
      </w:r>
      <w:r w:rsidR="00BF789B">
        <w:t>neighbourhood</w:t>
      </w:r>
      <w:r>
        <w:t xml:space="preserve"> improvement or </w:t>
      </w:r>
      <w:r w:rsidR="00BF789B">
        <w:t>neighbourhood</w:t>
      </w:r>
      <w:r>
        <w:t xml:space="preserve"> revitalization programs and participatory slum upgrading programs have become important for how comprehensive approaches can be advanced. </w:t>
      </w:r>
    </w:p>
    <w:p w14:paraId="62B9E72D" w14:textId="40099BC6" w:rsidR="003A5456" w:rsidRPr="003A5456" w:rsidRDefault="003A5456" w:rsidP="003A5456">
      <w:pPr>
        <w:pStyle w:val="ParNoG"/>
      </w:pPr>
      <w:r>
        <w:t xml:space="preserve">Integral </w:t>
      </w:r>
      <w:r w:rsidR="00BF789B">
        <w:t>neighbourhood</w:t>
      </w:r>
      <w:r>
        <w:t xml:space="preserve"> improvement programs seek to better the living conditions and quality of life in distressed communities through interventions - collaboratively led by local residents, community organizations and local authorities - in the physical, social and economic infrastructure, the environment and governance. This can include strategies to rehabilitate housing, improvement of transportation networks and infrastructure, expanding employment and economic opportunities, improving public space and beyond. In Berlin, for example, </w:t>
      </w:r>
      <w:r w:rsidR="006D5915">
        <w:t>a n</w:t>
      </w:r>
      <w:r>
        <w:t>eighbo</w:t>
      </w:r>
      <w:r w:rsidR="006D5915">
        <w:t>u</w:t>
      </w:r>
      <w:r>
        <w:t xml:space="preserve">rhood </w:t>
      </w:r>
      <w:r w:rsidR="006D5915">
        <w:t>m</w:t>
      </w:r>
      <w:r>
        <w:t xml:space="preserve">anagement </w:t>
      </w:r>
      <w:r w:rsidR="006D5915">
        <w:t>and s</w:t>
      </w:r>
      <w:r>
        <w:t xml:space="preserve">ocial </w:t>
      </w:r>
      <w:r w:rsidR="006D5915">
        <w:t>c</w:t>
      </w:r>
      <w:r>
        <w:t>ohesion program</w:t>
      </w:r>
      <w:r w:rsidR="006D5915">
        <w:rPr>
          <w:rStyle w:val="FootnoteReference"/>
        </w:rPr>
        <w:footnoteReference w:id="79"/>
      </w:r>
      <w:r>
        <w:t xml:space="preserve"> was launched as a strategy in 1999 to address social segregation and advance a socially integrative city by supporting improvements in disadvantaged, distressed districts of the city, including inner city and suburban </w:t>
      </w:r>
      <w:r w:rsidR="00BF789B">
        <w:t>neighbourhoods</w:t>
      </w:r>
      <w:r>
        <w:t xml:space="preserve">. Through the creation of </w:t>
      </w:r>
      <w:r w:rsidR="00BF789B">
        <w:t>neighbourhood</w:t>
      </w:r>
      <w:r>
        <w:t xml:space="preserve"> councils, residents decide how funds are allocated for </w:t>
      </w:r>
      <w:r w:rsidR="00BF789B">
        <w:t>neighbourhood</w:t>
      </w:r>
      <w:r>
        <w:t xml:space="preserve"> improvements in action areas like education training and youth programs, public space, employment and local economy programs. </w:t>
      </w:r>
    </w:p>
    <w:p w14:paraId="10E68DC1" w14:textId="77777777" w:rsidR="003A5456" w:rsidRPr="003A5456" w:rsidRDefault="003A5456" w:rsidP="003A5456">
      <w:pPr>
        <w:pStyle w:val="ParNoG"/>
      </w:pPr>
      <w:r>
        <w:t>In Latin America and Africa such interventions most often focus on improvements in informal settlements. These programs, also known as slum upgrading, refer to physical, social, economic, organizational and environmental improvements in informal settlements, particularly improvements in housing and basic infrastructure, that are undertaken collaboratively between residents, community groups and authorities.</w:t>
      </w:r>
      <w:r w:rsidR="00DD392F">
        <w:rPr>
          <w:rStyle w:val="FootnoteReference"/>
        </w:rPr>
        <w:footnoteReference w:id="80"/>
      </w:r>
      <w:r>
        <w:t xml:space="preserve"> Interventions in these upgrading programs often focus on the installation or improvement of basic infrastructure such as sanitation, water supply, waste collection, road networks; housing improvement; construction or rehabilitation of community facilities like health and day care centres; </w:t>
      </w:r>
      <w:sdt>
        <w:sdtPr>
          <w:tag w:val="goog_rdk_10"/>
          <w:id w:val="551504119"/>
        </w:sdtPr>
        <w:sdtEndPr/>
        <w:sdtContent>
          <w:r>
            <w:t xml:space="preserve">and </w:t>
          </w:r>
        </w:sdtContent>
      </w:sdt>
      <w:r>
        <w:t>removal or mitigation of environmental hazards. Of particular importance in such contexts as well is the regularization of security of tenure. The previous Special Rapporteur has provided detailed human rights guidance for the implementation of such programmes.</w:t>
      </w:r>
      <w:r w:rsidR="00DD392F">
        <w:rPr>
          <w:rStyle w:val="FootnoteReference"/>
        </w:rPr>
        <w:footnoteReference w:id="81"/>
      </w:r>
    </w:p>
    <w:p w14:paraId="77D8E7DF" w14:textId="2FA9981C" w:rsidR="00FF2AC0" w:rsidRDefault="00BF789B" w:rsidP="003A5456">
      <w:pPr>
        <w:pStyle w:val="ParNoG"/>
      </w:pPr>
      <w:r>
        <w:t>Neighbourhood</w:t>
      </w:r>
      <w:r w:rsidR="003A5456">
        <w:t xml:space="preserve"> improvement and slum upgrading programs point to how adequate investments in communities, through resident-led processes, can help create vibrant </w:t>
      </w:r>
      <w:r>
        <w:t>neighbourhoods</w:t>
      </w:r>
      <w:r w:rsidR="003A5456">
        <w:t xml:space="preserve"> and diminish conditions of spatial segregation. In </w:t>
      </w:r>
      <w:r w:rsidR="00725CCA">
        <w:t>this context</w:t>
      </w:r>
      <w:r w:rsidR="003A5456">
        <w:t>, it is important to take into consideration how interventions may affect community stability and, accordingly, to put in place measures that ensure improvements do not lead to gentrification displac</w:t>
      </w:r>
      <w:r w:rsidR="008714FB">
        <w:t>ing</w:t>
      </w:r>
      <w:r w:rsidR="003A5456">
        <w:t xml:space="preserve"> residents, particularly from </w:t>
      </w:r>
      <w:r w:rsidR="008714FB">
        <w:t xml:space="preserve">disadvantaged </w:t>
      </w:r>
      <w:r w:rsidR="003A5456">
        <w:t>groups.</w:t>
      </w:r>
    </w:p>
    <w:p w14:paraId="57445025" w14:textId="77777777" w:rsidR="001B5A10" w:rsidRDefault="001B5A10" w:rsidP="001B5A10">
      <w:pPr>
        <w:pStyle w:val="HChG"/>
      </w:pPr>
      <w:r>
        <w:rPr>
          <w:highlight w:val="white"/>
        </w:rPr>
        <w:lastRenderedPageBreak/>
        <w:tab/>
        <w:t>VII.</w:t>
      </w:r>
      <w:r>
        <w:rPr>
          <w:highlight w:val="white"/>
        </w:rPr>
        <w:tab/>
        <w:t>Conclusions and recommendations</w:t>
      </w:r>
    </w:p>
    <w:p w14:paraId="72C37846" w14:textId="616A08E5" w:rsidR="001072EE" w:rsidRPr="001072EE" w:rsidRDefault="001072EE" w:rsidP="001072EE">
      <w:pPr>
        <w:pStyle w:val="ParNoG"/>
        <w:rPr>
          <w:b/>
        </w:rPr>
      </w:pPr>
      <w:r w:rsidRPr="001072EE">
        <w:rPr>
          <w:b/>
        </w:rPr>
        <w:t>Decades after the end of apartheid in South Africa and of residential segregation enforced by colonial or racially-dominated policies, spatial segregation is ever so present in societies all over the world, deepening and entrenching inequalities and discri</w:t>
      </w:r>
      <w:r w:rsidR="00A60889">
        <w:rPr>
          <w:b/>
        </w:rPr>
        <w:t xml:space="preserve">mination. </w:t>
      </w:r>
      <w:r w:rsidRPr="001072EE">
        <w:rPr>
          <w:b/>
        </w:rPr>
        <w:t xml:space="preserve">In this report the Special Rapporteur has taken a fresh look at how spatial segregation is a reflection of multiple, compounded and intersectional forms of discrimination and exclusion which not only violates the right to adequate housing, but also a range of other human rights. Spatial segregation, whether it occurs due to voluntary clustering or involuntary segregation and ghettoization, can no longer be an excuse for unequal </w:t>
      </w:r>
      <w:r w:rsidR="00B80FA8">
        <w:rPr>
          <w:b/>
        </w:rPr>
        <w:t xml:space="preserve">enjoyment of the right to </w:t>
      </w:r>
      <w:r w:rsidRPr="001072EE">
        <w:rPr>
          <w:b/>
        </w:rPr>
        <w:t xml:space="preserve">adequate housing and other interrelated human rights. States and local Governments need to pay more attention to urban policies, such as building or zoning regulations or urban renewal policies that may at first glance look non-discriminatory, but entrench spatial segregation, exclusion and housing discrimination. The Special Rapporteur remains concerned that active and deliberate policies of spatial segregation are still being deployed in some countries as tactics of ensuring racial, religious and other forms of domination. States need to prevent, prohibit and eradicate all practices amounting to spatial segregation and apartheid, as required by international law including the International Convention on the Elimination of all Forms of Racial Discrimination. </w:t>
      </w:r>
    </w:p>
    <w:p w14:paraId="4FEA17A8" w14:textId="62664AFC" w:rsidR="001072EE" w:rsidRDefault="001072EE" w:rsidP="001072EE">
      <w:pPr>
        <w:pStyle w:val="ParNoG"/>
        <w:rPr>
          <w:b/>
        </w:rPr>
      </w:pPr>
      <w:r w:rsidRPr="001072EE">
        <w:rPr>
          <w:b/>
          <w:highlight w:val="white"/>
        </w:rPr>
        <w:t xml:space="preserve">In line with the analysis offered in this report, the Special Rapporteur recommends that </w:t>
      </w:r>
      <w:r w:rsidR="0071697C">
        <w:rPr>
          <w:b/>
          <w:highlight w:val="white"/>
        </w:rPr>
        <w:t>na</w:t>
      </w:r>
      <w:r w:rsidR="007A4D7F">
        <w:rPr>
          <w:b/>
          <w:highlight w:val="white"/>
        </w:rPr>
        <w:t>tional</w:t>
      </w:r>
      <w:r w:rsidRPr="001072EE">
        <w:rPr>
          <w:b/>
          <w:highlight w:val="white"/>
        </w:rPr>
        <w:t>, regional, local and other public authorities, public and private housing providers, as appropriate, should:</w:t>
      </w:r>
    </w:p>
    <w:p w14:paraId="629A562E" w14:textId="2397E8E9" w:rsidR="00740E3D" w:rsidRDefault="001C31DE" w:rsidP="00B87FB1">
      <w:pPr>
        <w:pStyle w:val="Bullet1G"/>
        <w:numPr>
          <w:ilvl w:val="0"/>
          <w:numId w:val="0"/>
        </w:numPr>
        <w:ind w:left="1134" w:firstLine="567"/>
        <w:rPr>
          <w:highlight w:val="white"/>
        </w:rPr>
      </w:pPr>
      <w:r w:rsidRPr="00B87FB1">
        <w:rPr>
          <w:highlight w:val="white"/>
        </w:rPr>
        <w:t>(</w:t>
      </w:r>
      <w:r w:rsidR="00740E3D" w:rsidRPr="00B87FB1">
        <w:rPr>
          <w:highlight w:val="white"/>
        </w:rPr>
        <w:t>a</w:t>
      </w:r>
      <w:r w:rsidRPr="00B87FB1">
        <w:rPr>
          <w:highlight w:val="white"/>
        </w:rPr>
        <w:t>)</w:t>
      </w:r>
      <w:r w:rsidR="00740E3D" w:rsidRPr="00B87FB1">
        <w:rPr>
          <w:highlight w:val="white"/>
        </w:rPr>
        <w:tab/>
      </w:r>
      <w:r w:rsidR="00D76708" w:rsidRPr="006B3F95">
        <w:rPr>
          <w:b/>
          <w:highlight w:val="white"/>
        </w:rPr>
        <w:t>Refrain and desist from actively pursuing segregationist policies and practices, resulting in the violation of the right to adequate housing and the prohibition of discrimination, which may under certain circumstances amount to the crime of apartheid under international law</w:t>
      </w:r>
      <w:r w:rsidR="00137EC0">
        <w:rPr>
          <w:b/>
          <w:highlight w:val="white"/>
        </w:rPr>
        <w:t>;</w:t>
      </w:r>
    </w:p>
    <w:p w14:paraId="55E90DDB" w14:textId="24C6101A" w:rsidR="006B3F95" w:rsidRDefault="00740E3D" w:rsidP="00B87FB1">
      <w:pPr>
        <w:pStyle w:val="Bullet1G"/>
        <w:numPr>
          <w:ilvl w:val="0"/>
          <w:numId w:val="0"/>
        </w:numPr>
        <w:ind w:left="1134" w:firstLine="567"/>
      </w:pPr>
      <w:r w:rsidRPr="00B87FB1">
        <w:rPr>
          <w:highlight w:val="white"/>
        </w:rPr>
        <w:tab/>
      </w:r>
      <w:r w:rsidR="00C37D39" w:rsidRPr="00B87FB1">
        <w:rPr>
          <w:highlight w:val="white"/>
        </w:rPr>
        <w:t>(b)</w:t>
      </w:r>
      <w:r>
        <w:rPr>
          <w:highlight w:val="white"/>
        </w:rPr>
        <w:tab/>
      </w:r>
      <w:r w:rsidR="00DF21E2" w:rsidRPr="006B3F95">
        <w:rPr>
          <w:b/>
          <w:highlight w:val="white"/>
        </w:rPr>
        <w:t>Define and prohibit spatial segregation in law as a violation of the right to non-discrimination and of the right to adequate housing, and enable victims to seek redress through courts, including by providing trainings and sensitization to judges and lawyers</w:t>
      </w:r>
      <w:r w:rsidR="00137EC0">
        <w:rPr>
          <w:b/>
          <w:highlight w:val="white"/>
        </w:rPr>
        <w:t>;</w:t>
      </w:r>
    </w:p>
    <w:p w14:paraId="68C58105" w14:textId="06962A27" w:rsidR="00740E3D" w:rsidRPr="006B3F95" w:rsidRDefault="00C37D39" w:rsidP="00B87FB1">
      <w:pPr>
        <w:pStyle w:val="Bullet1G"/>
        <w:numPr>
          <w:ilvl w:val="0"/>
          <w:numId w:val="0"/>
        </w:numPr>
        <w:ind w:left="1134" w:firstLine="567"/>
      </w:pPr>
      <w:r w:rsidRPr="00B87FB1">
        <w:t>(</w:t>
      </w:r>
      <w:r w:rsidR="00740E3D" w:rsidRPr="00B87FB1">
        <w:t>c</w:t>
      </w:r>
      <w:r w:rsidRPr="00B87FB1">
        <w:t>)</w:t>
      </w:r>
      <w:r w:rsidR="006B3F95" w:rsidRPr="00B87FB1">
        <w:tab/>
      </w:r>
      <w:r w:rsidR="00740E3D" w:rsidRPr="006B3F95">
        <w:rPr>
          <w:b/>
          <w:highlight w:val="white"/>
        </w:rPr>
        <w:t>Undertake a rigorous analysis of their laws, regulations, policies and programmes, at national and local level, to ensure that those do not result in or contribute to conditions amounting to spatial segregation</w:t>
      </w:r>
      <w:r w:rsidR="00137EC0">
        <w:rPr>
          <w:b/>
          <w:highlight w:val="white"/>
        </w:rPr>
        <w:t>;</w:t>
      </w:r>
    </w:p>
    <w:p w14:paraId="7BF37D52" w14:textId="217972E6" w:rsidR="00DF21E2" w:rsidRDefault="00C37D39" w:rsidP="00B87FB1">
      <w:pPr>
        <w:pStyle w:val="Bullet1G"/>
        <w:numPr>
          <w:ilvl w:val="0"/>
          <w:numId w:val="0"/>
        </w:numPr>
        <w:ind w:left="1134" w:firstLine="567"/>
        <w:rPr>
          <w:b/>
        </w:rPr>
      </w:pPr>
      <w:r w:rsidRPr="00B87FB1">
        <w:rPr>
          <w:highlight w:val="white"/>
        </w:rPr>
        <w:t>(</w:t>
      </w:r>
      <w:r w:rsidR="006B3F95" w:rsidRPr="00B87FB1">
        <w:rPr>
          <w:highlight w:val="white"/>
        </w:rPr>
        <w:t>d</w:t>
      </w:r>
      <w:r w:rsidRPr="00B87FB1">
        <w:rPr>
          <w:highlight w:val="white"/>
        </w:rPr>
        <w:t>)</w:t>
      </w:r>
      <w:r w:rsidR="006B3F95" w:rsidRPr="00B87FB1">
        <w:rPr>
          <w:sz w:val="22"/>
          <w:szCs w:val="22"/>
          <w:highlight w:val="white"/>
        </w:rPr>
        <w:tab/>
      </w:r>
      <w:r w:rsidR="00740E3D" w:rsidRPr="006B3F95">
        <w:rPr>
          <w:b/>
          <w:highlight w:val="white"/>
        </w:rPr>
        <w:t xml:space="preserve">Regularly assess, through disaggregated data, at a ward or </w:t>
      </w:r>
      <w:r w:rsidRPr="006B3F95">
        <w:rPr>
          <w:b/>
          <w:highlight w:val="white"/>
        </w:rPr>
        <w:t>neighbourhood</w:t>
      </w:r>
      <w:r w:rsidR="00740E3D" w:rsidRPr="006B3F95">
        <w:rPr>
          <w:b/>
          <w:highlight w:val="white"/>
        </w:rPr>
        <w:t xml:space="preserve"> level, the spatial distribution of disparate communities, and their access to the enjoyment of all human rights including the right to adequate housing, and make such assessments and data publicly available</w:t>
      </w:r>
      <w:r w:rsidR="00137EC0">
        <w:rPr>
          <w:b/>
          <w:highlight w:val="white"/>
        </w:rPr>
        <w:t>;</w:t>
      </w:r>
    </w:p>
    <w:p w14:paraId="471BB131" w14:textId="660397BF" w:rsidR="00A44A41" w:rsidRDefault="00A44A41" w:rsidP="00B87FB1">
      <w:pPr>
        <w:pStyle w:val="Bullet1G"/>
        <w:numPr>
          <w:ilvl w:val="0"/>
          <w:numId w:val="0"/>
        </w:numPr>
        <w:ind w:left="1134" w:firstLine="567"/>
        <w:rPr>
          <w:b/>
        </w:rPr>
      </w:pPr>
      <w:r>
        <w:tab/>
      </w:r>
      <w:r w:rsidR="00C37D39" w:rsidRPr="00C37D39">
        <w:rPr>
          <w:b/>
        </w:rPr>
        <w:t>(</w:t>
      </w:r>
      <w:r w:rsidRPr="00B87FB1">
        <w:t>e</w:t>
      </w:r>
      <w:r w:rsidR="00C37D39" w:rsidRPr="00B87FB1">
        <w:t>)</w:t>
      </w:r>
      <w:r>
        <w:tab/>
      </w:r>
      <w:r w:rsidRPr="00A44A41">
        <w:rPr>
          <w:b/>
          <w:highlight w:val="white"/>
        </w:rPr>
        <w:t>Adopt measures to regulate the actions of private entities, such as business developers, to ensure that their actions do not create or reinforce spatial segregation, including through the creation of gated communities</w:t>
      </w:r>
      <w:r w:rsidR="00137EC0">
        <w:rPr>
          <w:b/>
          <w:highlight w:val="white"/>
        </w:rPr>
        <w:t>;</w:t>
      </w:r>
    </w:p>
    <w:p w14:paraId="0C698F21" w14:textId="5D52645D" w:rsidR="00A44A41" w:rsidRDefault="00C37D39" w:rsidP="00B87FB1">
      <w:pPr>
        <w:pStyle w:val="Bullet1G"/>
        <w:numPr>
          <w:ilvl w:val="0"/>
          <w:numId w:val="0"/>
        </w:numPr>
        <w:ind w:left="1134" w:firstLine="567"/>
        <w:rPr>
          <w:b/>
        </w:rPr>
      </w:pPr>
      <w:r w:rsidRPr="00B87FB1">
        <w:t>(</w:t>
      </w:r>
      <w:r w:rsidR="00A44A41" w:rsidRPr="00B87FB1">
        <w:t>f</w:t>
      </w:r>
      <w:r w:rsidRPr="00B87FB1">
        <w:t>)</w:t>
      </w:r>
      <w:r w:rsidR="00A44A41">
        <w:tab/>
      </w:r>
      <w:r w:rsidR="00A44A41" w:rsidRPr="00A44A41">
        <w:rPr>
          <w:b/>
        </w:rPr>
        <w:t>Advance policies and measures in urban and land use planning that explicitly address spatial segregation such as inclusionary zoning, land banks and housing voucher programmes for affordable and social housing</w:t>
      </w:r>
      <w:r w:rsidR="00137EC0">
        <w:rPr>
          <w:b/>
        </w:rPr>
        <w:t>;</w:t>
      </w:r>
    </w:p>
    <w:p w14:paraId="48A48ECC" w14:textId="5BF4AA56" w:rsidR="00A44A41" w:rsidRDefault="00A44A41" w:rsidP="00B87FB1">
      <w:pPr>
        <w:pStyle w:val="Bullet1G"/>
        <w:numPr>
          <w:ilvl w:val="0"/>
          <w:numId w:val="0"/>
        </w:numPr>
        <w:ind w:left="1134" w:firstLine="567"/>
        <w:rPr>
          <w:b/>
          <w:highlight w:val="white"/>
        </w:rPr>
      </w:pPr>
      <w:r w:rsidRPr="00B87FB1">
        <w:rPr>
          <w:highlight w:val="white"/>
        </w:rPr>
        <w:tab/>
      </w:r>
      <w:r w:rsidR="00C37D39" w:rsidRPr="00B87FB1">
        <w:rPr>
          <w:highlight w:val="white"/>
        </w:rPr>
        <w:t>(</w:t>
      </w:r>
      <w:r w:rsidRPr="00B87FB1">
        <w:rPr>
          <w:highlight w:val="white"/>
        </w:rPr>
        <w:t>g</w:t>
      </w:r>
      <w:r w:rsidR="00C37D39" w:rsidRPr="00B87FB1">
        <w:rPr>
          <w:highlight w:val="white"/>
        </w:rPr>
        <w:t>)</w:t>
      </w:r>
      <w:r>
        <w:rPr>
          <w:highlight w:val="white"/>
        </w:rPr>
        <w:tab/>
      </w:r>
      <w:r w:rsidRPr="00A44A41">
        <w:rPr>
          <w:b/>
          <w:highlight w:val="white"/>
        </w:rPr>
        <w:t xml:space="preserve">Reform urban and territorial planning mechanisms to ensure </w:t>
      </w:r>
      <w:r w:rsidRPr="00A44A41">
        <w:rPr>
          <w:b/>
        </w:rPr>
        <w:t>non-discrimination and resident participation in the application of zoning, land use and other development measures</w:t>
      </w:r>
      <w:r w:rsidR="00137EC0">
        <w:rPr>
          <w:b/>
        </w:rPr>
        <w:t>;</w:t>
      </w:r>
    </w:p>
    <w:p w14:paraId="6C070F95" w14:textId="65B3EBF3" w:rsidR="00A44A41" w:rsidRDefault="00177098" w:rsidP="00B87FB1">
      <w:pPr>
        <w:pStyle w:val="Bullet1G"/>
        <w:numPr>
          <w:ilvl w:val="0"/>
          <w:numId w:val="0"/>
        </w:numPr>
        <w:ind w:left="1134" w:firstLine="567"/>
        <w:rPr>
          <w:highlight w:val="white"/>
        </w:rPr>
      </w:pPr>
      <w:r w:rsidRPr="00B87FB1">
        <w:rPr>
          <w:highlight w:val="white"/>
        </w:rPr>
        <w:t>(h)</w:t>
      </w:r>
      <w:r w:rsidR="00A44A41">
        <w:rPr>
          <w:highlight w:val="white"/>
        </w:rPr>
        <w:tab/>
      </w:r>
      <w:r w:rsidR="00A44A41" w:rsidRPr="00A44A41">
        <w:rPr>
          <w:b/>
          <w:highlight w:val="white"/>
        </w:rPr>
        <w:t>Develop and continue investing in participatory and in-situ upgrading programmes for informal settlements</w:t>
      </w:r>
      <w:r w:rsidR="00682690">
        <w:rPr>
          <w:b/>
          <w:highlight w:val="white"/>
        </w:rPr>
        <w:t>;</w:t>
      </w:r>
    </w:p>
    <w:p w14:paraId="65EDC169" w14:textId="4CF8F763" w:rsidR="00A44A41" w:rsidRDefault="00A44A41" w:rsidP="00B87FB1">
      <w:pPr>
        <w:pStyle w:val="Bullet1G"/>
        <w:numPr>
          <w:ilvl w:val="0"/>
          <w:numId w:val="0"/>
        </w:numPr>
        <w:ind w:left="1134" w:firstLine="567"/>
        <w:rPr>
          <w:b/>
          <w:highlight w:val="white"/>
        </w:rPr>
      </w:pPr>
      <w:r w:rsidRPr="00B87FB1">
        <w:rPr>
          <w:highlight w:val="white"/>
        </w:rPr>
        <w:tab/>
      </w:r>
      <w:r w:rsidR="00C37D39" w:rsidRPr="00B87FB1">
        <w:rPr>
          <w:highlight w:val="white"/>
        </w:rPr>
        <w:t>(</w:t>
      </w:r>
      <w:proofErr w:type="spellStart"/>
      <w:r w:rsidRPr="00B87FB1">
        <w:rPr>
          <w:highlight w:val="white"/>
        </w:rPr>
        <w:t>i</w:t>
      </w:r>
      <w:proofErr w:type="spellEnd"/>
      <w:r w:rsidR="00C37D39" w:rsidRPr="00B87FB1">
        <w:rPr>
          <w:highlight w:val="white"/>
        </w:rPr>
        <w:t>)</w:t>
      </w:r>
      <w:r>
        <w:rPr>
          <w:highlight w:val="white"/>
        </w:rPr>
        <w:tab/>
      </w:r>
      <w:r w:rsidRPr="00A44A41">
        <w:rPr>
          <w:b/>
          <w:highlight w:val="white"/>
        </w:rPr>
        <w:t>Reduce the spatial segregation of asylum-seekers, refugees, migrants, persons experiencing homelessness, older persons, persons with disabilities and other marginalized groups in institutional settings through the provision of individual and decentralized housing with ambulant social and health services when necessary</w:t>
      </w:r>
      <w:r w:rsidR="00137EC0">
        <w:rPr>
          <w:b/>
          <w:highlight w:val="white"/>
        </w:rPr>
        <w:t>;</w:t>
      </w:r>
    </w:p>
    <w:p w14:paraId="6D21C3C4" w14:textId="60CC1FC8" w:rsidR="00A44A41" w:rsidRDefault="00C37D39" w:rsidP="00B87FB1">
      <w:pPr>
        <w:pStyle w:val="Bullet1G"/>
        <w:numPr>
          <w:ilvl w:val="0"/>
          <w:numId w:val="0"/>
        </w:numPr>
        <w:ind w:left="1134" w:firstLine="567"/>
        <w:rPr>
          <w:b/>
          <w:highlight w:val="white"/>
        </w:rPr>
      </w:pPr>
      <w:r w:rsidRPr="00B87FB1">
        <w:rPr>
          <w:highlight w:val="white"/>
        </w:rPr>
        <w:t>(</w:t>
      </w:r>
      <w:r w:rsidR="00A44A41" w:rsidRPr="00B87FB1">
        <w:rPr>
          <w:highlight w:val="white"/>
        </w:rPr>
        <w:t>j</w:t>
      </w:r>
      <w:r w:rsidRPr="00B87FB1">
        <w:rPr>
          <w:highlight w:val="white"/>
        </w:rPr>
        <w:t>)</w:t>
      </w:r>
      <w:r w:rsidR="00A44A41">
        <w:rPr>
          <w:highlight w:val="white"/>
        </w:rPr>
        <w:tab/>
      </w:r>
      <w:r w:rsidR="00A44A41" w:rsidRPr="00A44A41">
        <w:rPr>
          <w:b/>
          <w:highlight w:val="white"/>
        </w:rPr>
        <w:t xml:space="preserve">Counter economic and social trends to ensure that the </w:t>
      </w:r>
      <w:proofErr w:type="spellStart"/>
      <w:r w:rsidR="00A44A41" w:rsidRPr="00A44A41">
        <w:rPr>
          <w:b/>
          <w:highlight w:val="white"/>
        </w:rPr>
        <w:t>financialization</w:t>
      </w:r>
      <w:proofErr w:type="spellEnd"/>
      <w:r w:rsidR="00A44A41" w:rsidRPr="00A44A41">
        <w:rPr>
          <w:b/>
          <w:highlight w:val="white"/>
        </w:rPr>
        <w:t xml:space="preserve"> of housing and land use policies, patterns of migration and displacement do not result in concentrations of marginalized people in locations remote from services, employment opportunities, schooling, healthcare and others, or in the proximity of toxics or waste disposal sites</w:t>
      </w:r>
      <w:r w:rsidR="00137EC0">
        <w:rPr>
          <w:b/>
          <w:highlight w:val="white"/>
        </w:rPr>
        <w:t>;</w:t>
      </w:r>
    </w:p>
    <w:p w14:paraId="43602240" w14:textId="77777777" w:rsidR="00250604" w:rsidRDefault="00250604" w:rsidP="00B87FB1">
      <w:pPr>
        <w:pStyle w:val="Bullet1G"/>
        <w:numPr>
          <w:ilvl w:val="0"/>
          <w:numId w:val="0"/>
        </w:numPr>
        <w:ind w:left="1134" w:firstLine="567"/>
        <w:rPr>
          <w:b/>
          <w:highlight w:val="white"/>
        </w:rPr>
      </w:pPr>
      <w:r w:rsidRPr="00B87FB1">
        <w:rPr>
          <w:highlight w:val="white"/>
        </w:rPr>
        <w:tab/>
      </w:r>
      <w:r w:rsidR="00C37D39" w:rsidRPr="00B87FB1">
        <w:rPr>
          <w:highlight w:val="white"/>
        </w:rPr>
        <w:t>(</w:t>
      </w:r>
      <w:r w:rsidRPr="00B87FB1">
        <w:rPr>
          <w:highlight w:val="white"/>
        </w:rPr>
        <w:t>k</w:t>
      </w:r>
      <w:r w:rsidR="00C37D39" w:rsidRPr="00B87FB1">
        <w:rPr>
          <w:highlight w:val="white"/>
        </w:rPr>
        <w:t>)</w:t>
      </w:r>
      <w:r>
        <w:rPr>
          <w:highlight w:val="white"/>
        </w:rPr>
        <w:tab/>
      </w:r>
      <w:r w:rsidRPr="00250604">
        <w:rPr>
          <w:b/>
          <w:highlight w:val="white"/>
        </w:rPr>
        <w:t>Prioritize mitigation and preparedness efforts for communities living in environmentally risk zones, as well as recovery aid for communities affected by natural disasters.</w:t>
      </w:r>
    </w:p>
    <w:p w14:paraId="5A0EC864" w14:textId="626A1BCA" w:rsidR="004964B0" w:rsidRPr="004964B0" w:rsidRDefault="004964B0" w:rsidP="00B87FB1">
      <w:pPr>
        <w:pStyle w:val="Bullet1G"/>
        <w:numPr>
          <w:ilvl w:val="0"/>
          <w:numId w:val="0"/>
        </w:numPr>
        <w:spacing w:before="240" w:after="0"/>
        <w:ind w:left="1134" w:firstLine="567"/>
        <w:jc w:val="center"/>
        <w:rPr>
          <w:highlight w:val="white"/>
          <w:u w:val="single"/>
        </w:rPr>
      </w:pPr>
      <w:r>
        <w:rPr>
          <w:highlight w:val="white"/>
          <w:u w:val="single"/>
        </w:rPr>
        <w:tab/>
      </w:r>
      <w:r>
        <w:rPr>
          <w:highlight w:val="white"/>
          <w:u w:val="single"/>
        </w:rPr>
        <w:tab/>
      </w:r>
      <w:r>
        <w:rPr>
          <w:highlight w:val="white"/>
          <w:u w:val="single"/>
        </w:rPr>
        <w:tab/>
      </w:r>
      <w:r w:rsidR="00B87FB1">
        <w:rPr>
          <w:highlight w:val="white"/>
          <w:u w:val="single"/>
        </w:rPr>
        <w:tab/>
      </w:r>
    </w:p>
    <w:sectPr w:rsidR="004964B0" w:rsidRPr="004964B0" w:rsidSect="007F3CD9">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C5F7" w16cex:dateUtc="2022-03-03T21:52:00Z"/>
  <w16cex:commentExtensible w16cex:durableId="25CBC5F8" w16cex:dateUtc="2022-03-03T21:35:00Z"/>
  <w16cex:commentExtensible w16cex:durableId="25CBC5F9" w16cex:dateUtc="2022-03-03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99899" w16cid:durableId="25CBC5F7"/>
  <w16cid:commentId w16cid:paraId="4EEFE62B" w16cid:durableId="25CBC5F8"/>
  <w16cid:commentId w16cid:paraId="645DEF7D" w16cid:durableId="25CBC5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13B94" w14:textId="77777777" w:rsidR="001B3811" w:rsidRDefault="001B3811"/>
  </w:endnote>
  <w:endnote w:type="continuationSeparator" w:id="0">
    <w:p w14:paraId="6679F224" w14:textId="77777777" w:rsidR="001B3811" w:rsidRDefault="001B3811"/>
  </w:endnote>
  <w:endnote w:type="continuationNotice" w:id="1">
    <w:p w14:paraId="36C5D37C" w14:textId="77777777" w:rsidR="001B3811" w:rsidRDefault="001B3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71B6" w14:textId="772D8593" w:rsidR="006D5915" w:rsidRPr="007F3CD9" w:rsidRDefault="006D5915" w:rsidP="007F3CD9">
    <w:pPr>
      <w:pStyle w:val="Footer"/>
      <w:tabs>
        <w:tab w:val="right" w:pos="9638"/>
      </w:tabs>
      <w:rPr>
        <w:sz w:val="18"/>
      </w:rPr>
    </w:pPr>
    <w:r w:rsidRPr="007F3CD9">
      <w:rPr>
        <w:b/>
        <w:sz w:val="18"/>
      </w:rPr>
      <w:fldChar w:fldCharType="begin"/>
    </w:r>
    <w:r w:rsidRPr="007F3CD9">
      <w:rPr>
        <w:b/>
        <w:sz w:val="18"/>
      </w:rPr>
      <w:instrText xml:space="preserve"> PAGE  \* MERGEFORMAT </w:instrText>
    </w:r>
    <w:r w:rsidRPr="007F3CD9">
      <w:rPr>
        <w:b/>
        <w:sz w:val="18"/>
      </w:rPr>
      <w:fldChar w:fldCharType="separate"/>
    </w:r>
    <w:r w:rsidR="0027512E">
      <w:rPr>
        <w:b/>
        <w:noProof/>
        <w:sz w:val="18"/>
      </w:rPr>
      <w:t>20</w:t>
    </w:r>
    <w:r w:rsidRPr="007F3CD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18F8" w14:textId="1B1B83EC" w:rsidR="006D5915" w:rsidRPr="007F3CD9" w:rsidRDefault="006D5915" w:rsidP="007F3CD9">
    <w:pPr>
      <w:pStyle w:val="Footer"/>
      <w:tabs>
        <w:tab w:val="right" w:pos="9638"/>
      </w:tabs>
      <w:rPr>
        <w:b/>
        <w:sz w:val="18"/>
      </w:rPr>
    </w:pPr>
    <w:r>
      <w:tab/>
    </w:r>
    <w:r w:rsidRPr="007F3CD9">
      <w:rPr>
        <w:b/>
        <w:sz w:val="18"/>
      </w:rPr>
      <w:fldChar w:fldCharType="begin"/>
    </w:r>
    <w:r w:rsidRPr="007F3CD9">
      <w:rPr>
        <w:b/>
        <w:sz w:val="18"/>
      </w:rPr>
      <w:instrText xml:space="preserve"> PAGE  \* MERGEFORMAT </w:instrText>
    </w:r>
    <w:r w:rsidRPr="007F3CD9">
      <w:rPr>
        <w:b/>
        <w:sz w:val="18"/>
      </w:rPr>
      <w:fldChar w:fldCharType="separate"/>
    </w:r>
    <w:r w:rsidR="0027512E">
      <w:rPr>
        <w:b/>
        <w:noProof/>
        <w:sz w:val="18"/>
      </w:rPr>
      <w:t>19</w:t>
    </w:r>
    <w:r w:rsidRPr="007F3CD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3CDDF" w14:textId="77777777" w:rsidR="001B3811" w:rsidRPr="000B175B" w:rsidRDefault="001B3811" w:rsidP="000B175B">
      <w:pPr>
        <w:tabs>
          <w:tab w:val="right" w:pos="2155"/>
        </w:tabs>
        <w:spacing w:after="80"/>
        <w:ind w:left="680"/>
        <w:rPr>
          <w:u w:val="single"/>
        </w:rPr>
      </w:pPr>
      <w:r>
        <w:rPr>
          <w:u w:val="single"/>
        </w:rPr>
        <w:tab/>
      </w:r>
    </w:p>
  </w:footnote>
  <w:footnote w:type="continuationSeparator" w:id="0">
    <w:p w14:paraId="798B2E16" w14:textId="77777777" w:rsidR="001B3811" w:rsidRPr="00FC68B7" w:rsidRDefault="001B3811" w:rsidP="00FC68B7">
      <w:pPr>
        <w:tabs>
          <w:tab w:val="left" w:pos="2155"/>
        </w:tabs>
        <w:spacing w:after="80"/>
        <w:ind w:left="680"/>
        <w:rPr>
          <w:u w:val="single"/>
        </w:rPr>
      </w:pPr>
      <w:r>
        <w:rPr>
          <w:u w:val="single"/>
        </w:rPr>
        <w:tab/>
      </w:r>
    </w:p>
  </w:footnote>
  <w:footnote w:type="continuationNotice" w:id="1">
    <w:p w14:paraId="590CD1F2" w14:textId="77777777" w:rsidR="001B3811" w:rsidRDefault="001B3811"/>
  </w:footnote>
  <w:footnote w:id="2">
    <w:p w14:paraId="39542A2C" w14:textId="77777777" w:rsidR="006D5915" w:rsidRPr="00330E9B" w:rsidRDefault="006D5915">
      <w:pPr>
        <w:pStyle w:val="FootnoteText"/>
      </w:pPr>
      <w:r>
        <w:rPr>
          <w:rStyle w:val="FootnoteReference"/>
        </w:rPr>
        <w:tab/>
      </w:r>
      <w:r w:rsidRPr="00330E9B">
        <w:rPr>
          <w:rStyle w:val="FootnoteReference"/>
          <w:sz w:val="20"/>
          <w:vertAlign w:val="baseline"/>
        </w:rPr>
        <w:t>*</w:t>
      </w:r>
      <w:r>
        <w:rPr>
          <w:rStyle w:val="FootnoteReference"/>
          <w:sz w:val="20"/>
          <w:vertAlign w:val="baseline"/>
        </w:rPr>
        <w:tab/>
      </w:r>
      <w:r>
        <w:t>The present report was submitted after the deadline in order to reflect the most recent developments.</w:t>
      </w:r>
    </w:p>
  </w:footnote>
  <w:footnote w:id="3">
    <w:p w14:paraId="6CE2B8FE" w14:textId="77777777" w:rsidR="006D5915" w:rsidRPr="00682690" w:rsidRDefault="006D5915" w:rsidP="00A76BF8">
      <w:pPr>
        <w:pStyle w:val="FootnoteText"/>
        <w:rPr>
          <w:lang w:val="es-ES_tradnl"/>
        </w:rPr>
      </w:pPr>
      <w:r>
        <w:tab/>
      </w:r>
      <w:r>
        <w:rPr>
          <w:rStyle w:val="FootnoteReference"/>
        </w:rPr>
        <w:footnoteRef/>
      </w:r>
      <w:r w:rsidRPr="00682690">
        <w:rPr>
          <w:lang w:val="es-ES_tradnl"/>
        </w:rPr>
        <w:tab/>
      </w:r>
      <w:r w:rsidRPr="001016A6">
        <w:rPr>
          <w:lang w:val="es-ES_tradnl"/>
        </w:rPr>
        <w:t>E/CN.4/Sub.2/1994/</w:t>
      </w:r>
      <w:r w:rsidRPr="00682690">
        <w:rPr>
          <w:lang w:val="es-ES_tradnl"/>
        </w:rPr>
        <w:t>20</w:t>
      </w:r>
      <w:r w:rsidRPr="001016A6">
        <w:rPr>
          <w:lang w:val="es-ES_tradnl"/>
        </w:rPr>
        <w:t>, para. 6</w:t>
      </w:r>
      <w:r w:rsidRPr="00682690">
        <w:rPr>
          <w:lang w:val="es-ES_tradnl"/>
        </w:rPr>
        <w:t>.</w:t>
      </w:r>
    </w:p>
  </w:footnote>
  <w:footnote w:id="4">
    <w:p w14:paraId="50DFCE66" w14:textId="77777777" w:rsidR="006D5915" w:rsidRPr="00682690" w:rsidRDefault="006D5915" w:rsidP="005F39C4">
      <w:pPr>
        <w:pStyle w:val="FootnoteText"/>
        <w:rPr>
          <w:lang w:val="es-ES_tradnl"/>
        </w:rPr>
      </w:pPr>
      <w:r w:rsidRPr="00682690">
        <w:rPr>
          <w:lang w:val="es-ES_tradnl"/>
        </w:rPr>
        <w:tab/>
      </w:r>
      <w:r>
        <w:rPr>
          <w:rStyle w:val="FootnoteReference"/>
        </w:rPr>
        <w:footnoteRef/>
      </w:r>
      <w:r w:rsidRPr="00682690">
        <w:rPr>
          <w:lang w:val="es-ES_tradnl"/>
        </w:rPr>
        <w:tab/>
      </w:r>
      <w:hyperlink r:id="rId1">
        <w:r w:rsidRPr="000436CA">
          <w:rPr>
            <w:lang w:val="es-ES_tradnl"/>
          </w:rPr>
          <w:t>E/CN.4/2001/51</w:t>
        </w:r>
      </w:hyperlink>
      <w:r w:rsidRPr="000436CA">
        <w:rPr>
          <w:lang w:val="es-ES_tradnl"/>
        </w:rPr>
        <w:t xml:space="preserve">, </w:t>
      </w:r>
      <w:hyperlink r:id="rId2">
        <w:r w:rsidRPr="000436CA">
          <w:rPr>
            <w:lang w:val="es-ES_tradnl"/>
          </w:rPr>
          <w:t>E/CN.4/2002/59</w:t>
        </w:r>
      </w:hyperlink>
      <w:r w:rsidRPr="000436CA">
        <w:rPr>
          <w:lang w:val="es-ES_tradnl"/>
        </w:rPr>
        <w:t xml:space="preserve">, </w:t>
      </w:r>
      <w:hyperlink r:id="rId3">
        <w:r w:rsidRPr="000436CA">
          <w:rPr>
            <w:lang w:val="es-ES_tradnl"/>
          </w:rPr>
          <w:t>E/CN.4/2003/5</w:t>
        </w:r>
      </w:hyperlink>
      <w:r w:rsidRPr="000436CA">
        <w:rPr>
          <w:lang w:val="es-ES_tradnl"/>
        </w:rPr>
        <w:t xml:space="preserve">, </w:t>
      </w:r>
      <w:hyperlink r:id="rId4">
        <w:r w:rsidRPr="000436CA">
          <w:rPr>
            <w:lang w:val="es-ES_tradnl"/>
          </w:rPr>
          <w:t>E/CN.4/2004/48</w:t>
        </w:r>
      </w:hyperlink>
      <w:r w:rsidRPr="000436CA">
        <w:rPr>
          <w:lang w:val="es-ES_tradnl"/>
        </w:rPr>
        <w:t xml:space="preserve">, </w:t>
      </w:r>
      <w:hyperlink r:id="rId5">
        <w:r w:rsidRPr="000436CA">
          <w:rPr>
            <w:lang w:val="es-ES_tradnl"/>
          </w:rPr>
          <w:t>E/CN.4/2005/48</w:t>
        </w:r>
      </w:hyperlink>
      <w:r w:rsidRPr="000436CA">
        <w:rPr>
          <w:lang w:val="es-ES_tradnl"/>
        </w:rPr>
        <w:t xml:space="preserve">, </w:t>
      </w:r>
      <w:hyperlink r:id="rId6">
        <w:r w:rsidRPr="000436CA">
          <w:rPr>
            <w:lang w:val="es-ES_tradnl"/>
          </w:rPr>
          <w:t>E/CN.4/2006/41</w:t>
        </w:r>
      </w:hyperlink>
      <w:r w:rsidRPr="00682690">
        <w:rPr>
          <w:lang w:val="es-ES_tradnl"/>
        </w:rPr>
        <w:t>.</w:t>
      </w:r>
    </w:p>
  </w:footnote>
  <w:footnote w:id="5">
    <w:p w14:paraId="34FE0F13" w14:textId="77777777" w:rsidR="006D5915" w:rsidRPr="00682690" w:rsidRDefault="006D5915" w:rsidP="005F39C4">
      <w:pPr>
        <w:pStyle w:val="FootnoteText"/>
        <w:widowControl w:val="0"/>
        <w:tabs>
          <w:tab w:val="clear" w:pos="1021"/>
          <w:tab w:val="right" w:pos="1020"/>
        </w:tabs>
        <w:rPr>
          <w:lang w:val="es-ES_tradnl"/>
        </w:rPr>
      </w:pPr>
      <w:r w:rsidRPr="00682690">
        <w:rPr>
          <w:lang w:val="es-ES_tradnl"/>
        </w:rPr>
        <w:tab/>
      </w:r>
      <w:r>
        <w:rPr>
          <w:rStyle w:val="FootnoteReference"/>
        </w:rPr>
        <w:footnoteRef/>
      </w:r>
      <w:r w:rsidRPr="00682690">
        <w:rPr>
          <w:lang w:val="es-ES_tradnl"/>
        </w:rPr>
        <w:tab/>
      </w:r>
      <w:hyperlink r:id="rId7">
        <w:r w:rsidRPr="000436CA">
          <w:rPr>
            <w:lang w:val="es-ES_tradnl"/>
          </w:rPr>
          <w:t>E/CN.4/2002/59</w:t>
        </w:r>
      </w:hyperlink>
      <w:r w:rsidRPr="00682690">
        <w:rPr>
          <w:lang w:val="es-ES_tradnl"/>
        </w:rPr>
        <w:t>.</w:t>
      </w:r>
    </w:p>
  </w:footnote>
  <w:footnote w:id="6">
    <w:p w14:paraId="11951496" w14:textId="77777777" w:rsidR="006D5915" w:rsidRPr="00682690" w:rsidRDefault="006D5915" w:rsidP="005F39C4">
      <w:pPr>
        <w:pStyle w:val="FootnoteText"/>
        <w:widowControl w:val="0"/>
        <w:tabs>
          <w:tab w:val="clear" w:pos="1021"/>
          <w:tab w:val="right" w:pos="1020"/>
        </w:tabs>
        <w:rPr>
          <w:lang w:val="es-ES_tradnl"/>
        </w:rPr>
      </w:pPr>
      <w:r w:rsidRPr="00682690">
        <w:rPr>
          <w:lang w:val="es-ES_tradnl"/>
        </w:rPr>
        <w:tab/>
      </w:r>
      <w:r>
        <w:rPr>
          <w:rStyle w:val="FootnoteReference"/>
        </w:rPr>
        <w:footnoteRef/>
      </w:r>
      <w:r w:rsidRPr="00682690">
        <w:rPr>
          <w:lang w:val="es-ES_tradnl"/>
        </w:rPr>
        <w:tab/>
      </w:r>
      <w:hyperlink r:id="rId8">
        <w:r w:rsidRPr="000436CA">
          <w:rPr>
            <w:lang w:val="es-ES_tradnl"/>
          </w:rPr>
          <w:t>E/CN.4/2004/48</w:t>
        </w:r>
      </w:hyperlink>
      <w:r w:rsidRPr="00682690">
        <w:rPr>
          <w:lang w:val="es-ES_tradnl"/>
        </w:rPr>
        <w:t>.</w:t>
      </w:r>
    </w:p>
  </w:footnote>
  <w:footnote w:id="7">
    <w:p w14:paraId="1F437950" w14:textId="77777777" w:rsidR="006D5915" w:rsidRPr="00682690" w:rsidRDefault="006D5915" w:rsidP="000436CA">
      <w:pPr>
        <w:pStyle w:val="FootnoteText"/>
        <w:rPr>
          <w:lang w:val="es-ES_tradnl"/>
        </w:rPr>
      </w:pPr>
      <w:r w:rsidRPr="00682690">
        <w:rPr>
          <w:lang w:val="es-ES_tradnl"/>
        </w:rPr>
        <w:tab/>
      </w:r>
      <w:r>
        <w:rPr>
          <w:rStyle w:val="FootnoteReference"/>
        </w:rPr>
        <w:footnoteRef/>
      </w:r>
      <w:r w:rsidRPr="00682690">
        <w:rPr>
          <w:lang w:val="es-ES_tradnl"/>
        </w:rPr>
        <w:tab/>
      </w:r>
      <w:hyperlink r:id="rId9">
        <w:r w:rsidRPr="000436CA">
          <w:rPr>
            <w:lang w:val="es-ES_tradnl"/>
          </w:rPr>
          <w:t>E/CN.4/</w:t>
        </w:r>
        <w:r w:rsidRPr="00682690">
          <w:rPr>
            <w:lang w:val="es-ES_tradnl"/>
          </w:rPr>
          <w:t>2005</w:t>
        </w:r>
        <w:r w:rsidRPr="000436CA">
          <w:rPr>
            <w:lang w:val="es-ES_tradnl"/>
          </w:rPr>
          <w:t>/48</w:t>
        </w:r>
      </w:hyperlink>
      <w:r w:rsidRPr="00682690">
        <w:rPr>
          <w:lang w:val="es-ES_tradnl"/>
        </w:rPr>
        <w:t>.</w:t>
      </w:r>
    </w:p>
  </w:footnote>
  <w:footnote w:id="8">
    <w:p w14:paraId="7A91BC17" w14:textId="77777777" w:rsidR="006D5915" w:rsidRPr="00682690" w:rsidRDefault="006D5915" w:rsidP="005F39C4">
      <w:pPr>
        <w:pStyle w:val="FootnoteText"/>
        <w:widowControl w:val="0"/>
        <w:tabs>
          <w:tab w:val="clear" w:pos="1021"/>
          <w:tab w:val="right" w:pos="1020"/>
        </w:tabs>
        <w:rPr>
          <w:lang w:val="es-ES_tradnl"/>
        </w:rPr>
      </w:pPr>
      <w:r w:rsidRPr="00682690">
        <w:rPr>
          <w:lang w:val="es-ES_tradnl"/>
        </w:rPr>
        <w:tab/>
      </w:r>
      <w:r>
        <w:rPr>
          <w:rStyle w:val="FootnoteReference"/>
        </w:rPr>
        <w:footnoteRef/>
      </w:r>
      <w:r w:rsidRPr="00682690">
        <w:rPr>
          <w:lang w:val="es-ES_tradnl"/>
        </w:rPr>
        <w:tab/>
      </w:r>
      <w:hyperlink r:id="rId10">
        <w:r w:rsidRPr="000436CA">
          <w:rPr>
            <w:lang w:val="es-ES_tradnl"/>
          </w:rPr>
          <w:t>E/CN.4/2006/41</w:t>
        </w:r>
      </w:hyperlink>
      <w:r w:rsidRPr="00682690">
        <w:rPr>
          <w:lang w:val="es-ES_tradnl"/>
        </w:rPr>
        <w:t>.</w:t>
      </w:r>
    </w:p>
  </w:footnote>
  <w:footnote w:id="9">
    <w:p w14:paraId="43E9A9E1" w14:textId="77777777" w:rsidR="006D5915" w:rsidRDefault="006D5915" w:rsidP="005F39C4">
      <w:pPr>
        <w:pStyle w:val="FootnoteText"/>
        <w:widowControl w:val="0"/>
        <w:tabs>
          <w:tab w:val="clear" w:pos="1021"/>
          <w:tab w:val="right" w:pos="1020"/>
        </w:tabs>
      </w:pPr>
      <w:r w:rsidRPr="00682690">
        <w:rPr>
          <w:lang w:val="es-ES_tradnl"/>
        </w:rPr>
        <w:tab/>
      </w:r>
      <w:r>
        <w:rPr>
          <w:rStyle w:val="FootnoteReference"/>
        </w:rPr>
        <w:footnoteRef/>
      </w:r>
      <w:r>
        <w:tab/>
      </w:r>
      <w:hyperlink r:id="rId11">
        <w:r w:rsidRPr="00682690">
          <w:t>A/67/286</w:t>
        </w:r>
      </w:hyperlink>
      <w:r>
        <w:t>.</w:t>
      </w:r>
    </w:p>
  </w:footnote>
  <w:footnote w:id="10">
    <w:p w14:paraId="7626E963" w14:textId="77777777" w:rsidR="006D5915" w:rsidRDefault="006D5915" w:rsidP="005F39C4">
      <w:pPr>
        <w:pStyle w:val="FootnoteText"/>
        <w:widowControl w:val="0"/>
        <w:tabs>
          <w:tab w:val="clear" w:pos="1021"/>
          <w:tab w:val="right" w:pos="1020"/>
        </w:tabs>
      </w:pPr>
      <w:r>
        <w:tab/>
      </w:r>
      <w:r>
        <w:rPr>
          <w:rStyle w:val="FootnoteReference"/>
        </w:rPr>
        <w:footnoteRef/>
      </w:r>
      <w:r>
        <w:tab/>
      </w:r>
      <w:hyperlink r:id="rId12">
        <w:r w:rsidRPr="00682690">
          <w:t>A/65/261</w:t>
        </w:r>
      </w:hyperlink>
      <w:r>
        <w:t>.</w:t>
      </w:r>
    </w:p>
  </w:footnote>
  <w:footnote w:id="11">
    <w:p w14:paraId="4DD47433" w14:textId="77777777" w:rsidR="006D5915" w:rsidRDefault="006D5915" w:rsidP="005F39C4">
      <w:pPr>
        <w:pStyle w:val="FootnoteText"/>
        <w:widowControl w:val="0"/>
        <w:tabs>
          <w:tab w:val="clear" w:pos="1021"/>
          <w:tab w:val="right" w:pos="1020"/>
        </w:tabs>
      </w:pPr>
      <w:r>
        <w:tab/>
      </w:r>
      <w:r>
        <w:rPr>
          <w:rStyle w:val="FootnoteReference"/>
        </w:rPr>
        <w:footnoteRef/>
      </w:r>
      <w:r>
        <w:tab/>
      </w:r>
      <w:hyperlink r:id="rId13">
        <w:r w:rsidRPr="00682690">
          <w:t>A/HRC/34/51</w:t>
        </w:r>
      </w:hyperlink>
      <w:r w:rsidRPr="00682690">
        <w:t>.</w:t>
      </w:r>
    </w:p>
  </w:footnote>
  <w:footnote w:id="12">
    <w:p w14:paraId="6A7A9E78" w14:textId="77777777" w:rsidR="006D5915" w:rsidRDefault="006D5915" w:rsidP="005F39C4">
      <w:pPr>
        <w:pStyle w:val="FootnoteText"/>
        <w:widowControl w:val="0"/>
        <w:tabs>
          <w:tab w:val="clear" w:pos="1021"/>
          <w:tab w:val="right" w:pos="1020"/>
        </w:tabs>
      </w:pPr>
      <w:r>
        <w:tab/>
      </w:r>
      <w:r>
        <w:rPr>
          <w:rStyle w:val="FootnoteReference"/>
        </w:rPr>
        <w:footnoteRef/>
      </w:r>
      <w:r>
        <w:tab/>
      </w:r>
      <w:r>
        <w:rPr>
          <w:color w:val="000000"/>
          <w:szCs w:val="18"/>
        </w:rPr>
        <w:t>Ibid.</w:t>
      </w:r>
      <w:r>
        <w:t xml:space="preserve"> </w:t>
      </w:r>
    </w:p>
  </w:footnote>
  <w:footnote w:id="13">
    <w:p w14:paraId="7D1E488B" w14:textId="77777777" w:rsidR="006D5915" w:rsidRDefault="006D5915" w:rsidP="00A701D3">
      <w:pPr>
        <w:pStyle w:val="FootnoteText"/>
        <w:widowControl w:val="0"/>
        <w:tabs>
          <w:tab w:val="clear" w:pos="1021"/>
          <w:tab w:val="right" w:pos="1020"/>
        </w:tabs>
      </w:pPr>
      <w:r>
        <w:tab/>
      </w:r>
      <w:r>
        <w:rPr>
          <w:rStyle w:val="FootnoteReference"/>
        </w:rPr>
        <w:footnoteRef/>
      </w:r>
      <w:r>
        <w:tab/>
      </w:r>
      <w:r w:rsidRPr="000436CA">
        <w:t>A/HRC/22/46/Add.1, A/HRC/31/54/Add.2, A/HRC/37/53/Add.1 and A/HRC/43/43/Add.2</w:t>
      </w:r>
      <w:r>
        <w:t>.</w:t>
      </w:r>
    </w:p>
  </w:footnote>
  <w:footnote w:id="14">
    <w:p w14:paraId="0DD1EC5E" w14:textId="7DF2E223" w:rsidR="006D5915" w:rsidRPr="00A701D3" w:rsidRDefault="006D5915" w:rsidP="00A701D3">
      <w:pPr>
        <w:pStyle w:val="FootnoteText"/>
      </w:pPr>
      <w:r>
        <w:tab/>
      </w:r>
      <w:r>
        <w:rPr>
          <w:rStyle w:val="FootnoteReference"/>
        </w:rPr>
        <w:footnoteRef/>
      </w:r>
      <w:r>
        <w:tab/>
        <w:t xml:space="preserve">See for example </w:t>
      </w:r>
      <w:r w:rsidR="00682690">
        <w:t>c</w:t>
      </w:r>
      <w:r>
        <w:t xml:space="preserve">ommunications related to Denmark, DNK 3/2020 from 16 October 2020 and the response of the </w:t>
      </w:r>
      <w:r w:rsidRPr="00A701D3">
        <w:t xml:space="preserve">Government from 11 January 2021, to Albania, ALB 1/2015 from 29 June 2015 and the response from the Government from 29 December 2015. </w:t>
      </w:r>
    </w:p>
  </w:footnote>
  <w:footnote w:id="15">
    <w:p w14:paraId="57DDD01F" w14:textId="26D26F17" w:rsidR="006D5915" w:rsidRDefault="006D5915" w:rsidP="00993858">
      <w:pPr>
        <w:pStyle w:val="FootnoteText"/>
      </w:pPr>
      <w:r>
        <w:tab/>
      </w:r>
      <w:r>
        <w:rPr>
          <w:rStyle w:val="FootnoteReference"/>
        </w:rPr>
        <w:footnoteRef/>
      </w:r>
      <w:r>
        <w:tab/>
        <w:t>See A/HRC/47/53.</w:t>
      </w:r>
    </w:p>
  </w:footnote>
  <w:footnote w:id="16">
    <w:p w14:paraId="738620C8" w14:textId="760270E3" w:rsidR="006D5915" w:rsidRDefault="006D5915" w:rsidP="00993858">
      <w:pPr>
        <w:pStyle w:val="FootnoteText"/>
        <w:widowControl w:val="0"/>
        <w:tabs>
          <w:tab w:val="clear" w:pos="1021"/>
          <w:tab w:val="right" w:pos="1020"/>
        </w:tabs>
      </w:pPr>
      <w:r>
        <w:tab/>
      </w:r>
      <w:r>
        <w:rPr>
          <w:rStyle w:val="FootnoteReference"/>
        </w:rPr>
        <w:footnoteRef/>
      </w:r>
      <w:r>
        <w:tab/>
      </w:r>
      <w:r>
        <w:rPr>
          <w:szCs w:val="18"/>
        </w:rPr>
        <w:t>See for example</w:t>
      </w:r>
      <w:r w:rsidR="00682690" w:rsidDel="00682690">
        <w:rPr>
          <w:szCs w:val="18"/>
        </w:rPr>
        <w:t xml:space="preserve"> </w:t>
      </w:r>
      <w:r w:rsidR="00682690">
        <w:rPr>
          <w:szCs w:val="18"/>
        </w:rPr>
        <w:t>s</w:t>
      </w:r>
      <w:r>
        <w:rPr>
          <w:szCs w:val="18"/>
        </w:rPr>
        <w:t xml:space="preserve">ubmission from </w:t>
      </w:r>
      <w:proofErr w:type="spellStart"/>
      <w:r>
        <w:rPr>
          <w:szCs w:val="18"/>
        </w:rPr>
        <w:t>Ayuda</w:t>
      </w:r>
      <w:proofErr w:type="spellEnd"/>
      <w:r>
        <w:rPr>
          <w:szCs w:val="18"/>
        </w:rPr>
        <w:t xml:space="preserve"> Legal Puerto Rico</w:t>
      </w:r>
      <w:r>
        <w:t>.</w:t>
      </w:r>
    </w:p>
  </w:footnote>
  <w:footnote w:id="17">
    <w:p w14:paraId="7BA48B98" w14:textId="320E7322" w:rsidR="006D5915" w:rsidRDefault="006D5915" w:rsidP="00A350E7">
      <w:pPr>
        <w:pStyle w:val="EndnoteText"/>
      </w:pPr>
      <w:r>
        <w:tab/>
      </w:r>
      <w:r>
        <w:rPr>
          <w:rStyle w:val="FootnoteReference"/>
        </w:rPr>
        <w:footnoteRef/>
      </w:r>
      <w:r>
        <w:tab/>
        <w:t>See CERD/C/ISR/CO/17-19, CERD/C/UZB/CO/10-12, CERD/C/SWE/CO/22-23, CERD/C/NPL/CO/17-23, CERD/C/SVK/CO/11-12, CERD/C/SRB/CO/2-5 and CERD/C/PAK/CO/21-23.</w:t>
      </w:r>
    </w:p>
  </w:footnote>
  <w:footnote w:id="18">
    <w:p w14:paraId="728C38A2" w14:textId="77777777" w:rsidR="006D5915" w:rsidRDefault="006D5915" w:rsidP="00A350E7">
      <w:pPr>
        <w:pStyle w:val="FootnoteText"/>
        <w:widowControl w:val="0"/>
        <w:tabs>
          <w:tab w:val="clear" w:pos="1021"/>
          <w:tab w:val="right" w:pos="1020"/>
        </w:tabs>
      </w:pPr>
      <w:r>
        <w:tab/>
      </w:r>
      <w:r>
        <w:rPr>
          <w:rStyle w:val="FootnoteReference"/>
        </w:rPr>
        <w:footnoteRef/>
      </w:r>
      <w:r>
        <w:tab/>
      </w:r>
      <w:r w:rsidRPr="00BF527A">
        <w:rPr>
          <w:color w:val="000000"/>
          <w:szCs w:val="18"/>
        </w:rPr>
        <w:t>CERD/C/TKM/CO/6-7</w:t>
      </w:r>
      <w:r>
        <w:t>.</w:t>
      </w:r>
    </w:p>
  </w:footnote>
  <w:footnote w:id="19">
    <w:p w14:paraId="086586C8" w14:textId="77777777" w:rsidR="006D5915" w:rsidRDefault="006D5915" w:rsidP="00A350E7">
      <w:pPr>
        <w:pStyle w:val="FootnoteText"/>
        <w:widowControl w:val="0"/>
        <w:tabs>
          <w:tab w:val="clear" w:pos="1021"/>
          <w:tab w:val="right" w:pos="1020"/>
        </w:tabs>
      </w:pPr>
      <w:r>
        <w:tab/>
      </w:r>
      <w:r>
        <w:rPr>
          <w:rStyle w:val="FootnoteReference"/>
        </w:rPr>
        <w:footnoteRef/>
      </w:r>
      <w:r>
        <w:tab/>
      </w:r>
      <w:r>
        <w:rPr>
          <w:color w:val="000000"/>
          <w:szCs w:val="18"/>
        </w:rPr>
        <w:t>CERD/C/SVK/CO/11-12</w:t>
      </w:r>
      <w:r>
        <w:t>.</w:t>
      </w:r>
    </w:p>
  </w:footnote>
  <w:footnote w:id="20">
    <w:p w14:paraId="39F057BC" w14:textId="77777777" w:rsidR="006D5915" w:rsidRDefault="006D5915" w:rsidP="00A350E7">
      <w:pPr>
        <w:pStyle w:val="FootnoteText"/>
        <w:widowControl w:val="0"/>
        <w:tabs>
          <w:tab w:val="clear" w:pos="1021"/>
          <w:tab w:val="right" w:pos="1020"/>
        </w:tabs>
      </w:pPr>
      <w:r>
        <w:tab/>
      </w:r>
      <w:r>
        <w:rPr>
          <w:rStyle w:val="FootnoteReference"/>
        </w:rPr>
        <w:footnoteRef/>
      </w:r>
      <w:r>
        <w:tab/>
      </w:r>
      <w:r w:rsidRPr="00154105">
        <w:rPr>
          <w:color w:val="000000"/>
          <w:szCs w:val="18"/>
        </w:rPr>
        <w:t>CERD/C/MUS/CO/15-19</w:t>
      </w:r>
      <w:r>
        <w:t>.</w:t>
      </w:r>
    </w:p>
  </w:footnote>
  <w:footnote w:id="21">
    <w:p w14:paraId="5462A029" w14:textId="77777777" w:rsidR="006D5915" w:rsidRDefault="006D5915" w:rsidP="00A350E7">
      <w:pPr>
        <w:pStyle w:val="FootnoteText"/>
        <w:widowControl w:val="0"/>
        <w:tabs>
          <w:tab w:val="clear" w:pos="1021"/>
          <w:tab w:val="right" w:pos="1020"/>
        </w:tabs>
      </w:pPr>
      <w:r>
        <w:tab/>
      </w:r>
      <w:r>
        <w:rPr>
          <w:rStyle w:val="FootnoteReference"/>
        </w:rPr>
        <w:footnoteRef/>
      </w:r>
      <w:r>
        <w:tab/>
      </w:r>
      <w:r w:rsidRPr="005424A5">
        <w:t>CERD/C/ATG/CO/9</w:t>
      </w:r>
      <w:r>
        <w:t xml:space="preserve"> </w:t>
      </w:r>
    </w:p>
  </w:footnote>
  <w:footnote w:id="22">
    <w:p w14:paraId="66A72F11" w14:textId="77777777" w:rsidR="006D5915" w:rsidRDefault="006D5915" w:rsidP="00A350E7">
      <w:pPr>
        <w:pStyle w:val="FootnoteText"/>
        <w:widowControl w:val="0"/>
        <w:tabs>
          <w:tab w:val="clear" w:pos="1021"/>
          <w:tab w:val="right" w:pos="1020"/>
        </w:tabs>
      </w:pPr>
      <w:r>
        <w:tab/>
      </w:r>
      <w:r>
        <w:rPr>
          <w:rStyle w:val="FootnoteReference"/>
        </w:rPr>
        <w:footnoteRef/>
      </w:r>
      <w:r>
        <w:tab/>
      </w:r>
      <w:hyperlink r:id="rId14" w:history="1">
        <w:r>
          <w:rPr>
            <w:rStyle w:val="Hyperlink"/>
          </w:rPr>
          <w:t>https://www.ohchr.org/EN/HRBodies/CERD/Pages/InterstateCommunications.aspx</w:t>
        </w:r>
      </w:hyperlink>
      <w:r>
        <w:t>.</w:t>
      </w:r>
    </w:p>
  </w:footnote>
  <w:footnote w:id="23">
    <w:p w14:paraId="36C587C7" w14:textId="77777777" w:rsidR="006D5915" w:rsidRDefault="006D5915" w:rsidP="00047F23">
      <w:pPr>
        <w:pStyle w:val="FootnoteText"/>
      </w:pPr>
      <w:r>
        <w:tab/>
      </w:r>
      <w:r>
        <w:rPr>
          <w:rStyle w:val="FootnoteReference"/>
        </w:rPr>
        <w:footnoteRef/>
      </w:r>
      <w:r>
        <w:tab/>
        <w:t>Commission on Human Rights resolution 2000/9.</w:t>
      </w:r>
    </w:p>
  </w:footnote>
  <w:footnote w:id="24">
    <w:p w14:paraId="0C938FB0" w14:textId="333262E8" w:rsidR="006D5915" w:rsidRDefault="006D5915">
      <w:pPr>
        <w:pStyle w:val="FootnoteText"/>
      </w:pPr>
      <w:r>
        <w:tab/>
      </w:r>
      <w:r>
        <w:rPr>
          <w:rStyle w:val="FootnoteReference"/>
        </w:rPr>
        <w:footnoteRef/>
      </w:r>
      <w:r>
        <w:t xml:space="preserve"> </w:t>
      </w:r>
      <w:r>
        <w:tab/>
      </w:r>
      <w:r>
        <w:rPr>
          <w:rFonts w:eastAsia="Arial"/>
        </w:rPr>
        <w:t>See E/C.12/DNK/CO/6, E/C.12/MUS/CO/5, E/C.12/MEX/CO/5-6, E/C.12/SWE/CO/6, E/C.12/CHL/CO/4</w:t>
      </w:r>
    </w:p>
  </w:footnote>
  <w:footnote w:id="25">
    <w:p w14:paraId="269970A0" w14:textId="77777777" w:rsidR="006D5915" w:rsidRDefault="006D5915" w:rsidP="00A54D4C">
      <w:pPr>
        <w:pStyle w:val="FootnoteText"/>
      </w:pPr>
      <w:r>
        <w:tab/>
      </w:r>
      <w:r>
        <w:rPr>
          <w:rStyle w:val="FootnoteReference"/>
        </w:rPr>
        <w:footnoteRef/>
      </w:r>
      <w:r>
        <w:tab/>
      </w:r>
      <w:hyperlink r:id="rId15">
        <w:r w:rsidRPr="00A54D4C">
          <w:rPr>
            <w:rFonts w:eastAsia="Arial"/>
          </w:rPr>
          <w:t>A/RES/2202(XXI)</w:t>
        </w:r>
      </w:hyperlink>
      <w:r>
        <w:t>.</w:t>
      </w:r>
    </w:p>
  </w:footnote>
  <w:footnote w:id="26">
    <w:p w14:paraId="3D7AF811" w14:textId="77777777" w:rsidR="006D5915" w:rsidRDefault="006D5915" w:rsidP="00A54D4C">
      <w:pPr>
        <w:pStyle w:val="FootnoteText"/>
      </w:pPr>
      <w:r>
        <w:tab/>
      </w:r>
      <w:r>
        <w:rPr>
          <w:rStyle w:val="FootnoteReference"/>
        </w:rPr>
        <w:footnoteRef/>
      </w:r>
      <w:r>
        <w:tab/>
      </w:r>
      <w:proofErr w:type="spellStart"/>
      <w:r>
        <w:t>Yesh</w:t>
      </w:r>
      <w:proofErr w:type="spellEnd"/>
      <w:r>
        <w:t xml:space="preserve"> Din, The Occupation of the West Bank and the Crime of Apartheid (June 2020); </w:t>
      </w:r>
      <w:proofErr w:type="spellStart"/>
      <w:r>
        <w:t>Bt’selem</w:t>
      </w:r>
      <w:proofErr w:type="spellEnd"/>
      <w:r>
        <w:t xml:space="preserve">, </w:t>
      </w:r>
      <w:proofErr w:type="gramStart"/>
      <w:r>
        <w:t>A</w:t>
      </w:r>
      <w:proofErr w:type="gramEnd"/>
      <w:r>
        <w:t xml:space="preserve"> regime of Jewish Supremacy from the Jordan river to the Mediterranean sea: This is Apartheid (12 January 2021); Human Rights Watch. A Threshold Crossed: Israeli Authorities and the Crimes of Apartheid and Persecution. 27 April 2021; Amnesty International. Crime of Apartheid: The Government of Israel’s System of Oppression against Palestinians (2022). </w:t>
      </w:r>
    </w:p>
  </w:footnote>
  <w:footnote w:id="27">
    <w:p w14:paraId="1EB5254A" w14:textId="77777777" w:rsidR="006D5915" w:rsidRDefault="006D5915" w:rsidP="005317BD">
      <w:pPr>
        <w:pStyle w:val="FootnoteText"/>
      </w:pPr>
      <w:r>
        <w:tab/>
      </w:r>
      <w:r>
        <w:rPr>
          <w:rStyle w:val="FootnoteReference"/>
        </w:rPr>
        <w:footnoteRef/>
      </w:r>
      <w:r>
        <w:tab/>
        <w:t xml:space="preserve">See HRC, </w:t>
      </w:r>
      <w:r w:rsidRPr="008D73FD">
        <w:t>Lovelace vs. Canada</w:t>
      </w:r>
      <w:r>
        <w:t xml:space="preserve">, Communication No. 24/1977, para 15-19, available at: </w:t>
      </w:r>
      <w:r w:rsidRPr="00E016DD">
        <w:t>https://juris.ohchr.org/Search/Details/286</w:t>
      </w:r>
      <w:r>
        <w:t xml:space="preserve">. </w:t>
      </w:r>
    </w:p>
  </w:footnote>
  <w:footnote w:id="28">
    <w:p w14:paraId="266437B0" w14:textId="4ABA4667" w:rsidR="006D5915" w:rsidRDefault="006D5915" w:rsidP="005317BD">
      <w:pPr>
        <w:pStyle w:val="FootnoteText"/>
      </w:pPr>
      <w:r>
        <w:tab/>
      </w:r>
      <w:r>
        <w:rPr>
          <w:rStyle w:val="FootnoteReference"/>
        </w:rPr>
        <w:footnoteRef/>
      </w:r>
      <w:r>
        <w:tab/>
        <w:t xml:space="preserve">See CERD, Concluding Observations Germany, CERD/C/DEU/CO/19-22, para. 12 and Denmark, CERD/C/DNK/CO/20-21, para. 13 </w:t>
      </w:r>
      <w:r w:rsidR="00FF4522">
        <w:t xml:space="preserve">and </w:t>
      </w:r>
      <w:r>
        <w:t xml:space="preserve">the concerns expressed by the Special Rapporteur </w:t>
      </w:r>
      <w:r w:rsidR="00FF4522">
        <w:t>in c</w:t>
      </w:r>
      <w:r>
        <w:t xml:space="preserve">ommunication, DKN 3/2020 from 16 October, 2020 </w:t>
      </w:r>
      <w:r w:rsidR="008F1541">
        <w:t xml:space="preserve">and </w:t>
      </w:r>
      <w:r>
        <w:t xml:space="preserve">the reply of Denmark to the communication from </w:t>
      </w:r>
      <w:r>
        <w:rPr>
          <w:sz w:val="20"/>
        </w:rPr>
        <w:t>11 January 2021</w:t>
      </w:r>
      <w:r>
        <w:t>.</w:t>
      </w:r>
    </w:p>
  </w:footnote>
  <w:footnote w:id="29">
    <w:p w14:paraId="6DB9306E" w14:textId="77777777" w:rsidR="006D5915" w:rsidRDefault="006D5915" w:rsidP="009142CC">
      <w:pPr>
        <w:pStyle w:val="FootnoteText"/>
        <w:widowControl w:val="0"/>
        <w:tabs>
          <w:tab w:val="clear" w:pos="1021"/>
          <w:tab w:val="right" w:pos="1020"/>
        </w:tabs>
      </w:pPr>
      <w:r>
        <w:tab/>
      </w:r>
      <w:r>
        <w:rPr>
          <w:rStyle w:val="FootnoteReference"/>
        </w:rPr>
        <w:footnoteRef/>
      </w:r>
      <w:r>
        <w:tab/>
      </w:r>
      <w:r>
        <w:rPr>
          <w:szCs w:val="18"/>
          <w:highlight w:val="white"/>
        </w:rPr>
        <w:t xml:space="preserve">Singh, G., </w:t>
      </w:r>
      <w:proofErr w:type="spellStart"/>
      <w:r>
        <w:rPr>
          <w:szCs w:val="18"/>
          <w:highlight w:val="white"/>
        </w:rPr>
        <w:t>Vithayathil</w:t>
      </w:r>
      <w:proofErr w:type="spellEnd"/>
      <w:r>
        <w:rPr>
          <w:szCs w:val="18"/>
          <w:highlight w:val="white"/>
        </w:rPr>
        <w:t xml:space="preserve">, T., &amp; Pradhan, K. C. (2019). Recasting inequality: residential segregation by caste over time in urban India. </w:t>
      </w:r>
      <w:r w:rsidRPr="008D73FD">
        <w:rPr>
          <w:szCs w:val="18"/>
          <w:highlight w:val="white"/>
        </w:rPr>
        <w:t>Environment and urbanization</w:t>
      </w:r>
      <w:r>
        <w:rPr>
          <w:szCs w:val="18"/>
          <w:highlight w:val="white"/>
        </w:rPr>
        <w:t xml:space="preserve">, </w:t>
      </w:r>
      <w:r>
        <w:rPr>
          <w:i/>
          <w:szCs w:val="18"/>
          <w:highlight w:val="white"/>
        </w:rPr>
        <w:t>31</w:t>
      </w:r>
      <w:r>
        <w:rPr>
          <w:szCs w:val="18"/>
          <w:highlight w:val="white"/>
        </w:rPr>
        <w:t>(2), 615-634.</w:t>
      </w:r>
      <w:r>
        <w:t xml:space="preserve"> </w:t>
      </w:r>
    </w:p>
  </w:footnote>
  <w:footnote w:id="30">
    <w:p w14:paraId="7483CF76" w14:textId="079471C2" w:rsidR="006D5915" w:rsidRDefault="006D5915" w:rsidP="009142CC">
      <w:pPr>
        <w:pStyle w:val="FootnoteText"/>
        <w:widowControl w:val="0"/>
        <w:tabs>
          <w:tab w:val="clear" w:pos="1021"/>
          <w:tab w:val="right" w:pos="1020"/>
        </w:tabs>
      </w:pPr>
      <w:r>
        <w:tab/>
      </w:r>
      <w:r>
        <w:rPr>
          <w:rStyle w:val="FootnoteReference"/>
        </w:rPr>
        <w:footnoteRef/>
      </w:r>
      <w:r>
        <w:tab/>
      </w:r>
      <w:r w:rsidRPr="00D32C84">
        <w:rPr>
          <w:szCs w:val="18"/>
          <w:highlight w:val="white"/>
        </w:rPr>
        <w:t xml:space="preserve">See </w:t>
      </w:r>
      <w:r w:rsidRPr="004F32B8">
        <w:rPr>
          <w:szCs w:val="18"/>
          <w:highlight w:val="white"/>
        </w:rPr>
        <w:t>article 19 of the CPRD</w:t>
      </w:r>
      <w:r>
        <w:rPr>
          <w:szCs w:val="18"/>
          <w:highlight w:val="white"/>
        </w:rPr>
        <w:t xml:space="preserve"> and p</w:t>
      </w:r>
      <w:r w:rsidRPr="00D32C84">
        <w:rPr>
          <w:szCs w:val="18"/>
          <w:highlight w:val="white"/>
        </w:rPr>
        <w:t xml:space="preserve">rinciples 5 and 6 of the United Nations Principles for </w:t>
      </w:r>
      <w:r w:rsidR="00682690">
        <w:rPr>
          <w:szCs w:val="18"/>
          <w:highlight w:val="white"/>
        </w:rPr>
        <w:t>O</w:t>
      </w:r>
      <w:r w:rsidRPr="00D32C84">
        <w:rPr>
          <w:szCs w:val="18"/>
          <w:highlight w:val="white"/>
        </w:rPr>
        <w:t>lder Persons, adopted by GA resolution 46/91</w:t>
      </w:r>
      <w:r>
        <w:t xml:space="preserve">. </w:t>
      </w:r>
    </w:p>
  </w:footnote>
  <w:footnote w:id="31">
    <w:p w14:paraId="7FBAEA75" w14:textId="77777777" w:rsidR="006D5915" w:rsidRDefault="006D5915" w:rsidP="00D01135">
      <w:pPr>
        <w:pStyle w:val="FootnoteText"/>
      </w:pPr>
      <w:r>
        <w:tab/>
      </w:r>
      <w:r>
        <w:rPr>
          <w:rStyle w:val="FootnoteReference"/>
        </w:rPr>
        <w:footnoteRef/>
      </w:r>
      <w:r>
        <w:tab/>
      </w:r>
      <w:r>
        <w:rPr>
          <w:rFonts w:eastAsia="Arial"/>
          <w:highlight w:val="white"/>
        </w:rPr>
        <w:t xml:space="preserve">Massey, D. S., &amp; Denton, N. A. (1988). The dimensions of residential segregation. </w:t>
      </w:r>
      <w:r w:rsidRPr="008D73FD">
        <w:rPr>
          <w:rFonts w:eastAsia="Arial"/>
          <w:highlight w:val="white"/>
        </w:rPr>
        <w:t>Social forces</w:t>
      </w:r>
      <w:r>
        <w:rPr>
          <w:rFonts w:eastAsia="Arial"/>
          <w:highlight w:val="white"/>
        </w:rPr>
        <w:t xml:space="preserve">, </w:t>
      </w:r>
      <w:r>
        <w:rPr>
          <w:rFonts w:eastAsia="Arial"/>
          <w:i/>
          <w:highlight w:val="white"/>
        </w:rPr>
        <w:t>67</w:t>
      </w:r>
      <w:r>
        <w:rPr>
          <w:rFonts w:eastAsia="Arial"/>
          <w:highlight w:val="white"/>
        </w:rPr>
        <w:t>(2), 281-315.</w:t>
      </w:r>
      <w:r>
        <w:t xml:space="preserve"> </w:t>
      </w:r>
    </w:p>
  </w:footnote>
  <w:footnote w:id="32">
    <w:p w14:paraId="40C18FCD" w14:textId="71AF2800" w:rsidR="006D5915" w:rsidRDefault="006D5915" w:rsidP="00D01135">
      <w:pPr>
        <w:pStyle w:val="FootnoteText"/>
      </w:pPr>
      <w:r>
        <w:tab/>
      </w:r>
      <w:r>
        <w:rPr>
          <w:rStyle w:val="FootnoteReference"/>
        </w:rPr>
        <w:footnoteRef/>
      </w:r>
      <w:r>
        <w:tab/>
        <w:t xml:space="preserve">Raphael </w:t>
      </w:r>
      <w:proofErr w:type="spellStart"/>
      <w:r>
        <w:t>Susewind</w:t>
      </w:r>
      <w:proofErr w:type="spellEnd"/>
      <w:r>
        <w:t xml:space="preserve">, Muslims in Indian cities: Degrees of segregation and the elusive ghetto, </w:t>
      </w:r>
      <w:r w:rsidRPr="008D73FD">
        <w:rPr>
          <w:iCs/>
        </w:rPr>
        <w:t>Environment and Planning A: Economy and Space</w:t>
      </w:r>
      <w:r>
        <w:t xml:space="preserve">, vol.49, issue 6, 1286-1307 (June 2017). </w:t>
      </w:r>
    </w:p>
  </w:footnote>
  <w:footnote w:id="33">
    <w:p w14:paraId="5CB68AB5" w14:textId="77777777" w:rsidR="006D5915" w:rsidRDefault="006D5915" w:rsidP="000C25DF">
      <w:pPr>
        <w:pStyle w:val="FootnoteText"/>
        <w:widowControl w:val="0"/>
        <w:tabs>
          <w:tab w:val="clear" w:pos="1021"/>
          <w:tab w:val="right" w:pos="1020"/>
        </w:tabs>
      </w:pPr>
      <w:r>
        <w:tab/>
      </w:r>
      <w:r>
        <w:rPr>
          <w:rStyle w:val="FootnoteReference"/>
        </w:rPr>
        <w:footnoteRef/>
      </w:r>
      <w:r>
        <w:tab/>
      </w:r>
      <w:r>
        <w:rPr>
          <w:rFonts w:ascii="Arimo" w:eastAsia="Arimo" w:hAnsi="Arimo" w:cs="Arimo"/>
          <w:color w:val="000000"/>
          <w:szCs w:val="18"/>
        </w:rPr>
        <w:t xml:space="preserve">Andrew H. </w:t>
      </w:r>
      <w:proofErr w:type="spellStart"/>
      <w:r>
        <w:rPr>
          <w:rFonts w:ascii="Arimo" w:eastAsia="Arimo" w:hAnsi="Arimo" w:cs="Arimo"/>
          <w:color w:val="000000"/>
          <w:szCs w:val="18"/>
        </w:rPr>
        <w:t>Whittemore</w:t>
      </w:r>
      <w:proofErr w:type="spellEnd"/>
      <w:r>
        <w:rPr>
          <w:rFonts w:ascii="Arimo" w:eastAsia="Arimo" w:hAnsi="Arimo" w:cs="Arimo"/>
          <w:color w:val="000000"/>
          <w:szCs w:val="18"/>
        </w:rPr>
        <w:t xml:space="preserve"> (2021) Exclusionary Zoning, Journal of the American Planning Association, 87:2, 167-180. </w:t>
      </w:r>
    </w:p>
  </w:footnote>
  <w:footnote w:id="34">
    <w:p w14:paraId="61F4166C" w14:textId="77777777" w:rsidR="006D5915" w:rsidRPr="000C25DF" w:rsidRDefault="006D5915" w:rsidP="000C25DF">
      <w:pPr>
        <w:pStyle w:val="FootnoteText"/>
      </w:pPr>
      <w:r>
        <w:tab/>
      </w:r>
      <w:r>
        <w:rPr>
          <w:rStyle w:val="FootnoteReference"/>
        </w:rPr>
        <w:footnoteRef/>
      </w:r>
      <w:r>
        <w:tab/>
      </w:r>
      <w:r w:rsidRPr="008D73FD">
        <w:t>TROUNSTINE, J. (2020). The Geography of Inequality: How Land Use R</w:t>
      </w:r>
      <w:r>
        <w:t xml:space="preserve">egulation Produces Segregation. </w:t>
      </w:r>
      <w:r w:rsidRPr="000C25DF">
        <w:t>Ame</w:t>
      </w:r>
      <w:r>
        <w:t xml:space="preserve">rican Political Science Review, </w:t>
      </w:r>
      <w:r w:rsidRPr="000C25DF">
        <w:t>114(2), 443-455</w:t>
      </w:r>
      <w:r>
        <w:t>.</w:t>
      </w:r>
    </w:p>
  </w:footnote>
  <w:footnote w:id="35">
    <w:p w14:paraId="6C0D10D0" w14:textId="77777777" w:rsidR="006D5915" w:rsidRDefault="006D5915" w:rsidP="000C25DF">
      <w:pPr>
        <w:pStyle w:val="FootnoteText"/>
        <w:widowControl w:val="0"/>
        <w:tabs>
          <w:tab w:val="clear" w:pos="1021"/>
          <w:tab w:val="right" w:pos="1020"/>
        </w:tabs>
      </w:pPr>
      <w:r>
        <w:tab/>
      </w:r>
      <w:r>
        <w:rPr>
          <w:rStyle w:val="FootnoteReference"/>
        </w:rPr>
        <w:footnoteRef/>
      </w:r>
      <w:r>
        <w:tab/>
      </w:r>
      <w:r w:rsidRPr="000C25DF">
        <w:rPr>
          <w:color w:val="000000"/>
          <w:szCs w:val="18"/>
        </w:rPr>
        <w:t>Submission by UN Habitat Palestine</w:t>
      </w:r>
      <w:r>
        <w:t>.</w:t>
      </w:r>
    </w:p>
  </w:footnote>
  <w:footnote w:id="36">
    <w:p w14:paraId="4C4AE4C3" w14:textId="77777777" w:rsidR="006D5915" w:rsidRDefault="006D5915" w:rsidP="000C25DF">
      <w:pPr>
        <w:pStyle w:val="FootnoteText"/>
      </w:pPr>
      <w:r>
        <w:tab/>
      </w:r>
      <w:r>
        <w:rPr>
          <w:rStyle w:val="FootnoteReference"/>
        </w:rPr>
        <w:footnoteRef/>
      </w:r>
      <w:r>
        <w:tab/>
        <w:t>OCHA (2021) West Bank demolitions and displacement for March 2021.</w:t>
      </w:r>
    </w:p>
  </w:footnote>
  <w:footnote w:id="37">
    <w:p w14:paraId="7036E793" w14:textId="14A32648" w:rsidR="006D5915" w:rsidRDefault="006D5915" w:rsidP="00F706F4">
      <w:pPr>
        <w:pStyle w:val="FootnoteText"/>
      </w:pPr>
      <w:r>
        <w:tab/>
      </w:r>
      <w:r>
        <w:rPr>
          <w:rStyle w:val="FootnoteReference"/>
        </w:rPr>
        <w:footnoteRef/>
      </w:r>
      <w:r>
        <w:tab/>
      </w:r>
      <w:r w:rsidRPr="00B5602B">
        <w:rPr>
          <w:shd w:val="clear" w:color="auto" w:fill="FFFFFF"/>
          <w:lang w:bidi="ta-IN"/>
        </w:rPr>
        <w:t>Morello-</w:t>
      </w:r>
      <w:proofErr w:type="spellStart"/>
      <w:r w:rsidRPr="00B5602B">
        <w:rPr>
          <w:shd w:val="clear" w:color="auto" w:fill="FFFFFF"/>
          <w:lang w:bidi="ta-IN"/>
        </w:rPr>
        <w:t>Frosch</w:t>
      </w:r>
      <w:proofErr w:type="spellEnd"/>
      <w:r w:rsidRPr="00B5602B">
        <w:rPr>
          <w:shd w:val="clear" w:color="auto" w:fill="FFFFFF"/>
          <w:lang w:bidi="ta-IN"/>
        </w:rPr>
        <w:t xml:space="preserve"> R, Lopez R. The risks cape and the </w:t>
      </w:r>
      <w:proofErr w:type="spellStart"/>
      <w:r w:rsidRPr="00B5602B">
        <w:rPr>
          <w:shd w:val="clear" w:color="auto" w:fill="FFFFFF"/>
          <w:lang w:bidi="ta-IN"/>
        </w:rPr>
        <w:t>color</w:t>
      </w:r>
      <w:proofErr w:type="spellEnd"/>
      <w:r w:rsidRPr="00B5602B">
        <w:rPr>
          <w:shd w:val="clear" w:color="auto" w:fill="FFFFFF"/>
          <w:lang w:bidi="ta-IN"/>
        </w:rPr>
        <w:t xml:space="preserve"> line: </w:t>
      </w:r>
      <w:r w:rsidRPr="00F706F4">
        <w:t>examining</w:t>
      </w:r>
      <w:r w:rsidRPr="00B5602B">
        <w:rPr>
          <w:shd w:val="clear" w:color="auto" w:fill="FFFFFF"/>
          <w:lang w:bidi="ta-IN"/>
        </w:rPr>
        <w:t xml:space="preserve"> the role of segregation in environmental health disparities. Environ Res. 2006 Oct;102(2):181-96.</w:t>
      </w:r>
    </w:p>
  </w:footnote>
  <w:footnote w:id="38">
    <w:p w14:paraId="055EF156" w14:textId="77777777" w:rsidR="006D5915" w:rsidRDefault="006D5915" w:rsidP="009F3B3E">
      <w:pPr>
        <w:pStyle w:val="FootnoteText"/>
        <w:widowControl w:val="0"/>
        <w:tabs>
          <w:tab w:val="clear" w:pos="1021"/>
          <w:tab w:val="right" w:pos="1020"/>
        </w:tabs>
      </w:pPr>
      <w:r>
        <w:tab/>
      </w:r>
      <w:r>
        <w:rPr>
          <w:rStyle w:val="FootnoteReference"/>
        </w:rPr>
        <w:footnoteRef/>
      </w:r>
      <w:r>
        <w:tab/>
      </w:r>
      <w:r>
        <w:rPr>
          <w:color w:val="000000"/>
          <w:szCs w:val="18"/>
        </w:rPr>
        <w:t>Submission by IADP.</w:t>
      </w:r>
      <w:r>
        <w:t xml:space="preserve"> </w:t>
      </w:r>
    </w:p>
  </w:footnote>
  <w:footnote w:id="39">
    <w:p w14:paraId="265D1855" w14:textId="77777777" w:rsidR="006D5915" w:rsidRDefault="006D5915" w:rsidP="009F3B3E">
      <w:pPr>
        <w:pStyle w:val="FootnoteText"/>
        <w:widowControl w:val="0"/>
        <w:tabs>
          <w:tab w:val="clear" w:pos="1021"/>
          <w:tab w:val="right" w:pos="1020"/>
        </w:tabs>
      </w:pPr>
      <w:r>
        <w:tab/>
      </w:r>
      <w:r>
        <w:rPr>
          <w:rStyle w:val="FootnoteReference"/>
        </w:rPr>
        <w:footnoteRef/>
      </w:r>
      <w:r>
        <w:tab/>
      </w:r>
      <w:r>
        <w:rPr>
          <w:color w:val="000000"/>
          <w:szCs w:val="18"/>
        </w:rPr>
        <w:t>https://thewire.in/government/gujarat-ahmedabad-slum-wall-donald-trump.</w:t>
      </w:r>
      <w:r>
        <w:t xml:space="preserve"> </w:t>
      </w:r>
    </w:p>
  </w:footnote>
  <w:footnote w:id="40">
    <w:p w14:paraId="5C7B2F2C" w14:textId="77777777" w:rsidR="006D5915" w:rsidRDefault="006D5915" w:rsidP="009F3B3E">
      <w:pPr>
        <w:pStyle w:val="FootnoteText"/>
        <w:widowControl w:val="0"/>
        <w:tabs>
          <w:tab w:val="clear" w:pos="1021"/>
          <w:tab w:val="right" w:pos="1020"/>
        </w:tabs>
      </w:pPr>
      <w:r>
        <w:tab/>
      </w:r>
      <w:r>
        <w:rPr>
          <w:rStyle w:val="FootnoteReference"/>
        </w:rPr>
        <w:footnoteRef/>
      </w:r>
      <w:r>
        <w:tab/>
      </w:r>
      <w:r w:rsidRPr="001E68AC">
        <w:t>https://www.theatlantic.com/international/archive/2019/09/peru-lima-wall/597085/</w:t>
      </w:r>
      <w:r>
        <w:t xml:space="preserve">. </w:t>
      </w:r>
    </w:p>
  </w:footnote>
  <w:footnote w:id="41">
    <w:p w14:paraId="7CCD90F5" w14:textId="4BDE7FF5" w:rsidR="006D5915" w:rsidRDefault="006D5915" w:rsidP="009F3B3E">
      <w:pPr>
        <w:pStyle w:val="FootnoteText"/>
      </w:pPr>
      <w:r>
        <w:tab/>
      </w:r>
      <w:r>
        <w:rPr>
          <w:rStyle w:val="FootnoteReference"/>
        </w:rPr>
        <w:footnoteRef/>
      </w:r>
      <w:r>
        <w:tab/>
      </w:r>
      <w:proofErr w:type="spellStart"/>
      <w:r>
        <w:rPr>
          <w:rFonts w:eastAsia="Arial"/>
          <w:highlight w:val="white"/>
        </w:rPr>
        <w:t>Vesselinov</w:t>
      </w:r>
      <w:proofErr w:type="spellEnd"/>
      <w:r>
        <w:rPr>
          <w:rFonts w:eastAsia="Arial"/>
          <w:highlight w:val="white"/>
        </w:rPr>
        <w:t xml:space="preserve">, E. (2008, September). Members Only: Gated Communities and Residential Segregation in the Metropolitan United States 1. </w:t>
      </w:r>
      <w:r w:rsidRPr="008D73FD">
        <w:rPr>
          <w:rFonts w:eastAsia="Arial"/>
          <w:highlight w:val="white"/>
        </w:rPr>
        <w:t>Sociological Forum</w:t>
      </w:r>
      <w:r>
        <w:rPr>
          <w:rFonts w:eastAsia="Arial"/>
          <w:highlight w:val="white"/>
        </w:rPr>
        <w:t xml:space="preserve"> (Vol. 23, No. 3, pp. 536-555). </w:t>
      </w:r>
    </w:p>
  </w:footnote>
  <w:footnote w:id="42">
    <w:p w14:paraId="753F0F5F" w14:textId="77777777" w:rsidR="006D5915" w:rsidRDefault="006D5915" w:rsidP="009F3B3E">
      <w:pPr>
        <w:pStyle w:val="FootnoteText"/>
      </w:pPr>
      <w:r>
        <w:tab/>
      </w:r>
      <w:r>
        <w:rPr>
          <w:rStyle w:val="FootnoteReference"/>
        </w:rPr>
        <w:footnoteRef/>
      </w:r>
      <w:r>
        <w:tab/>
      </w:r>
      <w:r>
        <w:rPr>
          <w:rFonts w:eastAsia="Arial"/>
          <w:highlight w:val="white"/>
        </w:rPr>
        <w:t xml:space="preserve">Atkinson, R., &amp; </w:t>
      </w:r>
      <w:proofErr w:type="spellStart"/>
      <w:r>
        <w:rPr>
          <w:rFonts w:eastAsia="Arial"/>
          <w:highlight w:val="white"/>
        </w:rPr>
        <w:t>Blandy</w:t>
      </w:r>
      <w:proofErr w:type="spellEnd"/>
      <w:r>
        <w:rPr>
          <w:rFonts w:eastAsia="Arial"/>
          <w:highlight w:val="white"/>
        </w:rPr>
        <w:t xml:space="preserve">, S. (2005). Introduction: International perspectives on the new enclavism and the rise of gated communities. </w:t>
      </w:r>
      <w:r w:rsidRPr="008D73FD">
        <w:rPr>
          <w:rFonts w:eastAsia="Arial"/>
          <w:highlight w:val="white"/>
        </w:rPr>
        <w:t>Housing studies</w:t>
      </w:r>
      <w:r>
        <w:rPr>
          <w:rFonts w:eastAsia="Arial"/>
          <w:highlight w:val="white"/>
        </w:rPr>
        <w:t xml:space="preserve">, </w:t>
      </w:r>
      <w:r>
        <w:rPr>
          <w:rFonts w:eastAsia="Arial"/>
          <w:i/>
          <w:highlight w:val="white"/>
        </w:rPr>
        <w:t>20</w:t>
      </w:r>
      <w:r>
        <w:rPr>
          <w:rFonts w:eastAsia="Arial"/>
          <w:highlight w:val="white"/>
        </w:rPr>
        <w:t>(2), 177-186</w:t>
      </w:r>
      <w:r>
        <w:rPr>
          <w:rFonts w:eastAsia="Arial"/>
        </w:rPr>
        <w:t>.</w:t>
      </w:r>
      <w:r>
        <w:t xml:space="preserve"> </w:t>
      </w:r>
    </w:p>
  </w:footnote>
  <w:footnote w:id="43">
    <w:p w14:paraId="0F3D9FD5" w14:textId="77777777" w:rsidR="006D5915" w:rsidRDefault="006D5915" w:rsidP="00B55C3E">
      <w:pPr>
        <w:pStyle w:val="FootnoteText"/>
      </w:pPr>
      <w:r>
        <w:tab/>
      </w:r>
      <w:r>
        <w:rPr>
          <w:rStyle w:val="FootnoteReference"/>
        </w:rPr>
        <w:footnoteRef/>
      </w:r>
      <w:r>
        <w:tab/>
      </w:r>
      <w:r>
        <w:rPr>
          <w:color w:val="000000"/>
          <w:szCs w:val="18"/>
        </w:rPr>
        <w:t xml:space="preserve">See for example </w:t>
      </w:r>
      <w:hyperlink r:id="rId16">
        <w:r w:rsidRPr="00B55C3E">
          <w:t>E/CN.4/2004/48</w:t>
        </w:r>
      </w:hyperlink>
      <w:r w:rsidRPr="00B55C3E">
        <w:t xml:space="preserve">; </w:t>
      </w:r>
      <w:hyperlink r:id="rId17">
        <w:r w:rsidRPr="00B55C3E">
          <w:t xml:space="preserve">A/HRC/4/18; </w:t>
        </w:r>
      </w:hyperlink>
      <w:hyperlink r:id="rId18">
        <w:r w:rsidRPr="00B55C3E">
          <w:t>A/HRC/43/43</w:t>
        </w:r>
      </w:hyperlink>
      <w:r w:rsidRPr="00B55C3E">
        <w:t xml:space="preserve">;  </w:t>
      </w:r>
      <w:hyperlink r:id="rId19">
        <w:r w:rsidRPr="00B55C3E">
          <w:t>A/73/310/Rev.1</w:t>
        </w:r>
      </w:hyperlink>
      <w:r>
        <w:t>.</w:t>
      </w:r>
    </w:p>
  </w:footnote>
  <w:footnote w:id="44">
    <w:p w14:paraId="4A296CA5" w14:textId="233FB268" w:rsidR="006D5915" w:rsidRDefault="006D5915" w:rsidP="00B55C3E">
      <w:pPr>
        <w:pStyle w:val="FootnoteText"/>
      </w:pPr>
      <w:r>
        <w:tab/>
      </w:r>
      <w:r>
        <w:rPr>
          <w:rStyle w:val="FootnoteReference"/>
        </w:rPr>
        <w:footnoteRef/>
      </w:r>
      <w:r>
        <w:tab/>
        <w:t>See</w:t>
      </w:r>
      <w:r w:rsidR="00FF4522">
        <w:t xml:space="preserve"> </w:t>
      </w:r>
      <w:r w:rsidR="00682690">
        <w:t>s</w:t>
      </w:r>
      <w:r>
        <w:t xml:space="preserve">ubmission European Roma Rights Centre. </w:t>
      </w:r>
    </w:p>
  </w:footnote>
  <w:footnote w:id="45">
    <w:p w14:paraId="3239CD9C" w14:textId="77777777" w:rsidR="006D5915" w:rsidRDefault="006D5915" w:rsidP="00B55C3E">
      <w:pPr>
        <w:pStyle w:val="FootnoteText"/>
      </w:pPr>
      <w:r>
        <w:tab/>
      </w:r>
      <w:r>
        <w:rPr>
          <w:rStyle w:val="FootnoteReference"/>
        </w:rPr>
        <w:footnoteRef/>
      </w:r>
      <w:r>
        <w:tab/>
        <w:t xml:space="preserve">KEN 1/2020, BRA 5/2020, KEN 3/2020, BRA 8/2020, ZAF 2/2020, ITA 4/2020, IND 14/2020, ISR 7/2020, NPL 3/2020, GUY 1/2020, ISR 11/2020, UZB 3/2020, UZB 2/2020, BGD 8/2020, KEN 1/2021, BHS 2/2021, PAK 6/2021, IND 13/2021, ROU 3/202. </w:t>
      </w:r>
    </w:p>
  </w:footnote>
  <w:footnote w:id="46">
    <w:p w14:paraId="6E91A113" w14:textId="77EE2F7C" w:rsidR="006D5915" w:rsidRDefault="006D5915" w:rsidP="00B55C3E">
      <w:pPr>
        <w:pStyle w:val="FootnoteText"/>
      </w:pPr>
      <w:r>
        <w:tab/>
      </w:r>
      <w:r>
        <w:rPr>
          <w:rStyle w:val="FootnoteReference"/>
        </w:rPr>
        <w:footnoteRef/>
      </w:r>
      <w:r>
        <w:tab/>
        <w:t xml:space="preserve">See Resisting Eviction: Community driven tools for documenting the impacts of gentrification in Boston’s Chinatown (MIT DRAN, 2017). </w:t>
      </w:r>
    </w:p>
  </w:footnote>
  <w:footnote w:id="47">
    <w:p w14:paraId="63DD5A13" w14:textId="77777777" w:rsidR="006D5915" w:rsidRDefault="006D5915" w:rsidP="00B55C3E">
      <w:pPr>
        <w:pStyle w:val="FootnoteText"/>
      </w:pPr>
      <w:r>
        <w:tab/>
      </w:r>
      <w:r>
        <w:rPr>
          <w:rStyle w:val="FootnoteReference"/>
        </w:rPr>
        <w:footnoteRef/>
      </w:r>
      <w:r>
        <w:tab/>
      </w:r>
      <w:r>
        <w:rPr>
          <w:rFonts w:eastAsia="Arial"/>
          <w:highlight w:val="white"/>
        </w:rPr>
        <w:t xml:space="preserve">Desmond, M., &amp; </w:t>
      </w:r>
      <w:proofErr w:type="spellStart"/>
      <w:r>
        <w:rPr>
          <w:rFonts w:eastAsia="Arial"/>
          <w:highlight w:val="white"/>
        </w:rPr>
        <w:t>Shollenberger</w:t>
      </w:r>
      <w:proofErr w:type="spellEnd"/>
      <w:r>
        <w:rPr>
          <w:rFonts w:eastAsia="Arial"/>
          <w:highlight w:val="white"/>
        </w:rPr>
        <w:t xml:space="preserve">, T. (2015). Forced displacement from rental housing: Prevalence and </w:t>
      </w:r>
      <w:proofErr w:type="spellStart"/>
      <w:r>
        <w:rPr>
          <w:rFonts w:eastAsia="Arial"/>
          <w:highlight w:val="white"/>
        </w:rPr>
        <w:t>neighborhood</w:t>
      </w:r>
      <w:proofErr w:type="spellEnd"/>
      <w:r>
        <w:rPr>
          <w:rFonts w:eastAsia="Arial"/>
          <w:highlight w:val="white"/>
        </w:rPr>
        <w:t xml:space="preserve"> consequences. </w:t>
      </w:r>
      <w:r w:rsidRPr="008D73FD">
        <w:rPr>
          <w:rFonts w:eastAsia="Arial"/>
          <w:highlight w:val="white"/>
        </w:rPr>
        <w:t>Demography</w:t>
      </w:r>
      <w:r>
        <w:rPr>
          <w:rFonts w:eastAsia="Arial"/>
          <w:highlight w:val="white"/>
        </w:rPr>
        <w:t xml:space="preserve">, </w:t>
      </w:r>
      <w:r w:rsidRPr="00D32C84">
        <w:rPr>
          <w:rFonts w:eastAsia="Arial"/>
          <w:i/>
          <w:highlight w:val="white"/>
        </w:rPr>
        <w:t>52</w:t>
      </w:r>
      <w:r w:rsidRPr="00D32C84">
        <w:rPr>
          <w:rFonts w:eastAsia="Arial"/>
          <w:highlight w:val="white"/>
        </w:rPr>
        <w:t>(5), 1751-1772</w:t>
      </w:r>
      <w:r>
        <w:rPr>
          <w:rFonts w:eastAsia="Arial"/>
        </w:rPr>
        <w:t>.</w:t>
      </w:r>
      <w:r>
        <w:t xml:space="preserve"> </w:t>
      </w:r>
    </w:p>
  </w:footnote>
  <w:footnote w:id="48">
    <w:p w14:paraId="3DD574A0" w14:textId="77777777" w:rsidR="006D5915" w:rsidRDefault="006D5915" w:rsidP="00927F67">
      <w:pPr>
        <w:pStyle w:val="FootnoteText"/>
      </w:pPr>
      <w:r>
        <w:tab/>
      </w:r>
      <w:r>
        <w:rPr>
          <w:rStyle w:val="FootnoteReference"/>
        </w:rPr>
        <w:footnoteRef/>
      </w:r>
      <w:r>
        <w:tab/>
      </w:r>
      <w:r w:rsidRPr="00D32C84">
        <w:t>The geography of post-eviction resettlement in Delhi (2014, MIT DRAN) available at http://mitdisplacement.org/delhi-1</w:t>
      </w:r>
      <w:r>
        <w:t xml:space="preserve">. </w:t>
      </w:r>
    </w:p>
  </w:footnote>
  <w:footnote w:id="49">
    <w:p w14:paraId="40E80347" w14:textId="77777777" w:rsidR="006D5915" w:rsidRDefault="006D5915" w:rsidP="004F3B44">
      <w:pPr>
        <w:pStyle w:val="FootnoteText"/>
      </w:pPr>
      <w:r>
        <w:tab/>
      </w:r>
      <w:r>
        <w:rPr>
          <w:rStyle w:val="FootnoteReference"/>
        </w:rPr>
        <w:footnoteRef/>
      </w:r>
      <w:r w:rsidRPr="00682690">
        <w:rPr>
          <w:lang w:val="es-ES_tradnl"/>
        </w:rPr>
        <w:tab/>
      </w:r>
      <w:r w:rsidRPr="00D32C84">
        <w:rPr>
          <w:lang w:val="es-ES_tradnl"/>
        </w:rPr>
        <w:t xml:space="preserve">Sabatini, F. &amp; </w:t>
      </w:r>
      <w:proofErr w:type="spellStart"/>
      <w:r w:rsidRPr="00D32C84">
        <w:rPr>
          <w:lang w:val="es-ES_tradnl"/>
        </w:rPr>
        <w:t>Wormald</w:t>
      </w:r>
      <w:proofErr w:type="spellEnd"/>
      <w:r w:rsidRPr="00D32C84">
        <w:rPr>
          <w:lang w:val="es-ES_tradnl"/>
        </w:rPr>
        <w:t xml:space="preserve">, G. (2013). Segregación de la vivienda social: reducción de oportunidades, pérdida de cohesión. En F. Sabatini, G. </w:t>
      </w:r>
      <w:proofErr w:type="spellStart"/>
      <w:r w:rsidRPr="00D32C84">
        <w:rPr>
          <w:lang w:val="es-ES_tradnl"/>
        </w:rPr>
        <w:t>Wormald</w:t>
      </w:r>
      <w:proofErr w:type="spellEnd"/>
      <w:r w:rsidRPr="00D32C84">
        <w:rPr>
          <w:lang w:val="es-ES_tradnl"/>
        </w:rPr>
        <w:t xml:space="preserve"> &amp; A. </w:t>
      </w:r>
      <w:proofErr w:type="spellStart"/>
      <w:r w:rsidRPr="00D32C84">
        <w:rPr>
          <w:lang w:val="es-ES_tradnl"/>
        </w:rPr>
        <w:t>Rasse</w:t>
      </w:r>
      <w:proofErr w:type="spellEnd"/>
      <w:r w:rsidRPr="00D32C84">
        <w:rPr>
          <w:lang w:val="es-ES_tradnl"/>
        </w:rPr>
        <w:t xml:space="preserve"> (Eds.), Segregación de la vivienda social: ocho conjuntos en Santiago, Concepción y Talca (págs. </w:t>
      </w:r>
      <w:r>
        <w:t xml:space="preserve">12-31). Santiago, Chile: </w:t>
      </w:r>
      <w:proofErr w:type="spellStart"/>
      <w:r>
        <w:t>Colección</w:t>
      </w:r>
      <w:proofErr w:type="spellEnd"/>
      <w:r>
        <w:t xml:space="preserve"> </w:t>
      </w:r>
      <w:proofErr w:type="spellStart"/>
      <w:r>
        <w:t>Estudios</w:t>
      </w:r>
      <w:proofErr w:type="spellEnd"/>
      <w:r>
        <w:t xml:space="preserve"> </w:t>
      </w:r>
      <w:proofErr w:type="spellStart"/>
      <w:r>
        <w:t>Urbanos</w:t>
      </w:r>
      <w:proofErr w:type="spellEnd"/>
      <w:r>
        <w:t xml:space="preserve"> UC. </w:t>
      </w:r>
    </w:p>
  </w:footnote>
  <w:footnote w:id="50">
    <w:p w14:paraId="1FD29CE0" w14:textId="77777777" w:rsidR="006D5915" w:rsidRDefault="006D5915" w:rsidP="004F3B44">
      <w:pPr>
        <w:pStyle w:val="FootnoteText"/>
      </w:pPr>
      <w:r>
        <w:tab/>
      </w:r>
      <w:r>
        <w:rPr>
          <w:rStyle w:val="FootnoteReference"/>
        </w:rPr>
        <w:footnoteRef/>
      </w:r>
      <w:r>
        <w:tab/>
      </w:r>
      <w:hyperlink r:id="rId20">
        <w:r>
          <w:rPr>
            <w:color w:val="0563C1"/>
            <w:szCs w:val="18"/>
            <w:u w:val="single"/>
          </w:rPr>
          <w:t>A/HRC/37/53/Add.1</w:t>
        </w:r>
      </w:hyperlink>
      <w:r>
        <w:rPr>
          <w:color w:val="0563C1"/>
          <w:szCs w:val="18"/>
          <w:u w:val="single"/>
        </w:rPr>
        <w:t xml:space="preserve">. </w:t>
      </w:r>
      <w:r>
        <w:t xml:space="preserve"> </w:t>
      </w:r>
    </w:p>
  </w:footnote>
  <w:footnote w:id="51">
    <w:p w14:paraId="6DD90E4C" w14:textId="148F1ADA" w:rsidR="006D5915" w:rsidRDefault="006D5915" w:rsidP="004F3B44">
      <w:pPr>
        <w:pStyle w:val="FootnoteText"/>
      </w:pPr>
      <w:r>
        <w:tab/>
      </w:r>
      <w:r>
        <w:rPr>
          <w:rStyle w:val="FootnoteReference"/>
        </w:rPr>
        <w:footnoteRef/>
      </w:r>
      <w:r>
        <w:tab/>
      </w:r>
      <w:proofErr w:type="spellStart"/>
      <w:r>
        <w:rPr>
          <w:rFonts w:eastAsia="Arial"/>
          <w:highlight w:val="white"/>
        </w:rPr>
        <w:t>Verdugo</w:t>
      </w:r>
      <w:proofErr w:type="spellEnd"/>
      <w:r>
        <w:rPr>
          <w:rFonts w:eastAsia="Arial"/>
          <w:highlight w:val="white"/>
        </w:rPr>
        <w:t xml:space="preserve">, G., &amp; </w:t>
      </w:r>
      <w:proofErr w:type="spellStart"/>
      <w:r>
        <w:rPr>
          <w:rFonts w:eastAsia="Arial"/>
          <w:highlight w:val="white"/>
        </w:rPr>
        <w:t>Toma</w:t>
      </w:r>
      <w:proofErr w:type="spellEnd"/>
      <w:r>
        <w:rPr>
          <w:rFonts w:eastAsia="Arial"/>
          <w:highlight w:val="white"/>
        </w:rPr>
        <w:t xml:space="preserve">, S. (2018). Lessons and challenges from non-European immigration in France: Can public housing decrease </w:t>
      </w:r>
      <w:proofErr w:type="gramStart"/>
      <w:r>
        <w:rPr>
          <w:rFonts w:eastAsia="Arial"/>
          <w:highlight w:val="white"/>
        </w:rPr>
        <w:t>segregation?,</w:t>
      </w:r>
      <w:proofErr w:type="gramEnd"/>
      <w:r>
        <w:rPr>
          <w:rFonts w:eastAsia="Arial"/>
          <w:highlight w:val="white"/>
        </w:rPr>
        <w:t xml:space="preserve"> </w:t>
      </w:r>
      <w:r w:rsidRPr="008D73FD">
        <w:rPr>
          <w:rFonts w:eastAsia="Arial"/>
          <w:highlight w:val="white"/>
        </w:rPr>
        <w:t>Demography,</w:t>
      </w:r>
      <w:r>
        <w:rPr>
          <w:rFonts w:eastAsia="Arial"/>
          <w:highlight w:val="white"/>
        </w:rPr>
        <w:t xml:space="preserve"> </w:t>
      </w:r>
      <w:r>
        <w:rPr>
          <w:rFonts w:eastAsia="Arial"/>
          <w:i/>
          <w:highlight w:val="white"/>
        </w:rPr>
        <w:t>55</w:t>
      </w:r>
      <w:r>
        <w:rPr>
          <w:rFonts w:eastAsia="Arial"/>
          <w:highlight w:val="white"/>
        </w:rPr>
        <w:t>(5), 1803-1828</w:t>
      </w:r>
      <w:r>
        <w:rPr>
          <w:rFonts w:eastAsia="Arial"/>
        </w:rPr>
        <w:t>.</w:t>
      </w:r>
      <w:r>
        <w:t xml:space="preserve"> </w:t>
      </w:r>
    </w:p>
  </w:footnote>
  <w:footnote w:id="52">
    <w:p w14:paraId="3B065A0B" w14:textId="77777777" w:rsidR="006D5915" w:rsidRDefault="006D5915" w:rsidP="00F706F4">
      <w:pPr>
        <w:pStyle w:val="FootnoteText"/>
      </w:pPr>
      <w:r>
        <w:tab/>
      </w:r>
      <w:r>
        <w:rPr>
          <w:rStyle w:val="FootnoteReference"/>
        </w:rPr>
        <w:footnoteRef/>
      </w:r>
      <w:r>
        <w:tab/>
      </w:r>
      <w:r w:rsidRPr="00BF527A">
        <w:t>https://www.lincolninst.edu/</w:t>
      </w:r>
      <w:r w:rsidRPr="00F706F4">
        <w:rPr>
          <w:rStyle w:val="FootnoteReference"/>
          <w:vertAlign w:val="baseline"/>
        </w:rPr>
        <w:t>publications</w:t>
      </w:r>
      <w:r w:rsidRPr="00BF527A">
        <w:t>/articles/affordable-housing-china</w:t>
      </w:r>
      <w:r>
        <w:t>.</w:t>
      </w:r>
    </w:p>
  </w:footnote>
  <w:footnote w:id="53">
    <w:p w14:paraId="7DB92924" w14:textId="77777777" w:rsidR="006D5915" w:rsidRPr="004F3B44" w:rsidRDefault="006D5915" w:rsidP="004F3B44">
      <w:pPr>
        <w:pStyle w:val="FootnoteText"/>
      </w:pPr>
      <w:r>
        <w:tab/>
      </w:r>
      <w:r>
        <w:rPr>
          <w:rStyle w:val="FootnoteReference"/>
        </w:rPr>
        <w:footnoteRef/>
      </w:r>
      <w:r>
        <w:tab/>
        <w:t>Submission by Public Works Studio, Lebanon.</w:t>
      </w:r>
    </w:p>
  </w:footnote>
  <w:footnote w:id="54">
    <w:p w14:paraId="436C3F6A" w14:textId="77777777" w:rsidR="006D5915" w:rsidRDefault="006D5915" w:rsidP="004F3B44">
      <w:pPr>
        <w:pStyle w:val="FootnoteText"/>
        <w:widowControl w:val="0"/>
        <w:tabs>
          <w:tab w:val="clear" w:pos="1021"/>
          <w:tab w:val="right" w:pos="1020"/>
        </w:tabs>
      </w:pPr>
      <w:r>
        <w:tab/>
      </w:r>
      <w:r>
        <w:rPr>
          <w:rStyle w:val="FootnoteReference"/>
        </w:rPr>
        <w:footnoteRef/>
      </w:r>
      <w:r>
        <w:tab/>
      </w:r>
      <w:r>
        <w:rPr>
          <w:szCs w:val="18"/>
        </w:rPr>
        <w:t>Submission by Habitat for Humanity Poland.</w:t>
      </w:r>
      <w:r>
        <w:t xml:space="preserve"> </w:t>
      </w:r>
    </w:p>
  </w:footnote>
  <w:footnote w:id="55">
    <w:p w14:paraId="2AC9B0BB" w14:textId="77777777" w:rsidR="006D5915" w:rsidRPr="00494D79" w:rsidRDefault="006D5915" w:rsidP="00494D79">
      <w:pPr>
        <w:pStyle w:val="FootnoteText"/>
      </w:pPr>
      <w:r>
        <w:tab/>
      </w:r>
      <w:r>
        <w:rPr>
          <w:rStyle w:val="FootnoteReference"/>
        </w:rPr>
        <w:footnoteRef/>
      </w:r>
      <w:r>
        <w:tab/>
        <w:t>Submission by Global Network of Sex Work Projects; also see submission by Stella.</w:t>
      </w:r>
    </w:p>
  </w:footnote>
  <w:footnote w:id="56">
    <w:p w14:paraId="168DCD01" w14:textId="071C2E4F" w:rsidR="006D5915" w:rsidRPr="00494D79" w:rsidRDefault="006D5915" w:rsidP="00494D79">
      <w:pPr>
        <w:pStyle w:val="FootnoteText"/>
      </w:pPr>
      <w:r>
        <w:tab/>
      </w:r>
      <w:r>
        <w:rPr>
          <w:rStyle w:val="FootnoteReference"/>
        </w:rPr>
        <w:footnoteRef/>
      </w:r>
      <w:r>
        <w:tab/>
      </w:r>
      <w:r w:rsidR="00FF4522">
        <w:t xml:space="preserve">See </w:t>
      </w:r>
      <w:hyperlink r:id="rId21" w:history="1">
        <w:r w:rsidR="00FF4522" w:rsidRPr="00CD6394">
          <w:rPr>
            <w:rStyle w:val="Hyperlink"/>
          </w:rPr>
          <w:t>https://thewire.in/law/</w:t>
        </w:r>
        <w:r w:rsidR="00FF4522" w:rsidRPr="00F706F4">
          <w:rPr>
            <w:rStyle w:val="Hyperlink"/>
          </w:rPr>
          <w:t>improper</w:t>
        </w:r>
        <w:r w:rsidR="00FF4522" w:rsidRPr="00CD6394">
          <w:rPr>
            <w:rStyle w:val="Hyperlink"/>
          </w:rPr>
          <w:t>-clustering-gujarat-hc-bars-state-govt-from-declaring-localities-disturbed-areas</w:t>
        </w:r>
      </w:hyperlink>
      <w:r w:rsidR="00FF4522">
        <w:t xml:space="preserve"> and submission of advocate </w:t>
      </w:r>
      <w:proofErr w:type="spellStart"/>
      <w:r w:rsidR="00FF4522">
        <w:t>Vrinda</w:t>
      </w:r>
      <w:proofErr w:type="spellEnd"/>
      <w:r w:rsidR="00FF4522">
        <w:t xml:space="preserve"> Grover available at: </w:t>
      </w:r>
      <w:r w:rsidR="00FF4522" w:rsidRPr="00FF4522">
        <w:t>https://www.ohchr.org/EN/Issues/Housing/Pages/CFI_Segregation.aspx</w:t>
      </w:r>
    </w:p>
  </w:footnote>
  <w:footnote w:id="57">
    <w:p w14:paraId="58FE5563" w14:textId="77777777" w:rsidR="006D5915" w:rsidRPr="00C4504F" w:rsidRDefault="006D5915" w:rsidP="00C4504F">
      <w:pPr>
        <w:pStyle w:val="FootnoteText"/>
      </w:pPr>
      <w:r>
        <w:tab/>
      </w:r>
      <w:r>
        <w:rPr>
          <w:rStyle w:val="FootnoteReference"/>
        </w:rPr>
        <w:footnoteRef/>
      </w:r>
      <w:r>
        <w:tab/>
        <w:t>Submission by European Roma Rights Centre.</w:t>
      </w:r>
    </w:p>
  </w:footnote>
  <w:footnote w:id="58">
    <w:p w14:paraId="301E8F62" w14:textId="6177423F" w:rsidR="006D5915" w:rsidRDefault="006D5915" w:rsidP="00C4504F">
      <w:pPr>
        <w:pStyle w:val="FootnoteText"/>
      </w:pPr>
      <w:r>
        <w:tab/>
      </w:r>
      <w:r>
        <w:rPr>
          <w:rStyle w:val="FootnoteReference"/>
        </w:rPr>
        <w:footnoteRef/>
      </w:r>
      <w:r>
        <w:tab/>
        <w:t xml:space="preserve">Submission by Single Mothers Association of Kenya (SMAK). </w:t>
      </w:r>
    </w:p>
  </w:footnote>
  <w:footnote w:id="59">
    <w:p w14:paraId="1F6F62F8" w14:textId="40794020" w:rsidR="006D5915" w:rsidRPr="00C4504F" w:rsidRDefault="006D5915" w:rsidP="00C4504F">
      <w:pPr>
        <w:pStyle w:val="FootnoteText"/>
      </w:pPr>
      <w:r>
        <w:tab/>
      </w:r>
      <w:r>
        <w:rPr>
          <w:rStyle w:val="FootnoteReference"/>
        </w:rPr>
        <w:footnoteRef/>
      </w:r>
      <w:r>
        <w:tab/>
      </w:r>
      <w:r w:rsidRPr="00C4504F">
        <w:t xml:space="preserve">See summary report of </w:t>
      </w:r>
      <w:r>
        <w:t>the c</w:t>
      </w:r>
      <w:r w:rsidRPr="00C4504F">
        <w:t>onsultation with Civil Society Organizations,</w:t>
      </w:r>
      <w:r>
        <w:t xml:space="preserve"> available at</w:t>
      </w:r>
      <w:r w:rsidRPr="00C4504F">
        <w:t xml:space="preserve"> https://www.ohchr.org/EN/Issues/Housing/Pages/CFI_Segregation.aspx</w:t>
      </w:r>
      <w:r>
        <w:t>.</w:t>
      </w:r>
    </w:p>
  </w:footnote>
  <w:footnote w:id="60">
    <w:p w14:paraId="0F3478B2" w14:textId="77777777" w:rsidR="006D5915" w:rsidRDefault="006D5915" w:rsidP="00C4504F">
      <w:pPr>
        <w:pStyle w:val="FootnoteText"/>
        <w:widowControl w:val="0"/>
        <w:tabs>
          <w:tab w:val="clear" w:pos="1021"/>
          <w:tab w:val="right" w:pos="1020"/>
        </w:tabs>
      </w:pPr>
      <w:r>
        <w:tab/>
      </w:r>
      <w:r>
        <w:rPr>
          <w:rStyle w:val="FootnoteReference"/>
        </w:rPr>
        <w:footnoteRef/>
      </w:r>
      <w:r>
        <w:tab/>
      </w:r>
      <w:r>
        <w:rPr>
          <w:color w:val="222222"/>
          <w:szCs w:val="18"/>
          <w:highlight w:val="white"/>
        </w:rPr>
        <w:t xml:space="preserve">Williams, D. R., &amp; Collins, C. (2016). Racial residential segregation: a fundamental cause of racial disparities in health. </w:t>
      </w:r>
      <w:r w:rsidRPr="008D73FD">
        <w:rPr>
          <w:color w:val="222222"/>
          <w:szCs w:val="18"/>
          <w:highlight w:val="white"/>
        </w:rPr>
        <w:t>Public health reports</w:t>
      </w:r>
      <w:r>
        <w:rPr>
          <w:color w:val="222222"/>
          <w:szCs w:val="18"/>
          <w:highlight w:val="white"/>
        </w:rPr>
        <w:t>.</w:t>
      </w:r>
      <w:r>
        <w:t xml:space="preserve"> </w:t>
      </w:r>
    </w:p>
  </w:footnote>
  <w:footnote w:id="61">
    <w:p w14:paraId="6B070BC5" w14:textId="3CFE3B23" w:rsidR="006D5915" w:rsidRDefault="006D5915" w:rsidP="00C4504F">
      <w:pPr>
        <w:pStyle w:val="FootnoteText"/>
      </w:pPr>
      <w:r>
        <w:tab/>
      </w:r>
      <w:r>
        <w:rPr>
          <w:rStyle w:val="FootnoteReference"/>
        </w:rPr>
        <w:footnoteRef/>
      </w:r>
      <w:r>
        <w:tab/>
        <w:t xml:space="preserve">“Health Inequalities: A Persistent Obstacle for Roma Inclusion. A Reflection Paper on Union of Equality: EU Roma strategic framework on equality, inclusion and participation.” The European Public Health Alliance (October 2020) </w:t>
      </w:r>
    </w:p>
  </w:footnote>
  <w:footnote w:id="62">
    <w:p w14:paraId="085B6CDF" w14:textId="77777777" w:rsidR="006D5915" w:rsidRDefault="006D5915" w:rsidP="00C4504F">
      <w:pPr>
        <w:pStyle w:val="FootnoteText"/>
      </w:pPr>
      <w:r>
        <w:tab/>
      </w:r>
      <w:r>
        <w:rPr>
          <w:rStyle w:val="FootnoteReference"/>
        </w:rPr>
        <w:footnoteRef/>
      </w:r>
      <w:r>
        <w:tab/>
      </w:r>
      <w:proofErr w:type="spellStart"/>
      <w:r>
        <w:rPr>
          <w:highlight w:val="white"/>
        </w:rPr>
        <w:t>Landrine</w:t>
      </w:r>
      <w:proofErr w:type="spellEnd"/>
      <w:r>
        <w:rPr>
          <w:highlight w:val="white"/>
        </w:rPr>
        <w:t xml:space="preserve">, H., Corral, I., Lee, J. G., </w:t>
      </w:r>
      <w:proofErr w:type="spellStart"/>
      <w:r>
        <w:rPr>
          <w:highlight w:val="white"/>
        </w:rPr>
        <w:t>Efird</w:t>
      </w:r>
      <w:proofErr w:type="spellEnd"/>
      <w:r>
        <w:rPr>
          <w:highlight w:val="white"/>
        </w:rPr>
        <w:t xml:space="preserve">, J. T., Hall, M. B., &amp; Bess, J. J. (2017). Residential segregation and racial cancer disparities: a systematic review. </w:t>
      </w:r>
      <w:r w:rsidRPr="008D73FD">
        <w:rPr>
          <w:highlight w:val="white"/>
        </w:rPr>
        <w:t>Journal of racial and ethnic health disparities, </w:t>
      </w:r>
      <w:r>
        <w:rPr>
          <w:i/>
          <w:highlight w:val="white"/>
        </w:rPr>
        <w:t>4</w:t>
      </w:r>
      <w:r>
        <w:rPr>
          <w:highlight w:val="white"/>
        </w:rPr>
        <w:t>(6), 1195-1205.</w:t>
      </w:r>
      <w:r>
        <w:t xml:space="preserve"> </w:t>
      </w:r>
    </w:p>
  </w:footnote>
  <w:footnote w:id="63">
    <w:p w14:paraId="366C547E" w14:textId="77777777" w:rsidR="006D5915" w:rsidRDefault="006D5915" w:rsidP="00A174AA">
      <w:pPr>
        <w:pStyle w:val="FootnoteText"/>
      </w:pPr>
      <w:r>
        <w:tab/>
      </w:r>
      <w:r>
        <w:rPr>
          <w:rStyle w:val="FootnoteReference"/>
        </w:rPr>
        <w:footnoteRef/>
      </w:r>
      <w:r>
        <w:tab/>
      </w:r>
      <w:r w:rsidRPr="00A174AA">
        <w:t>Submission</w:t>
      </w:r>
      <w:r>
        <w:t xml:space="preserve"> by Habitat for Humanity Zambia.</w:t>
      </w:r>
    </w:p>
  </w:footnote>
  <w:footnote w:id="64">
    <w:p w14:paraId="74F2496D" w14:textId="77777777" w:rsidR="006D5915" w:rsidRDefault="006D5915" w:rsidP="00A174AA">
      <w:pPr>
        <w:pStyle w:val="FootnoteText"/>
      </w:pPr>
      <w:r>
        <w:tab/>
      </w:r>
      <w:r>
        <w:rPr>
          <w:rStyle w:val="FootnoteReference"/>
        </w:rPr>
        <w:footnoteRef/>
      </w:r>
      <w:r>
        <w:tab/>
      </w:r>
      <w:r>
        <w:rPr>
          <w:rFonts w:eastAsia="Arial"/>
          <w:highlight w:val="white"/>
        </w:rPr>
        <w:t>Bhargava, A. (2017). The Interdependence of Housing and School Segregation.</w:t>
      </w:r>
      <w:r>
        <w:t xml:space="preserve"> </w:t>
      </w:r>
    </w:p>
  </w:footnote>
  <w:footnote w:id="65">
    <w:p w14:paraId="0DF7CAC5" w14:textId="77777777" w:rsidR="006D5915" w:rsidRDefault="006D5915" w:rsidP="00A174AA">
      <w:pPr>
        <w:pStyle w:val="FootnoteText"/>
      </w:pPr>
      <w:r>
        <w:tab/>
      </w:r>
      <w:r>
        <w:rPr>
          <w:rStyle w:val="FootnoteReference"/>
        </w:rPr>
        <w:footnoteRef/>
      </w:r>
      <w:r>
        <w:tab/>
        <w:t xml:space="preserve">https://furmancenter.org/research/iri/essay/the-dynamics-of-policing-and-segregation-by-race-and-class. </w:t>
      </w:r>
    </w:p>
  </w:footnote>
  <w:footnote w:id="66">
    <w:p w14:paraId="762A97E4" w14:textId="77777777" w:rsidR="006D5915" w:rsidRPr="00682690" w:rsidRDefault="006D5915" w:rsidP="002252EC">
      <w:pPr>
        <w:pStyle w:val="FootnoteText"/>
        <w:rPr>
          <w:lang w:val="es-ES_tradnl"/>
        </w:rPr>
      </w:pPr>
      <w:r>
        <w:tab/>
      </w:r>
      <w:r>
        <w:rPr>
          <w:rStyle w:val="FootnoteReference"/>
        </w:rPr>
        <w:footnoteRef/>
      </w:r>
      <w:r w:rsidRPr="00682690">
        <w:rPr>
          <w:lang w:val="es-ES_tradnl"/>
        </w:rPr>
        <w:tab/>
      </w:r>
      <w:r>
        <w:rPr>
          <w:lang w:val="es-ES_tradnl"/>
        </w:rPr>
        <w:t>NUA, para 3.</w:t>
      </w:r>
    </w:p>
  </w:footnote>
  <w:footnote w:id="67">
    <w:p w14:paraId="5B120C19" w14:textId="77777777" w:rsidR="006D5915" w:rsidRPr="00682690" w:rsidRDefault="006D5915" w:rsidP="002252EC">
      <w:pPr>
        <w:pStyle w:val="FootnoteText"/>
        <w:rPr>
          <w:lang w:val="es-ES_tradnl"/>
        </w:rPr>
      </w:pPr>
      <w:r w:rsidRPr="00682690">
        <w:rPr>
          <w:lang w:val="es-ES_tradnl"/>
        </w:rPr>
        <w:tab/>
      </w:r>
      <w:r>
        <w:rPr>
          <w:rStyle w:val="FootnoteReference"/>
        </w:rPr>
        <w:footnoteRef/>
      </w:r>
      <w:r w:rsidRPr="00682690">
        <w:rPr>
          <w:lang w:val="es-ES_tradnl"/>
        </w:rPr>
        <w:tab/>
      </w:r>
      <w:r w:rsidRPr="00D32C84">
        <w:rPr>
          <w:lang w:val="es-ES_tradnl"/>
        </w:rPr>
        <w:t>NUA, para. 33</w:t>
      </w:r>
      <w:r w:rsidRPr="00682690">
        <w:rPr>
          <w:lang w:val="es-ES_tradnl"/>
        </w:rPr>
        <w:t>.</w:t>
      </w:r>
    </w:p>
  </w:footnote>
  <w:footnote w:id="68">
    <w:p w14:paraId="5E67081A" w14:textId="77777777" w:rsidR="006D5915" w:rsidRPr="00682690" w:rsidRDefault="006D5915" w:rsidP="002252EC">
      <w:pPr>
        <w:pStyle w:val="FootnoteText"/>
        <w:rPr>
          <w:lang w:val="es-ES_tradnl"/>
        </w:rPr>
      </w:pPr>
      <w:r w:rsidRPr="00682690">
        <w:rPr>
          <w:lang w:val="es-ES_tradnl"/>
        </w:rPr>
        <w:tab/>
      </w:r>
      <w:r>
        <w:rPr>
          <w:rStyle w:val="FootnoteReference"/>
        </w:rPr>
        <w:footnoteRef/>
      </w:r>
      <w:r w:rsidRPr="00682690">
        <w:rPr>
          <w:lang w:val="es-ES_tradnl"/>
        </w:rPr>
        <w:tab/>
      </w:r>
      <w:r w:rsidRPr="007555F3">
        <w:rPr>
          <w:lang w:val="es-ES_tradnl"/>
        </w:rPr>
        <w:t>NUA, para 13 a)</w:t>
      </w:r>
      <w:r w:rsidRPr="00682690">
        <w:rPr>
          <w:lang w:val="es-ES_tradnl"/>
        </w:rPr>
        <w:t>.</w:t>
      </w:r>
    </w:p>
  </w:footnote>
  <w:footnote w:id="69">
    <w:p w14:paraId="31AEB24D" w14:textId="77777777" w:rsidR="006D5915" w:rsidRDefault="006D5915" w:rsidP="002252EC">
      <w:pPr>
        <w:pStyle w:val="FootnoteText"/>
      </w:pPr>
      <w:r w:rsidRPr="00682690">
        <w:rPr>
          <w:lang w:val="es-ES_tradnl"/>
        </w:rPr>
        <w:tab/>
      </w:r>
      <w:r>
        <w:rPr>
          <w:rStyle w:val="FootnoteReference"/>
        </w:rPr>
        <w:footnoteRef/>
      </w:r>
      <w:r>
        <w:tab/>
      </w:r>
      <w:r w:rsidRPr="007555F3">
        <w:t xml:space="preserve">NUA, para. </w:t>
      </w:r>
      <w:r>
        <w:t xml:space="preserve">97. </w:t>
      </w:r>
    </w:p>
  </w:footnote>
  <w:footnote w:id="70">
    <w:p w14:paraId="15FAFA2F" w14:textId="77777777" w:rsidR="006D5915" w:rsidRPr="00BF789B" w:rsidRDefault="006D5915" w:rsidP="00F706F4">
      <w:pPr>
        <w:pStyle w:val="FootnoteText"/>
      </w:pPr>
      <w:r>
        <w:tab/>
      </w:r>
      <w:r>
        <w:rPr>
          <w:rStyle w:val="FootnoteReference"/>
        </w:rPr>
        <w:footnoteRef/>
      </w:r>
      <w:r>
        <w:tab/>
      </w:r>
      <w:proofErr w:type="spellStart"/>
      <w:r w:rsidRPr="00BF789B">
        <w:t>Adonisi</w:t>
      </w:r>
      <w:proofErr w:type="spellEnd"/>
      <w:r w:rsidRPr="00BF789B">
        <w:t xml:space="preserve"> and Others </w:t>
      </w:r>
      <w:proofErr w:type="gramStart"/>
      <w:r w:rsidRPr="00BF789B">
        <w:t>v</w:t>
      </w:r>
      <w:proofErr w:type="gramEnd"/>
      <w:r w:rsidRPr="00BF789B">
        <w:t xml:space="preserve"> Minister for Transport and Public Works Western </w:t>
      </w:r>
      <w:r w:rsidRPr="00F706F4">
        <w:t>Cape</w:t>
      </w:r>
      <w:r w:rsidRPr="00BF789B">
        <w:t xml:space="preserve"> and Others; Minister of Human Settlements and Others v Premier of the Western Cape Province and Others.</w:t>
      </w:r>
    </w:p>
  </w:footnote>
  <w:footnote w:id="71">
    <w:p w14:paraId="585C981E" w14:textId="77777777" w:rsidR="006D5915" w:rsidRPr="00BF789B" w:rsidRDefault="006D5915" w:rsidP="009B7AF9">
      <w:pPr>
        <w:pStyle w:val="FootnoteText"/>
      </w:pPr>
      <w:r w:rsidRPr="00BF789B">
        <w:tab/>
      </w:r>
      <w:r w:rsidRPr="00BF789B">
        <w:rPr>
          <w:rStyle w:val="FootnoteReference"/>
        </w:rPr>
        <w:footnoteRef/>
      </w:r>
      <w:r w:rsidRPr="00BF789B">
        <w:tab/>
        <w:t xml:space="preserve">Submission by </w:t>
      </w:r>
      <w:proofErr w:type="spellStart"/>
      <w:r w:rsidRPr="00BF789B">
        <w:t>Ndifuna</w:t>
      </w:r>
      <w:proofErr w:type="spellEnd"/>
      <w:r w:rsidRPr="00BF789B">
        <w:t xml:space="preserve"> </w:t>
      </w:r>
      <w:proofErr w:type="spellStart"/>
      <w:r w:rsidRPr="00BF789B">
        <w:t>Ukwazi</w:t>
      </w:r>
      <w:proofErr w:type="spellEnd"/>
      <w:r w:rsidRPr="00BF789B">
        <w:t>, South Africa.</w:t>
      </w:r>
    </w:p>
  </w:footnote>
  <w:footnote w:id="72">
    <w:p w14:paraId="734495D4" w14:textId="33F4567A" w:rsidR="006D5915" w:rsidRPr="00131451" w:rsidRDefault="006D5915" w:rsidP="00DF1C24">
      <w:pPr>
        <w:pStyle w:val="FootnoteText"/>
        <w:rPr>
          <w:lang w:val="es-ES_tradnl"/>
        </w:rPr>
      </w:pPr>
      <w:r w:rsidRPr="00BF789B">
        <w:tab/>
      </w:r>
      <w:r w:rsidRPr="00BF789B">
        <w:rPr>
          <w:rStyle w:val="FootnoteReference"/>
        </w:rPr>
        <w:footnoteRef/>
      </w:r>
      <w:r w:rsidRPr="00131451">
        <w:rPr>
          <w:lang w:val="es-ES_tradnl"/>
        </w:rPr>
        <w:tab/>
      </w:r>
      <w:r w:rsidRPr="00131451">
        <w:rPr>
          <w:color w:val="000000"/>
          <w:lang w:val="es-ES_tradnl"/>
        </w:rPr>
        <w:t>Cartera Municipal de Tierra</w:t>
      </w:r>
      <w:r w:rsidRPr="00131451">
        <w:rPr>
          <w:color w:val="000000"/>
          <w:szCs w:val="18"/>
          <w:lang w:val="es-ES_tradnl"/>
        </w:rPr>
        <w:t>s</w:t>
      </w:r>
      <w:r w:rsidRPr="00131451">
        <w:rPr>
          <w:color w:val="000000"/>
          <w:lang w:val="es-ES_tradnl"/>
        </w:rPr>
        <w:t xml:space="preserve"> para Vivienda, </w:t>
      </w:r>
      <w:proofErr w:type="spellStart"/>
      <w:r w:rsidRPr="00131451">
        <w:rPr>
          <w:color w:val="000000"/>
          <w:lang w:val="es-ES_tradnl"/>
        </w:rPr>
        <w:t>created</w:t>
      </w:r>
      <w:proofErr w:type="spellEnd"/>
      <w:r w:rsidRPr="00131451">
        <w:rPr>
          <w:color w:val="000000"/>
          <w:lang w:val="es-ES_tradnl"/>
        </w:rPr>
        <w:t xml:space="preserve"> </w:t>
      </w:r>
      <w:proofErr w:type="spellStart"/>
      <w:r w:rsidRPr="00131451">
        <w:rPr>
          <w:color w:val="000000"/>
          <w:lang w:val="es-ES_tradnl"/>
        </w:rPr>
        <w:t>by</w:t>
      </w:r>
      <w:proofErr w:type="spellEnd"/>
      <w:r w:rsidRPr="00131451">
        <w:rPr>
          <w:color w:val="000000"/>
          <w:lang w:val="es-ES_tradnl"/>
        </w:rPr>
        <w:t xml:space="preserve"> Municipal </w:t>
      </w:r>
      <w:proofErr w:type="spellStart"/>
      <w:r w:rsidRPr="00131451">
        <w:rPr>
          <w:color w:val="000000"/>
          <w:lang w:val="es-ES_tradnl"/>
        </w:rPr>
        <w:t>Decree</w:t>
      </w:r>
      <w:proofErr w:type="spellEnd"/>
      <w:r w:rsidRPr="00131451">
        <w:rPr>
          <w:color w:val="000000"/>
          <w:lang w:val="es-ES_tradnl"/>
        </w:rPr>
        <w:t xml:space="preserve"> 24.654</w:t>
      </w:r>
      <w:r w:rsidRPr="00131451">
        <w:rPr>
          <w:color w:val="000000"/>
          <w:szCs w:val="18"/>
          <w:lang w:val="es-ES_tradnl"/>
        </w:rPr>
        <w:t xml:space="preserve">; </w:t>
      </w:r>
      <w:proofErr w:type="spellStart"/>
      <w:r w:rsidRPr="00131451">
        <w:rPr>
          <w:rFonts w:eastAsia="Arial"/>
          <w:highlight w:val="white"/>
          <w:lang w:val="es-ES_tradnl"/>
        </w:rPr>
        <w:t>Berdía</w:t>
      </w:r>
      <w:proofErr w:type="spellEnd"/>
      <w:r w:rsidRPr="00131451">
        <w:rPr>
          <w:rFonts w:eastAsia="Arial"/>
          <w:highlight w:val="white"/>
          <w:lang w:val="es-ES_tradnl"/>
        </w:rPr>
        <w:t xml:space="preserve">, A., &amp; Rocco, B. (2018). Apuntes sobre 25 años de la cartera de tierras en Montevideo. Vivienda </w:t>
      </w:r>
      <w:proofErr w:type="gramStart"/>
      <w:r w:rsidRPr="00131451">
        <w:rPr>
          <w:rFonts w:eastAsia="Arial"/>
          <w:highlight w:val="white"/>
          <w:lang w:val="es-ES_tradnl"/>
        </w:rPr>
        <w:t>popular,(</w:t>
      </w:r>
      <w:proofErr w:type="gramEnd"/>
      <w:r w:rsidRPr="00131451">
        <w:rPr>
          <w:rFonts w:eastAsia="Arial"/>
          <w:highlight w:val="white"/>
          <w:lang w:val="es-ES_tradnl"/>
        </w:rPr>
        <w:t>30): 86-93</w:t>
      </w:r>
      <w:r w:rsidRPr="00131451">
        <w:rPr>
          <w:rFonts w:eastAsia="Arial"/>
          <w:lang w:val="es-ES_tradnl"/>
        </w:rPr>
        <w:t>.</w:t>
      </w:r>
      <w:r w:rsidRPr="00131451">
        <w:rPr>
          <w:lang w:val="es-ES_tradnl"/>
        </w:rPr>
        <w:t xml:space="preserve"> </w:t>
      </w:r>
    </w:p>
  </w:footnote>
  <w:footnote w:id="73">
    <w:p w14:paraId="2934EB8A" w14:textId="77777777" w:rsidR="006D5915" w:rsidRPr="00682690" w:rsidRDefault="006D5915" w:rsidP="00DF1C24">
      <w:pPr>
        <w:pStyle w:val="FootnoteText"/>
        <w:rPr>
          <w:lang w:val="es-ES_tradnl"/>
        </w:rPr>
      </w:pPr>
      <w:r w:rsidRPr="00131451">
        <w:rPr>
          <w:lang w:val="es-ES_tradnl"/>
        </w:rPr>
        <w:tab/>
      </w:r>
      <w:r w:rsidRPr="00BF789B">
        <w:rPr>
          <w:rStyle w:val="FootnoteReference"/>
        </w:rPr>
        <w:footnoteRef/>
      </w:r>
      <w:r w:rsidRPr="00131451">
        <w:rPr>
          <w:lang w:val="es-ES_tradnl"/>
        </w:rPr>
        <w:tab/>
        <w:t xml:space="preserve">Cartera de Inmuebles para Vivienda de </w:t>
      </w:r>
      <w:proofErr w:type="spellStart"/>
      <w:r w:rsidRPr="00131451">
        <w:rPr>
          <w:lang w:val="es-ES_tradnl"/>
        </w:rPr>
        <w:t>Interes</w:t>
      </w:r>
      <w:proofErr w:type="spellEnd"/>
      <w:r w:rsidRPr="00131451">
        <w:rPr>
          <w:lang w:val="es-ES_tradnl"/>
        </w:rPr>
        <w:t xml:space="preserve"> Social; </w:t>
      </w:r>
      <w:proofErr w:type="spellStart"/>
      <w:r w:rsidRPr="00131451">
        <w:rPr>
          <w:rFonts w:eastAsia="Arial"/>
          <w:highlight w:val="white"/>
          <w:lang w:val="es-ES_tradnl"/>
        </w:rPr>
        <w:t>Mendive</w:t>
      </w:r>
      <w:proofErr w:type="spellEnd"/>
      <w:r w:rsidRPr="00131451">
        <w:rPr>
          <w:rFonts w:eastAsia="Arial"/>
          <w:highlight w:val="white"/>
          <w:lang w:val="es-ES_tradnl"/>
        </w:rPr>
        <w:t>, C. (2013). Cartera de Inmuebles de Vivienda de Interés Social (CIVIS): Alternativas para la provisión de suelo en Uruguay. </w:t>
      </w:r>
      <w:r w:rsidRPr="00131451">
        <w:rPr>
          <w:rFonts w:eastAsia="Arial"/>
          <w:i/>
          <w:highlight w:val="white"/>
          <w:lang w:val="es-ES_tradnl"/>
        </w:rPr>
        <w:t>FURTADO, Fernanda; SMOLKA</w:t>
      </w:r>
      <w:r w:rsidRPr="00131451">
        <w:rPr>
          <w:rFonts w:eastAsia="Arial"/>
          <w:highlight w:val="white"/>
          <w:lang w:val="es-ES_tradnl"/>
        </w:rPr>
        <w:t xml:space="preserve">, </w:t>
      </w:r>
      <w:proofErr w:type="spellStart"/>
      <w:r w:rsidRPr="00131451">
        <w:rPr>
          <w:rFonts w:eastAsia="Arial"/>
          <w:highlight w:val="white"/>
          <w:lang w:val="es-ES_tradnl"/>
        </w:rPr>
        <w:t>Martim</w:t>
      </w:r>
      <w:proofErr w:type="spellEnd"/>
      <w:r w:rsidRPr="00131451">
        <w:rPr>
          <w:rFonts w:eastAsia="Arial"/>
          <w:highlight w:val="white"/>
          <w:lang w:val="es-ES_tradnl"/>
        </w:rPr>
        <w:t xml:space="preserve"> O. Instrumentos Notables de Políticas de Suelo en América Latina. </w:t>
      </w:r>
      <w:r w:rsidRPr="00682690">
        <w:rPr>
          <w:rFonts w:eastAsia="Arial"/>
          <w:highlight w:val="white"/>
          <w:lang w:val="es-ES_tradnl"/>
        </w:rPr>
        <w:t xml:space="preserve">Ecuador: </w:t>
      </w:r>
      <w:proofErr w:type="spellStart"/>
      <w:r w:rsidRPr="00682690">
        <w:rPr>
          <w:rFonts w:eastAsia="Arial"/>
          <w:highlight w:val="white"/>
          <w:lang w:val="es-ES_tradnl"/>
        </w:rPr>
        <w:t>Ministério</w:t>
      </w:r>
      <w:proofErr w:type="spellEnd"/>
      <w:r w:rsidRPr="00682690">
        <w:rPr>
          <w:rFonts w:eastAsia="Arial"/>
          <w:highlight w:val="white"/>
          <w:lang w:val="es-ES_tradnl"/>
        </w:rPr>
        <w:t xml:space="preserve"> das </w:t>
      </w:r>
      <w:proofErr w:type="spellStart"/>
      <w:r w:rsidRPr="00682690">
        <w:rPr>
          <w:rFonts w:eastAsia="Arial"/>
          <w:highlight w:val="white"/>
          <w:lang w:val="es-ES_tradnl"/>
        </w:rPr>
        <w:t>Cidades</w:t>
      </w:r>
      <w:proofErr w:type="spellEnd"/>
      <w:r w:rsidRPr="00682690">
        <w:rPr>
          <w:rFonts w:eastAsia="Arial"/>
          <w:highlight w:val="white"/>
          <w:lang w:val="es-ES_tradnl"/>
        </w:rPr>
        <w:t>, 95.</w:t>
      </w:r>
      <w:r w:rsidRPr="00682690">
        <w:rPr>
          <w:lang w:val="es-ES_tradnl"/>
        </w:rPr>
        <w:t xml:space="preserve"> </w:t>
      </w:r>
    </w:p>
  </w:footnote>
  <w:footnote w:id="74">
    <w:p w14:paraId="6E3CDAFB" w14:textId="77777777" w:rsidR="006D5915" w:rsidRPr="00BF789B" w:rsidRDefault="006D5915" w:rsidP="00DF1C24">
      <w:pPr>
        <w:pStyle w:val="FootnoteText"/>
      </w:pPr>
      <w:r w:rsidRPr="00682690">
        <w:rPr>
          <w:lang w:val="es-ES_tradnl"/>
        </w:rPr>
        <w:tab/>
      </w:r>
      <w:r w:rsidRPr="00BF789B">
        <w:rPr>
          <w:rStyle w:val="FootnoteReference"/>
        </w:rPr>
        <w:footnoteRef/>
      </w:r>
      <w:r w:rsidRPr="00682690">
        <w:rPr>
          <w:lang w:val="es-ES_tradnl"/>
        </w:rPr>
        <w:tab/>
      </w:r>
      <w:r w:rsidRPr="00682690">
        <w:rPr>
          <w:rFonts w:eastAsia="Arial"/>
          <w:highlight w:val="white"/>
          <w:lang w:val="es-ES_tradnl"/>
        </w:rPr>
        <w:t xml:space="preserve">Bergman, P., </w:t>
      </w:r>
      <w:proofErr w:type="spellStart"/>
      <w:r w:rsidRPr="00682690">
        <w:rPr>
          <w:rFonts w:eastAsia="Arial"/>
          <w:highlight w:val="white"/>
          <w:lang w:val="es-ES_tradnl"/>
        </w:rPr>
        <w:t>Chetty</w:t>
      </w:r>
      <w:proofErr w:type="spellEnd"/>
      <w:r w:rsidRPr="00682690">
        <w:rPr>
          <w:rFonts w:eastAsia="Arial"/>
          <w:highlight w:val="white"/>
          <w:lang w:val="es-ES_tradnl"/>
        </w:rPr>
        <w:t xml:space="preserve">, R., </w:t>
      </w:r>
      <w:proofErr w:type="spellStart"/>
      <w:r w:rsidRPr="00682690">
        <w:rPr>
          <w:rFonts w:eastAsia="Arial"/>
          <w:highlight w:val="white"/>
          <w:lang w:val="es-ES_tradnl"/>
        </w:rPr>
        <w:t>DeLuca</w:t>
      </w:r>
      <w:proofErr w:type="spellEnd"/>
      <w:r w:rsidRPr="00682690">
        <w:rPr>
          <w:rFonts w:eastAsia="Arial"/>
          <w:highlight w:val="white"/>
          <w:lang w:val="es-ES_tradnl"/>
        </w:rPr>
        <w:t xml:space="preserve">, S., </w:t>
      </w:r>
      <w:proofErr w:type="spellStart"/>
      <w:r w:rsidRPr="00682690">
        <w:rPr>
          <w:rFonts w:eastAsia="Arial"/>
          <w:highlight w:val="white"/>
          <w:lang w:val="es-ES_tradnl"/>
        </w:rPr>
        <w:t>Hendren</w:t>
      </w:r>
      <w:proofErr w:type="spellEnd"/>
      <w:r w:rsidRPr="00682690">
        <w:rPr>
          <w:rFonts w:eastAsia="Arial"/>
          <w:highlight w:val="white"/>
          <w:lang w:val="es-ES_tradnl"/>
        </w:rPr>
        <w:t xml:space="preserve">, N., </w:t>
      </w:r>
      <w:proofErr w:type="spellStart"/>
      <w:r w:rsidRPr="00682690">
        <w:rPr>
          <w:rFonts w:eastAsia="Arial"/>
          <w:highlight w:val="white"/>
          <w:lang w:val="es-ES_tradnl"/>
        </w:rPr>
        <w:t>Katz</w:t>
      </w:r>
      <w:proofErr w:type="spellEnd"/>
      <w:r w:rsidRPr="00682690">
        <w:rPr>
          <w:rFonts w:eastAsia="Arial"/>
          <w:highlight w:val="white"/>
          <w:lang w:val="es-ES_tradnl"/>
        </w:rPr>
        <w:t xml:space="preserve">, L. F., &amp; Palmer, C. (2019). </w:t>
      </w:r>
      <w:r w:rsidRPr="008D73FD">
        <w:rPr>
          <w:rFonts w:eastAsia="Arial"/>
          <w:highlight w:val="white"/>
        </w:rPr>
        <w:t xml:space="preserve">Creating moves to opportunity: Experimental evidence on barriers to </w:t>
      </w:r>
      <w:proofErr w:type="spellStart"/>
      <w:r w:rsidRPr="008D73FD">
        <w:rPr>
          <w:rFonts w:eastAsia="Arial"/>
          <w:highlight w:val="white"/>
        </w:rPr>
        <w:t>neighborhood</w:t>
      </w:r>
      <w:proofErr w:type="spellEnd"/>
      <w:r w:rsidRPr="008D73FD">
        <w:rPr>
          <w:rFonts w:eastAsia="Arial"/>
          <w:highlight w:val="white"/>
        </w:rPr>
        <w:t xml:space="preserve"> choice</w:t>
      </w:r>
      <w:r w:rsidRPr="00BF789B">
        <w:rPr>
          <w:rFonts w:eastAsia="Arial"/>
          <w:highlight w:val="white"/>
        </w:rPr>
        <w:t> (No. w26164). National Bureau of Economic Research</w:t>
      </w:r>
      <w:r w:rsidRPr="00BF789B">
        <w:rPr>
          <w:rFonts w:eastAsia="Arial"/>
        </w:rPr>
        <w:t>.</w:t>
      </w:r>
      <w:r w:rsidRPr="00BF789B">
        <w:t xml:space="preserve"> </w:t>
      </w:r>
    </w:p>
  </w:footnote>
  <w:footnote w:id="75">
    <w:p w14:paraId="2FA9C4D3" w14:textId="3402BEA2" w:rsidR="006D5915" w:rsidRDefault="006D5915" w:rsidP="00DF1C24">
      <w:pPr>
        <w:pStyle w:val="FootnoteText"/>
      </w:pPr>
      <w:r>
        <w:tab/>
      </w:r>
      <w:r>
        <w:rPr>
          <w:rStyle w:val="FootnoteReference"/>
        </w:rPr>
        <w:footnoteRef/>
      </w:r>
      <w:r>
        <w:tab/>
      </w:r>
      <w:r w:rsidR="00FF4522">
        <w:t xml:space="preserve">See submission of Singapore and </w:t>
      </w:r>
      <w:r>
        <w:t xml:space="preserve">https://www.gov.sg/article/hdbs-ethnic-integration-policy-why-it-still-matters. </w:t>
      </w:r>
    </w:p>
  </w:footnote>
  <w:footnote w:id="76">
    <w:p w14:paraId="1EF08D06" w14:textId="77777777" w:rsidR="006D5915" w:rsidRDefault="006D5915" w:rsidP="00F706F4">
      <w:pPr>
        <w:pStyle w:val="FootnoteText"/>
      </w:pPr>
      <w:r>
        <w:tab/>
      </w:r>
      <w:r>
        <w:rPr>
          <w:rStyle w:val="FootnoteReference"/>
        </w:rPr>
        <w:footnoteRef/>
      </w:r>
      <w:r>
        <w:tab/>
        <w:t>http://award.org.za/wp/wp-content/uploads/2020/02/</w:t>
      </w:r>
      <w:r w:rsidRPr="00F706F4">
        <w:t>AWARD</w:t>
      </w:r>
      <w:r>
        <w:t xml:space="preserve">-Guideline-Spatial-Planning-and-Land-Use-Management-Act-2019-v1.pdf. </w:t>
      </w:r>
    </w:p>
  </w:footnote>
  <w:footnote w:id="77">
    <w:p w14:paraId="0D5EE5C4" w14:textId="164244F7" w:rsidR="006D5915" w:rsidRDefault="006D5915" w:rsidP="0079098E">
      <w:pPr>
        <w:pStyle w:val="FootnoteText"/>
      </w:pPr>
      <w:r>
        <w:tab/>
      </w:r>
      <w:r>
        <w:rPr>
          <w:rStyle w:val="FootnoteReference"/>
        </w:rPr>
        <w:footnoteRef/>
      </w:r>
      <w:r>
        <w:tab/>
      </w:r>
      <w:r>
        <w:rPr>
          <w:color w:val="000000"/>
        </w:rPr>
        <w:t xml:space="preserve">See summary of </w:t>
      </w:r>
      <w:r>
        <w:t xml:space="preserve">report of </w:t>
      </w:r>
      <w:r w:rsidR="00872455">
        <w:rPr>
          <w:color w:val="000000"/>
        </w:rPr>
        <w:t>the c</w:t>
      </w:r>
      <w:r>
        <w:rPr>
          <w:color w:val="000000"/>
        </w:rPr>
        <w:t xml:space="preserve">onsultation with </w:t>
      </w:r>
      <w:r w:rsidRPr="0079098E">
        <w:t>local</w:t>
      </w:r>
      <w:r>
        <w:rPr>
          <w:color w:val="000000"/>
        </w:rPr>
        <w:t xml:space="preserve"> and regional government</w:t>
      </w:r>
      <w:r>
        <w:t xml:space="preserve">s, </w:t>
      </w:r>
      <w:hyperlink r:id="rId22" w:history="1">
        <w:r w:rsidRPr="00C442AC">
          <w:rPr>
            <w:rStyle w:val="Hyperlink"/>
            <w:szCs w:val="18"/>
          </w:rPr>
          <w:t>https://www.ohchr.org/EN/Issues/Housing/Pages/CFI_</w:t>
        </w:r>
        <w:r w:rsidRPr="00F706F4">
          <w:rPr>
            <w:rStyle w:val="Hyperlink"/>
          </w:rPr>
          <w:t>Segregation</w:t>
        </w:r>
        <w:r w:rsidRPr="00C442AC">
          <w:rPr>
            <w:rStyle w:val="Hyperlink"/>
            <w:szCs w:val="18"/>
          </w:rPr>
          <w:t>.aspx</w:t>
        </w:r>
      </w:hyperlink>
      <w:r>
        <w:t xml:space="preserve">. </w:t>
      </w:r>
    </w:p>
  </w:footnote>
  <w:footnote w:id="78">
    <w:p w14:paraId="0CA147BA" w14:textId="0246199E" w:rsidR="006D5915" w:rsidRPr="008D73FD" w:rsidRDefault="006D5915" w:rsidP="0079098E">
      <w:pPr>
        <w:pStyle w:val="FootnoteText"/>
      </w:pPr>
      <w:r>
        <w:tab/>
      </w:r>
      <w:r>
        <w:rPr>
          <w:rStyle w:val="FootnoteReference"/>
        </w:rPr>
        <w:footnoteRef/>
      </w:r>
      <w:r>
        <w:tab/>
      </w:r>
      <w:r w:rsidR="00682690">
        <w:t>UN-</w:t>
      </w:r>
      <w:r>
        <w:rPr>
          <w:rFonts w:eastAsia="Arial"/>
          <w:highlight w:val="white"/>
        </w:rPr>
        <w:t>Habitat (2015). International guidelines on urban and territorial planning. </w:t>
      </w:r>
      <w:r w:rsidRPr="008D73FD">
        <w:rPr>
          <w:rFonts w:eastAsia="Arial"/>
          <w:highlight w:val="white"/>
        </w:rPr>
        <w:t xml:space="preserve"> Nairobi.</w:t>
      </w:r>
      <w:r w:rsidRPr="008D73FD">
        <w:t xml:space="preserve"> </w:t>
      </w:r>
    </w:p>
  </w:footnote>
  <w:footnote w:id="79">
    <w:p w14:paraId="129FDA9B" w14:textId="77777777" w:rsidR="006D5915" w:rsidRDefault="006D5915" w:rsidP="006D5915">
      <w:pPr>
        <w:pStyle w:val="FootnoteText"/>
      </w:pPr>
      <w:r>
        <w:tab/>
      </w:r>
      <w:r>
        <w:rPr>
          <w:rStyle w:val="FootnoteReference"/>
        </w:rPr>
        <w:footnoteRef/>
      </w:r>
      <w:r>
        <w:tab/>
      </w:r>
      <w:hyperlink r:id="rId23">
        <w:r w:rsidRPr="008D73FD">
          <w:t>https://ec.europa.eu/regional_policy/en/projects/germany/berlins-neighbourhood-management-project-brings-decision-making-on-social-development-to-the-local-level</w:t>
        </w:r>
      </w:hyperlink>
      <w:r>
        <w:rPr>
          <w:color w:val="000000"/>
          <w:szCs w:val="18"/>
        </w:rPr>
        <w:t xml:space="preserve">; </w:t>
      </w:r>
      <w:hyperlink r:id="rId24" w:history="1">
        <w:r w:rsidRPr="00C442AC">
          <w:rPr>
            <w:rStyle w:val="Hyperlink"/>
            <w:szCs w:val="18"/>
          </w:rPr>
          <w:t>https://www.quartiersmanagement-berlin.de/english/goals.html</w:t>
        </w:r>
      </w:hyperlink>
      <w:r>
        <w:rPr>
          <w:color w:val="000000"/>
          <w:szCs w:val="18"/>
        </w:rPr>
        <w:t>.</w:t>
      </w:r>
      <w:r>
        <w:t xml:space="preserve"> </w:t>
      </w:r>
    </w:p>
  </w:footnote>
  <w:footnote w:id="80">
    <w:p w14:paraId="77167C95" w14:textId="2A10BE38" w:rsidR="006D5915" w:rsidRDefault="006D5915" w:rsidP="00F706F4">
      <w:pPr>
        <w:pStyle w:val="FootnoteText"/>
      </w:pPr>
      <w:r>
        <w:tab/>
      </w:r>
      <w:r>
        <w:rPr>
          <w:rStyle w:val="FootnoteReference"/>
        </w:rPr>
        <w:footnoteRef/>
      </w:r>
      <w:r>
        <w:tab/>
        <w:t xml:space="preserve">UN Habitat: A Practical Guide to Designing, Planning and </w:t>
      </w:r>
      <w:r w:rsidRPr="00DD392F">
        <w:t>Executing</w:t>
      </w:r>
      <w:r>
        <w:t xml:space="preserve"> </w:t>
      </w:r>
      <w:r w:rsidRPr="00F706F4">
        <w:t>Citywide</w:t>
      </w:r>
      <w:r>
        <w:t xml:space="preserve"> Slum Upgrading Program</w:t>
      </w:r>
      <w:r w:rsidR="00872455">
        <w:t>mes</w:t>
      </w:r>
      <w:r>
        <w:t xml:space="preserve">. </w:t>
      </w:r>
    </w:p>
  </w:footnote>
  <w:footnote w:id="81">
    <w:p w14:paraId="34B668F3" w14:textId="77777777" w:rsidR="006D5915" w:rsidRDefault="006D5915" w:rsidP="00DD392F">
      <w:pPr>
        <w:pStyle w:val="FootnoteText"/>
      </w:pPr>
      <w:r>
        <w:tab/>
      </w:r>
      <w:r>
        <w:rPr>
          <w:rStyle w:val="FootnoteReference"/>
        </w:rPr>
        <w:footnoteRef/>
      </w:r>
      <w:r>
        <w:tab/>
        <w:t xml:space="preserve">See </w:t>
      </w:r>
      <w:hyperlink r:id="rId25" w:history="1">
        <w:r>
          <w:rPr>
            <w:rStyle w:val="Hyperlink"/>
          </w:rPr>
          <w:t>A/73/310/Rev.1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06F17" w14:textId="77777777" w:rsidR="006D5915" w:rsidRPr="007F3CD9" w:rsidRDefault="001B3811">
    <w:pPr>
      <w:pStyle w:val="Header"/>
    </w:pPr>
    <w:fldSimple w:instr=" TITLE  \* MERGEFORMAT ">
      <w:r w:rsidR="006D5915">
        <w:t>A/HRC/49/48</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DDD9" w14:textId="77777777" w:rsidR="006D5915" w:rsidRPr="007F3CD9" w:rsidRDefault="001B3811" w:rsidP="007F3CD9">
    <w:pPr>
      <w:pStyle w:val="Header"/>
      <w:jc w:val="right"/>
    </w:pPr>
    <w:fldSimple w:instr=" TITLE  \* MERGEFORMAT ">
      <w:r w:rsidR="006D5915">
        <w:t>A/HRC/49/48</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B3409"/>
    <w:multiLevelType w:val="hybridMultilevel"/>
    <w:tmpl w:val="E76A8BF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GB" w:vendorID="64" w:dllVersion="4096" w:nlCheck="1" w:checkStyle="0"/>
  <w:activeWritingStyle w:appName="MSWord" w:lang="es-ES_tradnl" w:vendorID="64" w:dllVersion="4096" w:nlCheck="1" w:checkStyle="0"/>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D9"/>
    <w:rsid w:val="00007F7F"/>
    <w:rsid w:val="00022537"/>
    <w:rsid w:val="00022DB5"/>
    <w:rsid w:val="00025261"/>
    <w:rsid w:val="000403D1"/>
    <w:rsid w:val="000436CA"/>
    <w:rsid w:val="000449AA"/>
    <w:rsid w:val="000455E7"/>
    <w:rsid w:val="00047F23"/>
    <w:rsid w:val="00050F6B"/>
    <w:rsid w:val="0005662A"/>
    <w:rsid w:val="00072C8C"/>
    <w:rsid w:val="00073E70"/>
    <w:rsid w:val="000876EB"/>
    <w:rsid w:val="00091419"/>
    <w:rsid w:val="0009305F"/>
    <w:rsid w:val="000931C0"/>
    <w:rsid w:val="00097B02"/>
    <w:rsid w:val="000B175B"/>
    <w:rsid w:val="000B2851"/>
    <w:rsid w:val="000B3A0F"/>
    <w:rsid w:val="000B4A3B"/>
    <w:rsid w:val="000C25DF"/>
    <w:rsid w:val="000C59D8"/>
    <w:rsid w:val="000D1851"/>
    <w:rsid w:val="000D339C"/>
    <w:rsid w:val="000D781A"/>
    <w:rsid w:val="000E0415"/>
    <w:rsid w:val="001059D8"/>
    <w:rsid w:val="001072EE"/>
    <w:rsid w:val="00107F22"/>
    <w:rsid w:val="00131451"/>
    <w:rsid w:val="00137EC0"/>
    <w:rsid w:val="00146D32"/>
    <w:rsid w:val="001509BA"/>
    <w:rsid w:val="001522AA"/>
    <w:rsid w:val="00173DE8"/>
    <w:rsid w:val="00177098"/>
    <w:rsid w:val="001B3811"/>
    <w:rsid w:val="001B4B04"/>
    <w:rsid w:val="001B5A10"/>
    <w:rsid w:val="001B70C6"/>
    <w:rsid w:val="001C29BE"/>
    <w:rsid w:val="001C31DE"/>
    <w:rsid w:val="001C6663"/>
    <w:rsid w:val="001C7895"/>
    <w:rsid w:val="001D26DF"/>
    <w:rsid w:val="001D5C33"/>
    <w:rsid w:val="001E1299"/>
    <w:rsid w:val="001E2790"/>
    <w:rsid w:val="001E39F9"/>
    <w:rsid w:val="001E4ED7"/>
    <w:rsid w:val="001E627F"/>
    <w:rsid w:val="0020096B"/>
    <w:rsid w:val="0020302A"/>
    <w:rsid w:val="002064C0"/>
    <w:rsid w:val="00211E0B"/>
    <w:rsid w:val="00211E72"/>
    <w:rsid w:val="00213E62"/>
    <w:rsid w:val="00214047"/>
    <w:rsid w:val="00217049"/>
    <w:rsid w:val="0022130F"/>
    <w:rsid w:val="00222285"/>
    <w:rsid w:val="002252EC"/>
    <w:rsid w:val="00237785"/>
    <w:rsid w:val="002410DD"/>
    <w:rsid w:val="00241466"/>
    <w:rsid w:val="00241C44"/>
    <w:rsid w:val="00250604"/>
    <w:rsid w:val="00253D58"/>
    <w:rsid w:val="002675FE"/>
    <w:rsid w:val="002729C7"/>
    <w:rsid w:val="0027512E"/>
    <w:rsid w:val="002766C0"/>
    <w:rsid w:val="0027725F"/>
    <w:rsid w:val="00284BD7"/>
    <w:rsid w:val="002A7BAB"/>
    <w:rsid w:val="002B31E7"/>
    <w:rsid w:val="002B7661"/>
    <w:rsid w:val="002C21F0"/>
    <w:rsid w:val="002D19AA"/>
    <w:rsid w:val="002E38AF"/>
    <w:rsid w:val="002E64E9"/>
    <w:rsid w:val="002F3DC0"/>
    <w:rsid w:val="003107FA"/>
    <w:rsid w:val="003229D8"/>
    <w:rsid w:val="00325804"/>
    <w:rsid w:val="00330E9B"/>
    <w:rsid w:val="003314D1"/>
    <w:rsid w:val="00335A2F"/>
    <w:rsid w:val="00341937"/>
    <w:rsid w:val="0034657B"/>
    <w:rsid w:val="003468BA"/>
    <w:rsid w:val="00347DD3"/>
    <w:rsid w:val="0035528D"/>
    <w:rsid w:val="00374B72"/>
    <w:rsid w:val="0038610E"/>
    <w:rsid w:val="0039007A"/>
    <w:rsid w:val="0039277A"/>
    <w:rsid w:val="003972E0"/>
    <w:rsid w:val="003975ED"/>
    <w:rsid w:val="003A0E08"/>
    <w:rsid w:val="003A5456"/>
    <w:rsid w:val="003C2CC4"/>
    <w:rsid w:val="003C4AF7"/>
    <w:rsid w:val="003C6FDE"/>
    <w:rsid w:val="003D4B23"/>
    <w:rsid w:val="003D5A4B"/>
    <w:rsid w:val="003E51F5"/>
    <w:rsid w:val="003F0B33"/>
    <w:rsid w:val="003F65E4"/>
    <w:rsid w:val="00424C80"/>
    <w:rsid w:val="00431F7B"/>
    <w:rsid w:val="004325CB"/>
    <w:rsid w:val="00444101"/>
    <w:rsid w:val="0044503A"/>
    <w:rsid w:val="00445F5A"/>
    <w:rsid w:val="00446DE4"/>
    <w:rsid w:val="00447761"/>
    <w:rsid w:val="00451EC3"/>
    <w:rsid w:val="004721B1"/>
    <w:rsid w:val="004859EC"/>
    <w:rsid w:val="00494D79"/>
    <w:rsid w:val="004964B0"/>
    <w:rsid w:val="00496A15"/>
    <w:rsid w:val="004B75D2"/>
    <w:rsid w:val="004D1140"/>
    <w:rsid w:val="004D3366"/>
    <w:rsid w:val="004D5F84"/>
    <w:rsid w:val="004F3B44"/>
    <w:rsid w:val="004F55ED"/>
    <w:rsid w:val="0052176C"/>
    <w:rsid w:val="00522E51"/>
    <w:rsid w:val="005261E5"/>
    <w:rsid w:val="0052659D"/>
    <w:rsid w:val="005317BD"/>
    <w:rsid w:val="005350E8"/>
    <w:rsid w:val="005420F2"/>
    <w:rsid w:val="00542574"/>
    <w:rsid w:val="005436AB"/>
    <w:rsid w:val="00546924"/>
    <w:rsid w:val="00546DBF"/>
    <w:rsid w:val="00553D76"/>
    <w:rsid w:val="005552B5"/>
    <w:rsid w:val="0056117B"/>
    <w:rsid w:val="00562621"/>
    <w:rsid w:val="00571365"/>
    <w:rsid w:val="00586565"/>
    <w:rsid w:val="00590F8C"/>
    <w:rsid w:val="005A0E16"/>
    <w:rsid w:val="005B1FB6"/>
    <w:rsid w:val="005B3071"/>
    <w:rsid w:val="005B3DB3"/>
    <w:rsid w:val="005B6E48"/>
    <w:rsid w:val="005C1569"/>
    <w:rsid w:val="005D53BE"/>
    <w:rsid w:val="005E1712"/>
    <w:rsid w:val="005F39C4"/>
    <w:rsid w:val="00600661"/>
    <w:rsid w:val="00611FC4"/>
    <w:rsid w:val="0061291D"/>
    <w:rsid w:val="00616000"/>
    <w:rsid w:val="006176FB"/>
    <w:rsid w:val="00631932"/>
    <w:rsid w:val="006370D9"/>
    <w:rsid w:val="00640B26"/>
    <w:rsid w:val="00645F4A"/>
    <w:rsid w:val="00655B60"/>
    <w:rsid w:val="00655C90"/>
    <w:rsid w:val="00661C0B"/>
    <w:rsid w:val="006701D4"/>
    <w:rsid w:val="006704D0"/>
    <w:rsid w:val="00670741"/>
    <w:rsid w:val="0067180E"/>
    <w:rsid w:val="00674964"/>
    <w:rsid w:val="00682690"/>
    <w:rsid w:val="00696BD6"/>
    <w:rsid w:val="006A4607"/>
    <w:rsid w:val="006A6B9D"/>
    <w:rsid w:val="006A7392"/>
    <w:rsid w:val="006B3189"/>
    <w:rsid w:val="006B3F95"/>
    <w:rsid w:val="006B7D65"/>
    <w:rsid w:val="006C4C33"/>
    <w:rsid w:val="006D386C"/>
    <w:rsid w:val="006D5915"/>
    <w:rsid w:val="006D6DA6"/>
    <w:rsid w:val="006E564B"/>
    <w:rsid w:val="006F13F0"/>
    <w:rsid w:val="006F5035"/>
    <w:rsid w:val="007065EB"/>
    <w:rsid w:val="0071697C"/>
    <w:rsid w:val="00720183"/>
    <w:rsid w:val="00725CCA"/>
    <w:rsid w:val="0072632A"/>
    <w:rsid w:val="00740E3D"/>
    <w:rsid w:val="0074200B"/>
    <w:rsid w:val="00753316"/>
    <w:rsid w:val="0075514B"/>
    <w:rsid w:val="00763717"/>
    <w:rsid w:val="00781CC4"/>
    <w:rsid w:val="0079098E"/>
    <w:rsid w:val="007A4D7F"/>
    <w:rsid w:val="007A6296"/>
    <w:rsid w:val="007A79E4"/>
    <w:rsid w:val="007B6BA5"/>
    <w:rsid w:val="007C1B62"/>
    <w:rsid w:val="007C3390"/>
    <w:rsid w:val="007C4F4B"/>
    <w:rsid w:val="007C7F56"/>
    <w:rsid w:val="007D2CDC"/>
    <w:rsid w:val="007D5327"/>
    <w:rsid w:val="007D5799"/>
    <w:rsid w:val="007D63B8"/>
    <w:rsid w:val="007E1EAE"/>
    <w:rsid w:val="007E6888"/>
    <w:rsid w:val="007F3CD9"/>
    <w:rsid w:val="007F6611"/>
    <w:rsid w:val="00802580"/>
    <w:rsid w:val="008155C3"/>
    <w:rsid w:val="008175E9"/>
    <w:rsid w:val="0082243E"/>
    <w:rsid w:val="008242D7"/>
    <w:rsid w:val="0082651B"/>
    <w:rsid w:val="00852560"/>
    <w:rsid w:val="00856CD2"/>
    <w:rsid w:val="00861BC6"/>
    <w:rsid w:val="0086462E"/>
    <w:rsid w:val="008714FB"/>
    <w:rsid w:val="00871FD5"/>
    <w:rsid w:val="00872455"/>
    <w:rsid w:val="00875078"/>
    <w:rsid w:val="008847BB"/>
    <w:rsid w:val="008910A9"/>
    <w:rsid w:val="008979B1"/>
    <w:rsid w:val="008A6B25"/>
    <w:rsid w:val="008A6C4F"/>
    <w:rsid w:val="008B224F"/>
    <w:rsid w:val="008B7D7A"/>
    <w:rsid w:val="008C1E4D"/>
    <w:rsid w:val="008D1CDF"/>
    <w:rsid w:val="008D73FD"/>
    <w:rsid w:val="008E0E46"/>
    <w:rsid w:val="008F1541"/>
    <w:rsid w:val="0090452C"/>
    <w:rsid w:val="009065F0"/>
    <w:rsid w:val="00907C3F"/>
    <w:rsid w:val="009125B6"/>
    <w:rsid w:val="00913586"/>
    <w:rsid w:val="009142CC"/>
    <w:rsid w:val="0092237C"/>
    <w:rsid w:val="009267F0"/>
    <w:rsid w:val="00927F67"/>
    <w:rsid w:val="009359D9"/>
    <w:rsid w:val="0093707B"/>
    <w:rsid w:val="009400EB"/>
    <w:rsid w:val="009427E3"/>
    <w:rsid w:val="00946575"/>
    <w:rsid w:val="00956D9B"/>
    <w:rsid w:val="00963CBA"/>
    <w:rsid w:val="009654B7"/>
    <w:rsid w:val="00975C01"/>
    <w:rsid w:val="00984779"/>
    <w:rsid w:val="00991261"/>
    <w:rsid w:val="00993858"/>
    <w:rsid w:val="009A0B83"/>
    <w:rsid w:val="009A365F"/>
    <w:rsid w:val="009B3800"/>
    <w:rsid w:val="009B7AF9"/>
    <w:rsid w:val="009C4DD2"/>
    <w:rsid w:val="009C7EE6"/>
    <w:rsid w:val="009D22AC"/>
    <w:rsid w:val="009D50DB"/>
    <w:rsid w:val="009E0FD1"/>
    <w:rsid w:val="009E1C4E"/>
    <w:rsid w:val="009F3B3E"/>
    <w:rsid w:val="00A0036A"/>
    <w:rsid w:val="00A0094C"/>
    <w:rsid w:val="00A05E0B"/>
    <w:rsid w:val="00A10B4C"/>
    <w:rsid w:val="00A1427D"/>
    <w:rsid w:val="00A174AA"/>
    <w:rsid w:val="00A3415C"/>
    <w:rsid w:val="00A350E7"/>
    <w:rsid w:val="00A44A41"/>
    <w:rsid w:val="00A4634F"/>
    <w:rsid w:val="00A51CF3"/>
    <w:rsid w:val="00A54D4C"/>
    <w:rsid w:val="00A60889"/>
    <w:rsid w:val="00A63A12"/>
    <w:rsid w:val="00A701D3"/>
    <w:rsid w:val="00A72F22"/>
    <w:rsid w:val="00A73D32"/>
    <w:rsid w:val="00A748A6"/>
    <w:rsid w:val="00A76BF8"/>
    <w:rsid w:val="00A8064A"/>
    <w:rsid w:val="00A86B5A"/>
    <w:rsid w:val="00A879A4"/>
    <w:rsid w:val="00A87E95"/>
    <w:rsid w:val="00A92E29"/>
    <w:rsid w:val="00A97A2F"/>
    <w:rsid w:val="00AC248B"/>
    <w:rsid w:val="00AC5AE2"/>
    <w:rsid w:val="00AD09E9"/>
    <w:rsid w:val="00AD14F7"/>
    <w:rsid w:val="00AD2D53"/>
    <w:rsid w:val="00AF0576"/>
    <w:rsid w:val="00AF3829"/>
    <w:rsid w:val="00B0066C"/>
    <w:rsid w:val="00B037F0"/>
    <w:rsid w:val="00B2327D"/>
    <w:rsid w:val="00B247CF"/>
    <w:rsid w:val="00B2718F"/>
    <w:rsid w:val="00B3011D"/>
    <w:rsid w:val="00B30179"/>
    <w:rsid w:val="00B3317B"/>
    <w:rsid w:val="00B334DC"/>
    <w:rsid w:val="00B347B5"/>
    <w:rsid w:val="00B3631A"/>
    <w:rsid w:val="00B37E0B"/>
    <w:rsid w:val="00B53013"/>
    <w:rsid w:val="00B55C3E"/>
    <w:rsid w:val="00B56C96"/>
    <w:rsid w:val="00B67F5E"/>
    <w:rsid w:val="00B72D4F"/>
    <w:rsid w:val="00B73E65"/>
    <w:rsid w:val="00B80FA8"/>
    <w:rsid w:val="00B81E12"/>
    <w:rsid w:val="00B87110"/>
    <w:rsid w:val="00B87FB1"/>
    <w:rsid w:val="00B97FA8"/>
    <w:rsid w:val="00BB049C"/>
    <w:rsid w:val="00BB1A3D"/>
    <w:rsid w:val="00BB33C0"/>
    <w:rsid w:val="00BB6D9E"/>
    <w:rsid w:val="00BC1385"/>
    <w:rsid w:val="00BC74E9"/>
    <w:rsid w:val="00BE3106"/>
    <w:rsid w:val="00BE618E"/>
    <w:rsid w:val="00BE655C"/>
    <w:rsid w:val="00BF789B"/>
    <w:rsid w:val="00C01FF5"/>
    <w:rsid w:val="00C1352B"/>
    <w:rsid w:val="00C217E7"/>
    <w:rsid w:val="00C23CE5"/>
    <w:rsid w:val="00C24693"/>
    <w:rsid w:val="00C30B55"/>
    <w:rsid w:val="00C35F0B"/>
    <w:rsid w:val="00C36D51"/>
    <w:rsid w:val="00C37D39"/>
    <w:rsid w:val="00C4504F"/>
    <w:rsid w:val="00C463DD"/>
    <w:rsid w:val="00C64458"/>
    <w:rsid w:val="00C668F5"/>
    <w:rsid w:val="00C745C3"/>
    <w:rsid w:val="00C74EEA"/>
    <w:rsid w:val="00CA2A58"/>
    <w:rsid w:val="00CC0B55"/>
    <w:rsid w:val="00CC7271"/>
    <w:rsid w:val="00CD44B8"/>
    <w:rsid w:val="00CD688B"/>
    <w:rsid w:val="00CD6995"/>
    <w:rsid w:val="00CE14C2"/>
    <w:rsid w:val="00CE46BA"/>
    <w:rsid w:val="00CE4A8F"/>
    <w:rsid w:val="00CF0214"/>
    <w:rsid w:val="00CF586F"/>
    <w:rsid w:val="00CF7D43"/>
    <w:rsid w:val="00D01135"/>
    <w:rsid w:val="00D03315"/>
    <w:rsid w:val="00D04620"/>
    <w:rsid w:val="00D05421"/>
    <w:rsid w:val="00D11129"/>
    <w:rsid w:val="00D2031B"/>
    <w:rsid w:val="00D22332"/>
    <w:rsid w:val="00D25FE2"/>
    <w:rsid w:val="00D2666C"/>
    <w:rsid w:val="00D3322B"/>
    <w:rsid w:val="00D43252"/>
    <w:rsid w:val="00D550F9"/>
    <w:rsid w:val="00D572B0"/>
    <w:rsid w:val="00D62E90"/>
    <w:rsid w:val="00D65A29"/>
    <w:rsid w:val="00D76708"/>
    <w:rsid w:val="00D76BE5"/>
    <w:rsid w:val="00D81F0E"/>
    <w:rsid w:val="00D978C6"/>
    <w:rsid w:val="00DA0741"/>
    <w:rsid w:val="00DA1A15"/>
    <w:rsid w:val="00DA5157"/>
    <w:rsid w:val="00DA67AD"/>
    <w:rsid w:val="00DB18CE"/>
    <w:rsid w:val="00DB5566"/>
    <w:rsid w:val="00DB7EF1"/>
    <w:rsid w:val="00DD392F"/>
    <w:rsid w:val="00DE3EC0"/>
    <w:rsid w:val="00DE5406"/>
    <w:rsid w:val="00DE79AC"/>
    <w:rsid w:val="00DF1C24"/>
    <w:rsid w:val="00DF21E2"/>
    <w:rsid w:val="00DF5D6E"/>
    <w:rsid w:val="00E11593"/>
    <w:rsid w:val="00E12B6B"/>
    <w:rsid w:val="00E130AB"/>
    <w:rsid w:val="00E16DDC"/>
    <w:rsid w:val="00E323E3"/>
    <w:rsid w:val="00E36EE5"/>
    <w:rsid w:val="00E433C5"/>
    <w:rsid w:val="00E438D9"/>
    <w:rsid w:val="00E5644E"/>
    <w:rsid w:val="00E7260F"/>
    <w:rsid w:val="00E806EE"/>
    <w:rsid w:val="00E91420"/>
    <w:rsid w:val="00E96630"/>
    <w:rsid w:val="00EA39FA"/>
    <w:rsid w:val="00EA716A"/>
    <w:rsid w:val="00EB0FB9"/>
    <w:rsid w:val="00EC27FF"/>
    <w:rsid w:val="00ED0CA9"/>
    <w:rsid w:val="00ED43B9"/>
    <w:rsid w:val="00ED7A2A"/>
    <w:rsid w:val="00EF1508"/>
    <w:rsid w:val="00EF1D7F"/>
    <w:rsid w:val="00EF5BDB"/>
    <w:rsid w:val="00F07FD9"/>
    <w:rsid w:val="00F11DA4"/>
    <w:rsid w:val="00F23933"/>
    <w:rsid w:val="00F24119"/>
    <w:rsid w:val="00F40E75"/>
    <w:rsid w:val="00F42CD9"/>
    <w:rsid w:val="00F52936"/>
    <w:rsid w:val="00F54083"/>
    <w:rsid w:val="00F677CB"/>
    <w:rsid w:val="00F67B04"/>
    <w:rsid w:val="00F706F4"/>
    <w:rsid w:val="00FA7DF3"/>
    <w:rsid w:val="00FB25CF"/>
    <w:rsid w:val="00FB2AE0"/>
    <w:rsid w:val="00FC53A9"/>
    <w:rsid w:val="00FC582C"/>
    <w:rsid w:val="00FC68B7"/>
    <w:rsid w:val="00FD7C12"/>
    <w:rsid w:val="00FE110F"/>
    <w:rsid w:val="00FF2AC0"/>
    <w:rsid w:val="00FF4522"/>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E780C"/>
  <w15:docId w15:val="{1D8BF72B-4B3C-46E3-8A12-2A2DDDD3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apple-converted-space">
    <w:name w:val="apple-converted-space"/>
    <w:basedOn w:val="DefaultParagraphFont"/>
    <w:rsid w:val="00A76BF8"/>
  </w:style>
  <w:style w:type="character" w:customStyle="1" w:styleId="FootnoteTextChar">
    <w:name w:val="Footnote Text Char"/>
    <w:aliases w:val="5_G Char"/>
    <w:basedOn w:val="DefaultParagraphFont"/>
    <w:link w:val="FootnoteText"/>
    <w:uiPriority w:val="99"/>
    <w:rsid w:val="00A350E7"/>
    <w:rPr>
      <w:sz w:val="18"/>
      <w:lang w:val="en-GB" w:eastAsia="en-US"/>
    </w:rPr>
  </w:style>
  <w:style w:type="character" w:customStyle="1" w:styleId="FooterChar">
    <w:name w:val="Footer Char"/>
    <w:aliases w:val="3_G Char"/>
    <w:basedOn w:val="DefaultParagraphFont"/>
    <w:link w:val="Footer"/>
    <w:uiPriority w:val="99"/>
    <w:rsid w:val="00740E3D"/>
    <w:rPr>
      <w:sz w:val="16"/>
      <w:lang w:val="en-GB" w:eastAsia="en-US"/>
    </w:rPr>
  </w:style>
  <w:style w:type="character" w:styleId="CommentReference">
    <w:name w:val="annotation reference"/>
    <w:basedOn w:val="DefaultParagraphFont"/>
    <w:semiHidden/>
    <w:unhideWhenUsed/>
    <w:rsid w:val="00C23CE5"/>
    <w:rPr>
      <w:sz w:val="16"/>
      <w:szCs w:val="16"/>
    </w:rPr>
  </w:style>
  <w:style w:type="paragraph" w:styleId="CommentText">
    <w:name w:val="annotation text"/>
    <w:basedOn w:val="Normal"/>
    <w:link w:val="CommentTextChar"/>
    <w:semiHidden/>
    <w:unhideWhenUsed/>
    <w:rsid w:val="00C23CE5"/>
    <w:pPr>
      <w:spacing w:line="240" w:lineRule="auto"/>
    </w:pPr>
  </w:style>
  <w:style w:type="character" w:customStyle="1" w:styleId="CommentTextChar">
    <w:name w:val="Comment Text Char"/>
    <w:basedOn w:val="DefaultParagraphFont"/>
    <w:link w:val="CommentText"/>
    <w:semiHidden/>
    <w:rsid w:val="00C23CE5"/>
    <w:rPr>
      <w:lang w:val="en-GB" w:eastAsia="en-US"/>
    </w:rPr>
  </w:style>
  <w:style w:type="paragraph" w:styleId="CommentSubject">
    <w:name w:val="annotation subject"/>
    <w:basedOn w:val="CommentText"/>
    <w:next w:val="CommentText"/>
    <w:link w:val="CommentSubjectChar"/>
    <w:semiHidden/>
    <w:unhideWhenUsed/>
    <w:rsid w:val="00C23CE5"/>
    <w:rPr>
      <w:b/>
      <w:bCs/>
    </w:rPr>
  </w:style>
  <w:style w:type="character" w:customStyle="1" w:styleId="CommentSubjectChar">
    <w:name w:val="Comment Subject Char"/>
    <w:basedOn w:val="CommentTextChar"/>
    <w:link w:val="CommentSubject"/>
    <w:semiHidden/>
    <w:rsid w:val="00C23CE5"/>
    <w:rPr>
      <w:b/>
      <w:bCs/>
      <w:lang w:val="en-GB" w:eastAsia="en-US"/>
    </w:rPr>
  </w:style>
  <w:style w:type="paragraph" w:styleId="Revision">
    <w:name w:val="Revision"/>
    <w:hidden/>
    <w:uiPriority w:val="99"/>
    <w:semiHidden/>
    <w:rsid w:val="00645F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CN.4/2004/48" TargetMode="External"/><Relationship Id="rId13" Type="http://schemas.openxmlformats.org/officeDocument/2006/relationships/hyperlink" Target="https://undocs.org/A/HRC/34/51" TargetMode="External"/><Relationship Id="rId18" Type="http://schemas.openxmlformats.org/officeDocument/2006/relationships/hyperlink" Target="https://undocs.org/A/HRC/43/43" TargetMode="External"/><Relationship Id="rId3" Type="http://schemas.openxmlformats.org/officeDocument/2006/relationships/hyperlink" Target="https://undocs.org/E/CN.4/2003/5" TargetMode="External"/><Relationship Id="rId21" Type="http://schemas.openxmlformats.org/officeDocument/2006/relationships/hyperlink" Target="https://thewire.in/law/improper-clustering-gujarat-hc-bars-state-govt-from-declaring-localities-disturbed-areas" TargetMode="External"/><Relationship Id="rId7" Type="http://schemas.openxmlformats.org/officeDocument/2006/relationships/hyperlink" Target="https://undocs.org/E/CN.4/2002/59" TargetMode="External"/><Relationship Id="rId12" Type="http://schemas.openxmlformats.org/officeDocument/2006/relationships/hyperlink" Target="https://undocs.org/A/65/261" TargetMode="External"/><Relationship Id="rId17" Type="http://schemas.openxmlformats.org/officeDocument/2006/relationships/hyperlink" Target="https://undocs.org/A/HRC/4/18" TargetMode="External"/><Relationship Id="rId25" Type="http://schemas.openxmlformats.org/officeDocument/2006/relationships/hyperlink" Target="https://undocs.org/A/73/310/Rev.1" TargetMode="External"/><Relationship Id="rId2" Type="http://schemas.openxmlformats.org/officeDocument/2006/relationships/hyperlink" Target="https://undocs.org/E/CN.4/2002/59" TargetMode="External"/><Relationship Id="rId16" Type="http://schemas.openxmlformats.org/officeDocument/2006/relationships/hyperlink" Target="https://undocs.org/E/CN.4/2004/48" TargetMode="External"/><Relationship Id="rId20" Type="http://schemas.openxmlformats.org/officeDocument/2006/relationships/hyperlink" Target="https://undocs.org/en/A/HRC/37/53/Add.1" TargetMode="External"/><Relationship Id="rId1" Type="http://schemas.openxmlformats.org/officeDocument/2006/relationships/hyperlink" Target="https://undocs.org/E/CN.4/2001/51" TargetMode="External"/><Relationship Id="rId6" Type="http://schemas.openxmlformats.org/officeDocument/2006/relationships/hyperlink" Target="https://undocs.org/E/CN.4/2006/41" TargetMode="External"/><Relationship Id="rId11" Type="http://schemas.openxmlformats.org/officeDocument/2006/relationships/hyperlink" Target="https://undocs.org/A/67/286" TargetMode="External"/><Relationship Id="rId24" Type="http://schemas.openxmlformats.org/officeDocument/2006/relationships/hyperlink" Target="https://www.quartiersmanagement-berlin.de/english/goals.html" TargetMode="External"/><Relationship Id="rId5" Type="http://schemas.openxmlformats.org/officeDocument/2006/relationships/hyperlink" Target="https://undocs.org/E/CN.4/2005/48" TargetMode="External"/><Relationship Id="rId15" Type="http://schemas.openxmlformats.org/officeDocument/2006/relationships/hyperlink" Target="https://undocs.org/en/A/RES/2202(XXI)" TargetMode="External"/><Relationship Id="rId23" Type="http://schemas.openxmlformats.org/officeDocument/2006/relationships/hyperlink" Target="https://ec.europa.eu/regional_policy/en/projects/germany/berlins-neighbourhood-management-project-brings-decision-making-on-social-development-to-the-local-level" TargetMode="External"/><Relationship Id="rId10" Type="http://schemas.openxmlformats.org/officeDocument/2006/relationships/hyperlink" Target="https://undocs.org/E/CN.4/2006/41" TargetMode="External"/><Relationship Id="rId19" Type="http://schemas.openxmlformats.org/officeDocument/2006/relationships/hyperlink" Target="http://www.undocs.org/A/73/310/rev.1" TargetMode="External"/><Relationship Id="rId4" Type="http://schemas.openxmlformats.org/officeDocument/2006/relationships/hyperlink" Target="https://undocs.org/E/CN.4/2004/48" TargetMode="External"/><Relationship Id="rId9" Type="http://schemas.openxmlformats.org/officeDocument/2006/relationships/hyperlink" Target="https://undocs.org/E/CN.4/2005/48" TargetMode="External"/><Relationship Id="rId14" Type="http://schemas.openxmlformats.org/officeDocument/2006/relationships/hyperlink" Target="https://www.ohchr.org/EN/HRBodies/CERD/Pages/InterstateCommunications.aspx" TargetMode="External"/><Relationship Id="rId22" Type="http://schemas.openxmlformats.org/officeDocument/2006/relationships/hyperlink" Target="https://www.ohchr.org/EN/Issues/Housing/Pages/CFI_Segreg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0_Chief_x0020_comments xmlns="f62cadcd-e163-4118-ac05-a32b5a627a72" xsi:nil="true"/>
    <Mandate_x0020_Comments xmlns="f62cadcd-e163-4118-ac05-a32b5a627a72" xsi:nil="true"/>
    <Branch_x0020_Assistant_x0020_comments xmlns="f62cadcd-e163-4118-ac05-a32b5a627a72" xsi:nil="true"/>
    <Branch_x0020_comments xmlns="f62cadcd-e163-4118-ac05-a32b5a627a72" xsi:nil="true"/>
    <Reference xmlns="f62cadcd-e163-4118-ac05-a32b5a627a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FB62EAC18204449E81721C220244C6" ma:contentTypeVersion="7" ma:contentTypeDescription="Create a new document." ma:contentTypeScope="" ma:versionID="bbe41630a23e172d54f42c61f58790fd">
  <xsd:schema xmlns:xsd="http://www.w3.org/2001/XMLSchema" xmlns:xs="http://www.w3.org/2001/XMLSchema" xmlns:p="http://schemas.microsoft.com/office/2006/metadata/properties" xmlns:ns2="f62cadcd-e163-4118-ac05-a32b5a627a72" xmlns:ns3="c6dba373-5722-4c9c-915a-b35ecc6dedf9" targetNamespace="http://schemas.microsoft.com/office/2006/metadata/properties" ma:root="true" ma:fieldsID="2e39bbb0373ade4d883f179a0dfe7a87" ns2:_="" ns3:_="">
    <xsd:import namespace="f62cadcd-e163-4118-ac05-a32b5a627a72"/>
    <xsd:import namespace="c6dba373-5722-4c9c-915a-b35ecc6dedf9"/>
    <xsd:element name="properties">
      <xsd:complexType>
        <xsd:sequence>
          <xsd:element name="documentManagement">
            <xsd:complexType>
              <xsd:all>
                <xsd:element ref="ns2:Mandate_x0020_Comments" minOccurs="0"/>
                <xsd:element ref="ns2:Section_x0020_Chief_x0020_comments" minOccurs="0"/>
                <xsd:element ref="ns2:Branch_x0020_Assistant_x0020_comments" minOccurs="0"/>
                <xsd:element ref="ns2:Branch_x0020_comments" minOccurs="0"/>
                <xsd:element ref="ns2:Refer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adcd-e163-4118-ac05-a32b5a627a72" elementFormDefault="qualified">
    <xsd:import namespace="http://schemas.microsoft.com/office/2006/documentManagement/types"/>
    <xsd:import namespace="http://schemas.microsoft.com/office/infopath/2007/PartnerControls"/>
    <xsd:element name="Mandate_x0020_Comments" ma:index="8" nillable="true" ma:displayName="Mandate comments" ma:internalName="Mandate_x0020_Comments">
      <xsd:simpleType>
        <xsd:restriction base="dms:Note">
          <xsd:maxLength value="255"/>
        </xsd:restriction>
      </xsd:simpleType>
    </xsd:element>
    <xsd:element name="Section_x0020_Chief_x0020_comments" ma:index="9" nillable="true" ma:displayName="Chief of Section/Sagnik" ma:internalName="Section_x0020_Chief_x0020_comments">
      <xsd:simpleType>
        <xsd:restriction base="dms:Note">
          <xsd:maxLength value="255"/>
        </xsd:restriction>
      </xsd:simpleType>
    </xsd:element>
    <xsd:element name="Branch_x0020_Assistant_x0020_comments" ma:index="10" nillable="true" ma:displayName="Branch Assistant" ma:internalName="Branch_x0020_Assistant_x0020_comments">
      <xsd:simpleType>
        <xsd:restriction base="dms:Note">
          <xsd:maxLength value="255"/>
        </xsd:restriction>
      </xsd:simpleType>
    </xsd:element>
    <xsd:element name="Branch_x0020_comments" ma:index="11" nillable="true" ma:displayName="Chief of Branch" ma:internalName="Branch_x0020_comments">
      <xsd:simpleType>
        <xsd:restriction base="dms:Note">
          <xsd:maxLength value="255"/>
        </xsd:restriction>
      </xsd:simpleType>
    </xsd:element>
    <xsd:element name="Reference" ma:index="12" nillable="true" ma:displayName="Reference" ma:internalName="Referenc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6dba373-5722-4c9c-915a-b35ecc6ded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941A-A8B3-4832-8AC7-6E58139D420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c6dba373-5722-4c9c-915a-b35ecc6dedf9"/>
    <ds:schemaRef ds:uri="http://purl.org/dc/elements/1.1/"/>
    <ds:schemaRef ds:uri="http://schemas.openxmlformats.org/package/2006/metadata/core-properties"/>
    <ds:schemaRef ds:uri="f62cadcd-e163-4118-ac05-a32b5a627a72"/>
    <ds:schemaRef ds:uri="http://www.w3.org/XML/1998/namespace"/>
    <ds:schemaRef ds:uri="http://purl.org/dc/dcmitype/"/>
  </ds:schemaRefs>
</ds:datastoreItem>
</file>

<file path=customXml/itemProps2.xml><?xml version="1.0" encoding="utf-8"?>
<ds:datastoreItem xmlns:ds="http://schemas.openxmlformats.org/officeDocument/2006/customXml" ds:itemID="{D281FCC0-EEAF-4F77-AEF3-460BD849C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adcd-e163-4118-ac05-a32b5a627a72"/>
    <ds:schemaRef ds:uri="c6dba373-5722-4c9c-915a-b35ecc6d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35B15-EF63-4108-8E08-4A94F1F720B9}">
  <ds:schemaRefs>
    <ds:schemaRef ds:uri="http://schemas.microsoft.com/sharepoint/v3/contenttype/forms"/>
  </ds:schemaRefs>
</ds:datastoreItem>
</file>

<file path=customXml/itemProps4.xml><?xml version="1.0" encoding="utf-8"?>
<ds:datastoreItem xmlns:ds="http://schemas.openxmlformats.org/officeDocument/2006/customXml" ds:itemID="{D2F18D86-CF13-4441-BFA5-07775BB8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20</Pages>
  <Words>9955</Words>
  <Characters>56747</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A/HRC/49/48</vt:lpstr>
      <vt:lpstr/>
    </vt:vector>
  </TitlesOfParts>
  <Company>CSD</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A/HRC/49/48</dc:title>
  <dc:creator>PALAZZO Cristina Maria Carmela</dc:creator>
  <cp:lastModifiedBy>Veronique Lanz</cp:lastModifiedBy>
  <cp:revision>2</cp:revision>
  <cp:lastPrinted>2008-01-29T08:30:00Z</cp:lastPrinted>
  <dcterms:created xsi:type="dcterms:W3CDTF">2022-03-04T14:34:00Z</dcterms:created>
  <dcterms:modified xsi:type="dcterms:W3CDTF">2022-03-04T14:34:00Z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0x0101009BFB62EAC18204449E81721C220244C6</vt:lpwstr>
  </property>
</Properties>
</file>