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446DE4" w:rsidRPr="00DE3EC0" w:rsidRDefault="00A31F8C" w:rsidP="00A31F8C">
            <w:pPr>
              <w:jc w:val="right"/>
            </w:pPr>
            <w:r w:rsidRPr="00A31F8C">
              <w:rPr>
                <w:sz w:val="40"/>
              </w:rPr>
              <w:t>A</w:t>
            </w:r>
            <w:r>
              <w:t>/HRC/49/53/Add.1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FD0F62"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A31F8C" w:rsidP="00A31F8C">
            <w:pPr>
              <w:spacing w:before="240" w:line="240" w:lineRule="exact"/>
            </w:pPr>
            <w:r>
              <w:t>Distr.: General</w:t>
            </w:r>
          </w:p>
          <w:p w:rsidR="00A31F8C" w:rsidRDefault="003D5D80" w:rsidP="00A31F8C">
            <w:pPr>
              <w:spacing w:line="240" w:lineRule="exact"/>
            </w:pPr>
            <w:r>
              <w:t>4</w:t>
            </w:r>
            <w:r w:rsidR="00C44F49">
              <w:t xml:space="preserve"> March</w:t>
            </w:r>
            <w:r w:rsidR="00A31F8C">
              <w:t xml:space="preserve"> 2022</w:t>
            </w:r>
          </w:p>
          <w:p w:rsidR="00A31F8C" w:rsidRDefault="00A31F8C" w:rsidP="00A31F8C">
            <w:pPr>
              <w:spacing w:line="240" w:lineRule="exact"/>
            </w:pPr>
          </w:p>
          <w:p w:rsidR="00A31F8C" w:rsidRDefault="00A31F8C" w:rsidP="00A31F8C">
            <w:pPr>
              <w:spacing w:line="240" w:lineRule="exact"/>
            </w:pPr>
            <w:r>
              <w:t>Original: English</w:t>
            </w:r>
          </w:p>
        </w:tc>
      </w:tr>
    </w:tbl>
    <w:p w:rsidR="00A31F8C" w:rsidRPr="00D62485" w:rsidRDefault="00A31F8C" w:rsidP="00A31F8C">
      <w:pPr>
        <w:kinsoku w:val="0"/>
        <w:overflowPunct w:val="0"/>
        <w:autoSpaceDE w:val="0"/>
        <w:autoSpaceDN w:val="0"/>
        <w:adjustRightInd w:val="0"/>
        <w:snapToGrid w:val="0"/>
        <w:spacing w:before="120"/>
        <w:rPr>
          <w:rFonts w:eastAsia="Calibri"/>
          <w:b/>
          <w:bCs/>
          <w:sz w:val="24"/>
          <w:szCs w:val="24"/>
        </w:rPr>
      </w:pPr>
      <w:r w:rsidRPr="00D62485">
        <w:rPr>
          <w:rFonts w:eastAsia="Calibri"/>
          <w:b/>
          <w:bCs/>
          <w:sz w:val="24"/>
          <w:szCs w:val="24"/>
        </w:rPr>
        <w:t>Human Rights Council</w:t>
      </w:r>
    </w:p>
    <w:p w:rsidR="00A31F8C" w:rsidRPr="00D62485" w:rsidRDefault="00A31F8C" w:rsidP="00A31F8C">
      <w:pPr>
        <w:kinsoku w:val="0"/>
        <w:overflowPunct w:val="0"/>
        <w:autoSpaceDE w:val="0"/>
        <w:autoSpaceDN w:val="0"/>
        <w:adjustRightInd w:val="0"/>
        <w:snapToGrid w:val="0"/>
        <w:rPr>
          <w:rFonts w:eastAsia="Calibri"/>
          <w:b/>
          <w:bCs/>
        </w:rPr>
      </w:pPr>
      <w:r w:rsidRPr="00D62485">
        <w:rPr>
          <w:rFonts w:eastAsia="Calibri"/>
          <w:b/>
          <w:bCs/>
        </w:rPr>
        <w:t>Forty-</w:t>
      </w:r>
      <w:r w:rsidRPr="009C1D32">
        <w:rPr>
          <w:rFonts w:eastAsia="Calibri"/>
          <w:b/>
          <w:bCs/>
        </w:rPr>
        <w:t>nin</w:t>
      </w:r>
      <w:r w:rsidRPr="00D62485">
        <w:rPr>
          <w:rFonts w:eastAsia="Calibri"/>
          <w:b/>
          <w:bCs/>
        </w:rPr>
        <w:t xml:space="preserve">th session </w:t>
      </w:r>
    </w:p>
    <w:p w:rsidR="00A31F8C" w:rsidRPr="00D62485" w:rsidRDefault="00A31F8C" w:rsidP="00A31F8C">
      <w:pPr>
        <w:kinsoku w:val="0"/>
        <w:overflowPunct w:val="0"/>
        <w:autoSpaceDE w:val="0"/>
        <w:autoSpaceDN w:val="0"/>
        <w:adjustRightInd w:val="0"/>
        <w:snapToGrid w:val="0"/>
        <w:rPr>
          <w:rFonts w:eastAsia="Calibri"/>
        </w:rPr>
      </w:pPr>
      <w:r w:rsidRPr="009C1D32">
        <w:rPr>
          <w:rFonts w:eastAsia="Calibri"/>
        </w:rPr>
        <w:t>28 February</w:t>
      </w:r>
      <w:r w:rsidR="00C44F49">
        <w:rPr>
          <w:rFonts w:eastAsia="Calibri"/>
        </w:rPr>
        <w:t xml:space="preserve">–1 </w:t>
      </w:r>
      <w:r w:rsidRPr="009C1D32">
        <w:rPr>
          <w:rFonts w:eastAsia="Calibri"/>
        </w:rPr>
        <w:t>April 2022</w:t>
      </w:r>
    </w:p>
    <w:p w:rsidR="00A31F8C" w:rsidRPr="00D62485" w:rsidRDefault="00A31F8C" w:rsidP="00A31F8C">
      <w:pPr>
        <w:kinsoku w:val="0"/>
        <w:overflowPunct w:val="0"/>
        <w:autoSpaceDE w:val="0"/>
        <w:autoSpaceDN w:val="0"/>
        <w:adjustRightInd w:val="0"/>
        <w:snapToGrid w:val="0"/>
        <w:rPr>
          <w:rFonts w:eastAsia="Calibri"/>
        </w:rPr>
      </w:pPr>
      <w:r w:rsidRPr="00D62485">
        <w:rPr>
          <w:rFonts w:eastAsia="Calibri"/>
        </w:rPr>
        <w:t>Agenda item 3</w:t>
      </w:r>
    </w:p>
    <w:p w:rsidR="00A31F8C" w:rsidRPr="00D62485" w:rsidRDefault="00A31F8C" w:rsidP="00A31F8C">
      <w:pPr>
        <w:kinsoku w:val="0"/>
        <w:overflowPunct w:val="0"/>
        <w:autoSpaceDE w:val="0"/>
        <w:autoSpaceDN w:val="0"/>
        <w:adjustRightInd w:val="0"/>
        <w:snapToGrid w:val="0"/>
        <w:rPr>
          <w:rFonts w:eastAsia="Calibri"/>
          <w:b/>
          <w:bCs/>
        </w:rPr>
      </w:pPr>
      <w:r w:rsidRPr="00D62485">
        <w:rPr>
          <w:rFonts w:eastAsia="Calibri"/>
          <w:b/>
          <w:bCs/>
        </w:rPr>
        <w:t xml:space="preserve">Promotion and protection of all human rights, civil, </w:t>
      </w:r>
      <w:r w:rsidRPr="00D62485">
        <w:rPr>
          <w:rFonts w:eastAsia="Calibri"/>
          <w:b/>
          <w:bCs/>
        </w:rPr>
        <w:br/>
        <w:t xml:space="preserve">political, economic, social and cultural rights, </w:t>
      </w:r>
      <w:r w:rsidRPr="00D62485">
        <w:rPr>
          <w:rFonts w:eastAsia="Calibri"/>
          <w:b/>
          <w:bCs/>
        </w:rPr>
        <w:br/>
        <w:t>including the right to development</w:t>
      </w:r>
    </w:p>
    <w:p w:rsidR="00A31F8C" w:rsidRPr="000138A8" w:rsidRDefault="00A31F8C" w:rsidP="00A31F8C">
      <w:pPr>
        <w:pStyle w:val="HChG"/>
      </w:pPr>
      <w:r>
        <w:tab/>
      </w:r>
      <w:r>
        <w:tab/>
      </w:r>
      <w:r w:rsidRPr="000138A8">
        <w:t xml:space="preserve">Visit to Saint Vincent and the Grenadines </w:t>
      </w:r>
    </w:p>
    <w:p w:rsidR="00A31F8C" w:rsidRDefault="00A31F8C" w:rsidP="00A31F8C">
      <w:pPr>
        <w:pStyle w:val="H1G"/>
      </w:pPr>
      <w:r w:rsidRPr="00177C19">
        <w:rPr>
          <w:rFonts w:eastAsia="Calibri"/>
        </w:rPr>
        <w:tab/>
      </w:r>
      <w:r w:rsidRPr="00177C19">
        <w:rPr>
          <w:rFonts w:eastAsia="Calibri"/>
        </w:rPr>
        <w:tab/>
        <w:t>Report of the Special Rapporteur on the issue of human rights obligations relating to the enjoyment of a safe, clean, healthy and sustainable environment</w:t>
      </w:r>
      <w:r w:rsidR="00C44F49" w:rsidRPr="00C44F49">
        <w:rPr>
          <w:rStyle w:val="FootnoteReference"/>
          <w:rFonts w:eastAsia="Calibri"/>
          <w:b w:val="0"/>
          <w:sz w:val="20"/>
          <w:vertAlign w:val="baseline"/>
        </w:rPr>
        <w:footnoteReference w:customMarkFollows="1" w:id="2"/>
        <w:t>*</w:t>
      </w:r>
      <w:r w:rsidR="00C44F49" w:rsidRPr="00C44F49">
        <w:rPr>
          <w:rFonts w:eastAsia="Calibri"/>
          <w:b w:val="0"/>
          <w:position w:val="6"/>
          <w:sz w:val="20"/>
        </w:rPr>
        <w:t>,</w:t>
      </w:r>
      <w:r w:rsidR="00C44F49" w:rsidRPr="00C44F49">
        <w:rPr>
          <w:rFonts w:eastAsia="Calibri"/>
          <w:b w:val="0"/>
          <w:sz w:val="20"/>
        </w:rPr>
        <w:t xml:space="preserve"> </w:t>
      </w:r>
      <w:r w:rsidR="00C44F49" w:rsidRPr="00C44F49">
        <w:rPr>
          <w:rStyle w:val="FootnoteReference"/>
          <w:rFonts w:eastAsia="Calibri"/>
          <w:b w:val="0"/>
          <w:sz w:val="20"/>
          <w:vertAlign w:val="baseline"/>
        </w:rPr>
        <w:footnoteReference w:customMarkFollows="1" w:id="3"/>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A31F8C" w:rsidTr="00C6263E">
        <w:trPr>
          <w:jc w:val="center"/>
        </w:trPr>
        <w:tc>
          <w:tcPr>
            <w:tcW w:w="9637" w:type="dxa"/>
            <w:shd w:val="clear" w:color="auto" w:fill="auto"/>
          </w:tcPr>
          <w:p w:rsidR="00A31F8C" w:rsidRPr="00C6263E" w:rsidRDefault="00A31F8C" w:rsidP="00C6263E">
            <w:pPr>
              <w:spacing w:before="240" w:after="120"/>
              <w:ind w:left="255"/>
              <w:rPr>
                <w:i/>
                <w:sz w:val="24"/>
              </w:rPr>
            </w:pPr>
            <w:r w:rsidRPr="00C6263E">
              <w:rPr>
                <w:i/>
                <w:sz w:val="24"/>
              </w:rPr>
              <w:t>Summary</w:t>
            </w:r>
          </w:p>
        </w:tc>
      </w:tr>
      <w:tr w:rsidR="00A31F8C" w:rsidRPr="00082492" w:rsidTr="00C6263E">
        <w:trPr>
          <w:jc w:val="center"/>
        </w:trPr>
        <w:tc>
          <w:tcPr>
            <w:tcW w:w="9637" w:type="dxa"/>
            <w:shd w:val="clear" w:color="auto" w:fill="auto"/>
          </w:tcPr>
          <w:p w:rsidR="003A4598" w:rsidRPr="00082492" w:rsidRDefault="00B33903" w:rsidP="00B33903">
            <w:pPr>
              <w:pStyle w:val="SingleTxtG"/>
            </w:pPr>
            <w:r>
              <w:rPr>
                <w:lang w:val="en-US"/>
              </w:rPr>
              <w:tab/>
            </w:r>
            <w:r>
              <w:rPr>
                <w:lang w:val="en-US"/>
              </w:rPr>
              <w:tab/>
            </w:r>
            <w:r w:rsidR="00082492" w:rsidRPr="00247880">
              <w:rPr>
                <w:lang w:val="en-US"/>
              </w:rPr>
              <w:t xml:space="preserve">The Special Rapporteur on the human rights obligations relating to the enjoyment of a safe, clean, healthy and sustainable environment, David R. Boyd, visited </w:t>
            </w:r>
            <w:r w:rsidR="00082492">
              <w:rPr>
                <w:lang w:val="en-US"/>
              </w:rPr>
              <w:t>Saint Vincent and the Grenadines</w:t>
            </w:r>
            <w:r w:rsidR="00082492" w:rsidRPr="00247880">
              <w:rPr>
                <w:lang w:val="en-US"/>
              </w:rPr>
              <w:t xml:space="preserve"> from </w:t>
            </w:r>
            <w:r w:rsidR="00082492">
              <w:rPr>
                <w:lang w:val="en-US"/>
              </w:rPr>
              <w:t>25 November</w:t>
            </w:r>
            <w:r w:rsidR="00082492" w:rsidRPr="00247880">
              <w:rPr>
                <w:lang w:val="en-US"/>
              </w:rPr>
              <w:t xml:space="preserve"> to </w:t>
            </w:r>
            <w:r w:rsidR="00082492">
              <w:rPr>
                <w:lang w:val="en-US"/>
              </w:rPr>
              <w:t>2</w:t>
            </w:r>
            <w:r w:rsidR="00082492" w:rsidRPr="00247880">
              <w:rPr>
                <w:lang w:val="en-US"/>
              </w:rPr>
              <w:t xml:space="preserve"> December 20</w:t>
            </w:r>
            <w:r w:rsidR="00082492">
              <w:rPr>
                <w:lang w:val="en-US"/>
              </w:rPr>
              <w:t>21</w:t>
            </w:r>
            <w:r w:rsidR="00082492" w:rsidRPr="00247880">
              <w:rPr>
                <w:lang w:val="en-US"/>
              </w:rPr>
              <w:t xml:space="preserve">, at the invitation of the Government. The purpose of the visit was to examine how </w:t>
            </w:r>
            <w:r w:rsidR="00082492">
              <w:rPr>
                <w:lang w:val="en-US"/>
              </w:rPr>
              <w:t>Saint Vincent and the Grenadines</w:t>
            </w:r>
            <w:r w:rsidR="00082492" w:rsidRPr="00247880">
              <w:rPr>
                <w:lang w:val="en-US"/>
              </w:rPr>
              <w:t xml:space="preserve"> is implementing its human rights obligations related to environmental protection, to identify good practices, and to consider the environmental challenges</w:t>
            </w:r>
            <w:r w:rsidR="00082492">
              <w:rPr>
                <w:lang w:val="en-US"/>
              </w:rPr>
              <w:t xml:space="preserve"> that</w:t>
            </w:r>
            <w:r w:rsidR="00082492" w:rsidRPr="00247880">
              <w:rPr>
                <w:lang w:val="en-US"/>
              </w:rPr>
              <w:t xml:space="preserve"> the country faces. </w:t>
            </w:r>
          </w:p>
        </w:tc>
      </w:tr>
      <w:tr w:rsidR="00A31F8C" w:rsidRPr="00082492" w:rsidTr="00C6263E">
        <w:trPr>
          <w:jc w:val="center"/>
        </w:trPr>
        <w:tc>
          <w:tcPr>
            <w:tcW w:w="9637" w:type="dxa"/>
            <w:shd w:val="clear" w:color="auto" w:fill="auto"/>
          </w:tcPr>
          <w:p w:rsidR="00A31F8C" w:rsidRPr="00082492" w:rsidRDefault="00A31F8C" w:rsidP="00C6263E"/>
        </w:tc>
      </w:tr>
    </w:tbl>
    <w:p w:rsidR="00B373C8" w:rsidRPr="00082492" w:rsidRDefault="00B373C8" w:rsidP="00A31F8C"/>
    <w:p w:rsidR="00B373C8" w:rsidRPr="00082492" w:rsidRDefault="00B373C8">
      <w:pPr>
        <w:suppressAutoHyphens w:val="0"/>
        <w:spacing w:line="240" w:lineRule="auto"/>
      </w:pPr>
      <w:r w:rsidRPr="00082492">
        <w:br w:type="page"/>
      </w:r>
    </w:p>
    <w:p w:rsidR="006D7155" w:rsidRPr="001C5414" w:rsidRDefault="006D7155" w:rsidP="006D7155">
      <w:pPr>
        <w:pStyle w:val="HChG"/>
        <w:rPr>
          <w:rFonts w:eastAsia="SimSun"/>
          <w:lang w:eastAsia="zh-CN"/>
        </w:rPr>
      </w:pPr>
      <w:bookmarkStart w:id="1" w:name="_Toc28271571"/>
      <w:r w:rsidRPr="001C5414">
        <w:rPr>
          <w:rFonts w:eastAsia="SimSun"/>
          <w:lang w:eastAsia="zh-CN"/>
        </w:rPr>
        <w:lastRenderedPageBreak/>
        <w:t>Annex</w:t>
      </w:r>
      <w:bookmarkEnd w:id="1"/>
    </w:p>
    <w:p w:rsidR="006D7155" w:rsidRPr="001C5414" w:rsidRDefault="006D7155" w:rsidP="006D7155">
      <w:pPr>
        <w:pStyle w:val="HChG"/>
        <w:rPr>
          <w:rFonts w:eastAsia="SimSun"/>
          <w:lang w:eastAsia="zh-CN"/>
        </w:rPr>
      </w:pPr>
      <w:r w:rsidRPr="001C5414">
        <w:rPr>
          <w:rFonts w:eastAsia="SimSun"/>
          <w:lang w:eastAsia="zh-CN"/>
        </w:rPr>
        <w:tab/>
      </w:r>
      <w:r w:rsidRPr="001C5414">
        <w:rPr>
          <w:rFonts w:eastAsia="SimSun"/>
          <w:lang w:eastAsia="zh-CN"/>
        </w:rPr>
        <w:tab/>
      </w:r>
      <w:bookmarkStart w:id="2" w:name="_Toc28271572"/>
      <w:r w:rsidRPr="001C5414">
        <w:rPr>
          <w:rFonts w:eastAsia="SimSun"/>
          <w:lang w:eastAsia="zh-CN"/>
        </w:rPr>
        <w:t xml:space="preserve">Report of the Special Rapporteur on the issue of human rights obligations relating to the enjoyment of a safe, clean, healthy and sustainable environment on his visit to </w:t>
      </w:r>
      <w:bookmarkEnd w:id="2"/>
      <w:r w:rsidRPr="000138A8">
        <w:t>Saint Vincent and the Grenadines</w:t>
      </w:r>
    </w:p>
    <w:p w:rsidR="006D7155" w:rsidRDefault="006D7155" w:rsidP="006D7155">
      <w:pPr>
        <w:spacing w:after="120"/>
        <w:rPr>
          <w:sz w:val="28"/>
        </w:rPr>
      </w:pPr>
      <w:r>
        <w:rPr>
          <w:sz w:val="28"/>
        </w:rPr>
        <w:t>Contents</w:t>
      </w:r>
    </w:p>
    <w:p w:rsidR="006D7155" w:rsidRDefault="006D7155" w:rsidP="006D7155">
      <w:pPr>
        <w:tabs>
          <w:tab w:val="right" w:pos="9638"/>
        </w:tabs>
        <w:spacing w:after="120"/>
        <w:ind w:left="283"/>
        <w:rPr>
          <w:sz w:val="18"/>
        </w:rPr>
      </w:pPr>
      <w:r>
        <w:rPr>
          <w:i/>
          <w:sz w:val="18"/>
        </w:rPr>
        <w:tab/>
        <w:t>Page</w:t>
      </w:r>
    </w:p>
    <w:p w:rsidR="006D7155" w:rsidRPr="001C5414" w:rsidRDefault="006D7155" w:rsidP="006D7155">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Calibri"/>
        </w:rPr>
      </w:pPr>
      <w:r w:rsidRPr="001C5414">
        <w:rPr>
          <w:rFonts w:eastAsia="Calibri"/>
        </w:rPr>
        <w:tab/>
        <w:t>I.</w:t>
      </w:r>
      <w:r w:rsidRPr="001C5414">
        <w:rPr>
          <w:rFonts w:eastAsia="Calibri"/>
        </w:rPr>
        <w:tab/>
        <w:t>Introduction</w:t>
      </w:r>
      <w:r w:rsidRPr="001C5414">
        <w:rPr>
          <w:rFonts w:eastAsia="Calibri"/>
        </w:rPr>
        <w:tab/>
      </w:r>
      <w:r w:rsidRPr="001C5414">
        <w:rPr>
          <w:rFonts w:eastAsia="Calibri"/>
        </w:rPr>
        <w:tab/>
        <w:t>3</w:t>
      </w:r>
    </w:p>
    <w:p w:rsidR="006D7155" w:rsidRPr="001C5414" w:rsidRDefault="006D7155" w:rsidP="006D7155">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Calibri"/>
        </w:rPr>
      </w:pPr>
      <w:r w:rsidRPr="001C5414">
        <w:rPr>
          <w:rFonts w:eastAsia="Calibri"/>
        </w:rPr>
        <w:tab/>
        <w:t>II.</w:t>
      </w:r>
      <w:r w:rsidRPr="001C5414">
        <w:rPr>
          <w:rFonts w:eastAsia="Calibri"/>
        </w:rPr>
        <w:tab/>
        <w:t>Legal and policy framework</w:t>
      </w:r>
      <w:r w:rsidRPr="001C5414">
        <w:rPr>
          <w:rFonts w:eastAsia="Calibri"/>
        </w:rPr>
        <w:tab/>
      </w:r>
      <w:r w:rsidRPr="001C5414">
        <w:rPr>
          <w:rFonts w:eastAsia="Calibri"/>
        </w:rPr>
        <w:tab/>
      </w:r>
      <w:r>
        <w:rPr>
          <w:rFonts w:eastAsia="Calibri"/>
        </w:rPr>
        <w:t>4</w:t>
      </w:r>
    </w:p>
    <w:p w:rsidR="006D7155" w:rsidRPr="001C5414" w:rsidRDefault="006D7155" w:rsidP="006D7155">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Calibri"/>
        </w:rPr>
      </w:pPr>
      <w:r w:rsidRPr="001C5414">
        <w:rPr>
          <w:rFonts w:eastAsia="Calibri"/>
        </w:rPr>
        <w:tab/>
      </w:r>
      <w:r w:rsidRPr="001C5414">
        <w:rPr>
          <w:rFonts w:eastAsia="Calibri"/>
        </w:rPr>
        <w:tab/>
        <w:t>A.</w:t>
      </w:r>
      <w:r w:rsidRPr="001C5414">
        <w:rPr>
          <w:rFonts w:eastAsia="Calibri"/>
        </w:rPr>
        <w:tab/>
        <w:t>International law and policy</w:t>
      </w:r>
      <w:r w:rsidRPr="001C5414">
        <w:rPr>
          <w:rFonts w:eastAsia="Calibri"/>
        </w:rPr>
        <w:tab/>
      </w:r>
      <w:r w:rsidRPr="001C5414">
        <w:rPr>
          <w:rFonts w:eastAsia="Calibri"/>
        </w:rPr>
        <w:tab/>
      </w:r>
      <w:r>
        <w:rPr>
          <w:rFonts w:eastAsia="Calibri"/>
        </w:rPr>
        <w:t>4</w:t>
      </w:r>
    </w:p>
    <w:p w:rsidR="006D7155" w:rsidRPr="001C5414" w:rsidRDefault="006D7155" w:rsidP="006D7155">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Calibri"/>
        </w:rPr>
      </w:pPr>
      <w:r w:rsidRPr="001C5414">
        <w:rPr>
          <w:rFonts w:eastAsia="Calibri"/>
        </w:rPr>
        <w:tab/>
      </w:r>
      <w:r w:rsidRPr="001C5414">
        <w:rPr>
          <w:rFonts w:eastAsia="Calibri"/>
        </w:rPr>
        <w:tab/>
        <w:t>B.</w:t>
      </w:r>
      <w:r w:rsidRPr="001C5414">
        <w:rPr>
          <w:rFonts w:eastAsia="Calibri"/>
        </w:rPr>
        <w:tab/>
        <w:t>Economy and political structure</w:t>
      </w:r>
      <w:r w:rsidRPr="001C5414">
        <w:rPr>
          <w:rFonts w:eastAsia="Calibri"/>
        </w:rPr>
        <w:tab/>
      </w:r>
      <w:r w:rsidRPr="001C5414">
        <w:rPr>
          <w:rFonts w:eastAsia="Calibri"/>
        </w:rPr>
        <w:tab/>
      </w:r>
      <w:r>
        <w:rPr>
          <w:rFonts w:eastAsia="Calibri"/>
        </w:rPr>
        <w:t>5</w:t>
      </w:r>
    </w:p>
    <w:p w:rsidR="006D7155" w:rsidRDefault="006D7155" w:rsidP="006D7155">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Calibri"/>
        </w:rPr>
      </w:pPr>
      <w:r w:rsidRPr="001C5414">
        <w:rPr>
          <w:rFonts w:eastAsia="Calibri"/>
        </w:rPr>
        <w:tab/>
      </w:r>
      <w:r w:rsidRPr="001C5414">
        <w:rPr>
          <w:rFonts w:eastAsia="Calibri"/>
        </w:rPr>
        <w:tab/>
        <w:t>C.</w:t>
      </w:r>
      <w:r w:rsidRPr="001C5414">
        <w:rPr>
          <w:rFonts w:eastAsia="Calibri"/>
        </w:rPr>
        <w:tab/>
        <w:t>Laws, policies and institutions</w:t>
      </w:r>
      <w:r w:rsidRPr="001C5414">
        <w:rPr>
          <w:rFonts w:eastAsia="Calibri"/>
        </w:rPr>
        <w:tab/>
      </w:r>
      <w:r w:rsidRPr="001C5414">
        <w:rPr>
          <w:rFonts w:eastAsia="Calibri"/>
        </w:rPr>
        <w:tab/>
      </w:r>
      <w:r>
        <w:rPr>
          <w:rFonts w:eastAsia="Calibri"/>
        </w:rPr>
        <w:t>6</w:t>
      </w:r>
    </w:p>
    <w:p w:rsidR="006D7155" w:rsidRDefault="006D7155" w:rsidP="006D7155">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color w:val="000000" w:themeColor="text1"/>
        </w:rPr>
      </w:pPr>
      <w:r>
        <w:rPr>
          <w:rFonts w:eastAsia="Calibri"/>
        </w:rPr>
        <w:tab/>
        <w:t>III.</w:t>
      </w:r>
      <w:r>
        <w:rPr>
          <w:rFonts w:eastAsia="Calibri"/>
        </w:rPr>
        <w:tab/>
      </w:r>
      <w:r>
        <w:rPr>
          <w:color w:val="000000" w:themeColor="text1"/>
        </w:rPr>
        <w:t xml:space="preserve">The climate crisis </w:t>
      </w:r>
      <w:r>
        <w:rPr>
          <w:color w:val="000000" w:themeColor="text1"/>
        </w:rPr>
        <w:tab/>
      </w:r>
      <w:r>
        <w:rPr>
          <w:color w:val="000000" w:themeColor="text1"/>
        </w:rPr>
        <w:tab/>
        <w:t>7</w:t>
      </w:r>
    </w:p>
    <w:p w:rsidR="006D7155" w:rsidRDefault="006D7155" w:rsidP="006D7155">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color w:val="000000" w:themeColor="text1"/>
        </w:rPr>
      </w:pPr>
      <w:r>
        <w:rPr>
          <w:color w:val="000000" w:themeColor="text1"/>
        </w:rPr>
        <w:tab/>
      </w:r>
      <w:r w:rsidRPr="000D3703">
        <w:rPr>
          <w:rFonts w:eastAsia="Calibri"/>
        </w:rPr>
        <w:t>IV.</w:t>
      </w:r>
      <w:r>
        <w:rPr>
          <w:color w:val="000000" w:themeColor="text1"/>
        </w:rPr>
        <w:tab/>
      </w:r>
      <w:r w:rsidRPr="000D3703">
        <w:rPr>
          <w:color w:val="000000" w:themeColor="text1"/>
        </w:rPr>
        <w:t xml:space="preserve">Fulfilling the right to a clean, healthy and sustainable </w:t>
      </w:r>
      <w:r>
        <w:rPr>
          <w:color w:val="000000" w:themeColor="text1"/>
        </w:rPr>
        <w:t xml:space="preserve">environment </w:t>
      </w:r>
      <w:r>
        <w:rPr>
          <w:color w:val="000000" w:themeColor="text1"/>
        </w:rPr>
        <w:tab/>
      </w:r>
      <w:r>
        <w:rPr>
          <w:color w:val="000000" w:themeColor="text1"/>
        </w:rPr>
        <w:tab/>
        <w:t>9</w:t>
      </w:r>
    </w:p>
    <w:p w:rsidR="006D7155" w:rsidRPr="005B1B2B" w:rsidRDefault="006D7155" w:rsidP="006D7155">
      <w:pPr>
        <w:tabs>
          <w:tab w:val="right" w:pos="850"/>
          <w:tab w:val="left" w:pos="1134"/>
          <w:tab w:val="left" w:pos="1559"/>
          <w:tab w:val="left" w:pos="1984"/>
          <w:tab w:val="left" w:leader="dot" w:pos="8929"/>
          <w:tab w:val="right" w:pos="9638"/>
        </w:tabs>
        <w:spacing w:after="120"/>
        <w:rPr>
          <w:lang w:val="en-US"/>
        </w:rPr>
      </w:pPr>
      <w:r>
        <w:rPr>
          <w:color w:val="000000" w:themeColor="text1"/>
        </w:rPr>
        <w:tab/>
      </w:r>
      <w:r>
        <w:rPr>
          <w:color w:val="000000" w:themeColor="text1"/>
        </w:rPr>
        <w:tab/>
      </w:r>
      <w:r w:rsidRPr="002A6531">
        <w:rPr>
          <w:color w:val="000000" w:themeColor="text1"/>
        </w:rPr>
        <w:t xml:space="preserve">A. </w:t>
      </w:r>
      <w:r>
        <w:rPr>
          <w:color w:val="000000" w:themeColor="text1"/>
        </w:rPr>
        <w:tab/>
        <w:t>Climate change mitigation and adaptation</w:t>
      </w:r>
      <w:r w:rsidRPr="002A6531">
        <w:rPr>
          <w:color w:val="000000" w:themeColor="text1"/>
        </w:rPr>
        <w:t xml:space="preserve"> </w:t>
      </w:r>
      <w:r>
        <w:rPr>
          <w:color w:val="000000" w:themeColor="text1"/>
        </w:rPr>
        <w:tab/>
      </w:r>
      <w:r>
        <w:rPr>
          <w:color w:val="000000" w:themeColor="text1"/>
        </w:rPr>
        <w:tab/>
        <w:t>9</w:t>
      </w:r>
    </w:p>
    <w:p w:rsidR="006D7155" w:rsidRPr="005B1B2B" w:rsidRDefault="006D7155" w:rsidP="006D715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5B1B2B">
        <w:rPr>
          <w:lang w:val="en-US"/>
        </w:rPr>
        <w:t>B.</w:t>
      </w:r>
      <w:r>
        <w:rPr>
          <w:lang w:val="en-US"/>
        </w:rPr>
        <w:tab/>
        <w:t>Safe, sufficient</w:t>
      </w:r>
      <w:r w:rsidRPr="005B1B2B">
        <w:rPr>
          <w:lang w:val="en-US"/>
        </w:rPr>
        <w:t xml:space="preserve"> water and adequate sanitation</w:t>
      </w:r>
      <w:r>
        <w:rPr>
          <w:lang w:val="en-US"/>
        </w:rPr>
        <w:t xml:space="preserve"> </w:t>
      </w:r>
      <w:r>
        <w:rPr>
          <w:lang w:val="en-US"/>
        </w:rPr>
        <w:tab/>
      </w:r>
      <w:r>
        <w:rPr>
          <w:lang w:val="en-US"/>
        </w:rPr>
        <w:tab/>
        <w:t>11</w:t>
      </w:r>
    </w:p>
    <w:p w:rsidR="006D7155" w:rsidRPr="005B1B2B" w:rsidRDefault="006D7155" w:rsidP="006D715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5B1B2B">
        <w:rPr>
          <w:lang w:val="en-US"/>
        </w:rPr>
        <w:t xml:space="preserve">C. </w:t>
      </w:r>
      <w:r>
        <w:rPr>
          <w:lang w:val="en-US"/>
        </w:rPr>
        <w:tab/>
      </w:r>
      <w:r w:rsidRPr="005B1B2B">
        <w:rPr>
          <w:lang w:val="en-US"/>
        </w:rPr>
        <w:t>Clean air</w:t>
      </w:r>
      <w:r>
        <w:rPr>
          <w:lang w:val="en-US"/>
        </w:rPr>
        <w:tab/>
      </w:r>
      <w:r>
        <w:rPr>
          <w:lang w:val="en-US"/>
        </w:rPr>
        <w:tab/>
        <w:t>12</w:t>
      </w:r>
    </w:p>
    <w:p w:rsidR="006D7155" w:rsidRPr="005B1B2B" w:rsidRDefault="006D7155" w:rsidP="006D715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5B1B2B">
        <w:rPr>
          <w:lang w:val="en-US"/>
        </w:rPr>
        <w:t xml:space="preserve">D. </w:t>
      </w:r>
      <w:r>
        <w:rPr>
          <w:lang w:val="en-US"/>
        </w:rPr>
        <w:tab/>
        <w:t xml:space="preserve">Solid waste management </w:t>
      </w:r>
      <w:r>
        <w:rPr>
          <w:lang w:val="en-US"/>
        </w:rPr>
        <w:tab/>
      </w:r>
      <w:r>
        <w:rPr>
          <w:lang w:val="en-US"/>
        </w:rPr>
        <w:tab/>
        <w:t>12</w:t>
      </w:r>
    </w:p>
    <w:p w:rsidR="006D7155" w:rsidRPr="005B1B2B" w:rsidRDefault="006D7155" w:rsidP="006D715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5B1B2B">
        <w:rPr>
          <w:lang w:val="en-US"/>
        </w:rPr>
        <w:t xml:space="preserve">E. </w:t>
      </w:r>
      <w:r>
        <w:rPr>
          <w:lang w:val="en-US"/>
        </w:rPr>
        <w:tab/>
      </w:r>
      <w:r w:rsidRPr="005B1B2B">
        <w:rPr>
          <w:lang w:val="en-US"/>
        </w:rPr>
        <w:t>Healthy and sustainably produced food</w:t>
      </w:r>
      <w:r>
        <w:rPr>
          <w:lang w:val="en-US"/>
        </w:rPr>
        <w:t xml:space="preserve"> </w:t>
      </w:r>
      <w:r>
        <w:rPr>
          <w:lang w:val="en-US"/>
        </w:rPr>
        <w:tab/>
      </w:r>
      <w:r>
        <w:rPr>
          <w:lang w:val="en-US"/>
        </w:rPr>
        <w:tab/>
        <w:t>13</w:t>
      </w:r>
    </w:p>
    <w:p w:rsidR="006D7155" w:rsidRPr="005B1B2B" w:rsidRDefault="006D7155" w:rsidP="006D715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5B1B2B">
        <w:rPr>
          <w:lang w:val="en-US"/>
        </w:rPr>
        <w:t xml:space="preserve">F. </w:t>
      </w:r>
      <w:r>
        <w:rPr>
          <w:lang w:val="en-US"/>
        </w:rPr>
        <w:tab/>
        <w:t xml:space="preserve">Toxic substances </w:t>
      </w:r>
      <w:r>
        <w:rPr>
          <w:lang w:val="en-US"/>
        </w:rPr>
        <w:tab/>
      </w:r>
      <w:r>
        <w:rPr>
          <w:lang w:val="en-US"/>
        </w:rPr>
        <w:tab/>
        <w:t>14</w:t>
      </w:r>
    </w:p>
    <w:p w:rsidR="006D7155" w:rsidRPr="005B1B2B" w:rsidRDefault="006D7155" w:rsidP="006D715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5B1B2B">
        <w:rPr>
          <w:lang w:val="en-US"/>
        </w:rPr>
        <w:t xml:space="preserve">G. </w:t>
      </w:r>
      <w:r>
        <w:rPr>
          <w:lang w:val="en-US"/>
        </w:rPr>
        <w:tab/>
      </w:r>
      <w:r w:rsidRPr="005B1B2B">
        <w:rPr>
          <w:lang w:val="en-US"/>
        </w:rPr>
        <w:t>Healthy biodiversity and ecosystems</w:t>
      </w:r>
      <w:r>
        <w:rPr>
          <w:lang w:val="en-US"/>
        </w:rPr>
        <w:tab/>
      </w:r>
      <w:r>
        <w:rPr>
          <w:lang w:val="en-US"/>
        </w:rPr>
        <w:tab/>
        <w:t>15</w:t>
      </w:r>
    </w:p>
    <w:p w:rsidR="006D7155" w:rsidRPr="005B1B2B" w:rsidRDefault="006D7155" w:rsidP="006D715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5B1B2B">
        <w:rPr>
          <w:lang w:val="en-US"/>
        </w:rPr>
        <w:t xml:space="preserve">H. </w:t>
      </w:r>
      <w:r>
        <w:rPr>
          <w:lang w:val="en-US"/>
        </w:rPr>
        <w:tab/>
        <w:t xml:space="preserve">Participation rights </w:t>
      </w:r>
      <w:r>
        <w:rPr>
          <w:lang w:val="en-US"/>
        </w:rPr>
        <w:tab/>
      </w:r>
      <w:r>
        <w:rPr>
          <w:lang w:val="en-US"/>
        </w:rPr>
        <w:tab/>
        <w:t>16</w:t>
      </w:r>
    </w:p>
    <w:p w:rsidR="006D7155" w:rsidRPr="001F38C8" w:rsidRDefault="006D7155" w:rsidP="006D7155">
      <w:pPr>
        <w:tabs>
          <w:tab w:val="right" w:pos="850"/>
          <w:tab w:val="left" w:pos="1134"/>
          <w:tab w:val="left" w:pos="1559"/>
          <w:tab w:val="left" w:pos="1984"/>
          <w:tab w:val="left" w:leader="dot" w:pos="8929"/>
          <w:tab w:val="right" w:pos="9638"/>
        </w:tabs>
        <w:spacing w:after="120"/>
      </w:pPr>
      <w:r w:rsidRPr="001F38C8">
        <w:tab/>
        <w:t>V.</w:t>
      </w:r>
      <w:r w:rsidRPr="001F38C8">
        <w:tab/>
        <w:t xml:space="preserve">Conclusions and recommendations </w:t>
      </w:r>
      <w:r w:rsidRPr="001F38C8">
        <w:tab/>
      </w:r>
      <w:r>
        <w:tab/>
        <w:t>17</w:t>
      </w:r>
    </w:p>
    <w:p w:rsidR="006D7155" w:rsidRDefault="006D7155" w:rsidP="006D7155">
      <w:pPr>
        <w:suppressAutoHyphens w:val="0"/>
        <w:spacing w:line="240" w:lineRule="auto"/>
        <w:rPr>
          <w:rFonts w:eastAsia="Calibri"/>
        </w:rPr>
      </w:pPr>
      <w:r>
        <w:rPr>
          <w:rFonts w:eastAsia="Calibri"/>
        </w:rPr>
        <w:br w:type="page"/>
      </w:r>
    </w:p>
    <w:p w:rsidR="006D7155" w:rsidRDefault="006D7155" w:rsidP="006D7155">
      <w:pPr>
        <w:pStyle w:val="HChG"/>
      </w:pPr>
      <w:r>
        <w:lastRenderedPageBreak/>
        <w:tab/>
      </w:r>
      <w:r w:rsidRPr="001F38C8">
        <w:t>I.</w:t>
      </w:r>
      <w:r>
        <w:tab/>
      </w:r>
      <w:r w:rsidRPr="001F38C8">
        <w:tab/>
        <w:t>Introduction</w:t>
      </w:r>
    </w:p>
    <w:p w:rsidR="006D7155" w:rsidRPr="006155A7" w:rsidRDefault="006D7155" w:rsidP="006D7155">
      <w:pPr>
        <w:pStyle w:val="H23G"/>
        <w:rPr>
          <w:b w:val="0"/>
        </w:rPr>
      </w:pPr>
      <w:r w:rsidRPr="006155A7">
        <w:rPr>
          <w:b w:val="0"/>
        </w:rPr>
        <w:tab/>
      </w:r>
      <w:r w:rsidRPr="006155A7">
        <w:rPr>
          <w:b w:val="0"/>
        </w:rPr>
        <w:tab/>
        <w:t xml:space="preserve">“In all the world of living things it is doubtful whether there is a more delicately </w:t>
      </w:r>
      <w:r w:rsidRPr="006155A7">
        <w:rPr>
          <w:b w:val="0"/>
        </w:rPr>
        <w:tab/>
        <w:t>balanced relationship than that of island life to its environment”</w:t>
      </w:r>
      <w:r w:rsidRPr="006155A7">
        <w:rPr>
          <w:b w:val="0"/>
        </w:rPr>
        <w:br/>
        <w:t xml:space="preserve">Rachel Carson, </w:t>
      </w:r>
      <w:r w:rsidRPr="006155A7">
        <w:rPr>
          <w:b w:val="0"/>
          <w:i/>
          <w:iCs/>
        </w:rPr>
        <w:t>The Sea Around Us</w:t>
      </w:r>
      <w:r w:rsidRPr="006155A7">
        <w:rPr>
          <w:b w:val="0"/>
        </w:rPr>
        <w:t>, 1951.</w:t>
      </w:r>
    </w:p>
    <w:p w:rsidR="006D7155" w:rsidRPr="00314E52" w:rsidRDefault="009A4F78" w:rsidP="009A4F78">
      <w:pPr>
        <w:pStyle w:val="SingleTxtG"/>
        <w:rPr>
          <w:shd w:val="clear" w:color="auto" w:fill="FFFFFF"/>
        </w:rPr>
      </w:pPr>
      <w:r w:rsidRPr="00314E52">
        <w:t>1.</w:t>
      </w:r>
      <w:r w:rsidRPr="00314E52">
        <w:tab/>
      </w:r>
      <w:r w:rsidR="006D7155">
        <w:rPr>
          <w:lang w:val="en-US"/>
        </w:rPr>
        <w:t>Saint Vincent and the Grenadines</w:t>
      </w:r>
      <w:r w:rsidR="006D7155" w:rsidRPr="00247880">
        <w:rPr>
          <w:lang w:val="en-US"/>
        </w:rPr>
        <w:t xml:space="preserve"> is a </w:t>
      </w:r>
      <w:r w:rsidR="006D7155">
        <w:rPr>
          <w:lang w:val="en-US"/>
        </w:rPr>
        <w:t>breathtaking</w:t>
      </w:r>
      <w:r w:rsidR="006D7155" w:rsidRPr="00247880">
        <w:rPr>
          <w:lang w:val="en-US"/>
        </w:rPr>
        <w:t xml:space="preserve">ly beautiful country, </w:t>
      </w:r>
      <w:r w:rsidR="006D7155">
        <w:rPr>
          <w:lang w:val="en-US"/>
        </w:rPr>
        <w:t xml:space="preserve">but </w:t>
      </w:r>
      <w:r w:rsidR="006D7155" w:rsidRPr="00217570">
        <w:rPr>
          <w:color w:val="000000" w:themeColor="text1"/>
        </w:rPr>
        <w:t xml:space="preserve">has been confronted by a series of overlapping catastrophes in recent years including not only the COVID-19 pandemic, but </w:t>
      </w:r>
      <w:r w:rsidR="006D7155">
        <w:rPr>
          <w:color w:val="000000" w:themeColor="text1"/>
        </w:rPr>
        <w:t xml:space="preserve">also </w:t>
      </w:r>
      <w:r w:rsidR="006D7155" w:rsidRPr="00217570">
        <w:rPr>
          <w:color w:val="000000" w:themeColor="text1"/>
        </w:rPr>
        <w:t xml:space="preserve">a major volcanic eruption, hurricanes, severe floods and droughts, all exacerbated by the growing impacts of the global climate crisis. Despite these daunting challenges, </w:t>
      </w:r>
      <w:r w:rsidR="006D7155" w:rsidRPr="00247880">
        <w:rPr>
          <w:lang w:val="en-US"/>
        </w:rPr>
        <w:t>the Special Rapporteur</w:t>
      </w:r>
      <w:r w:rsidR="006D7155" w:rsidRPr="00217570">
        <w:rPr>
          <w:color w:val="000000" w:themeColor="text1"/>
        </w:rPr>
        <w:t xml:space="preserve"> was impressed by the friendliness and resilience of everyone whom </w:t>
      </w:r>
      <w:r w:rsidR="006D7155">
        <w:rPr>
          <w:color w:val="000000" w:themeColor="text1"/>
        </w:rPr>
        <w:t>he</w:t>
      </w:r>
      <w:r w:rsidR="006D7155" w:rsidRPr="00217570">
        <w:rPr>
          <w:color w:val="000000" w:themeColor="text1"/>
        </w:rPr>
        <w:t xml:space="preserve"> encountered. </w:t>
      </w:r>
      <w:r w:rsidR="006D7155" w:rsidRPr="00247880">
        <w:rPr>
          <w:lang w:val="en-US"/>
        </w:rPr>
        <w:t xml:space="preserve"> </w:t>
      </w:r>
    </w:p>
    <w:p w:rsidR="006D7155" w:rsidRPr="00314E52" w:rsidRDefault="009A4F78" w:rsidP="009A4F78">
      <w:pPr>
        <w:pStyle w:val="SingleTxtG"/>
        <w:rPr>
          <w:shd w:val="clear" w:color="auto" w:fill="FFFFFF"/>
        </w:rPr>
      </w:pPr>
      <w:r w:rsidRPr="00314E52">
        <w:t>2.</w:t>
      </w:r>
      <w:r w:rsidRPr="00314E52">
        <w:tab/>
      </w:r>
      <w:r w:rsidR="006D7155" w:rsidRPr="00314E52">
        <w:rPr>
          <w:color w:val="000000" w:themeColor="text1"/>
          <w:shd w:val="clear" w:color="auto" w:fill="FFFFFF"/>
        </w:rPr>
        <w:t xml:space="preserve">This was </w:t>
      </w:r>
      <w:r w:rsidR="006E29F8">
        <w:rPr>
          <w:color w:val="000000" w:themeColor="text1"/>
          <w:shd w:val="clear" w:color="auto" w:fill="FFFFFF"/>
        </w:rPr>
        <w:t>his</w:t>
      </w:r>
      <w:r w:rsidR="006D7155" w:rsidRPr="00314E52">
        <w:rPr>
          <w:color w:val="000000" w:themeColor="text1"/>
          <w:shd w:val="clear" w:color="auto" w:fill="FFFFFF"/>
        </w:rPr>
        <w:t xml:space="preserve"> first official country visit since the Human Rights Council, on 8 October 2021, </w:t>
      </w:r>
      <w:hyperlink r:id="rId7" w:history="1">
        <w:r w:rsidR="006D7155" w:rsidRPr="00314E52">
          <w:rPr>
            <w:color w:val="365F91" w:themeColor="accent1" w:themeShade="BF"/>
            <w:u w:val="single"/>
            <w:shd w:val="clear" w:color="auto" w:fill="FFFFFF"/>
          </w:rPr>
          <w:t>adopted</w:t>
        </w:r>
      </w:hyperlink>
      <w:r w:rsidR="006D7155" w:rsidRPr="00314E52">
        <w:rPr>
          <w:color w:val="000000" w:themeColor="text1"/>
          <w:shd w:val="clear" w:color="auto" w:fill="FFFFFF"/>
        </w:rPr>
        <w:t xml:space="preserve"> an historic resolution recognizing the human right to a clean, healthy and sustainable environment. </w:t>
      </w:r>
      <w:r w:rsidR="006D7155">
        <w:rPr>
          <w:color w:val="000000" w:themeColor="text1"/>
          <w:shd w:val="clear" w:color="auto" w:fill="FFFFFF"/>
        </w:rPr>
        <w:t>T</w:t>
      </w:r>
      <w:r w:rsidR="006D7155" w:rsidRPr="00314E52">
        <w:rPr>
          <w:color w:val="000000" w:themeColor="text1"/>
          <w:shd w:val="clear" w:color="auto" w:fill="FFFFFF"/>
        </w:rPr>
        <w:t>he Special Rapporteur is keenly interested in the implementation of this right, and this visit provided an opportunity to consider how this right can be fulfilled at the national level.</w:t>
      </w:r>
    </w:p>
    <w:p w:rsidR="006D7155" w:rsidRPr="00314E52" w:rsidRDefault="009A4F78" w:rsidP="009A4F78">
      <w:pPr>
        <w:pStyle w:val="SingleTxtG"/>
        <w:rPr>
          <w:shd w:val="clear" w:color="auto" w:fill="FFFFFF"/>
        </w:rPr>
      </w:pPr>
      <w:r w:rsidRPr="00314E52">
        <w:t>3.</w:t>
      </w:r>
      <w:r w:rsidRPr="00314E52">
        <w:tab/>
      </w:r>
      <w:r w:rsidR="006D7155" w:rsidRPr="00314E52">
        <w:rPr>
          <w:color w:val="000000"/>
          <w:shd w:val="clear" w:color="auto" w:fill="FFFFFF"/>
        </w:rPr>
        <w:t xml:space="preserve">Furthermore, this was the first visit to Saint Vincent and the Grenadines in almost 10 years by an independent expert appointed by the UN Human Rights Council. Based on the positive experiences of this visit, it is </w:t>
      </w:r>
      <w:r w:rsidR="006D7155" w:rsidRPr="00314E52">
        <w:rPr>
          <w:color w:val="000000" w:themeColor="text1"/>
          <w:shd w:val="clear" w:color="auto" w:fill="FFFFFF"/>
        </w:rPr>
        <w:t>the Special Rapporteur</w:t>
      </w:r>
      <w:r w:rsidR="006D7155">
        <w:rPr>
          <w:color w:val="000000" w:themeColor="text1"/>
          <w:shd w:val="clear" w:color="auto" w:fill="FFFFFF"/>
        </w:rPr>
        <w:t>’s</w:t>
      </w:r>
      <w:r w:rsidR="006D7155" w:rsidRPr="00314E52">
        <w:rPr>
          <w:color w:val="000000"/>
          <w:shd w:val="clear" w:color="auto" w:fill="FFFFFF"/>
        </w:rPr>
        <w:t xml:space="preserve"> hope that it will open the door for other UN independent experts representing other spheres of human rights to carry out similar missions. Future visits could enhance the relationship between the Government of Saint Vincent and the Grenadines and the mechanisms established by the UN Human Rights Council.</w:t>
      </w:r>
    </w:p>
    <w:p w:rsidR="006D7155" w:rsidRPr="00314E52" w:rsidRDefault="009A4F78" w:rsidP="009A4F78">
      <w:pPr>
        <w:pStyle w:val="SingleTxtG"/>
        <w:rPr>
          <w:shd w:val="clear" w:color="auto" w:fill="FFFFFF"/>
        </w:rPr>
      </w:pPr>
      <w:r w:rsidRPr="00314E52">
        <w:t>4.</w:t>
      </w:r>
      <w:r w:rsidRPr="00314E52">
        <w:tab/>
      </w:r>
      <w:r w:rsidR="006D7155" w:rsidRPr="00314E52">
        <w:rPr>
          <w:color w:val="000000"/>
        </w:rPr>
        <w:t xml:space="preserve">During </w:t>
      </w:r>
      <w:r w:rsidR="006E29F8">
        <w:rPr>
          <w:color w:val="000000" w:themeColor="text1"/>
          <w:shd w:val="clear" w:color="auto" w:fill="FFFFFF"/>
        </w:rPr>
        <w:t>his</w:t>
      </w:r>
      <w:r w:rsidR="006D7155" w:rsidRPr="00314E52">
        <w:rPr>
          <w:color w:val="000000"/>
        </w:rPr>
        <w:t xml:space="preserve"> visit, he met with a wide range of people, including </w:t>
      </w:r>
      <w:r w:rsidR="006D7155">
        <w:rPr>
          <w:color w:val="000000"/>
        </w:rPr>
        <w:t xml:space="preserve">the </w:t>
      </w:r>
      <w:r w:rsidR="006D7155" w:rsidRPr="00314E52">
        <w:rPr>
          <w:color w:val="000000"/>
        </w:rPr>
        <w:t>Prime Minister, government ministers and officials from nine ministries</w:t>
      </w:r>
      <w:r w:rsidR="006D7155">
        <w:rPr>
          <w:color w:val="000000"/>
        </w:rPr>
        <w:t xml:space="preserve"> (including the Ministry of Foreign Affairs, the </w:t>
      </w:r>
      <w:r w:rsidR="006D7155" w:rsidRPr="00254371">
        <w:rPr>
          <w:rStyle w:val="apple-converted-space"/>
          <w:color w:val="000000" w:themeColor="text1"/>
        </w:rPr>
        <w:t>Ministry of Tourism, Civil Aviation, Sustainable Development and Culture</w:t>
      </w:r>
      <w:r w:rsidR="006D7155">
        <w:rPr>
          <w:rStyle w:val="apple-converted-space"/>
          <w:color w:val="000000" w:themeColor="text1"/>
        </w:rPr>
        <w:t xml:space="preserve">, the Ministry of Agriculture, the Ministry of National Mobilisation, the Ministry of Education as well as the Ministry of Health, </w:t>
      </w:r>
      <w:r w:rsidR="006D7155" w:rsidRPr="00D6022D">
        <w:rPr>
          <w:rStyle w:val="apple-converted-space"/>
          <w:color w:val="000000" w:themeColor="text1"/>
        </w:rPr>
        <w:t>Wellness</w:t>
      </w:r>
      <w:r w:rsidR="006D7155">
        <w:rPr>
          <w:rStyle w:val="apple-converted-space"/>
          <w:color w:val="000000" w:themeColor="text1"/>
        </w:rPr>
        <w:t xml:space="preserve"> and Environment)</w:t>
      </w:r>
      <w:r w:rsidR="006D7155">
        <w:rPr>
          <w:color w:val="000000"/>
        </w:rPr>
        <w:t xml:space="preserve">. He also met with representatives of </w:t>
      </w:r>
      <w:r w:rsidR="006D7155" w:rsidRPr="00314E52">
        <w:rPr>
          <w:color w:val="000000"/>
        </w:rPr>
        <w:t>the C</w:t>
      </w:r>
      <w:r w:rsidR="006D7155">
        <w:rPr>
          <w:color w:val="000000"/>
        </w:rPr>
        <w:t>entral W</w:t>
      </w:r>
      <w:r w:rsidR="006D7155" w:rsidRPr="00314E52">
        <w:rPr>
          <w:color w:val="000000"/>
        </w:rPr>
        <w:t>ater and S</w:t>
      </w:r>
      <w:r w:rsidR="006D7155">
        <w:rPr>
          <w:color w:val="000000"/>
        </w:rPr>
        <w:t>ewerage Authority</w:t>
      </w:r>
      <w:r w:rsidR="006D7155" w:rsidRPr="00314E52">
        <w:rPr>
          <w:color w:val="000000"/>
        </w:rPr>
        <w:t>, the C</w:t>
      </w:r>
      <w:r w:rsidR="006D7155">
        <w:rPr>
          <w:color w:val="000000"/>
        </w:rPr>
        <w:t xml:space="preserve">hief Executive Officer of </w:t>
      </w:r>
      <w:r w:rsidR="006D7155" w:rsidRPr="00343252">
        <w:rPr>
          <w:color w:val="000000"/>
        </w:rPr>
        <w:t>St. Vincent Electricity Services Limited</w:t>
      </w:r>
      <w:r w:rsidR="006D7155">
        <w:rPr>
          <w:color w:val="000000"/>
        </w:rPr>
        <w:t xml:space="preserve"> (</w:t>
      </w:r>
      <w:r w:rsidR="006D7155" w:rsidRPr="00314E52">
        <w:rPr>
          <w:color w:val="000000"/>
        </w:rPr>
        <w:t xml:space="preserve">VINLEC </w:t>
      </w:r>
      <w:r w:rsidR="006D7155">
        <w:rPr>
          <w:color w:val="000000"/>
        </w:rPr>
        <w:t>-</w:t>
      </w:r>
      <w:r w:rsidR="006D7155" w:rsidRPr="00314E52">
        <w:rPr>
          <w:color w:val="000000"/>
        </w:rPr>
        <w:t xml:space="preserve">the </w:t>
      </w:r>
      <w:r w:rsidR="006D7155" w:rsidRPr="00D6022D">
        <w:rPr>
          <w:color w:val="000000"/>
        </w:rPr>
        <w:t>state-owned electricity company</w:t>
      </w:r>
      <w:r w:rsidR="006D7155" w:rsidRPr="00314E52">
        <w:rPr>
          <w:color w:val="000000"/>
        </w:rPr>
        <w:t xml:space="preserve">), representatives of ten United Nations agencies, members of civil society organizations, community leaders, and concerned citizens. He also had a meeting with a wonderful group of Vincentian youth studying agriculture and environmental sciences at a community college in Kingstown. The Special Rapporteur also received inputs from the executive director of the Caribbean Disaster Emergency Management Agency, based in Barbados. </w:t>
      </w:r>
    </w:p>
    <w:p w:rsidR="006D7155" w:rsidRPr="008A1B81" w:rsidRDefault="009A4F78" w:rsidP="009A4F78">
      <w:pPr>
        <w:pStyle w:val="SingleTxtG"/>
        <w:rPr>
          <w:shd w:val="clear" w:color="auto" w:fill="FFFFFF"/>
        </w:rPr>
      </w:pPr>
      <w:r w:rsidRPr="008A1B81">
        <w:t>5.</w:t>
      </w:r>
      <w:r w:rsidRPr="008A1B81">
        <w:tab/>
      </w:r>
      <w:r w:rsidR="006D7155" w:rsidRPr="00314E52">
        <w:rPr>
          <w:color w:val="000000"/>
        </w:rPr>
        <w:t xml:space="preserve">While in Saint Vincent and the Grenadines, </w:t>
      </w:r>
      <w:r w:rsidR="006E29F8">
        <w:rPr>
          <w:color w:val="000000"/>
        </w:rPr>
        <w:t>he</w:t>
      </w:r>
      <w:r w:rsidR="006D7155" w:rsidRPr="00314E52">
        <w:rPr>
          <w:color w:val="000000"/>
        </w:rPr>
        <w:t xml:space="preserve"> travel</w:t>
      </w:r>
      <w:r w:rsidR="006D7155">
        <w:rPr>
          <w:color w:val="000000"/>
        </w:rPr>
        <w:t>l</w:t>
      </w:r>
      <w:r w:rsidR="006D7155" w:rsidRPr="00314E52">
        <w:rPr>
          <w:color w:val="000000"/>
        </w:rPr>
        <w:t>ed to the red zone</w:t>
      </w:r>
      <w:r w:rsidR="006D7155">
        <w:rPr>
          <w:rStyle w:val="FootnoteReference"/>
          <w:color w:val="000000"/>
        </w:rPr>
        <w:footnoteReference w:id="4"/>
      </w:r>
      <w:r w:rsidR="006D7155" w:rsidRPr="00314E52">
        <w:rPr>
          <w:color w:val="000000"/>
        </w:rPr>
        <w:t xml:space="preserve"> around the La Soufriere Volcano, witnessing the extensive destruction</w:t>
      </w:r>
      <w:r w:rsidR="006D7155">
        <w:rPr>
          <w:rStyle w:val="FootnoteReference"/>
          <w:color w:val="000000"/>
        </w:rPr>
        <w:footnoteReference w:id="5"/>
      </w:r>
      <w:r w:rsidR="006D7155" w:rsidRPr="00314E52">
        <w:rPr>
          <w:color w:val="000000"/>
        </w:rPr>
        <w:t xml:space="preserve"> and meeting with community leaders and evacuees in Sandy Bay and Fancy</w:t>
      </w:r>
      <w:r w:rsidR="006D7155">
        <w:rPr>
          <w:color w:val="000000"/>
        </w:rPr>
        <w:t xml:space="preserve"> on the North Windward side of the island</w:t>
      </w:r>
      <w:r w:rsidR="006D7155" w:rsidRPr="00314E52">
        <w:rPr>
          <w:color w:val="000000"/>
        </w:rPr>
        <w:t xml:space="preserve">. </w:t>
      </w:r>
      <w:r w:rsidR="006D7155">
        <w:rPr>
          <w:color w:val="000000"/>
        </w:rPr>
        <w:t>He</w:t>
      </w:r>
      <w:r w:rsidR="006D7155" w:rsidRPr="00314E52">
        <w:rPr>
          <w:color w:val="000000"/>
        </w:rPr>
        <w:t xml:space="preserve"> </w:t>
      </w:r>
      <w:r w:rsidR="006D7155">
        <w:rPr>
          <w:color w:val="000000"/>
        </w:rPr>
        <w:t xml:space="preserve">further </w:t>
      </w:r>
      <w:r w:rsidR="006D7155" w:rsidRPr="00314E52">
        <w:rPr>
          <w:color w:val="000000"/>
        </w:rPr>
        <w:t xml:space="preserve">visited the Lowmans Bay Power Plant, the Diamond Landfill, the Maderia Valley Forest Park, the Botanical Garden and the Belmont Nature Trail as well as the site of a future Sandals Resort. </w:t>
      </w:r>
      <w:r w:rsidR="006D7155">
        <w:rPr>
          <w:color w:val="000000"/>
        </w:rPr>
        <w:t xml:space="preserve">The </w:t>
      </w:r>
      <w:r w:rsidR="006D7155" w:rsidRPr="00314E52">
        <w:rPr>
          <w:color w:val="000000"/>
        </w:rPr>
        <w:t xml:space="preserve">Special Rapporteur also took a ferry to the island of </w:t>
      </w:r>
      <w:proofErr w:type="spellStart"/>
      <w:r w:rsidR="006D7155" w:rsidRPr="00314E52">
        <w:rPr>
          <w:color w:val="000000"/>
        </w:rPr>
        <w:t>Bequia</w:t>
      </w:r>
      <w:proofErr w:type="spellEnd"/>
      <w:r w:rsidR="006D7155" w:rsidRPr="00314E52">
        <w:rPr>
          <w:color w:val="000000"/>
        </w:rPr>
        <w:t xml:space="preserve"> in the Grenadines, visiting Paget Farm, the </w:t>
      </w:r>
      <w:r w:rsidR="006D7155">
        <w:rPr>
          <w:color w:val="000000"/>
        </w:rPr>
        <w:t xml:space="preserve">local </w:t>
      </w:r>
      <w:r w:rsidR="006D7155" w:rsidRPr="00314E52">
        <w:rPr>
          <w:color w:val="000000"/>
        </w:rPr>
        <w:t xml:space="preserve">landfill, an emergency shelter under </w:t>
      </w:r>
      <w:r w:rsidR="006D7155" w:rsidRPr="00314E52">
        <w:rPr>
          <w:color w:val="000000"/>
        </w:rPr>
        <w:lastRenderedPageBreak/>
        <w:t>construction, an ongoing project to reduce the risk of dengue fever and the waterfront Belmont walkway rebuilt by Action Bequia</w:t>
      </w:r>
      <w:r w:rsidR="006D7155" w:rsidRPr="00AA3733">
        <w:rPr>
          <w:rStyle w:val="FootnoteReference"/>
          <w:color w:val="000000"/>
          <w:szCs w:val="18"/>
        </w:rPr>
        <w:footnoteReference w:id="6"/>
      </w:r>
      <w:r w:rsidR="006D7155" w:rsidRPr="00314E52">
        <w:rPr>
          <w:color w:val="000000"/>
        </w:rPr>
        <w:t xml:space="preserve">, a local organization. </w:t>
      </w:r>
    </w:p>
    <w:p w:rsidR="006D7155" w:rsidRPr="008A1B81" w:rsidRDefault="009A4F78" w:rsidP="009A4F78">
      <w:pPr>
        <w:pStyle w:val="SingleTxtG"/>
        <w:rPr>
          <w:shd w:val="clear" w:color="auto" w:fill="FFFFFF"/>
        </w:rPr>
      </w:pPr>
      <w:r w:rsidRPr="008A1B81">
        <w:t>6.</w:t>
      </w:r>
      <w:r w:rsidRPr="008A1B81">
        <w:tab/>
      </w:r>
      <w:r w:rsidR="006D7155">
        <w:rPr>
          <w:shd w:val="clear" w:color="auto" w:fill="FFFFFF"/>
        </w:rPr>
        <w:t xml:space="preserve">The </w:t>
      </w:r>
      <w:r w:rsidR="006D7155">
        <w:rPr>
          <w:color w:val="000000"/>
        </w:rPr>
        <w:t>Special Rapporteur</w:t>
      </w:r>
      <w:r w:rsidR="006D7155" w:rsidRPr="00314E52">
        <w:rPr>
          <w:color w:val="000000"/>
        </w:rPr>
        <w:t xml:space="preserve"> would like to thank the Government of Saint Vincent and the Grenadines for its invitation</w:t>
      </w:r>
      <w:r w:rsidR="006D7155">
        <w:rPr>
          <w:color w:val="000000"/>
        </w:rPr>
        <w:t xml:space="preserve"> </w:t>
      </w:r>
      <w:r w:rsidR="006D7155">
        <w:t>and cooperation throughout the visit</w:t>
      </w:r>
      <w:r w:rsidR="006D7155" w:rsidRPr="00314E52">
        <w:rPr>
          <w:color w:val="000000"/>
        </w:rPr>
        <w:t xml:space="preserve">. </w:t>
      </w:r>
      <w:r w:rsidR="006E29F8">
        <w:rPr>
          <w:color w:val="000000"/>
        </w:rPr>
        <w:t xml:space="preserve">He </w:t>
      </w:r>
      <w:r w:rsidR="006D7155" w:rsidRPr="00314E52">
        <w:rPr>
          <w:color w:val="000000"/>
        </w:rPr>
        <w:t xml:space="preserve"> </w:t>
      </w:r>
      <w:r w:rsidR="006D7155">
        <w:rPr>
          <w:color w:val="000000"/>
        </w:rPr>
        <w:t>is</w:t>
      </w:r>
      <w:r w:rsidR="006D7155" w:rsidRPr="00314E52">
        <w:rPr>
          <w:color w:val="000000"/>
        </w:rPr>
        <w:t xml:space="preserve"> grateful to </w:t>
      </w:r>
      <w:r w:rsidR="006D7155">
        <w:rPr>
          <w:color w:val="000000"/>
        </w:rPr>
        <w:t xml:space="preserve">the </w:t>
      </w:r>
      <w:r w:rsidR="006D7155" w:rsidRPr="00314E52">
        <w:rPr>
          <w:color w:val="000000"/>
        </w:rPr>
        <w:t>Ambassador to the UN for Saint Vincent and the Grenadines</w:t>
      </w:r>
      <w:r w:rsidR="006D7155">
        <w:rPr>
          <w:color w:val="000000"/>
        </w:rPr>
        <w:t xml:space="preserve">, </w:t>
      </w:r>
      <w:r w:rsidR="006D7155" w:rsidRPr="00314E52">
        <w:rPr>
          <w:color w:val="000000"/>
        </w:rPr>
        <w:t>the UN Resident Coordinator’s office in Barbados</w:t>
      </w:r>
      <w:r w:rsidR="006D7155">
        <w:rPr>
          <w:color w:val="000000"/>
        </w:rPr>
        <w:t>,</w:t>
      </w:r>
      <w:r w:rsidR="006D7155" w:rsidRPr="00314E52">
        <w:rPr>
          <w:color w:val="000000"/>
        </w:rPr>
        <w:t xml:space="preserve"> the Ministry of Foreign Affairs, and </w:t>
      </w:r>
      <w:r w:rsidR="006D7155">
        <w:rPr>
          <w:color w:val="000000"/>
        </w:rPr>
        <w:t>the</w:t>
      </w:r>
      <w:r w:rsidR="006D7155" w:rsidRPr="00314E52">
        <w:rPr>
          <w:color w:val="000000"/>
        </w:rPr>
        <w:t xml:space="preserve"> UN Country Coordination Officer for their valuable assistance in arranging this visit. </w:t>
      </w:r>
      <w:r w:rsidR="006D7155">
        <w:rPr>
          <w:color w:val="000000"/>
        </w:rPr>
        <w:t>The Special Rapporteur</w:t>
      </w:r>
      <w:r w:rsidR="006D7155" w:rsidRPr="00314E52">
        <w:rPr>
          <w:color w:val="000000"/>
        </w:rPr>
        <w:t xml:space="preserve"> also appreciated the support of the UN Office of the High Commissioner for Human Rights and </w:t>
      </w:r>
      <w:r w:rsidR="006D7155">
        <w:rPr>
          <w:color w:val="000000"/>
        </w:rPr>
        <w:t xml:space="preserve">the </w:t>
      </w:r>
      <w:r w:rsidR="006D7155" w:rsidRPr="00314E52">
        <w:rPr>
          <w:color w:val="000000"/>
        </w:rPr>
        <w:t xml:space="preserve">UN </w:t>
      </w:r>
      <w:r w:rsidR="006D7155">
        <w:rPr>
          <w:color w:val="000000" w:themeColor="text1"/>
        </w:rPr>
        <w:t>Regional</w:t>
      </w:r>
      <w:r w:rsidR="006D7155" w:rsidRPr="00217570">
        <w:rPr>
          <w:color w:val="000000" w:themeColor="text1"/>
        </w:rPr>
        <w:t xml:space="preserve"> </w:t>
      </w:r>
      <w:r w:rsidR="006D7155">
        <w:rPr>
          <w:color w:val="000000" w:themeColor="text1"/>
        </w:rPr>
        <w:t xml:space="preserve">Human Rights </w:t>
      </w:r>
      <w:r w:rsidR="006D7155" w:rsidRPr="00217570">
        <w:rPr>
          <w:color w:val="000000" w:themeColor="text1"/>
        </w:rPr>
        <w:t>Coordinator for the E</w:t>
      </w:r>
      <w:r w:rsidR="006D7155">
        <w:rPr>
          <w:color w:val="000000" w:themeColor="text1"/>
        </w:rPr>
        <w:t>nglish-Speaking</w:t>
      </w:r>
      <w:r w:rsidR="006D7155" w:rsidRPr="00217570">
        <w:rPr>
          <w:color w:val="000000" w:themeColor="text1"/>
        </w:rPr>
        <w:t xml:space="preserve"> Caribbean</w:t>
      </w:r>
      <w:r w:rsidR="006D7155">
        <w:rPr>
          <w:color w:val="000000"/>
        </w:rPr>
        <w:t>.</w:t>
      </w:r>
    </w:p>
    <w:p w:rsidR="006D7155" w:rsidRDefault="006D7155" w:rsidP="006D7155">
      <w:pPr>
        <w:pStyle w:val="HChG"/>
      </w:pPr>
      <w:r>
        <w:tab/>
      </w:r>
      <w:r w:rsidRPr="00622DCC">
        <w:t>II.</w:t>
      </w:r>
      <w:r>
        <w:tab/>
      </w:r>
      <w:r w:rsidRPr="00622DCC">
        <w:t>Legal and policy framework</w:t>
      </w:r>
    </w:p>
    <w:p w:rsidR="006D7155" w:rsidRPr="00254371" w:rsidRDefault="006D7155" w:rsidP="006D7155">
      <w:pPr>
        <w:pStyle w:val="H1G"/>
        <w:rPr>
          <w:color w:val="000000"/>
        </w:rPr>
      </w:pPr>
      <w:r>
        <w:rPr>
          <w:lang w:val="en-US"/>
        </w:rPr>
        <w:tab/>
      </w:r>
      <w:r w:rsidRPr="00254371">
        <w:rPr>
          <w:lang w:val="en-US"/>
        </w:rPr>
        <w:t>A.</w:t>
      </w:r>
      <w:r>
        <w:rPr>
          <w:lang w:val="en-US"/>
        </w:rPr>
        <w:tab/>
      </w:r>
      <w:r w:rsidRPr="00254371">
        <w:rPr>
          <w:lang w:val="en-US"/>
        </w:rPr>
        <w:t>International law and policy</w:t>
      </w:r>
      <w:r w:rsidRPr="00254371">
        <w:rPr>
          <w:color w:val="000000"/>
        </w:rPr>
        <w:t xml:space="preserve"> </w:t>
      </w:r>
    </w:p>
    <w:p w:rsidR="006D7155" w:rsidRPr="008A1B81" w:rsidRDefault="009A4F78" w:rsidP="009A4F78">
      <w:pPr>
        <w:pStyle w:val="SingleTxtG"/>
        <w:rPr>
          <w:shd w:val="clear" w:color="auto" w:fill="FFFFFF"/>
        </w:rPr>
      </w:pPr>
      <w:r w:rsidRPr="008A1B81">
        <w:t>7.</w:t>
      </w:r>
      <w:r w:rsidRPr="008A1B81">
        <w:tab/>
      </w:r>
      <w:r w:rsidR="006D7155" w:rsidRPr="008A1B81">
        <w:rPr>
          <w:shd w:val="clear" w:color="auto" w:fill="FFFFFF"/>
        </w:rPr>
        <w:t xml:space="preserve">The Special </w:t>
      </w:r>
      <w:r w:rsidR="006D7155">
        <w:rPr>
          <w:shd w:val="clear" w:color="auto" w:fill="FFFFFF"/>
        </w:rPr>
        <w:t xml:space="preserve">Rapporteur </w:t>
      </w:r>
      <w:r w:rsidR="006D7155" w:rsidRPr="008A1B81">
        <w:rPr>
          <w:color w:val="000000"/>
        </w:rPr>
        <w:t xml:space="preserve">would like to commend Saint Vincent and the Grenadines for having ratified all of the major global human rights treaties, including the International Covenant on Civil and Political Rights and the International Covenant on Economic, Social, and Cultural Rights. Environmental protection is essential to fulfilling many of the rights recognized in these agreements, including the rights to life, health, and food. Of critical importance is protecting the rights of those who may be most vulnerable to environmental harms and climate change, including women, children and persons with disabilities. Saint Vincent and the Grenadines is also a party to other key human rights treaties including the Convention on the Elimination of Discrimination Against Women, the Convention on the Rights of the Child, and the Convention on the Rights of Persons with Disabilities that call upon the Government to ensure protection for these vulnerable populations. </w:t>
      </w:r>
    </w:p>
    <w:p w:rsidR="006D7155" w:rsidRPr="00E0001E" w:rsidRDefault="009A4F78" w:rsidP="009A4F78">
      <w:pPr>
        <w:pStyle w:val="SingleTxtG"/>
        <w:rPr>
          <w:shd w:val="clear" w:color="auto" w:fill="FFFFFF"/>
        </w:rPr>
      </w:pPr>
      <w:r w:rsidRPr="00E0001E">
        <w:t>8.</w:t>
      </w:r>
      <w:r w:rsidRPr="00E0001E">
        <w:tab/>
      </w:r>
      <w:r w:rsidR="006D7155">
        <w:rPr>
          <w:color w:val="000000"/>
        </w:rPr>
        <w:t>S</w:t>
      </w:r>
      <w:r w:rsidR="006D7155" w:rsidRPr="008A1B81">
        <w:rPr>
          <w:color w:val="000000"/>
        </w:rPr>
        <w:t xml:space="preserve">ome </w:t>
      </w:r>
      <w:r w:rsidR="006D7155" w:rsidRPr="006553B9">
        <w:rPr>
          <w:color w:val="000000"/>
        </w:rPr>
        <w:t xml:space="preserve">optional protocols should still be ratified, such as the Optional Protocol to the Convention on the Rights of the Child on a communications procedure and the </w:t>
      </w:r>
      <w:r w:rsidR="006D7155" w:rsidRPr="006553B9">
        <w:t>Optional Protocol to the International Covenant on Economic, Social and Cultural Rights</w:t>
      </w:r>
      <w:r w:rsidR="006D7155" w:rsidRPr="006553B9">
        <w:rPr>
          <w:color w:val="000000"/>
        </w:rPr>
        <w:t>. As well, it would be ideal from a human rights perspective if Saint Vincent and the Grenadines joined the Inter-American Human rights system, by becoming a party to the American Convention on Human Rights and the San Salvador Protocol</w:t>
      </w:r>
      <w:r w:rsidR="006D7155" w:rsidRPr="008A1B81">
        <w:rPr>
          <w:color w:val="000000"/>
        </w:rPr>
        <w:t xml:space="preserve">. </w:t>
      </w:r>
      <w:r w:rsidR="006D7155">
        <w:rPr>
          <w:color w:val="000000"/>
        </w:rPr>
        <w:t>The Special Rapporteur</w:t>
      </w:r>
      <w:r w:rsidR="006D7155" w:rsidRPr="008A1B81">
        <w:rPr>
          <w:color w:val="000000"/>
        </w:rPr>
        <w:t xml:space="preserve"> reiterate</w:t>
      </w:r>
      <w:r w:rsidR="006D7155">
        <w:rPr>
          <w:color w:val="000000"/>
        </w:rPr>
        <w:t>s</w:t>
      </w:r>
      <w:r w:rsidR="006D7155" w:rsidRPr="008A1B81">
        <w:rPr>
          <w:color w:val="000000"/>
        </w:rPr>
        <w:t xml:space="preserve"> the recommendation made previously by UN agencies that Saint Vincent and the Grenadines should e</w:t>
      </w:r>
      <w:r w:rsidR="006D7155" w:rsidRPr="00D61F25">
        <w:t>stablish a</w:t>
      </w:r>
      <w:r w:rsidR="006D7155">
        <w:t>n independent</w:t>
      </w:r>
      <w:r w:rsidR="006D7155" w:rsidRPr="00D61F25">
        <w:t xml:space="preserve"> </w:t>
      </w:r>
      <w:r w:rsidR="006D7155">
        <w:t>N</w:t>
      </w:r>
      <w:r w:rsidR="006D7155" w:rsidRPr="00D61F25">
        <w:t xml:space="preserve">ational </w:t>
      </w:r>
      <w:r w:rsidR="006D7155">
        <w:t>H</w:t>
      </w:r>
      <w:r w:rsidR="006D7155" w:rsidRPr="00D61F25">
        <w:t xml:space="preserve">uman </w:t>
      </w:r>
      <w:r w:rsidR="006D7155">
        <w:t>R</w:t>
      </w:r>
      <w:r w:rsidR="006D7155" w:rsidRPr="00D61F25">
        <w:t xml:space="preserve">ights </w:t>
      </w:r>
      <w:r w:rsidR="006D7155">
        <w:t>I</w:t>
      </w:r>
      <w:r w:rsidR="006D7155" w:rsidRPr="00D61F25">
        <w:t xml:space="preserve">nstitution in accordance with the Paris </w:t>
      </w:r>
      <w:r w:rsidR="006D7155">
        <w:t>P</w:t>
      </w:r>
      <w:r w:rsidR="006D7155" w:rsidRPr="00D61F25">
        <w:t xml:space="preserve">rinciples (a recommendation made in the Universal Periodic Review process in 2011, 2016, and 2021). </w:t>
      </w:r>
    </w:p>
    <w:p w:rsidR="006D7155" w:rsidRPr="008645B5" w:rsidRDefault="009A4F78" w:rsidP="009A4F78">
      <w:pPr>
        <w:pStyle w:val="SingleTxtG"/>
        <w:rPr>
          <w:shd w:val="clear" w:color="auto" w:fill="FFFFFF"/>
        </w:rPr>
      </w:pPr>
      <w:r w:rsidRPr="008645B5">
        <w:t>9.</w:t>
      </w:r>
      <w:r w:rsidRPr="008645B5">
        <w:tab/>
      </w:r>
      <w:r w:rsidR="006D7155" w:rsidRPr="00E0001E">
        <w:rPr>
          <w:color w:val="000000"/>
        </w:rPr>
        <w:t xml:space="preserve">Saint Vincent and the Grenadines deserves praise for being one of the first States to ratify the landmark </w:t>
      </w:r>
      <w:r w:rsidR="006D7155" w:rsidRPr="00ED5154">
        <w:t>Escazú</w:t>
      </w:r>
      <w:r w:rsidR="006D7155" w:rsidRPr="00E0001E">
        <w:rPr>
          <w:color w:val="000000"/>
        </w:rPr>
        <w:t xml:space="preserve"> treaty</w:t>
      </w:r>
      <w:r w:rsidR="006D7155">
        <w:rPr>
          <w:color w:val="000000"/>
        </w:rPr>
        <w:t xml:space="preserve"> (t</w:t>
      </w:r>
      <w:r w:rsidR="006D7155" w:rsidRPr="00E0001E">
        <w:rPr>
          <w:color w:val="000000"/>
        </w:rPr>
        <w:t>he Regional Agreement on Access to Information, Public Participation and Access to Justice in Environmental Matters in Latin America and the Caribbean</w:t>
      </w:r>
      <w:r w:rsidR="006D7155">
        <w:rPr>
          <w:color w:val="000000"/>
        </w:rPr>
        <w:t>)</w:t>
      </w:r>
      <w:r w:rsidR="006D7155" w:rsidRPr="00E0001E">
        <w:rPr>
          <w:color w:val="000000"/>
        </w:rPr>
        <w:t>.</w:t>
      </w:r>
      <w:r w:rsidR="006D7155">
        <w:rPr>
          <w:rStyle w:val="FootnoteReference"/>
          <w:color w:val="000000"/>
        </w:rPr>
        <w:footnoteReference w:id="7"/>
      </w:r>
      <w:r w:rsidR="006D7155" w:rsidRPr="00E0001E">
        <w:rPr>
          <w:color w:val="000000"/>
        </w:rPr>
        <w:t xml:space="preserve"> This treaty commits States to respect, protect and fulfil the right to a clean</w:t>
      </w:r>
      <w:r w:rsidR="006D7155">
        <w:rPr>
          <w:color w:val="000000"/>
        </w:rPr>
        <w:t>,</w:t>
      </w:r>
      <w:r w:rsidR="006D7155" w:rsidRPr="00E0001E">
        <w:rPr>
          <w:color w:val="000000"/>
        </w:rPr>
        <w:t xml:space="preserve"> healthy </w:t>
      </w:r>
      <w:r w:rsidR="006D7155">
        <w:rPr>
          <w:color w:val="000000"/>
        </w:rPr>
        <w:t xml:space="preserve">and sustainable </w:t>
      </w:r>
      <w:r w:rsidR="006D7155" w:rsidRPr="00E0001E">
        <w:rPr>
          <w:color w:val="000000"/>
        </w:rPr>
        <w:t>environment for current and future generations</w:t>
      </w:r>
      <w:r w:rsidR="006D7155">
        <w:rPr>
          <w:color w:val="000000"/>
        </w:rPr>
        <w:t>. This</w:t>
      </w:r>
      <w:r w:rsidR="006D7155" w:rsidRPr="00E0001E">
        <w:rPr>
          <w:color w:val="000000"/>
        </w:rPr>
        <w:t xml:space="preserve"> right requires clean air, safe and sufficient water, adequate sanitation, healthy and sustainable food, a safe climate, healthy biodiversity and ecosystems, and non-toxic environments where people can live, work, study and play.</w:t>
      </w:r>
    </w:p>
    <w:p w:rsidR="006D7155" w:rsidRPr="008645B5" w:rsidRDefault="009A4F78" w:rsidP="009A4F78">
      <w:pPr>
        <w:pStyle w:val="SingleTxtG"/>
        <w:rPr>
          <w:shd w:val="clear" w:color="auto" w:fill="FFFFFF"/>
        </w:rPr>
      </w:pPr>
      <w:r w:rsidRPr="008645B5">
        <w:lastRenderedPageBreak/>
        <w:t>10.</w:t>
      </w:r>
      <w:r w:rsidRPr="008645B5">
        <w:tab/>
      </w:r>
      <w:r w:rsidR="006D7155" w:rsidRPr="008645B5">
        <w:rPr>
          <w:color w:val="000000"/>
        </w:rPr>
        <w:t xml:space="preserve">Saint Vincent and the Grenadines is a party to all of the major environmental treaties, including the Framework Convention on Climate Change, the Convention on Biodiversity, Convention to Combat Desertification, the Montreal Protocol on Substances that Deplete the Ozone Layer, the Stockholm Convention on Persistent Organic Pollutants, the Basel Convention, the Rotterdam Convention, and the Convention on International Trade in Endangered Species of Wild Fauna and Flora, as well as regional agreements including the </w:t>
      </w:r>
      <w:r w:rsidR="006D7155" w:rsidRPr="008645B5">
        <w:t xml:space="preserve">Convention on the Protection of the Marine Environment of the Wider Caribbean. </w:t>
      </w:r>
    </w:p>
    <w:p w:rsidR="006D7155" w:rsidRPr="00E0001E" w:rsidRDefault="009A4F78" w:rsidP="009A4F78">
      <w:pPr>
        <w:pStyle w:val="SingleTxtG"/>
        <w:rPr>
          <w:shd w:val="clear" w:color="auto" w:fill="FFFFFF"/>
        </w:rPr>
      </w:pPr>
      <w:r w:rsidRPr="00E0001E">
        <w:t>11.</w:t>
      </w:r>
      <w:r w:rsidRPr="00E0001E">
        <w:tab/>
      </w:r>
      <w:r w:rsidR="006D7155" w:rsidRPr="00E0001E">
        <w:rPr>
          <w:color w:val="000000"/>
        </w:rPr>
        <w:t>Saint Vincent and the Grenadines is also engaged in numerous regional environmental initiatives through the O</w:t>
      </w:r>
      <w:r w:rsidR="006D7155">
        <w:rPr>
          <w:color w:val="000000"/>
        </w:rPr>
        <w:t>rganization of Eastern Caribbean States (O</w:t>
      </w:r>
      <w:r w:rsidR="006D7155" w:rsidRPr="00E0001E">
        <w:rPr>
          <w:color w:val="000000"/>
        </w:rPr>
        <w:t>ECS</w:t>
      </w:r>
      <w:r w:rsidR="006D7155">
        <w:rPr>
          <w:color w:val="000000"/>
        </w:rPr>
        <w:t>)</w:t>
      </w:r>
      <w:r w:rsidR="006D7155" w:rsidRPr="00E0001E">
        <w:rPr>
          <w:color w:val="000000"/>
        </w:rPr>
        <w:t xml:space="preserve">, </w:t>
      </w:r>
      <w:r w:rsidR="006D7155">
        <w:rPr>
          <w:color w:val="000000"/>
        </w:rPr>
        <w:t>Caribbean Community (</w:t>
      </w:r>
      <w:r w:rsidR="006D7155" w:rsidRPr="00E0001E">
        <w:rPr>
          <w:color w:val="000000"/>
        </w:rPr>
        <w:t>CARICOM</w:t>
      </w:r>
      <w:r w:rsidR="006D7155">
        <w:rPr>
          <w:color w:val="000000"/>
        </w:rPr>
        <w:t>)</w:t>
      </w:r>
      <w:r w:rsidR="006D7155" w:rsidRPr="00E0001E">
        <w:rPr>
          <w:color w:val="000000"/>
        </w:rPr>
        <w:t xml:space="preserve">, and </w:t>
      </w:r>
      <w:r w:rsidR="006D7155">
        <w:rPr>
          <w:color w:val="000000"/>
        </w:rPr>
        <w:t>the Caribbean Forum</w:t>
      </w:r>
      <w:r w:rsidR="006D7155" w:rsidRPr="00E0001E">
        <w:rPr>
          <w:color w:val="000000"/>
        </w:rPr>
        <w:t xml:space="preserve">. From a human rights perspective </w:t>
      </w:r>
      <w:r w:rsidR="006D7155">
        <w:rPr>
          <w:color w:val="000000"/>
        </w:rPr>
        <w:t xml:space="preserve">the Special Rapporteur </w:t>
      </w:r>
      <w:r w:rsidR="006D7155" w:rsidRPr="00E0001E">
        <w:rPr>
          <w:color w:val="000000"/>
        </w:rPr>
        <w:t>would like to highlight the Enabling Gender-Responsive Disaster Recovery, Climate and Environmental Resilience in the Caribbean (EnGenDER) Project.</w:t>
      </w:r>
      <w:r w:rsidR="006D7155">
        <w:rPr>
          <w:rStyle w:val="FootnoteReference"/>
          <w:color w:val="000000"/>
        </w:rPr>
        <w:footnoteReference w:id="8"/>
      </w:r>
      <w:r w:rsidR="006D7155" w:rsidRPr="00E0001E">
        <w:rPr>
          <w:color w:val="000000"/>
        </w:rPr>
        <w:t xml:space="preserve"> </w:t>
      </w:r>
    </w:p>
    <w:p w:rsidR="006D7155" w:rsidRPr="00E0001E" w:rsidRDefault="006D7155" w:rsidP="006D7155">
      <w:pPr>
        <w:pStyle w:val="H1G"/>
        <w:rPr>
          <w:lang w:val="en-US"/>
        </w:rPr>
      </w:pPr>
      <w:r>
        <w:rPr>
          <w:lang w:val="en-US"/>
        </w:rPr>
        <w:tab/>
      </w:r>
      <w:r w:rsidRPr="00622DCC">
        <w:rPr>
          <w:lang w:val="en-US"/>
        </w:rPr>
        <w:t>B.</w:t>
      </w:r>
      <w:r>
        <w:rPr>
          <w:lang w:val="en-US"/>
        </w:rPr>
        <w:tab/>
      </w:r>
      <w:r w:rsidRPr="00622DCC">
        <w:rPr>
          <w:lang w:val="en-US"/>
        </w:rPr>
        <w:t>Economy and political structure</w:t>
      </w:r>
    </w:p>
    <w:p w:rsidR="006D7155" w:rsidRPr="00BB37B1" w:rsidRDefault="009A4F78" w:rsidP="009A4F78">
      <w:pPr>
        <w:pStyle w:val="SingleTxtG"/>
        <w:rPr>
          <w:shd w:val="clear" w:color="auto" w:fill="FFFFFF"/>
        </w:rPr>
      </w:pPr>
      <w:r w:rsidRPr="00BB37B1">
        <w:t>12.</w:t>
      </w:r>
      <w:r w:rsidRPr="00BB37B1">
        <w:tab/>
      </w:r>
      <w:r w:rsidR="006D7155" w:rsidRPr="00E0001E">
        <w:rPr>
          <w:color w:val="000000"/>
        </w:rPr>
        <w:t xml:space="preserve">Saint Vincent </w:t>
      </w:r>
      <w:r w:rsidR="006D7155" w:rsidRPr="00BB37B1">
        <w:rPr>
          <w:color w:val="000000"/>
        </w:rPr>
        <w:t xml:space="preserve">and the Grenadines is an archipelagic nation </w:t>
      </w:r>
      <w:r w:rsidR="006D7155" w:rsidRPr="00BB37B1">
        <w:t xml:space="preserve">comprised of Saint Vincent, the main island, and the Grenadines, a chain of small islands and cays, of which only </w:t>
      </w:r>
      <w:r w:rsidR="006D7155">
        <w:t>a</w:t>
      </w:r>
      <w:r w:rsidR="006D7155" w:rsidRPr="00BB37B1">
        <w:t xml:space="preserve"> handful are inhabited. It </w:t>
      </w:r>
      <w:r w:rsidR="006D7155" w:rsidRPr="00BB37B1">
        <w:rPr>
          <w:color w:val="000000"/>
        </w:rPr>
        <w:t xml:space="preserve">has a small population of approximately 110,000, </w:t>
      </w:r>
      <w:r w:rsidR="006D7155" w:rsidRPr="00BB37B1">
        <w:t xml:space="preserve">a situation that has its advantages as it offers the Government and its institutions the possibility of maintaining close links with the </w:t>
      </w:r>
      <w:r w:rsidR="006D7155">
        <w:t>people</w:t>
      </w:r>
      <w:r w:rsidR="006D7155" w:rsidRPr="00BB37B1">
        <w:t>.</w:t>
      </w:r>
      <w:r w:rsidR="006D7155" w:rsidRPr="00BB37B1">
        <w:rPr>
          <w:color w:val="000000"/>
        </w:rPr>
        <w:t xml:space="preserve"> The land area is among the smallest in the world at approximately 390 square km, while the marine area is ninety times larger (36,000 sq. km). </w:t>
      </w:r>
    </w:p>
    <w:p w:rsidR="006D7155" w:rsidRPr="00BB37B1" w:rsidRDefault="009A4F78" w:rsidP="009A4F78">
      <w:pPr>
        <w:pStyle w:val="SingleTxtG"/>
        <w:rPr>
          <w:shd w:val="clear" w:color="auto" w:fill="FFFFFF"/>
        </w:rPr>
      </w:pPr>
      <w:r w:rsidRPr="00BB37B1">
        <w:t>13.</w:t>
      </w:r>
      <w:r w:rsidRPr="00BB37B1">
        <w:tab/>
      </w:r>
      <w:r w:rsidR="00D77241">
        <w:t>It</w:t>
      </w:r>
      <w:r w:rsidR="006D7155" w:rsidRPr="00BB37B1">
        <w:t xml:space="preserve"> is a constitutional monarchy within the Commonwealth of Nations, having gained independence from the United Kingdom in 1979. Elections are held every five years, and Prime Minister Ralph Gonsalves has been in office since 2001. Its Constitution guarantees a list of civil and political human rights, including freedom of conscience (art. 9), freedom of expression (art. 10), freedom of assembly and association (art. 11), freedom of movement (art. 12)</w:t>
      </w:r>
      <w:r w:rsidR="006D7155">
        <w:t xml:space="preserve"> and</w:t>
      </w:r>
      <w:r w:rsidR="006D7155" w:rsidRPr="00BB37B1">
        <w:t xml:space="preserve"> protection against discrimination (art. 13). Missing</w:t>
      </w:r>
      <w:r w:rsidR="006D7155">
        <w:t>,</w:t>
      </w:r>
      <w:r w:rsidR="006D7155" w:rsidRPr="00BB37B1">
        <w:t xml:space="preserve"> however, are economic, social, cultural and environmental rights.</w:t>
      </w:r>
      <w:r w:rsidR="006D7155" w:rsidRPr="00BB37B1">
        <w:rPr>
          <w:color w:val="000000"/>
        </w:rPr>
        <w:t xml:space="preserve"> </w:t>
      </w:r>
    </w:p>
    <w:p w:rsidR="006D7155" w:rsidRDefault="009A4F78" w:rsidP="009A4F78">
      <w:pPr>
        <w:pStyle w:val="SingleTxtG"/>
        <w:rPr>
          <w:lang w:val="en-US"/>
        </w:rPr>
      </w:pPr>
      <w:r>
        <w:rPr>
          <w:lang w:val="en-US"/>
        </w:rPr>
        <w:t>14.</w:t>
      </w:r>
      <w:r>
        <w:rPr>
          <w:lang w:val="en-US"/>
        </w:rPr>
        <w:tab/>
      </w:r>
      <w:r w:rsidR="006D7155" w:rsidRPr="00BB37B1">
        <w:rPr>
          <w:shd w:val="clear" w:color="auto" w:fill="FFFFFF"/>
        </w:rPr>
        <w:t xml:space="preserve">Prior to the COVID-19 pandemic, </w:t>
      </w:r>
      <w:r w:rsidR="006D7155" w:rsidRPr="00BB37B1">
        <w:t>the tourism industry became an increasingly significant driver of the economy and source of employment, overtaking the agricultural sector. An important development was the</w:t>
      </w:r>
      <w:r w:rsidR="006D7155">
        <w:t xml:space="preserve"> opening of Argyle International Airport in 2017. Kingstown has a deep-water port and a cruise ship berth. </w:t>
      </w:r>
      <w:r w:rsidR="006D7155" w:rsidRPr="00343252">
        <w:t>Life expectancy in Saint Vincent and the Grenadines was 72.5 years in 2019. On the Human Development Index, which integrates measures related to life expectancy</w:t>
      </w:r>
      <w:r w:rsidR="006D7155" w:rsidRPr="008630A6">
        <w:rPr>
          <w:lang w:val="en-US"/>
        </w:rPr>
        <w:t xml:space="preserve">, education, and per capita income, </w:t>
      </w:r>
      <w:r w:rsidR="006D7155" w:rsidRPr="00343252">
        <w:rPr>
          <w:lang w:val="en-US"/>
        </w:rPr>
        <w:t>Saint Vincent and the Grenadines</w:t>
      </w:r>
      <w:r w:rsidR="006D7155" w:rsidRPr="008630A6">
        <w:rPr>
          <w:lang w:val="en-US"/>
        </w:rPr>
        <w:t xml:space="preserve"> scores ranked 92</w:t>
      </w:r>
      <w:r w:rsidR="006D7155" w:rsidRPr="008630A6">
        <w:rPr>
          <w:vertAlign w:val="superscript"/>
          <w:lang w:val="en-US"/>
        </w:rPr>
        <w:t>nd</w:t>
      </w:r>
      <w:r w:rsidR="006D7155" w:rsidRPr="008630A6">
        <w:rPr>
          <w:lang w:val="en-US"/>
        </w:rPr>
        <w:t xml:space="preserve"> in 2018</w:t>
      </w:r>
      <w:r w:rsidR="006D7155">
        <w:rPr>
          <w:lang w:val="en-US"/>
        </w:rPr>
        <w:t>, placing it in the high human development category</w:t>
      </w:r>
      <w:r w:rsidR="006D7155" w:rsidRPr="008630A6">
        <w:rPr>
          <w:lang w:val="en-US"/>
        </w:rPr>
        <w:t>.</w:t>
      </w:r>
      <w:r w:rsidR="006D7155" w:rsidRPr="008630A6">
        <w:rPr>
          <w:vertAlign w:val="superscript"/>
          <w:lang w:val="en-US"/>
        </w:rPr>
        <w:footnoteReference w:id="9"/>
      </w:r>
      <w:r w:rsidR="006D7155" w:rsidRPr="008630A6">
        <w:rPr>
          <w:lang w:val="en-US"/>
        </w:rPr>
        <w:t xml:space="preserve"> The percentage of the population living in poverty</w:t>
      </w:r>
      <w:r w:rsidR="006D7155">
        <w:rPr>
          <w:lang w:val="en-US"/>
        </w:rPr>
        <w:t xml:space="preserve"> declined substantially since the 1990s.</w:t>
      </w:r>
      <w:r w:rsidR="006D7155">
        <w:rPr>
          <w:rStyle w:val="FootnoteReference"/>
          <w:lang w:val="en-US"/>
        </w:rPr>
        <w:footnoteReference w:id="10"/>
      </w:r>
      <w:r w:rsidR="006D7155">
        <w:rPr>
          <w:lang w:val="en-US"/>
        </w:rPr>
        <w:t xml:space="preserve"> </w:t>
      </w:r>
    </w:p>
    <w:p w:rsidR="006D7155" w:rsidRDefault="009A4F78" w:rsidP="009A4F78">
      <w:pPr>
        <w:pStyle w:val="SingleTxtG"/>
        <w:rPr>
          <w:lang w:val="en-US"/>
        </w:rPr>
      </w:pPr>
      <w:r>
        <w:rPr>
          <w:lang w:val="en-US"/>
        </w:rPr>
        <w:t>15.</w:t>
      </w:r>
      <w:r>
        <w:rPr>
          <w:lang w:val="en-US"/>
        </w:rPr>
        <w:tab/>
      </w:r>
      <w:r w:rsidR="006D7155">
        <w:rPr>
          <w:lang w:val="en-US"/>
        </w:rPr>
        <w:t xml:space="preserve">In </w:t>
      </w:r>
      <w:r w:rsidR="006D7155" w:rsidRPr="008630A6">
        <w:rPr>
          <w:lang w:val="en-US"/>
        </w:rPr>
        <w:t>2019, the G</w:t>
      </w:r>
      <w:r w:rsidR="006D7155">
        <w:rPr>
          <w:lang w:val="en-US"/>
        </w:rPr>
        <w:t xml:space="preserve">ross Domestic Product (GDP) </w:t>
      </w:r>
      <w:r w:rsidR="006D7155" w:rsidRPr="008630A6">
        <w:rPr>
          <w:lang w:val="en-US"/>
        </w:rPr>
        <w:t xml:space="preserve">of </w:t>
      </w:r>
      <w:r w:rsidR="006D7155" w:rsidRPr="00343252">
        <w:rPr>
          <w:lang w:val="en-US"/>
        </w:rPr>
        <w:t>Saint Vincent and the Grenadines</w:t>
      </w:r>
      <w:r w:rsidR="006D7155" w:rsidRPr="008630A6">
        <w:rPr>
          <w:lang w:val="en-US"/>
        </w:rPr>
        <w:t xml:space="preserve"> was $US 825 million,</w:t>
      </w:r>
      <w:r w:rsidR="006D7155" w:rsidRPr="008630A6">
        <w:rPr>
          <w:vertAlign w:val="superscript"/>
          <w:lang w:val="en-US"/>
        </w:rPr>
        <w:footnoteReference w:id="11"/>
      </w:r>
      <w:r w:rsidR="006D7155" w:rsidRPr="008630A6">
        <w:rPr>
          <w:lang w:val="en-US"/>
        </w:rPr>
        <w:t xml:space="preserve"> double the GDP in 2000. The economy of </w:t>
      </w:r>
      <w:r w:rsidR="006D7155" w:rsidRPr="00343252">
        <w:rPr>
          <w:lang w:val="en-US"/>
        </w:rPr>
        <w:t>Saint Vincent and the Grenadines</w:t>
      </w:r>
      <w:r w:rsidR="006D7155" w:rsidRPr="008630A6">
        <w:rPr>
          <w:lang w:val="en-US"/>
        </w:rPr>
        <w:t xml:space="preserve"> is dominated by the services industry followed by agriculture and light industry. The main exports of </w:t>
      </w:r>
      <w:r w:rsidR="006D7155" w:rsidRPr="008630A6">
        <w:rPr>
          <w:color w:val="000000"/>
        </w:rPr>
        <w:t xml:space="preserve">Saint Vincent </w:t>
      </w:r>
      <w:r w:rsidR="006D7155" w:rsidRPr="008630A6">
        <w:rPr>
          <w:color w:val="000000"/>
        </w:rPr>
        <w:lastRenderedPageBreak/>
        <w:t>and the Grenadines</w:t>
      </w:r>
      <w:r w:rsidR="006D7155" w:rsidRPr="008630A6">
        <w:rPr>
          <w:lang w:val="en-US"/>
        </w:rPr>
        <w:t xml:space="preserve"> are agricultural products, while its main imports are petroleum products, machinery and motor vehicles. The number of tourists visiting </w:t>
      </w:r>
      <w:r w:rsidR="006D7155" w:rsidRPr="008630A6">
        <w:rPr>
          <w:color w:val="000000"/>
        </w:rPr>
        <w:t>Saint Vincent and the Grenadines</w:t>
      </w:r>
      <w:r w:rsidR="006D7155" w:rsidRPr="008630A6">
        <w:rPr>
          <w:lang w:val="en-US"/>
        </w:rPr>
        <w:t xml:space="preserve"> doubled between 2012 and 2019 to almost 400,000 per year. The growth in tourism created economic growth and employment while generating almost 30 percent of GNP, but also caused an increase in environmental pressures.</w:t>
      </w:r>
    </w:p>
    <w:p w:rsidR="006D7155" w:rsidRPr="00254371" w:rsidRDefault="009A4F78" w:rsidP="009A4F78">
      <w:pPr>
        <w:pStyle w:val="SingleTxtG"/>
        <w:rPr>
          <w:shd w:val="clear" w:color="auto" w:fill="FFFFFF"/>
        </w:rPr>
      </w:pPr>
      <w:r w:rsidRPr="00254371">
        <w:t>16.</w:t>
      </w:r>
      <w:r w:rsidRPr="00254371">
        <w:tab/>
      </w:r>
      <w:r w:rsidR="006D7155" w:rsidRPr="00512C0D">
        <w:rPr>
          <w:color w:val="000000"/>
        </w:rPr>
        <w:t xml:space="preserve">The COVID-19 pandemic and the ensuing collapse of tourism have had dramatic impacts on the economic health of small island states like Saint Vincent and the Grenadines. </w:t>
      </w:r>
      <w:r w:rsidR="006D7155" w:rsidRPr="00487B90">
        <w:t>The final three quarters of 2020 saw a 92</w:t>
      </w:r>
      <w:r w:rsidR="006D7155">
        <w:t xml:space="preserve"> percent</w:t>
      </w:r>
      <w:r w:rsidR="006D7155" w:rsidRPr="00487B90">
        <w:t xml:space="preserve"> decline in air arrivals, and a 90</w:t>
      </w:r>
      <w:r w:rsidR="006D7155">
        <w:t xml:space="preserve"> percent</w:t>
      </w:r>
      <w:r w:rsidR="006D7155" w:rsidRPr="00487B90">
        <w:t xml:space="preserve"> drop in yacht </w:t>
      </w:r>
      <w:r w:rsidR="006D7155" w:rsidRPr="00905D07">
        <w:t xml:space="preserve">passengers. </w:t>
      </w:r>
      <w:r w:rsidR="006D7155" w:rsidRPr="00905D07">
        <w:rPr>
          <w:color w:val="000000"/>
        </w:rPr>
        <w:t xml:space="preserve">The impacts of the pandemic were then multiplied by the eruption of the La Soufriere volcano on April 9, 2021, which forced the evacuation of more than 20,000 people. Remarkably, no one died—a testament to excellent emergency planning, although 100 or so people </w:t>
      </w:r>
      <w:r w:rsidR="006D7155">
        <w:rPr>
          <w:color w:val="000000"/>
        </w:rPr>
        <w:t>we</w:t>
      </w:r>
      <w:r w:rsidR="006D7155" w:rsidRPr="00905D07">
        <w:rPr>
          <w:color w:val="000000"/>
        </w:rPr>
        <w:t>re still living in shelters</w:t>
      </w:r>
      <w:r w:rsidR="006D7155">
        <w:rPr>
          <w:color w:val="000000"/>
        </w:rPr>
        <w:t xml:space="preserve"> at the time of the visit</w:t>
      </w:r>
      <w:r w:rsidR="006D7155" w:rsidRPr="00905D07">
        <w:rPr>
          <w:color w:val="000000"/>
        </w:rPr>
        <w:t xml:space="preserve">. The eruption caused </w:t>
      </w:r>
      <w:r w:rsidR="006D7155" w:rsidRPr="00905D07">
        <w:t>disruptions to the water supply and shortages for some people, interruptions of power supply, loss of livelihoods, and food insecurity, partially through loss of backyard gardens. Data indicate that women suffered a disproportionate loss of income relative to their male counterparts as a result of the volcanic eruption. The total costs were estimated at $EC634 million.</w:t>
      </w:r>
      <w:r w:rsidR="006D7155" w:rsidRPr="00905D07">
        <w:rPr>
          <w:color w:val="000000"/>
        </w:rPr>
        <w:t xml:space="preserve"> To its credit, the government established a Contin</w:t>
      </w:r>
      <w:r w:rsidR="006D7155">
        <w:rPr>
          <w:color w:val="000000"/>
        </w:rPr>
        <w:t>g</w:t>
      </w:r>
      <w:r w:rsidR="006D7155" w:rsidRPr="00905D07">
        <w:rPr>
          <w:color w:val="000000"/>
        </w:rPr>
        <w:t>encies Fund in 2017, financed by a levy on visitor accommodations and a</w:t>
      </w:r>
      <w:r w:rsidR="006D7155" w:rsidRPr="00512C0D">
        <w:rPr>
          <w:color w:val="000000"/>
        </w:rPr>
        <w:t xml:space="preserve"> consumption tax, to address natural disasters and national emergencies. However, the multiple shocks of recent years have depleted the government’s already limited financial resources, increased the debt load </w:t>
      </w:r>
      <w:r w:rsidR="006D7155">
        <w:rPr>
          <w:color w:val="000000"/>
        </w:rPr>
        <w:t xml:space="preserve">(87 percent of GDP in 2020) </w:t>
      </w:r>
      <w:r w:rsidR="006D7155" w:rsidRPr="00512C0D">
        <w:rPr>
          <w:color w:val="000000"/>
        </w:rPr>
        <w:t>and understandably delayed numerous initiatives related to climate change and the environment.</w:t>
      </w:r>
    </w:p>
    <w:p w:rsidR="006D7155" w:rsidRPr="00817B7F" w:rsidRDefault="006D7155" w:rsidP="006D7155">
      <w:pPr>
        <w:pStyle w:val="H1G"/>
        <w:rPr>
          <w:color w:val="000000"/>
        </w:rPr>
      </w:pPr>
      <w:r>
        <w:rPr>
          <w:lang w:val="en-US"/>
        </w:rPr>
        <w:tab/>
      </w:r>
      <w:r w:rsidRPr="00817B7F">
        <w:rPr>
          <w:lang w:val="en-US"/>
        </w:rPr>
        <w:t>C.</w:t>
      </w:r>
      <w:r w:rsidRPr="00817B7F">
        <w:rPr>
          <w:lang w:val="en-US"/>
        </w:rPr>
        <w:tab/>
        <w:t>Laws, policies and institutions</w:t>
      </w:r>
    </w:p>
    <w:p w:rsidR="006D7155" w:rsidRPr="00254371" w:rsidRDefault="009A4F78" w:rsidP="009A4F78">
      <w:pPr>
        <w:pStyle w:val="SingleTxtG"/>
        <w:rPr>
          <w:shd w:val="clear" w:color="auto" w:fill="FFFFFF"/>
        </w:rPr>
      </w:pPr>
      <w:r w:rsidRPr="00254371">
        <w:t>17.</w:t>
      </w:r>
      <w:r w:rsidRPr="00254371">
        <w:tab/>
      </w:r>
      <w:r w:rsidR="006D7155" w:rsidRPr="006155A7">
        <w:rPr>
          <w:rStyle w:val="Strong"/>
          <w:b w:val="0"/>
          <w:color w:val="1A1A1A"/>
        </w:rPr>
        <w:t xml:space="preserve">It is not widely known that one of the first environmental laws in the world was passed by Saint Vincent and the Grenadines. The King’s Hill Forest Act of 1791 created the second forest reserve in the world, to prevent deforestation and </w:t>
      </w:r>
      <w:r w:rsidR="006D7155" w:rsidRPr="00254371">
        <w:rPr>
          <w:color w:val="333333"/>
          <w:shd w:val="clear" w:color="auto" w:fill="FFFFFF"/>
        </w:rPr>
        <w:t>to “attract the clouds and rain” so that agriculture could flourish.</w:t>
      </w:r>
      <w:r w:rsidR="006D7155" w:rsidRPr="00D61F25">
        <w:rPr>
          <w:rStyle w:val="FootnoteReference"/>
          <w:color w:val="333333"/>
          <w:shd w:val="clear" w:color="auto" w:fill="FFFFFF"/>
        </w:rPr>
        <w:footnoteReference w:id="12"/>
      </w:r>
      <w:r w:rsidR="006D7155" w:rsidRPr="00254371">
        <w:rPr>
          <w:color w:val="333333"/>
          <w:shd w:val="clear" w:color="auto" w:fill="FFFFFF"/>
        </w:rPr>
        <w:t xml:space="preserve"> The law provided for a substantial fine of </w:t>
      </w:r>
      <w:r w:rsidR="006D7155" w:rsidRPr="00254371">
        <w:rPr>
          <w:color w:val="000000"/>
        </w:rPr>
        <w:t>£150.00 for clearing, planting or cultivating any crop on forest reserve land.</w:t>
      </w:r>
    </w:p>
    <w:p w:rsidR="006D7155" w:rsidRPr="005A4DF2" w:rsidRDefault="009A4F78" w:rsidP="009A4F78">
      <w:pPr>
        <w:pStyle w:val="SingleTxtG"/>
        <w:rPr>
          <w:rStyle w:val="apple-converted-space"/>
          <w:shd w:val="clear" w:color="auto" w:fill="FFFFFF"/>
        </w:rPr>
      </w:pPr>
      <w:r w:rsidRPr="005A4DF2">
        <w:rPr>
          <w:rStyle w:val="apple-converted-space"/>
        </w:rPr>
        <w:t>18.</w:t>
      </w:r>
      <w:r w:rsidRPr="005A4DF2">
        <w:rPr>
          <w:rStyle w:val="apple-converted-space"/>
        </w:rPr>
        <w:tab/>
      </w:r>
      <w:r w:rsidR="006D7155" w:rsidRPr="006155A7">
        <w:rPr>
          <w:rStyle w:val="Strong"/>
          <w:b w:val="0"/>
          <w:color w:val="000000" w:themeColor="text1"/>
        </w:rPr>
        <w:t>Of course there are many more recent laws in Saint Vincent and the Grenadines that relate to environmental protection, including the Agriculture Act, 1951; Beach Protection Act, 1981; Central Water and Sewerage Authority Act, 1991;</w:t>
      </w:r>
      <w:r w:rsidR="006D7155" w:rsidRPr="006155A7">
        <w:rPr>
          <w:color w:val="000000" w:themeColor="text1"/>
        </w:rPr>
        <w:t xml:space="preserve"> Environmental Health Services Act, 1991; Environmental Levy Act, 1991; Fisheries Act, 1986; </w:t>
      </w:r>
      <w:r w:rsidR="006D7155" w:rsidRPr="006155A7">
        <w:rPr>
          <w:rStyle w:val="Strong"/>
          <w:b w:val="0"/>
          <w:color w:val="000000" w:themeColor="text1"/>
        </w:rPr>
        <w:t>Forest Resource Conservation Act, 1992;</w:t>
      </w:r>
      <w:r w:rsidR="006D7155" w:rsidRPr="006155A7">
        <w:rPr>
          <w:rStyle w:val="apple-converted-space"/>
          <w:bCs/>
          <w:color w:val="000000" w:themeColor="text1"/>
        </w:rPr>
        <w:t xml:space="preserve"> </w:t>
      </w:r>
      <w:r w:rsidR="006D7155" w:rsidRPr="006155A7">
        <w:rPr>
          <w:rStyle w:val="apple-converted-space"/>
          <w:color w:val="000000" w:themeColor="text1"/>
        </w:rPr>
        <w:t xml:space="preserve">Geothermal Resources Development Act, 2015; </w:t>
      </w:r>
      <w:r w:rsidR="006D7155" w:rsidRPr="006155A7">
        <w:rPr>
          <w:rStyle w:val="Strong"/>
          <w:b w:val="0"/>
          <w:color w:val="000000" w:themeColor="text1"/>
        </w:rPr>
        <w:t>Marine Parks Act, 1997</w:t>
      </w:r>
      <w:r w:rsidR="006D7155" w:rsidRPr="006155A7">
        <w:rPr>
          <w:rStyle w:val="Strong"/>
          <w:color w:val="000000" w:themeColor="text1"/>
        </w:rPr>
        <w:t>;</w:t>
      </w:r>
      <w:r w:rsidR="006D7155" w:rsidRPr="006155A7">
        <w:rPr>
          <w:rStyle w:val="apple-converted-space"/>
          <w:color w:val="000000" w:themeColor="text1"/>
        </w:rPr>
        <w:t xml:space="preserve"> Marine Pollution Prevention Act, 2019; National Parks Act, 2002; Pesticide Control Act, 1973; Standards Act, 2005; </w:t>
      </w:r>
      <w:r w:rsidR="006D7155" w:rsidRPr="006155A7">
        <w:rPr>
          <w:rStyle w:val="Strong"/>
          <w:b w:val="0"/>
          <w:color w:val="000000" w:themeColor="text1"/>
        </w:rPr>
        <w:t>Town and Country Planning Act, 1976;</w:t>
      </w:r>
      <w:r w:rsidR="006D7155" w:rsidRPr="006155A7">
        <w:rPr>
          <w:rStyle w:val="apple-converted-space"/>
          <w:color w:val="000000" w:themeColor="text1"/>
        </w:rPr>
        <w:t> </w:t>
      </w:r>
      <w:r w:rsidR="006D7155" w:rsidRPr="006155A7">
        <w:rPr>
          <w:color w:val="000000" w:themeColor="text1"/>
        </w:rPr>
        <w:t xml:space="preserve">Waste Management Act, 2000; and </w:t>
      </w:r>
      <w:r w:rsidR="006D7155" w:rsidRPr="006155A7">
        <w:rPr>
          <w:rStyle w:val="apple-converted-space"/>
          <w:color w:val="000000" w:themeColor="text1"/>
        </w:rPr>
        <w:t>Wildlife Protection Act, 1987</w:t>
      </w:r>
      <w:r w:rsidR="006D7155" w:rsidRPr="005A4DF2">
        <w:rPr>
          <w:rStyle w:val="apple-converted-space"/>
          <w:color w:val="000000" w:themeColor="text1"/>
        </w:rPr>
        <w:t>.</w:t>
      </w:r>
    </w:p>
    <w:p w:rsidR="006D7155" w:rsidRPr="001E5643" w:rsidRDefault="009A4F78" w:rsidP="009A4F78">
      <w:pPr>
        <w:pStyle w:val="SingleTxtG"/>
        <w:rPr>
          <w:shd w:val="clear" w:color="auto" w:fill="FFFFFF"/>
        </w:rPr>
      </w:pPr>
      <w:r w:rsidRPr="001E5643">
        <w:t>19.</w:t>
      </w:r>
      <w:r w:rsidRPr="001E5643">
        <w:tab/>
      </w:r>
      <w:r w:rsidR="006D7155" w:rsidRPr="00254371">
        <w:rPr>
          <w:color w:val="000000"/>
        </w:rPr>
        <w:t xml:space="preserve">In recent years, Saint Vincent and the Grenadines has created a plethora of new environmental policies, including the National Climate Change Policy (2019), National Adaptation Plan (2019), National Biodiversity Strategy and Action Plan (2015), first Nationally Determined Contribution under the Paris Agreement </w:t>
      </w:r>
      <w:r w:rsidR="006D7155">
        <w:rPr>
          <w:color w:val="000000"/>
        </w:rPr>
        <w:t xml:space="preserve">(2015 - </w:t>
      </w:r>
      <w:r w:rsidR="006D7155" w:rsidRPr="00254371">
        <w:rPr>
          <w:color w:val="000000"/>
        </w:rPr>
        <w:t xml:space="preserve">to reduce greenhouse gas emissions 22 percent below its business as usual scenario by 2025), National Implementation Plan for the Stockholm Convention on Persistent Organic Pollutants (2015), Comprehensive Disaster Management Policy </w:t>
      </w:r>
      <w:r w:rsidR="006D7155">
        <w:rPr>
          <w:color w:val="000000"/>
        </w:rPr>
        <w:t>(</w:t>
      </w:r>
      <w:r w:rsidR="006D7155" w:rsidRPr="00254371">
        <w:rPr>
          <w:color w:val="000000"/>
        </w:rPr>
        <w:t>2014</w:t>
      </w:r>
      <w:r w:rsidR="006D7155">
        <w:rPr>
          <w:color w:val="000000"/>
        </w:rPr>
        <w:t>)</w:t>
      </w:r>
      <w:r w:rsidR="006D7155" w:rsidRPr="00254371">
        <w:rPr>
          <w:color w:val="000000"/>
        </w:rPr>
        <w:t xml:space="preserve">, Food and Nutrition </w:t>
      </w:r>
      <w:r w:rsidR="006D7155" w:rsidRPr="00254371">
        <w:rPr>
          <w:color w:val="000000"/>
        </w:rPr>
        <w:lastRenderedPageBreak/>
        <w:t xml:space="preserve">Security Policy and Action Plan, Chemical Management Policy </w:t>
      </w:r>
      <w:r w:rsidR="006D7155">
        <w:rPr>
          <w:color w:val="000000"/>
        </w:rPr>
        <w:t>(</w:t>
      </w:r>
      <w:r w:rsidR="006D7155" w:rsidRPr="00254371">
        <w:rPr>
          <w:color w:val="000000"/>
        </w:rPr>
        <w:t>2013</w:t>
      </w:r>
      <w:r w:rsidR="006D7155">
        <w:rPr>
          <w:color w:val="000000"/>
        </w:rPr>
        <w:t>)</w:t>
      </w:r>
      <w:r w:rsidR="006D7155" w:rsidRPr="00254371">
        <w:rPr>
          <w:color w:val="000000"/>
        </w:rPr>
        <w:t xml:space="preserve">, and the National Economic and Social Development Plan, </w:t>
      </w:r>
      <w:r w:rsidR="006D7155">
        <w:rPr>
          <w:color w:val="000000"/>
        </w:rPr>
        <w:t>(</w:t>
      </w:r>
      <w:r w:rsidR="006D7155" w:rsidRPr="00254371">
        <w:rPr>
          <w:color w:val="000000"/>
        </w:rPr>
        <w:t>2013</w:t>
      </w:r>
      <w:r w:rsidR="006D7155">
        <w:rPr>
          <w:color w:val="000000"/>
        </w:rPr>
        <w:t xml:space="preserve">, runs until </w:t>
      </w:r>
      <w:r w:rsidR="006D7155" w:rsidRPr="00254371">
        <w:rPr>
          <w:color w:val="000000"/>
        </w:rPr>
        <w:t>2025</w:t>
      </w:r>
      <w:r w:rsidR="006D7155">
        <w:rPr>
          <w:color w:val="000000"/>
        </w:rPr>
        <w:t>)</w:t>
      </w:r>
      <w:r w:rsidR="006D7155" w:rsidRPr="00254371">
        <w:rPr>
          <w:color w:val="000000"/>
        </w:rPr>
        <w:t>.</w:t>
      </w:r>
      <w:r w:rsidR="006D7155">
        <w:rPr>
          <w:color w:val="000000"/>
        </w:rPr>
        <w:t xml:space="preserve"> The latter document identifies “improving physical infrastructure, preserving the environment and building resilience to climate change” as one of five strategic goals for the nation. One of the objectives under this goal is “to ensure a clean, safe and healthy environment.”</w:t>
      </w:r>
    </w:p>
    <w:p w:rsidR="006D7155" w:rsidRPr="008645B5" w:rsidRDefault="009A4F78" w:rsidP="009A4F78">
      <w:pPr>
        <w:pStyle w:val="SingleTxtG"/>
        <w:rPr>
          <w:shd w:val="clear" w:color="auto" w:fill="FFFFFF"/>
        </w:rPr>
      </w:pPr>
      <w:r w:rsidRPr="008645B5">
        <w:t>20.</w:t>
      </w:r>
      <w:r w:rsidRPr="008645B5">
        <w:tab/>
      </w:r>
      <w:r w:rsidR="006D7155" w:rsidRPr="000C412E">
        <w:rPr>
          <w:color w:val="000000"/>
        </w:rPr>
        <w:t xml:space="preserve">However, the Constitution of Saint Vincent and the Grenadines is silent on matters related to the environment. </w:t>
      </w:r>
      <w:r w:rsidR="006D7155">
        <w:t xml:space="preserve">In 2009, an unsuccessful referendum </w:t>
      </w:r>
      <w:r w:rsidR="00D77241">
        <w:t xml:space="preserve">was conducted </w:t>
      </w:r>
      <w:r w:rsidR="006D7155">
        <w:t>on a new constitution, which contained the following provision “</w:t>
      </w:r>
      <w:r w:rsidR="006D7155" w:rsidRPr="00F62678">
        <w:t>This Constitution enjoins the organs of the State, other public authorities and the people to protect and enhance the environment.</w:t>
      </w:r>
      <w:r w:rsidR="006D7155">
        <w:t xml:space="preserve">” </w:t>
      </w:r>
      <w:r w:rsidR="006D7155" w:rsidRPr="00343252">
        <w:t xml:space="preserve">Neither environmental legislation nor human rights legislation refers to the right to a clean, healthy and sustainable environment. This is a gap that needs to be addressed in order to fulfil the commitment made as a result of ratifying the </w:t>
      </w:r>
      <w:r w:rsidR="006D7155" w:rsidRPr="00ED5154">
        <w:t xml:space="preserve">Escazú </w:t>
      </w:r>
      <w:r w:rsidR="006D7155" w:rsidRPr="00343252">
        <w:t>Treaty: “Each Party shall guarantee the right of every person to live in a healthy environment” (Art 4.1</w:t>
      </w:r>
      <w:r w:rsidR="006D7155" w:rsidRPr="000C412E">
        <w:rPr>
          <w:color w:val="333838"/>
        </w:rPr>
        <w:t xml:space="preserve">). </w:t>
      </w:r>
    </w:p>
    <w:p w:rsidR="006D7155" w:rsidRPr="008645B5" w:rsidRDefault="009A4F78" w:rsidP="009A4F78">
      <w:pPr>
        <w:pStyle w:val="SingleTxtG"/>
        <w:rPr>
          <w:color w:val="000000" w:themeColor="text1"/>
          <w:shd w:val="clear" w:color="auto" w:fill="FFFFFF"/>
        </w:rPr>
      </w:pPr>
      <w:r w:rsidRPr="008645B5">
        <w:rPr>
          <w:color w:val="000000" w:themeColor="text1"/>
        </w:rPr>
        <w:t>21.</w:t>
      </w:r>
      <w:r w:rsidRPr="008645B5">
        <w:rPr>
          <w:color w:val="000000" w:themeColor="text1"/>
        </w:rPr>
        <w:tab/>
      </w:r>
      <w:r w:rsidR="006D7155" w:rsidRPr="008645B5">
        <w:rPr>
          <w:color w:val="000000" w:themeColor="text1"/>
        </w:rPr>
        <w:t xml:space="preserve">A 2007 update to the 1999 St. George’s Declaration of Principles for Environmental Sustainability in the OECS noted the need for “urgent attention to establishing effective structures for stakeholder collaboration at every level from the local to the regional, creating the institutional and legal frameworks required for effective environmental management, and building the capacity of Member States to monitor environmental impacts and trends in the status of natural resources and ecosystems.” </w:t>
      </w:r>
    </w:p>
    <w:p w:rsidR="006D7155" w:rsidRPr="00B84F5B" w:rsidRDefault="009A4F78" w:rsidP="009A4F78">
      <w:pPr>
        <w:pStyle w:val="SingleTxtG"/>
        <w:rPr>
          <w:shd w:val="clear" w:color="auto" w:fill="FFFFFF"/>
        </w:rPr>
      </w:pPr>
      <w:r w:rsidRPr="00B84F5B">
        <w:t>22.</w:t>
      </w:r>
      <w:r w:rsidRPr="00B84F5B">
        <w:tab/>
      </w:r>
      <w:r w:rsidR="006D7155" w:rsidRPr="00B84F5B">
        <w:rPr>
          <w:rStyle w:val="apple-converted-space"/>
          <w:color w:val="000000" w:themeColor="text1"/>
        </w:rPr>
        <w:t xml:space="preserve">Both government and civil society representatives with whom </w:t>
      </w:r>
      <w:r w:rsidR="006D7155">
        <w:rPr>
          <w:rStyle w:val="apple-converted-space"/>
          <w:color w:val="000000" w:themeColor="text1"/>
        </w:rPr>
        <w:t xml:space="preserve">the Special Rapporteur </w:t>
      </w:r>
      <w:r w:rsidR="006D7155" w:rsidRPr="00B84F5B">
        <w:rPr>
          <w:rStyle w:val="apple-converted-space"/>
          <w:color w:val="000000" w:themeColor="text1"/>
        </w:rPr>
        <w:t xml:space="preserve">spoke acknowledged that some environmental laws and regulations would benefit from being updated. There was also agreement that the biggest challenge is implementation, in part due to inadequate financial and human resources. For example, the Sustainable Development Unit of the Ministry of Tourism, Civil Aviation, Sustainable Development and Culture has only five employees. </w:t>
      </w:r>
      <w:r w:rsidR="006D7155">
        <w:rPr>
          <w:color w:val="000000"/>
        </w:rPr>
        <w:t>The Special Rapporteur</w:t>
      </w:r>
      <w:r w:rsidR="006D7155" w:rsidRPr="00B84F5B">
        <w:rPr>
          <w:color w:val="000000"/>
        </w:rPr>
        <w:t xml:space="preserve"> recommend</w:t>
      </w:r>
      <w:r w:rsidR="006D7155">
        <w:rPr>
          <w:color w:val="000000"/>
        </w:rPr>
        <w:t>s</w:t>
      </w:r>
      <w:r w:rsidR="006D7155" w:rsidRPr="00B84F5B">
        <w:rPr>
          <w:color w:val="000000"/>
        </w:rPr>
        <w:t xml:space="preserve"> that Saint Vincent and the Grenadines carry out a review of environmental legislation to identify where new or amended legislation and/or regulations are needed to be consistent with the </w:t>
      </w:r>
      <w:r w:rsidR="006D7155" w:rsidRPr="00ED5154">
        <w:t>Escazú</w:t>
      </w:r>
      <w:r w:rsidR="006D7155" w:rsidRPr="00B84F5B">
        <w:rPr>
          <w:color w:val="000000"/>
        </w:rPr>
        <w:t xml:space="preserve"> Agreement.</w:t>
      </w:r>
      <w:r w:rsidR="006D7155">
        <w:rPr>
          <w:rStyle w:val="FootnoteReference"/>
          <w:color w:val="000000"/>
        </w:rPr>
        <w:footnoteReference w:id="13"/>
      </w:r>
      <w:r w:rsidR="006D7155" w:rsidRPr="00B84F5B">
        <w:rPr>
          <w:color w:val="000000"/>
        </w:rPr>
        <w:t xml:space="preserve"> </w:t>
      </w:r>
    </w:p>
    <w:p w:rsidR="006D7155" w:rsidRPr="00817B7F" w:rsidRDefault="006D7155" w:rsidP="006D7155">
      <w:pPr>
        <w:pStyle w:val="HChG"/>
        <w:rPr>
          <w:lang w:val="en-US"/>
        </w:rPr>
      </w:pPr>
      <w:r>
        <w:rPr>
          <w:lang w:val="en-US"/>
        </w:rPr>
        <w:tab/>
      </w:r>
      <w:r w:rsidRPr="009A7DB9">
        <w:rPr>
          <w:lang w:val="en-US"/>
        </w:rPr>
        <w:t>III.</w:t>
      </w:r>
      <w:r>
        <w:rPr>
          <w:lang w:val="en-US"/>
        </w:rPr>
        <w:tab/>
        <w:t xml:space="preserve">The climate crisis </w:t>
      </w:r>
    </w:p>
    <w:p w:rsidR="006D7155" w:rsidRPr="00817B7F" w:rsidRDefault="009A4F78" w:rsidP="009A4F78">
      <w:pPr>
        <w:pStyle w:val="SingleTxtG"/>
        <w:rPr>
          <w:shd w:val="clear" w:color="auto" w:fill="FFFFFF"/>
        </w:rPr>
      </w:pPr>
      <w:r w:rsidRPr="00817B7F">
        <w:t>23.</w:t>
      </w:r>
      <w:r w:rsidRPr="00817B7F">
        <w:tab/>
      </w:r>
      <w:r w:rsidR="006D7155">
        <w:rPr>
          <w:rFonts w:ascii="Times" w:hAnsi="Times"/>
          <w:sz w:val="18"/>
          <w:szCs w:val="18"/>
        </w:rPr>
        <w:t xml:space="preserve"> </w:t>
      </w:r>
      <w:r w:rsidR="006D7155">
        <w:rPr>
          <w:color w:val="000000"/>
        </w:rPr>
        <w:t>T</w:t>
      </w:r>
      <w:r w:rsidR="006D7155" w:rsidRPr="00BB7EE7">
        <w:rPr>
          <w:color w:val="000000"/>
        </w:rPr>
        <w:t xml:space="preserve">he </w:t>
      </w:r>
      <w:r w:rsidR="006D7155" w:rsidRPr="006E76BE">
        <w:rPr>
          <w:color w:val="000000"/>
        </w:rPr>
        <w:t>world</w:t>
      </w:r>
      <w:r w:rsidR="006D7155">
        <w:rPr>
          <w:color w:val="000000"/>
        </w:rPr>
        <w:t xml:space="preserve"> i</w:t>
      </w:r>
      <w:r w:rsidR="006D7155" w:rsidRPr="006E76BE">
        <w:rPr>
          <w:color w:val="000000"/>
        </w:rPr>
        <w:t xml:space="preserve">s </w:t>
      </w:r>
      <w:r w:rsidR="006D7155">
        <w:rPr>
          <w:color w:val="000000"/>
        </w:rPr>
        <w:t>embroiled in an escalating</w:t>
      </w:r>
      <w:r w:rsidR="006D7155" w:rsidRPr="00BB7EE7">
        <w:rPr>
          <w:color w:val="000000"/>
        </w:rPr>
        <w:t xml:space="preserve"> climate </w:t>
      </w:r>
      <w:r w:rsidR="006D7155">
        <w:rPr>
          <w:color w:val="000000"/>
        </w:rPr>
        <w:t>emergency</w:t>
      </w:r>
      <w:r w:rsidR="006D7155" w:rsidRPr="00BB7EE7">
        <w:rPr>
          <w:color w:val="000000"/>
        </w:rPr>
        <w:t xml:space="preserve">, which </w:t>
      </w:r>
      <w:r w:rsidR="006D7155" w:rsidRPr="006E76BE">
        <w:rPr>
          <w:color w:val="000000"/>
        </w:rPr>
        <w:t>is violating</w:t>
      </w:r>
      <w:r w:rsidR="006D7155" w:rsidRPr="00BB7EE7">
        <w:rPr>
          <w:color w:val="000000"/>
        </w:rPr>
        <w:t xml:space="preserve"> human rights</w:t>
      </w:r>
      <w:r w:rsidR="006D7155" w:rsidRPr="006E76BE">
        <w:rPr>
          <w:color w:val="000000"/>
        </w:rPr>
        <w:t xml:space="preserve"> across the planet today and threatening to do so on a vast scale in the years ahead</w:t>
      </w:r>
      <w:r w:rsidR="006D7155" w:rsidRPr="00BB7EE7">
        <w:rPr>
          <w:color w:val="000000"/>
        </w:rPr>
        <w:t>. </w:t>
      </w:r>
      <w:r w:rsidR="006D7155">
        <w:rPr>
          <w:color w:val="000000"/>
        </w:rPr>
        <w:t>Saint Vincent and the Grenadines</w:t>
      </w:r>
      <w:r w:rsidR="006D7155" w:rsidRPr="00BB7EE7">
        <w:rPr>
          <w:color w:val="000000"/>
        </w:rPr>
        <w:t xml:space="preserve">, </w:t>
      </w:r>
      <w:r w:rsidR="006D7155" w:rsidRPr="006E76BE">
        <w:rPr>
          <w:color w:val="000000"/>
        </w:rPr>
        <w:t>along with other small island states</w:t>
      </w:r>
      <w:r w:rsidR="006D7155">
        <w:rPr>
          <w:color w:val="000000"/>
        </w:rPr>
        <w:t xml:space="preserve"> in the Caribbean and across the world</w:t>
      </w:r>
      <w:r w:rsidR="006D7155" w:rsidRPr="006E76BE">
        <w:rPr>
          <w:color w:val="000000"/>
        </w:rPr>
        <w:t xml:space="preserve">, is acutely vulnerable to the adverse impacts of climate change, </w:t>
      </w:r>
      <w:r w:rsidR="006D7155">
        <w:rPr>
          <w:color w:val="000000"/>
        </w:rPr>
        <w:t>including</w:t>
      </w:r>
      <w:r w:rsidR="006D7155" w:rsidRPr="006E76BE">
        <w:rPr>
          <w:color w:val="000000"/>
        </w:rPr>
        <w:t xml:space="preserve"> rising sea levels</w:t>
      </w:r>
      <w:r w:rsidR="006D7155">
        <w:rPr>
          <w:color w:val="000000"/>
        </w:rPr>
        <w:t>, storm surges, hotter temperatures, changes in precipitation patterns, and</w:t>
      </w:r>
      <w:r w:rsidR="006D7155" w:rsidRPr="006E76BE">
        <w:rPr>
          <w:color w:val="000000"/>
        </w:rPr>
        <w:t xml:space="preserve"> the increasing intensity of </w:t>
      </w:r>
      <w:r w:rsidR="006D7155" w:rsidRPr="00BB7EE7">
        <w:rPr>
          <w:color w:val="000000"/>
        </w:rPr>
        <w:t xml:space="preserve">extreme weather events such as </w:t>
      </w:r>
      <w:r w:rsidR="006D7155">
        <w:rPr>
          <w:color w:val="000000"/>
        </w:rPr>
        <w:t>hurrican</w:t>
      </w:r>
      <w:r w:rsidR="006D7155" w:rsidRPr="00BB7EE7">
        <w:rPr>
          <w:color w:val="000000"/>
        </w:rPr>
        <w:t>es</w:t>
      </w:r>
      <w:r w:rsidR="006D7155" w:rsidRPr="006E76BE">
        <w:rPr>
          <w:color w:val="000000"/>
        </w:rPr>
        <w:t>.</w:t>
      </w:r>
      <w:r w:rsidR="006D7155">
        <w:rPr>
          <w:color w:val="000000"/>
        </w:rPr>
        <w:t xml:space="preserve"> On Saint Vincent and the Grenadines, 80 percent of population, infrastructure and economic activity are located at less than 8 meters above sea level—the red zone of vulnerability to storm surges and rising sea levels that cause erosion and damage.</w:t>
      </w:r>
      <w:r w:rsidR="006D7155">
        <w:rPr>
          <w:rStyle w:val="FootnoteReference"/>
          <w:color w:val="000000"/>
        </w:rPr>
        <w:footnoteReference w:id="14"/>
      </w:r>
      <w:r w:rsidR="006D7155">
        <w:rPr>
          <w:color w:val="000000"/>
        </w:rPr>
        <w:t xml:space="preserve"> As noted by the UN Working Group of Experts on Persons of African Descent in a recent report, “</w:t>
      </w:r>
      <w:r w:rsidR="006D7155" w:rsidRPr="008645B5">
        <w:rPr>
          <w:bCs/>
        </w:rPr>
        <w:t xml:space="preserve">persistent failure to take sufficiently ambitious action to reduce greenhouse gas emissions and thereby mitigate </w:t>
      </w:r>
      <w:r w:rsidR="006D7155" w:rsidRPr="008645B5">
        <w:rPr>
          <w:bCs/>
        </w:rPr>
        <w:lastRenderedPageBreak/>
        <w:t>climate change has the heaviest impact on States and communities that have been subject to historic exploitation, discrimination and marginalization.”</w:t>
      </w:r>
      <w:r w:rsidR="006D7155">
        <w:rPr>
          <w:rStyle w:val="FootnoteReference"/>
          <w:bCs/>
        </w:rPr>
        <w:footnoteReference w:id="15"/>
      </w:r>
      <w:r w:rsidR="006D7155">
        <w:rPr>
          <w:bCs/>
        </w:rPr>
        <w:t xml:space="preserve"> The climate crisis is not only multiplying risks, especially for climate-vulnerable nations, but is also exacerbating inequalities.</w:t>
      </w:r>
    </w:p>
    <w:p w:rsidR="006D7155" w:rsidRPr="008645B5" w:rsidRDefault="009A4F78" w:rsidP="009A4F78">
      <w:pPr>
        <w:pStyle w:val="SingleTxtG"/>
        <w:rPr>
          <w:shd w:val="clear" w:color="auto" w:fill="FFFFFF"/>
        </w:rPr>
      </w:pPr>
      <w:r w:rsidRPr="008645B5">
        <w:t>24.</w:t>
      </w:r>
      <w:r w:rsidRPr="008645B5">
        <w:tab/>
      </w:r>
      <w:r w:rsidR="006D7155" w:rsidRPr="00817B7F">
        <w:rPr>
          <w:color w:val="000000"/>
        </w:rPr>
        <w:t xml:space="preserve">Small </w:t>
      </w:r>
      <w:r w:rsidR="006D7155">
        <w:rPr>
          <w:color w:val="000000"/>
        </w:rPr>
        <w:t>I</w:t>
      </w:r>
      <w:r w:rsidR="006D7155" w:rsidRPr="00817B7F">
        <w:rPr>
          <w:color w:val="000000"/>
        </w:rPr>
        <w:t xml:space="preserve">sland </w:t>
      </w:r>
      <w:r w:rsidR="006D7155">
        <w:rPr>
          <w:color w:val="000000"/>
        </w:rPr>
        <w:t>S</w:t>
      </w:r>
      <w:r w:rsidR="006D7155" w:rsidRPr="00817B7F">
        <w:rPr>
          <w:color w:val="000000"/>
        </w:rPr>
        <w:t>tates</w:t>
      </w:r>
      <w:r w:rsidR="006D7155">
        <w:rPr>
          <w:color w:val="000000"/>
        </w:rPr>
        <w:t xml:space="preserve"> </w:t>
      </w:r>
      <w:r w:rsidR="006D7155" w:rsidRPr="00817B7F">
        <w:rPr>
          <w:color w:val="000000"/>
        </w:rPr>
        <w:t xml:space="preserve">have been among the world’s most outspoken voices in calling for urgent action to address the damage that climate change is inflicting on human health, human rights, and well-being. </w:t>
      </w:r>
      <w:r w:rsidR="006D7155" w:rsidRPr="00817B7F">
        <w:rPr>
          <w:rFonts w:eastAsia="MS Mincho"/>
          <w:lang w:val="en-US"/>
        </w:rPr>
        <w:t>As noted by the Government in its recent National Report to the Universal Periodic Review, “In the absence of appropriate measures, including financial support pledged by major emitters for climate adaptation and mitigation, climate change threatens to increase people’s vulnerability to poverty and social deprivation, and could ultimately impact their enjoyment of certain human rights.”</w:t>
      </w:r>
      <w:r w:rsidR="006D7155">
        <w:rPr>
          <w:rStyle w:val="FootnoteReference"/>
          <w:rFonts w:eastAsia="MS Mincho"/>
          <w:lang w:val="en-US"/>
        </w:rPr>
        <w:footnoteReference w:id="16"/>
      </w:r>
      <w:r w:rsidR="006D7155" w:rsidRPr="00817B7F">
        <w:rPr>
          <w:rFonts w:eastAsia="MS Mincho"/>
          <w:lang w:val="en-US"/>
        </w:rPr>
        <w:t xml:space="preserve"> </w:t>
      </w:r>
    </w:p>
    <w:p w:rsidR="006D7155" w:rsidRPr="00E51947" w:rsidRDefault="009A4F78" w:rsidP="009A4F78">
      <w:pPr>
        <w:pStyle w:val="SingleTxtG"/>
        <w:rPr>
          <w:shd w:val="clear" w:color="auto" w:fill="FFFFFF"/>
        </w:rPr>
      </w:pPr>
      <w:r w:rsidRPr="00E51947">
        <w:t>25.</w:t>
      </w:r>
      <w:r w:rsidRPr="00E51947">
        <w:tab/>
      </w:r>
      <w:r w:rsidR="006D7155" w:rsidRPr="00817B7F">
        <w:rPr>
          <w:color w:val="000000"/>
        </w:rPr>
        <w:t xml:space="preserve">During </w:t>
      </w:r>
      <w:r w:rsidR="006D7155">
        <w:rPr>
          <w:color w:val="000000"/>
        </w:rPr>
        <w:t>his</w:t>
      </w:r>
      <w:r w:rsidR="006D7155" w:rsidRPr="00817B7F">
        <w:rPr>
          <w:color w:val="000000"/>
        </w:rPr>
        <w:t xml:space="preserve"> visit, </w:t>
      </w:r>
      <w:r w:rsidR="006D7155">
        <w:rPr>
          <w:color w:val="000000"/>
        </w:rPr>
        <w:t>the Special Rapporteur</w:t>
      </w:r>
      <w:r w:rsidR="006D7155" w:rsidRPr="00817B7F">
        <w:rPr>
          <w:color w:val="000000"/>
        </w:rPr>
        <w:t xml:space="preserve"> heard about, and witnessed, the extensive damage inflicted on Saint Vincent and the Grenadines by flooding, droughts, landslides, rising sea levels, saltwater intrusion, and ecosystem changes, such massive blooms of noxious sargassum seaweed and bleaching of coral reefs. There has also been an increase in vector borne diseases, including dengue fever. These climate change-related impacts are wreaking havoc on farms, forests, fisheries, housing, infrastructure, and communities, and in doing so are violating the rights to life, health, food, water, housing, cultural rights and a clean, healthy and </w:t>
      </w:r>
      <w:r w:rsidR="006D7155" w:rsidRPr="00817B7F">
        <w:rPr>
          <w:color w:val="000000" w:themeColor="text1"/>
        </w:rPr>
        <w:t>sustainable environment. In the words of Prime Minister Ralph Gonsalves, “Beyond the headlines, the story of climate change is grimly told in daily experiences of floods, droughts, landslides, coastal erosions, lost lives and livelihoods across our region.”</w:t>
      </w:r>
      <w:r w:rsidR="006D7155">
        <w:rPr>
          <w:rStyle w:val="FootnoteReference"/>
          <w:color w:val="000000" w:themeColor="text1"/>
        </w:rPr>
        <w:footnoteReference w:id="17"/>
      </w:r>
      <w:r w:rsidR="006D7155" w:rsidRPr="00817B7F">
        <w:rPr>
          <w:color w:val="000000" w:themeColor="text1"/>
        </w:rPr>
        <w:t xml:space="preserve"> </w:t>
      </w:r>
    </w:p>
    <w:p w:rsidR="006D7155" w:rsidRPr="00E51947" w:rsidRDefault="009A4F78" w:rsidP="009A4F78">
      <w:pPr>
        <w:pStyle w:val="SingleTxtG"/>
        <w:rPr>
          <w:shd w:val="clear" w:color="auto" w:fill="FFFFFF"/>
        </w:rPr>
      </w:pPr>
      <w:r w:rsidRPr="00E51947">
        <w:t>26.</w:t>
      </w:r>
      <w:r w:rsidRPr="00E51947">
        <w:tab/>
      </w:r>
      <w:r w:rsidR="006D7155" w:rsidRPr="00E51947">
        <w:rPr>
          <w:color w:val="000000"/>
        </w:rPr>
        <w:t xml:space="preserve">Hurricane Tomas in 2010 destroyed livestock and crops, damaged infrastructure (roads, water, electricity system), caused significant ecological damage and </w:t>
      </w:r>
      <w:r w:rsidR="006D7155">
        <w:rPr>
          <w:color w:val="000000"/>
        </w:rPr>
        <w:t>165 million Eastern Caribbean dollars (</w:t>
      </w:r>
      <w:r w:rsidR="006D7155" w:rsidRPr="00E51947">
        <w:rPr>
          <w:color w:val="000000"/>
        </w:rPr>
        <w:t>$EC</w:t>
      </w:r>
      <w:r w:rsidR="006D7155">
        <w:rPr>
          <w:color w:val="000000"/>
        </w:rPr>
        <w:t>) - around 59</w:t>
      </w:r>
      <w:r w:rsidR="006D7155" w:rsidRPr="00E51947">
        <w:rPr>
          <w:color w:val="000000"/>
        </w:rPr>
        <w:t xml:space="preserve"> million </w:t>
      </w:r>
      <w:r w:rsidR="006D7155" w:rsidRPr="00034EF6">
        <w:rPr>
          <w:color w:val="000000"/>
        </w:rPr>
        <w:t>$</w:t>
      </w:r>
      <w:r w:rsidR="006D7155">
        <w:rPr>
          <w:color w:val="000000"/>
        </w:rPr>
        <w:t xml:space="preserve">US- </w:t>
      </w:r>
      <w:r w:rsidR="006D7155" w:rsidRPr="00E51947">
        <w:rPr>
          <w:color w:val="000000"/>
        </w:rPr>
        <w:t>in economic costs. Torrential rain in December 2013 caused 13 deaths, directly affected 10,000 people, and cost $EC135 million</w:t>
      </w:r>
      <w:r w:rsidR="006D7155">
        <w:rPr>
          <w:color w:val="000000"/>
        </w:rPr>
        <w:t xml:space="preserve"> (50 million $US)</w:t>
      </w:r>
      <w:r w:rsidR="006D7155" w:rsidRPr="00E51947">
        <w:rPr>
          <w:color w:val="000000"/>
        </w:rPr>
        <w:t xml:space="preserve">. </w:t>
      </w:r>
      <w:r w:rsidR="006D7155" w:rsidRPr="00343252">
        <w:rPr>
          <w:color w:val="000000"/>
        </w:rPr>
        <w:t xml:space="preserve">Intense </w:t>
      </w:r>
      <w:r w:rsidR="006D7155" w:rsidRPr="00962EAD">
        <w:rPr>
          <w:color w:val="000000"/>
        </w:rPr>
        <w:t>rainfall in November 2016 caused floods, erosion, and landslides, and cost $EC98 million</w:t>
      </w:r>
      <w:r w:rsidR="006D7155">
        <w:rPr>
          <w:color w:val="000000"/>
        </w:rPr>
        <w:t xml:space="preserve"> (36 million $US)</w:t>
      </w:r>
      <w:r w:rsidR="006D7155" w:rsidRPr="00962EAD">
        <w:rPr>
          <w:color w:val="000000"/>
        </w:rPr>
        <w:t>. A huge influx of sargassum seaweed in 2018 blanketed beaches, harming fisheries, disrupting tourism and threatening people’s health.</w:t>
      </w:r>
      <w:r w:rsidR="006D7155">
        <w:rPr>
          <w:rStyle w:val="FootnoteReference"/>
          <w:color w:val="000000"/>
        </w:rPr>
        <w:footnoteReference w:id="18"/>
      </w:r>
      <w:r w:rsidR="006D7155" w:rsidRPr="00962EAD">
        <w:rPr>
          <w:color w:val="000000"/>
        </w:rPr>
        <w:t xml:space="preserve"> Severe </w:t>
      </w:r>
      <w:r w:rsidR="006D7155" w:rsidRPr="00962EAD">
        <w:rPr>
          <w:color w:val="000000" w:themeColor="text1"/>
        </w:rPr>
        <w:t xml:space="preserve">droughts occurred in </w:t>
      </w:r>
      <w:r w:rsidR="006D7155">
        <w:rPr>
          <w:color w:val="000000" w:themeColor="text1"/>
        </w:rPr>
        <w:t>2009-</w:t>
      </w:r>
      <w:r w:rsidR="006D7155" w:rsidRPr="00962EAD">
        <w:rPr>
          <w:color w:val="000000" w:themeColor="text1"/>
        </w:rPr>
        <w:t>2010</w:t>
      </w:r>
      <w:r w:rsidR="006D7155">
        <w:rPr>
          <w:color w:val="000000" w:themeColor="text1"/>
        </w:rPr>
        <w:t>, 2014</w:t>
      </w:r>
      <w:r w:rsidR="006D7155" w:rsidRPr="00962EAD">
        <w:rPr>
          <w:color w:val="000000" w:themeColor="text1"/>
        </w:rPr>
        <w:t xml:space="preserve"> and 2020</w:t>
      </w:r>
      <w:r w:rsidR="006D7155">
        <w:rPr>
          <w:color w:val="000000" w:themeColor="text1"/>
        </w:rPr>
        <w:t>,</w:t>
      </w:r>
      <w:r w:rsidR="006D7155" w:rsidRPr="00962EAD">
        <w:rPr>
          <w:color w:val="000000" w:themeColor="text1"/>
        </w:rPr>
        <w:t xml:space="preserve"> causing water rationing and disrupting agriculture.</w:t>
      </w:r>
      <w:r w:rsidR="006D7155">
        <w:rPr>
          <w:rStyle w:val="FootnoteReference"/>
          <w:color w:val="000000" w:themeColor="text1"/>
        </w:rPr>
        <w:footnoteReference w:id="19"/>
      </w:r>
      <w:r w:rsidR="006D7155" w:rsidRPr="00962EAD">
        <w:rPr>
          <w:color w:val="000000" w:themeColor="text1"/>
        </w:rPr>
        <w:t xml:space="preserve"> In 2020, farmers </w:t>
      </w:r>
      <w:r w:rsidR="006D7155">
        <w:rPr>
          <w:color w:val="000000" w:themeColor="text1"/>
        </w:rPr>
        <w:t>suffer</w:t>
      </w:r>
      <w:r w:rsidR="006D7155" w:rsidRPr="00962EAD">
        <w:rPr>
          <w:color w:val="000000" w:themeColor="text1"/>
        </w:rPr>
        <w:t>ed $</w:t>
      </w:r>
      <w:r w:rsidR="006D7155">
        <w:rPr>
          <w:color w:val="000000" w:themeColor="text1"/>
        </w:rPr>
        <w:t>EC</w:t>
      </w:r>
      <w:r w:rsidR="006D7155" w:rsidRPr="00962EAD">
        <w:rPr>
          <w:color w:val="000000" w:themeColor="text1"/>
        </w:rPr>
        <w:t>16 million in losses as a result of the drought.</w:t>
      </w:r>
      <w:r w:rsidR="006D7155" w:rsidRPr="00D61F25">
        <w:rPr>
          <w:rStyle w:val="FootnoteReference"/>
          <w:color w:val="000000" w:themeColor="text1"/>
        </w:rPr>
        <w:footnoteReference w:id="20"/>
      </w:r>
      <w:r w:rsidR="006D7155" w:rsidRPr="00962EAD">
        <w:rPr>
          <w:color w:val="000000" w:themeColor="text1"/>
        </w:rPr>
        <w:t xml:space="preserve"> </w:t>
      </w:r>
      <w:r w:rsidR="006D7155" w:rsidRPr="00EC48EC">
        <w:rPr>
          <w:color w:val="000000"/>
        </w:rPr>
        <w:t>The estimated total loss and damage to S</w:t>
      </w:r>
      <w:r w:rsidR="006D7155">
        <w:rPr>
          <w:color w:val="000000"/>
        </w:rPr>
        <w:t>aint Vincent and the Grenadines</w:t>
      </w:r>
      <w:r w:rsidR="006D7155" w:rsidRPr="00EC48EC">
        <w:rPr>
          <w:color w:val="000000"/>
        </w:rPr>
        <w:t xml:space="preserve"> from these climate related events over the period 2010- 201</w:t>
      </w:r>
      <w:r w:rsidR="006D7155">
        <w:rPr>
          <w:color w:val="000000"/>
        </w:rPr>
        <w:t>9</w:t>
      </w:r>
      <w:r w:rsidR="006D7155" w:rsidRPr="00EC48EC">
        <w:rPr>
          <w:color w:val="000000"/>
        </w:rPr>
        <w:t xml:space="preserve"> was in excess of </w:t>
      </w:r>
      <w:r w:rsidR="006D7155">
        <w:rPr>
          <w:color w:val="000000"/>
        </w:rPr>
        <w:t>$</w:t>
      </w:r>
      <w:r w:rsidR="006D7155" w:rsidRPr="00EC48EC">
        <w:rPr>
          <w:color w:val="000000"/>
        </w:rPr>
        <w:t>US</w:t>
      </w:r>
      <w:r w:rsidR="006D7155">
        <w:rPr>
          <w:color w:val="000000"/>
        </w:rPr>
        <w:t xml:space="preserve"> 1</w:t>
      </w:r>
      <w:r w:rsidR="006D7155" w:rsidRPr="00EC48EC">
        <w:rPr>
          <w:color w:val="000000"/>
        </w:rPr>
        <w:t xml:space="preserve"> </w:t>
      </w:r>
      <w:r w:rsidR="006D7155">
        <w:rPr>
          <w:color w:val="000000"/>
        </w:rPr>
        <w:t>b</w:t>
      </w:r>
      <w:r w:rsidR="006D7155" w:rsidRPr="00EC48EC">
        <w:rPr>
          <w:color w:val="000000"/>
        </w:rPr>
        <w:t>illion</w:t>
      </w:r>
      <w:r w:rsidR="006D7155">
        <w:rPr>
          <w:rFonts w:ascii="TrebuchetMS" w:hAnsi="TrebuchetMS"/>
        </w:rPr>
        <w:t>.</w:t>
      </w:r>
      <w:r w:rsidR="006D7155">
        <w:rPr>
          <w:rStyle w:val="FootnoteReference"/>
          <w:rFonts w:ascii="TrebuchetMS" w:hAnsi="TrebuchetMS"/>
        </w:rPr>
        <w:footnoteReference w:id="21"/>
      </w:r>
      <w:r w:rsidR="006D7155">
        <w:rPr>
          <w:rFonts w:ascii="TrebuchetMS" w:hAnsi="TrebuchetMS"/>
        </w:rPr>
        <w:t xml:space="preserve"> </w:t>
      </w:r>
      <w:r w:rsidR="006D7155" w:rsidRPr="00962EAD">
        <w:rPr>
          <w:color w:val="000000" w:themeColor="text1"/>
        </w:rPr>
        <w:t xml:space="preserve">Hurricane Elsa lashed the country </w:t>
      </w:r>
      <w:r w:rsidR="006D7155" w:rsidRPr="00962EAD">
        <w:rPr>
          <w:color w:val="000000"/>
        </w:rPr>
        <w:t xml:space="preserve">in 2021, right after the volcanic eruption. </w:t>
      </w:r>
      <w:r w:rsidR="006D7155">
        <w:rPr>
          <w:color w:val="000000"/>
        </w:rPr>
        <w:t>In a compelling book about the multiple challenges faced by small island states, t</w:t>
      </w:r>
      <w:r w:rsidR="006D7155" w:rsidRPr="00962EAD">
        <w:rPr>
          <w:color w:val="000000"/>
        </w:rPr>
        <w:t xml:space="preserve">he Minister of Finance, Camillo </w:t>
      </w:r>
      <w:r w:rsidR="006D7155">
        <w:rPr>
          <w:color w:val="000000"/>
        </w:rPr>
        <w:t xml:space="preserve">M. </w:t>
      </w:r>
      <w:r w:rsidR="006D7155" w:rsidRPr="00962EAD">
        <w:rPr>
          <w:color w:val="000000"/>
        </w:rPr>
        <w:t xml:space="preserve">Gonsalves, observed that “the every-other-year drumbeat of seemingly minor storms, floods and droughts has </w:t>
      </w:r>
      <w:r w:rsidR="006D7155" w:rsidRPr="00962EAD">
        <w:rPr>
          <w:color w:val="000000"/>
        </w:rPr>
        <w:lastRenderedPageBreak/>
        <w:t>caused loss and damage averaging 10</w:t>
      </w:r>
      <w:r w:rsidR="006D7155">
        <w:rPr>
          <w:color w:val="000000"/>
        </w:rPr>
        <w:t xml:space="preserve"> percent</w:t>
      </w:r>
      <w:r w:rsidR="006D7155" w:rsidRPr="00962EAD">
        <w:rPr>
          <w:color w:val="000000"/>
        </w:rPr>
        <w:t xml:space="preserve"> of GDP per event over the past decade.”</w:t>
      </w:r>
      <w:r w:rsidR="006D7155">
        <w:rPr>
          <w:rStyle w:val="FootnoteReference"/>
          <w:color w:val="000000"/>
        </w:rPr>
        <w:footnoteReference w:id="22"/>
      </w:r>
    </w:p>
    <w:p w:rsidR="006D7155" w:rsidRPr="005D3970" w:rsidRDefault="009A4F78" w:rsidP="009A4F78">
      <w:pPr>
        <w:pStyle w:val="SingleTxtG"/>
      </w:pPr>
      <w:r w:rsidRPr="005D3970">
        <w:t>27.</w:t>
      </w:r>
      <w:r w:rsidRPr="005D3970">
        <w:tab/>
      </w:r>
      <w:r w:rsidR="006D7155" w:rsidRPr="00343252">
        <w:rPr>
          <w:color w:val="000000"/>
        </w:rPr>
        <w:t>The concatenation of climate-related catastrophes has major impacts on every aspect of people’s lives in Saint Vincent and the Grenadines. Food p</w:t>
      </w:r>
      <w:r w:rsidR="006D7155" w:rsidRPr="004F1A1D">
        <w:rPr>
          <w:color w:val="000000"/>
        </w:rPr>
        <w:t>rodu</w:t>
      </w:r>
      <w:r w:rsidR="006D7155" w:rsidRPr="00343252">
        <w:rPr>
          <w:color w:val="000000"/>
        </w:rPr>
        <w:t xml:space="preserve">ction is severely affected by hurricanes, ash from the volcanic eruption and the changing precipitation patterns that cause extreme rainfall events and droughts. According to the Government, </w:t>
      </w:r>
      <w:r w:rsidR="006D7155" w:rsidRPr="00343252">
        <w:t>at least 30-40</w:t>
      </w:r>
      <w:r w:rsidR="006D7155">
        <w:t xml:space="preserve"> percent</w:t>
      </w:r>
      <w:r w:rsidR="006D7155" w:rsidRPr="00343252">
        <w:t xml:space="preserve"> of the </w:t>
      </w:r>
      <w:r w:rsidR="006D7155">
        <w:t>a</w:t>
      </w:r>
      <w:r w:rsidR="006D7155" w:rsidRPr="00343252">
        <w:t xml:space="preserve">gricultural sector that supplies food to the general population is within the Red and Orange Volcano Danger Zones (areas with very high risk </w:t>
      </w:r>
      <w:r w:rsidR="006D7155">
        <w:t>of</w:t>
      </w:r>
      <w:r w:rsidR="006D7155" w:rsidRPr="00343252">
        <w:t xml:space="preserve"> being directly affected by volcanic hazards).</w:t>
      </w:r>
      <w:r w:rsidR="006D7155">
        <w:rPr>
          <w:rStyle w:val="FootnoteReference"/>
        </w:rPr>
        <w:footnoteReference w:id="23"/>
      </w:r>
      <w:r w:rsidR="006D7155" w:rsidRPr="005D3970">
        <w:rPr>
          <w:rFonts w:ascii="ArialMT" w:hAnsi="ArialMT"/>
          <w:sz w:val="18"/>
          <w:szCs w:val="18"/>
        </w:rPr>
        <w:t xml:space="preserve"> </w:t>
      </w:r>
    </w:p>
    <w:p w:rsidR="006D7155" w:rsidRPr="00962EAD" w:rsidRDefault="009A4F78" w:rsidP="009A4F78">
      <w:pPr>
        <w:pStyle w:val="SingleTxtG"/>
        <w:rPr>
          <w:shd w:val="clear" w:color="auto" w:fill="FFFFFF"/>
        </w:rPr>
      </w:pPr>
      <w:r w:rsidRPr="00962EAD">
        <w:t>28.</w:t>
      </w:r>
      <w:r w:rsidRPr="00962EAD">
        <w:tab/>
      </w:r>
      <w:r w:rsidR="006D7155" w:rsidRPr="00962EAD">
        <w:rPr>
          <w:color w:val="000000"/>
        </w:rPr>
        <w:t>Several people connected the rising volumes of sargassum seaweed with declining catches of sprats, a culturally valued fish. The decline in both commercial and subsistence agriculture causes a shift towards more expensive, often highly processed imported foods, with negative health consequences including obesity and diabetes.</w:t>
      </w:r>
      <w:r w:rsidR="006D7155">
        <w:rPr>
          <w:rStyle w:val="FootnoteReference"/>
          <w:color w:val="000000"/>
        </w:rPr>
        <w:footnoteReference w:id="24"/>
      </w:r>
      <w:r w:rsidR="006D7155" w:rsidRPr="00962EAD">
        <w:rPr>
          <w:color w:val="000000"/>
        </w:rPr>
        <w:t xml:space="preserve"> </w:t>
      </w:r>
    </w:p>
    <w:p w:rsidR="006D7155" w:rsidRPr="00905D07" w:rsidRDefault="009A4F78" w:rsidP="009A4F78">
      <w:pPr>
        <w:pStyle w:val="SingleTxtG"/>
        <w:rPr>
          <w:shd w:val="clear" w:color="auto" w:fill="FFFFFF"/>
        </w:rPr>
      </w:pPr>
      <w:r w:rsidRPr="00905D07">
        <w:t>29.</w:t>
      </w:r>
      <w:r w:rsidRPr="00905D07">
        <w:tab/>
      </w:r>
      <w:r w:rsidR="006D7155" w:rsidRPr="00962EAD">
        <w:rPr>
          <w:color w:val="000000"/>
        </w:rPr>
        <w:t>As noted by the UN Committee on the Elimination of Discrimination Against Women, rural women are particularly vulnerable to the effects of climate-related natural disasters.</w:t>
      </w:r>
      <w:r w:rsidR="006D7155">
        <w:rPr>
          <w:rStyle w:val="FootnoteReference"/>
          <w:color w:val="000000"/>
        </w:rPr>
        <w:footnoteReference w:id="25"/>
      </w:r>
      <w:r w:rsidR="006D7155" w:rsidRPr="00962EAD">
        <w:rPr>
          <w:color w:val="000000"/>
        </w:rPr>
        <w:t xml:space="preserve"> </w:t>
      </w:r>
      <w:r w:rsidR="006D7155">
        <w:rPr>
          <w:color w:val="000000"/>
        </w:rPr>
        <w:t xml:space="preserve">For example, unemployment among women in Saint Vincent and the Grenadines was projected to increase to between 27 percent and 38 percent in 2021. </w:t>
      </w:r>
      <w:r w:rsidR="006D7155" w:rsidRPr="00962EAD">
        <w:rPr>
          <w:color w:val="000000"/>
        </w:rPr>
        <w:t xml:space="preserve">Thus it is important to ensure the participation of women, especially rural women, in the design </w:t>
      </w:r>
      <w:r w:rsidR="006D7155" w:rsidRPr="00905D07">
        <w:rPr>
          <w:color w:val="000000"/>
        </w:rPr>
        <w:t>and implementation of policies and programs intended to prepare for, reduce the risks of, and recover from climate-related and natural disasters.</w:t>
      </w:r>
      <w:r w:rsidR="006D7155" w:rsidRPr="00905D07">
        <w:rPr>
          <w:rStyle w:val="FootnoteReference"/>
          <w:color w:val="000000"/>
        </w:rPr>
        <w:footnoteReference w:id="26"/>
      </w:r>
      <w:r w:rsidR="006D7155" w:rsidRPr="00905D07">
        <w:rPr>
          <w:color w:val="000000"/>
        </w:rPr>
        <w:t xml:space="preserve"> Another vulnerable group is the Garifuna Indigenous people, many of whom live in coastal communities in the red zone </w:t>
      </w:r>
      <w:r w:rsidR="006D7155">
        <w:rPr>
          <w:color w:val="000000"/>
        </w:rPr>
        <w:t>around</w:t>
      </w:r>
      <w:r w:rsidR="006D7155" w:rsidRPr="00905D07">
        <w:rPr>
          <w:color w:val="000000"/>
        </w:rPr>
        <w:t xml:space="preserve"> La Soufriere volcano. </w:t>
      </w:r>
    </w:p>
    <w:p w:rsidR="006D7155" w:rsidRPr="00905D07" w:rsidRDefault="009A4F78" w:rsidP="009A4F78">
      <w:pPr>
        <w:pStyle w:val="SingleTxtG"/>
        <w:rPr>
          <w:shd w:val="clear" w:color="auto" w:fill="FFFFFF"/>
        </w:rPr>
      </w:pPr>
      <w:r w:rsidRPr="00905D07">
        <w:t>30.</w:t>
      </w:r>
      <w:r w:rsidRPr="00905D07">
        <w:tab/>
      </w:r>
      <w:r w:rsidR="006D7155" w:rsidRPr="00905D07">
        <w:t>Children and youth are also at risk, with the climate crisis causing them to miss school, contributing to high levels of stress and anxiety and putting them—especially girls—at risk of violence in disaster situations. The CARICOM Commission on Youth urged governments to overcome the “lack of awareness and education with regard to environmental issues, in particular the effects of climate change.”</w:t>
      </w:r>
      <w:r w:rsidR="006D7155">
        <w:rPr>
          <w:rStyle w:val="FootnoteReference"/>
        </w:rPr>
        <w:footnoteReference w:id="27"/>
      </w:r>
      <w:r w:rsidR="006D7155">
        <w:t xml:space="preserve"> </w:t>
      </w:r>
      <w:r w:rsidR="006D7155" w:rsidRPr="00905D07">
        <w:t>Education is a prerequisite to engaging young people in conversations and decision-making related to climate action.</w:t>
      </w:r>
    </w:p>
    <w:p w:rsidR="006D7155" w:rsidRPr="00962EAD" w:rsidRDefault="009A4F78" w:rsidP="009A4F78">
      <w:pPr>
        <w:pStyle w:val="SingleTxtG"/>
        <w:rPr>
          <w:shd w:val="clear" w:color="auto" w:fill="FFFFFF"/>
        </w:rPr>
      </w:pPr>
      <w:r w:rsidRPr="00962EAD">
        <w:t>31.</w:t>
      </w:r>
      <w:r w:rsidRPr="00962EAD">
        <w:tab/>
      </w:r>
      <w:r w:rsidR="006D7155" w:rsidRPr="00905D07">
        <w:rPr>
          <w:color w:val="000000"/>
        </w:rPr>
        <w:t>To protect the human rights of the people of Saint Vincent and the Grenadines from the ravages of the climate crisis requires action</w:t>
      </w:r>
      <w:r w:rsidR="006D7155" w:rsidRPr="00962EAD">
        <w:rPr>
          <w:color w:val="000000"/>
        </w:rPr>
        <w:t xml:space="preserve"> by all States, but especially those who historically have been and/or are currently major contributors to climate change. Large emitters need to rapidly reduce greenhouse gas emissions, stop deforestation and decrease livestock production in order to avoid catastrophic climate change. Wealthy countries must immediately fulfil their overdue commitment to provide at least $</w:t>
      </w:r>
      <w:r w:rsidR="006D7155">
        <w:rPr>
          <w:color w:val="000000"/>
        </w:rPr>
        <w:t>US</w:t>
      </w:r>
      <w:r w:rsidR="006D7155" w:rsidRPr="00962EAD">
        <w:rPr>
          <w:color w:val="000000"/>
        </w:rPr>
        <w:t>100 billion annually to assist climate vulnerable States such as Saint Vincent and the Grenadines in coping with the impacts of a problem that they did little to create</w:t>
      </w:r>
      <w:r w:rsidR="006D7155">
        <w:rPr>
          <w:color w:val="000000"/>
        </w:rPr>
        <w:t xml:space="preserve"> (per capita carbon dioxide emissions are below 2 tonnes per capita)</w:t>
      </w:r>
      <w:r w:rsidR="006D7155" w:rsidRPr="00962EAD">
        <w:rPr>
          <w:color w:val="000000"/>
        </w:rPr>
        <w:t>. Wealthy States must also end their inexcusable decades-long delay in making funds available to compensate climate vulnerable States for loss and damage caused by climate change.</w:t>
      </w:r>
    </w:p>
    <w:p w:rsidR="006D7155" w:rsidRPr="00962EAD" w:rsidRDefault="006D7155" w:rsidP="006D7155">
      <w:pPr>
        <w:pStyle w:val="HChG"/>
        <w:rPr>
          <w:lang w:val="en-US"/>
        </w:rPr>
      </w:pPr>
      <w:r>
        <w:rPr>
          <w:lang w:val="en-US"/>
        </w:rPr>
        <w:lastRenderedPageBreak/>
        <w:tab/>
      </w:r>
      <w:r w:rsidRPr="003638D2">
        <w:rPr>
          <w:lang w:val="en-US"/>
        </w:rPr>
        <w:t>IV.</w:t>
      </w:r>
      <w:r>
        <w:rPr>
          <w:lang w:val="en-US"/>
        </w:rPr>
        <w:tab/>
      </w:r>
      <w:r w:rsidRPr="003638D2">
        <w:rPr>
          <w:lang w:val="en-US"/>
        </w:rPr>
        <w:t>Fulfilling the right to a clean</w:t>
      </w:r>
      <w:r>
        <w:rPr>
          <w:lang w:val="en-US"/>
        </w:rPr>
        <w:t>,</w:t>
      </w:r>
      <w:r w:rsidRPr="003638D2">
        <w:rPr>
          <w:lang w:val="en-US"/>
        </w:rPr>
        <w:t xml:space="preserve"> healthy </w:t>
      </w:r>
      <w:r>
        <w:rPr>
          <w:lang w:val="en-US"/>
        </w:rPr>
        <w:t xml:space="preserve">and sustainable </w:t>
      </w:r>
      <w:r w:rsidRPr="003638D2">
        <w:rPr>
          <w:lang w:val="en-US"/>
        </w:rPr>
        <w:t>environment</w:t>
      </w:r>
    </w:p>
    <w:p w:rsidR="006D7155" w:rsidRDefault="009A4F78" w:rsidP="009A4F78">
      <w:pPr>
        <w:pStyle w:val="SingleTxtG"/>
        <w:rPr>
          <w:lang w:val="en-US"/>
        </w:rPr>
      </w:pPr>
      <w:r>
        <w:rPr>
          <w:lang w:val="en-US"/>
        </w:rPr>
        <w:t>32.</w:t>
      </w:r>
      <w:r>
        <w:rPr>
          <w:lang w:val="en-US"/>
        </w:rPr>
        <w:tab/>
      </w:r>
      <w:r w:rsidR="006D7155">
        <w:rPr>
          <w:lang w:val="en-US"/>
        </w:rPr>
        <w:t>T</w:t>
      </w:r>
      <w:r w:rsidR="006D7155" w:rsidRPr="009A7DB9">
        <w:rPr>
          <w:lang w:val="en-US"/>
        </w:rPr>
        <w:t>he 20</w:t>
      </w:r>
      <w:r w:rsidR="006D7155">
        <w:rPr>
          <w:lang w:val="en-US"/>
        </w:rPr>
        <w:t>20</w:t>
      </w:r>
      <w:r w:rsidR="006D7155" w:rsidRPr="009A7DB9">
        <w:rPr>
          <w:lang w:val="en-US"/>
        </w:rPr>
        <w:t xml:space="preserve"> Environmental Performance Index published by Yale and Columbia </w:t>
      </w:r>
      <w:r w:rsidR="006D7155">
        <w:rPr>
          <w:lang w:val="en-US"/>
        </w:rPr>
        <w:t>U</w:t>
      </w:r>
      <w:r w:rsidR="006D7155" w:rsidRPr="009A7DB9">
        <w:rPr>
          <w:lang w:val="en-US"/>
        </w:rPr>
        <w:t xml:space="preserve">niversities </w:t>
      </w:r>
      <w:r w:rsidR="006D7155">
        <w:rPr>
          <w:lang w:val="en-US"/>
        </w:rPr>
        <w:t>ranks Saint Vincent and the Grenadines</w:t>
      </w:r>
      <w:r w:rsidR="006D7155" w:rsidRPr="009A7DB9">
        <w:rPr>
          <w:lang w:val="en-US"/>
        </w:rPr>
        <w:t xml:space="preserve"> </w:t>
      </w:r>
      <w:r w:rsidR="006D7155" w:rsidRPr="00EF6A81">
        <w:rPr>
          <w:lang w:val="en-US"/>
        </w:rPr>
        <w:t xml:space="preserve">64th out of 180 nations.  According to that study, areas of strong performance include solid waste management, fisheries, ecosystem services, and greenhouse gas emissions. Areas that need improvement include biodiversity and habitat protection, heavy metals, and </w:t>
      </w:r>
      <w:r w:rsidR="006D7155">
        <w:rPr>
          <w:lang w:val="en-US"/>
        </w:rPr>
        <w:t>availability of water</w:t>
      </w:r>
      <w:r w:rsidR="006D7155" w:rsidRPr="009A7DB9">
        <w:rPr>
          <w:lang w:val="en-US"/>
        </w:rPr>
        <w:t xml:space="preserve">. </w:t>
      </w:r>
    </w:p>
    <w:p w:rsidR="006D7155" w:rsidRPr="00817B7F" w:rsidRDefault="009A4F78" w:rsidP="009A4F78">
      <w:pPr>
        <w:pStyle w:val="SingleTxtG"/>
        <w:rPr>
          <w:shd w:val="clear" w:color="auto" w:fill="FFFFFF"/>
        </w:rPr>
      </w:pPr>
      <w:r w:rsidRPr="00817B7F">
        <w:t>33.</w:t>
      </w:r>
      <w:r w:rsidRPr="00817B7F">
        <w:tab/>
      </w:r>
      <w:r w:rsidR="006D7155" w:rsidRPr="00817B7F">
        <w:rPr>
          <w:lang w:val="en-US"/>
        </w:rPr>
        <w:t xml:space="preserve">The World Health Organization estimates that environmental risk factors such as air pollution and water contamination contribute to </w:t>
      </w:r>
      <w:r w:rsidR="006D7155" w:rsidRPr="00F83FC6">
        <w:rPr>
          <w:lang w:val="en-US"/>
        </w:rPr>
        <w:t>140 deaths per year in Saint Vincent and the Grenadines, or approximately 15 per cent of total deaths.</w:t>
      </w:r>
      <w:r w:rsidR="006D7155" w:rsidRPr="00F83FC6">
        <w:rPr>
          <w:rStyle w:val="FootnoteReference"/>
          <w:lang w:val="en-US"/>
        </w:rPr>
        <w:footnoteReference w:id="28"/>
      </w:r>
      <w:r w:rsidR="006D7155" w:rsidRPr="00817B7F">
        <w:rPr>
          <w:lang w:val="en-US"/>
        </w:rPr>
        <w:t xml:space="preserve">  This compares favorably to most other countries, but these premature deaths could be prevented with stronger environmental laws and policies as well as increased implementation and enforcement.</w:t>
      </w:r>
    </w:p>
    <w:p w:rsidR="006D7155" w:rsidRPr="00E50E7D" w:rsidRDefault="009A4F78" w:rsidP="009A4F78">
      <w:pPr>
        <w:pStyle w:val="SingleTxtG"/>
        <w:rPr>
          <w:shd w:val="clear" w:color="auto" w:fill="FFFFFF"/>
        </w:rPr>
      </w:pPr>
      <w:r w:rsidRPr="00E50E7D">
        <w:t>34.</w:t>
      </w:r>
      <w:r w:rsidRPr="00E50E7D">
        <w:tab/>
      </w:r>
      <w:r w:rsidR="006D7155" w:rsidRPr="00817B7F">
        <w:rPr>
          <w:lang w:val="en-US"/>
        </w:rPr>
        <w:t xml:space="preserve">Rapid urbanization is leading to increased demand for housing, infrastructure and public services. The need for a comprehensive, coordinated and strategic regional and urban planning process is being addressed by the development of a </w:t>
      </w:r>
      <w:r w:rsidR="006D7155" w:rsidRPr="00D6022D">
        <w:rPr>
          <w:lang w:val="en-US"/>
        </w:rPr>
        <w:t>National Physical Development Plan</w:t>
      </w:r>
      <w:r w:rsidR="006D7155" w:rsidRPr="00817B7F">
        <w:rPr>
          <w:lang w:val="en-US"/>
        </w:rPr>
        <w:t>. Of particular concern from the perspective of environmental risks and human rights are urban sprawl, threats</w:t>
      </w:r>
      <w:r w:rsidR="006D7155">
        <w:rPr>
          <w:lang w:val="en-US"/>
        </w:rPr>
        <w:t xml:space="preserve"> t</w:t>
      </w:r>
      <w:r w:rsidR="006D7155" w:rsidRPr="00817B7F">
        <w:rPr>
          <w:lang w:val="en-US"/>
        </w:rPr>
        <w:t>o air quality and inadequate wastewater treatment infrastructure</w:t>
      </w:r>
      <w:r w:rsidR="006D7155">
        <w:rPr>
          <w:lang w:val="en-US"/>
        </w:rPr>
        <w:t>.</w:t>
      </w:r>
    </w:p>
    <w:p w:rsidR="006D7155" w:rsidRPr="00E50E7D" w:rsidRDefault="009A4F78" w:rsidP="009A4F78">
      <w:pPr>
        <w:pStyle w:val="SingleTxtG"/>
        <w:rPr>
          <w:shd w:val="clear" w:color="auto" w:fill="FFFFFF"/>
        </w:rPr>
      </w:pPr>
      <w:r w:rsidRPr="00E50E7D">
        <w:t>35.</w:t>
      </w:r>
      <w:r w:rsidRPr="00E50E7D">
        <w:tab/>
      </w:r>
      <w:r w:rsidR="006D7155">
        <w:rPr>
          <w:lang w:val="en-US"/>
        </w:rPr>
        <w:t xml:space="preserve">The </w:t>
      </w:r>
      <w:r w:rsidR="006D7155" w:rsidRPr="003638D2">
        <w:rPr>
          <w:lang w:val="en-US"/>
        </w:rPr>
        <w:t>right to a clean</w:t>
      </w:r>
      <w:r w:rsidR="006D7155">
        <w:rPr>
          <w:lang w:val="en-US"/>
        </w:rPr>
        <w:t>,</w:t>
      </w:r>
      <w:r w:rsidR="006D7155" w:rsidRPr="003638D2">
        <w:rPr>
          <w:lang w:val="en-US"/>
        </w:rPr>
        <w:t xml:space="preserve"> healthy</w:t>
      </w:r>
      <w:r w:rsidR="006D7155">
        <w:rPr>
          <w:lang w:val="en-US"/>
        </w:rPr>
        <w:t xml:space="preserve"> and sustainable</w:t>
      </w:r>
      <w:r w:rsidR="006D7155" w:rsidRPr="003638D2">
        <w:rPr>
          <w:lang w:val="en-US"/>
        </w:rPr>
        <w:t xml:space="preserve"> environment has both procedural and substantive elements. The procedural elements include the rights of access to environmental information, public participation in environmental assessments and decision-making, and access to justice and adequate remedies in cases where the right to a healthy environment is being threatened or violated. The substantive elements include a safe climate, clean air, safe </w:t>
      </w:r>
      <w:r w:rsidR="006D7155">
        <w:rPr>
          <w:lang w:val="en-US"/>
        </w:rPr>
        <w:t xml:space="preserve">and sufficient </w:t>
      </w:r>
      <w:r w:rsidR="006D7155" w:rsidRPr="003638D2">
        <w:rPr>
          <w:lang w:val="en-US"/>
        </w:rPr>
        <w:t>water and adequate sanitation, healthy and sustainably produced food, non-toxic environments in which to live, work, study and play, and healthy biodiversity and ecosystems</w:t>
      </w:r>
      <w:r w:rsidR="006D7155">
        <w:rPr>
          <w:lang w:val="en-US"/>
        </w:rPr>
        <w:t>.</w:t>
      </w:r>
    </w:p>
    <w:p w:rsidR="006D7155" w:rsidRPr="00E50E7D" w:rsidRDefault="009A4F78" w:rsidP="009A4F78">
      <w:pPr>
        <w:pStyle w:val="SingleTxtG"/>
        <w:rPr>
          <w:shd w:val="clear" w:color="auto" w:fill="FFFFFF"/>
        </w:rPr>
      </w:pPr>
      <w:r w:rsidRPr="00E50E7D">
        <w:t>36.</w:t>
      </w:r>
      <w:r w:rsidRPr="00E50E7D">
        <w:tab/>
      </w:r>
      <w:r w:rsidR="006D7155">
        <w:rPr>
          <w:lang w:val="en-US"/>
        </w:rPr>
        <w:t xml:space="preserve">At </w:t>
      </w:r>
      <w:r w:rsidR="006D7155" w:rsidRPr="003638D2">
        <w:rPr>
          <w:lang w:val="en-US"/>
        </w:rPr>
        <w:t xml:space="preserve">the same time that the full enjoyment of human rights depends upon a healthy environment, the exercise of human rights helps to ensure the protection of the environment. The free and full exercise of rights related to information, participation, and access to justice enables people to ensure that environmental policy is fair and effective. </w:t>
      </w:r>
      <w:r w:rsidR="006D7155" w:rsidRPr="00E50E7D">
        <w:rPr>
          <w:bCs/>
        </w:rPr>
        <w:t>States must pay attention to historical or persistent prejudice, recognize that environmental harm can result from and reinforce existing patterns of discrimination, and take measures against the conditions that cause or perpetuate discrimination. States should take measures to protect those who are at particular risk of environmental harm.</w:t>
      </w:r>
    </w:p>
    <w:p w:rsidR="006D7155" w:rsidRPr="00E50E7D" w:rsidRDefault="006D7155" w:rsidP="006D7155">
      <w:pPr>
        <w:pStyle w:val="H1G"/>
      </w:pPr>
      <w:r>
        <w:tab/>
        <w:t>A.</w:t>
      </w:r>
      <w:r>
        <w:tab/>
      </w:r>
      <w:r w:rsidRPr="00E50E7D">
        <w:t xml:space="preserve">Climate </w:t>
      </w:r>
      <w:r>
        <w:t>c</w:t>
      </w:r>
      <w:r w:rsidRPr="00E50E7D">
        <w:t xml:space="preserve">hange </w:t>
      </w:r>
      <w:r>
        <w:t>m</w:t>
      </w:r>
      <w:r w:rsidRPr="00E50E7D">
        <w:t xml:space="preserve">itigation and </w:t>
      </w:r>
      <w:r>
        <w:t>a</w:t>
      </w:r>
      <w:r w:rsidRPr="00E50E7D">
        <w:t>daptation</w:t>
      </w:r>
    </w:p>
    <w:p w:rsidR="006D7155" w:rsidRPr="0027061B" w:rsidRDefault="009A4F78" w:rsidP="009A4F78">
      <w:pPr>
        <w:pStyle w:val="SingleTxtG"/>
        <w:rPr>
          <w:shd w:val="clear" w:color="auto" w:fill="FFFFFF"/>
        </w:rPr>
      </w:pPr>
      <w:r w:rsidRPr="0027061B">
        <w:t>37.</w:t>
      </w:r>
      <w:r w:rsidRPr="0027061B">
        <w:tab/>
      </w:r>
      <w:r w:rsidR="006D7155">
        <w:rPr>
          <w:color w:val="000000"/>
        </w:rPr>
        <w:t xml:space="preserve">Saint Vincent </w:t>
      </w:r>
      <w:r w:rsidR="006D7155" w:rsidRPr="001F7259">
        <w:rPr>
          <w:color w:val="000000"/>
        </w:rPr>
        <w:t xml:space="preserve">and the Grenadines is </w:t>
      </w:r>
      <w:r w:rsidR="006D7155" w:rsidRPr="001F7259">
        <w:rPr>
          <w:color w:val="000000" w:themeColor="text1"/>
        </w:rPr>
        <w:t xml:space="preserve">implementing mitigation and adaptation actions domestically pursuant to its National Climate Change Policy, National Climate Strategy and Implementation Plan, and National Adaptation Plan. As Finance Minister Camillo </w:t>
      </w:r>
      <w:r w:rsidR="006D7155">
        <w:rPr>
          <w:color w:val="000000" w:themeColor="text1"/>
        </w:rPr>
        <w:t xml:space="preserve">M. </w:t>
      </w:r>
      <w:r w:rsidR="006D7155" w:rsidRPr="001F7259">
        <w:rPr>
          <w:color w:val="000000" w:themeColor="text1"/>
        </w:rPr>
        <w:t xml:space="preserve">Gonsalves noted in the most </w:t>
      </w:r>
      <w:r w:rsidR="006D7155" w:rsidRPr="001F7259">
        <w:rPr>
          <w:color w:val="000000" w:themeColor="text1"/>
        </w:rPr>
        <w:lastRenderedPageBreak/>
        <w:t xml:space="preserve">recent budget, “While we must continue our global advocacy for a future below 1.5°C, and while we must do our part to reduce our already miniscule emissions, we must also prepare as best we can for the likelihood that the world may become hotter and more dangerous than we can comfortably bear.” </w:t>
      </w:r>
      <w:r w:rsidR="006D7155">
        <w:rPr>
          <w:color w:val="000000" w:themeColor="text1"/>
        </w:rPr>
        <w:t>The six areas identified as mitigation priorities are energy, forests and carbon sinks, maritime affairs, tourism, transport and waste management.</w:t>
      </w:r>
      <w:r w:rsidR="006D7155">
        <w:rPr>
          <w:rStyle w:val="FootnoteReference"/>
          <w:color w:val="000000" w:themeColor="text1"/>
        </w:rPr>
        <w:footnoteReference w:id="29"/>
      </w:r>
      <w:r w:rsidR="006D7155">
        <w:rPr>
          <w:color w:val="000000" w:themeColor="text1"/>
        </w:rPr>
        <w:t xml:space="preserve"> The National Adaptation Plan aims to mainstream climate change adaptation into planning and budgeting across all economic sectors and both the public and private sectors. Adaptation priorities include agriculture, fisheries, resilient infrastructure, human health, education and a reliable water supply.</w:t>
      </w:r>
      <w:r w:rsidR="006D7155">
        <w:rPr>
          <w:rStyle w:val="FootnoteReference"/>
          <w:color w:val="000000" w:themeColor="text1"/>
        </w:rPr>
        <w:footnoteReference w:id="30"/>
      </w:r>
      <w:r w:rsidR="006D7155">
        <w:rPr>
          <w:color w:val="000000" w:themeColor="text1"/>
        </w:rPr>
        <w:t xml:space="preserve"> </w:t>
      </w:r>
    </w:p>
    <w:p w:rsidR="006D7155" w:rsidRDefault="009A4F78" w:rsidP="009A4F78">
      <w:pPr>
        <w:pStyle w:val="SingleTxtG"/>
        <w:rPr>
          <w:shd w:val="clear" w:color="auto" w:fill="FFFFFF"/>
        </w:rPr>
      </w:pPr>
      <w:r>
        <w:t>38.</w:t>
      </w:r>
      <w:r>
        <w:tab/>
      </w:r>
      <w:r w:rsidR="006D7155" w:rsidRPr="001F7259">
        <w:rPr>
          <w:color w:val="000000" w:themeColor="text1"/>
        </w:rPr>
        <w:t>Examples of actions taken include investments in coastal and river protection initiatives, climate-resilient infrastructure, solar energy and an ongoing effort to tap into the abundant geothermal energy of Saint Vincent. Budget 2021 contained almost $</w:t>
      </w:r>
      <w:r w:rsidR="006D7155">
        <w:rPr>
          <w:color w:val="000000" w:themeColor="text1"/>
        </w:rPr>
        <w:t>EC</w:t>
      </w:r>
      <w:r w:rsidR="006D7155" w:rsidRPr="001F7259">
        <w:rPr>
          <w:color w:val="000000" w:themeColor="text1"/>
        </w:rPr>
        <w:t>60 million in expenditure</w:t>
      </w:r>
      <w:r w:rsidR="006D7155">
        <w:rPr>
          <w:color w:val="000000" w:themeColor="text1"/>
        </w:rPr>
        <w:t>s</w:t>
      </w:r>
      <w:r w:rsidR="006D7155" w:rsidRPr="001F7259">
        <w:rPr>
          <w:color w:val="000000" w:themeColor="text1"/>
        </w:rPr>
        <w:t xml:space="preserve"> on climate change mitigation, adaptation and clean energy. The government should implement the various climate change-related recommendations made in the course of the recently completed Universal Periodic Review conducted by the Human Rights Council</w:t>
      </w:r>
      <w:r w:rsidR="006D7155">
        <w:rPr>
          <w:color w:val="000000" w:themeColor="text1"/>
        </w:rPr>
        <w:t>.</w:t>
      </w:r>
      <w:r w:rsidR="006D7155">
        <w:rPr>
          <w:rStyle w:val="FootnoteReference"/>
          <w:color w:val="000000" w:themeColor="text1"/>
        </w:rPr>
        <w:footnoteReference w:id="31"/>
      </w:r>
    </w:p>
    <w:p w:rsidR="006D7155" w:rsidRPr="005A4DF2" w:rsidRDefault="006D7155" w:rsidP="006D7155">
      <w:pPr>
        <w:pStyle w:val="SingleTxtG"/>
        <w:rPr>
          <w:rStyle w:val="Strong"/>
          <w:b w:val="0"/>
          <w:bCs w:val="0"/>
          <w:color w:val="000000" w:themeColor="text1"/>
        </w:rPr>
      </w:pPr>
      <w:r>
        <w:rPr>
          <w:color w:val="000000" w:themeColor="text1"/>
        </w:rPr>
        <w:t>39.</w:t>
      </w:r>
      <w:r>
        <w:rPr>
          <w:color w:val="000000" w:themeColor="text1"/>
        </w:rPr>
        <w:tab/>
      </w:r>
      <w:r w:rsidRPr="00E50E7D">
        <w:rPr>
          <w:color w:val="000000" w:themeColor="text1"/>
        </w:rPr>
        <w:t xml:space="preserve">Approximately 80 percent of the electricity on Saint Vincent and the Grenadines is generated by two power plants that burn diesel, 18 percent from three run-of-the-river hydro projects and 2 percent from solar. </w:t>
      </w:r>
      <w:r>
        <w:rPr>
          <w:color w:val="000000" w:themeColor="text1"/>
        </w:rPr>
        <w:t xml:space="preserve">The Special Rapporteur </w:t>
      </w:r>
      <w:r w:rsidRPr="00E50E7D">
        <w:rPr>
          <w:color w:val="000000" w:themeColor="text1"/>
        </w:rPr>
        <w:t xml:space="preserve">visited the Lowman’s Hill Power Plant, which appears to be well designed, well maintained and prioritizes spill prevention. However, burning fossil fuels is unsustainable and expensive at $US0.30-$US0.35 per kilowatt-hour. </w:t>
      </w:r>
      <w:r>
        <w:rPr>
          <w:color w:val="000000" w:themeColor="text1"/>
        </w:rPr>
        <w:t xml:space="preserve">The high level of dependence on diesel for electricity generation also creates economic vulnerability because of the instability of oil prices. </w:t>
      </w:r>
      <w:r w:rsidRPr="00E50E7D">
        <w:rPr>
          <w:color w:val="000000" w:themeColor="text1"/>
        </w:rPr>
        <w:t xml:space="preserve">For </w:t>
      </w:r>
      <w:r w:rsidRPr="006155A7">
        <w:rPr>
          <w:rStyle w:val="Strong"/>
          <w:b w:val="0"/>
          <w:color w:val="000000" w:themeColor="text1"/>
        </w:rPr>
        <w:t>Saint Vincent and the Grenadines to shift to renewables, combining solar, wind, hydro and possibly geothermal, would generate environmental benefits and lower electricity prices. Installed solar capacity more than quadrupled between 2016 and 2020.</w:t>
      </w:r>
      <w:r w:rsidRPr="006155A7">
        <w:rPr>
          <w:rStyle w:val="FootnoteReference"/>
          <w:b/>
          <w:bCs/>
          <w:color w:val="000000" w:themeColor="text1"/>
        </w:rPr>
        <w:footnoteReference w:id="32"/>
      </w:r>
      <w:r w:rsidRPr="006155A7">
        <w:rPr>
          <w:rStyle w:val="Strong"/>
          <w:b w:val="0"/>
          <w:color w:val="000000" w:themeColor="text1"/>
        </w:rPr>
        <w:t xml:space="preserve"> An impressive project is a 600kw solar facility with a 637kwh lithium-ion battery backup on Union Island in the Grenadines, which was financed by the United Arab Emirates.</w:t>
      </w:r>
      <w:r w:rsidRPr="005A4DF2">
        <w:rPr>
          <w:rStyle w:val="Strong"/>
          <w:color w:val="000000" w:themeColor="text1"/>
        </w:rPr>
        <w:t xml:space="preserve"> </w:t>
      </w:r>
    </w:p>
    <w:p w:rsidR="006D7155" w:rsidRPr="006155A7" w:rsidRDefault="006D7155" w:rsidP="006D7155">
      <w:pPr>
        <w:pStyle w:val="SingleTxtG"/>
        <w:rPr>
          <w:rStyle w:val="Strong"/>
          <w:b w:val="0"/>
          <w:bCs w:val="0"/>
          <w:color w:val="000000" w:themeColor="text1"/>
        </w:rPr>
      </w:pPr>
      <w:r w:rsidRPr="006155A7">
        <w:rPr>
          <w:rStyle w:val="Strong"/>
          <w:b w:val="0"/>
          <w:color w:val="000000" w:themeColor="text1"/>
        </w:rPr>
        <w:t>40.</w:t>
      </w:r>
      <w:r w:rsidRPr="006155A7">
        <w:rPr>
          <w:rStyle w:val="Strong"/>
          <w:b w:val="0"/>
          <w:color w:val="000000" w:themeColor="text1"/>
        </w:rPr>
        <w:tab/>
        <w:t>Deforestation not only contributes to climate change but can affect hydro production because rainfall runs off the land too quickly. Saint Vincent and the Grenadines is fortunate to have extensive forested landscapes, but a large area was badly damaged by the eruption of La Soufriere. Climate finance should be available to assist with the reforestation effort.</w:t>
      </w:r>
    </w:p>
    <w:p w:rsidR="006D7155" w:rsidRPr="005A4DF2" w:rsidRDefault="006D7155" w:rsidP="006D7155">
      <w:pPr>
        <w:pStyle w:val="SingleTxtG"/>
        <w:rPr>
          <w:rStyle w:val="Strong"/>
          <w:b w:val="0"/>
          <w:bCs w:val="0"/>
          <w:shd w:val="clear" w:color="auto" w:fill="FFFFFF"/>
        </w:rPr>
      </w:pPr>
      <w:r w:rsidRPr="006155A7">
        <w:rPr>
          <w:rStyle w:val="Strong"/>
          <w:b w:val="0"/>
          <w:color w:val="000000" w:themeColor="text1"/>
        </w:rPr>
        <w:t>41.</w:t>
      </w:r>
      <w:r w:rsidRPr="006155A7">
        <w:rPr>
          <w:rStyle w:val="Strong"/>
          <w:b w:val="0"/>
          <w:color w:val="000000" w:themeColor="text1"/>
        </w:rPr>
        <w:tab/>
        <w:t xml:space="preserve">The Special Rapporteur noted that a large number of buildings use heat pumps for cooling purposes, a wise choice given their substantial efficiency advantage over conventional air conditioning systems. Per capita electricity use in Saint Vincent and the Grenadines is low at 1,279 </w:t>
      </w:r>
      <w:r w:rsidR="001A24DD" w:rsidRPr="006155A7">
        <w:rPr>
          <w:rStyle w:val="Strong"/>
          <w:b w:val="0"/>
          <w:color w:val="000000" w:themeColor="text1"/>
        </w:rPr>
        <w:t>kWh</w:t>
      </w:r>
      <w:r w:rsidRPr="006155A7">
        <w:rPr>
          <w:rStyle w:val="Strong"/>
          <w:b w:val="0"/>
          <w:color w:val="000000" w:themeColor="text1"/>
        </w:rPr>
        <w:t xml:space="preserve"> per capita per year (compared to 3,316 kwh per capita per year for the global average).</w:t>
      </w:r>
      <w:r w:rsidRPr="005A4DF2">
        <w:rPr>
          <w:rStyle w:val="FootnoteReference"/>
          <w:color w:val="000000" w:themeColor="text1"/>
        </w:rPr>
        <w:footnoteReference w:id="33"/>
      </w:r>
    </w:p>
    <w:p w:rsidR="006D7155" w:rsidRDefault="006D7155" w:rsidP="006D7155">
      <w:pPr>
        <w:pStyle w:val="SingleTxtG"/>
        <w:rPr>
          <w:color w:val="000000" w:themeColor="text1"/>
        </w:rPr>
      </w:pPr>
      <w:r>
        <w:rPr>
          <w:color w:val="000000" w:themeColor="text1"/>
        </w:rPr>
        <w:t>42.</w:t>
      </w:r>
      <w:r>
        <w:rPr>
          <w:color w:val="000000" w:themeColor="text1"/>
        </w:rPr>
        <w:tab/>
      </w:r>
      <w:r w:rsidRPr="001F7259">
        <w:rPr>
          <w:color w:val="000000" w:themeColor="text1"/>
        </w:rPr>
        <w:t xml:space="preserve">Among the adaptation projects for which Saint Vincent and the Grenadines has received international support are the Coastal Protection for Climate Change Adaptation for Small Island States in the Caribbean Project, </w:t>
      </w:r>
      <w:r w:rsidRPr="001F7259">
        <w:rPr>
          <w:color w:val="000000" w:themeColor="text1"/>
        </w:rPr>
        <w:lastRenderedPageBreak/>
        <w:t>funded by Germany, the Japan-Caribbean Climate Change Partnership Project, and the Climate Change Adaptation Program. However,</w:t>
      </w:r>
      <w:r>
        <w:rPr>
          <w:color w:val="000000" w:themeColor="text1"/>
        </w:rPr>
        <w:t xml:space="preserve"> </w:t>
      </w:r>
      <w:r w:rsidRPr="001F7259">
        <w:rPr>
          <w:color w:val="000000" w:themeColor="text1"/>
        </w:rPr>
        <w:t>international climate and disaster risk reduction finance are not keeping pace with climate adaptation needs, and the countries with the very highest risk and lowest adaptive capacities, such as Saint Vincent and the Grenadines, are not being prioritized.</w:t>
      </w:r>
      <w:r>
        <w:rPr>
          <w:rStyle w:val="FootnoteReference"/>
          <w:color w:val="000000" w:themeColor="text1"/>
        </w:rPr>
        <w:footnoteReference w:id="34"/>
      </w:r>
      <w:r w:rsidRPr="001F7259">
        <w:rPr>
          <w:color w:val="000000" w:themeColor="text1"/>
        </w:rPr>
        <w:t xml:space="preserve"> In fact, less than 1 US dollar per person was made available for climate adaptation funding in high vulnerability countries. </w:t>
      </w:r>
    </w:p>
    <w:p w:rsidR="006D7155" w:rsidRPr="00343252" w:rsidRDefault="006D7155" w:rsidP="006D7155">
      <w:pPr>
        <w:pStyle w:val="SingleTxtG"/>
      </w:pPr>
      <w:r>
        <w:t>43.</w:t>
      </w:r>
      <w:r>
        <w:tab/>
        <w:t>Another problem is that some small island states are ineligible for certain types of climate finance and debt relief initiatives because of relatively high levels of per capita GDP.</w:t>
      </w:r>
      <w:r>
        <w:rPr>
          <w:rStyle w:val="FootnoteReference"/>
          <w:color w:val="000000" w:themeColor="text1"/>
        </w:rPr>
        <w:footnoteReference w:id="35"/>
      </w:r>
      <w:r>
        <w:t xml:space="preserve"> As noted by the UN Independent Expert on Foreign Debt, “</w:t>
      </w:r>
      <w:r w:rsidRPr="00DE3EB4">
        <w:t>The ability of States to respond is deeply unequal, leading to adverse range of negative impacts on economic and social development and on the</w:t>
      </w:r>
      <w:r>
        <w:t xml:space="preserve"> </w:t>
      </w:r>
      <w:r w:rsidRPr="00DE3EB4">
        <w:t>full enjoyment of all human rights. This is particularly concerning in low-income</w:t>
      </w:r>
      <w:r>
        <w:t xml:space="preserve"> </w:t>
      </w:r>
      <w:r w:rsidRPr="00DE3EB4">
        <w:t>countries, small island developing States and middle-income countries, which have</w:t>
      </w:r>
      <w:r>
        <w:t xml:space="preserve"> </w:t>
      </w:r>
      <w:r w:rsidRPr="00DE3EB4">
        <w:t>been excluded from initial debt service relief. The pandemic has revealed the starkest</w:t>
      </w:r>
      <w:r>
        <w:t xml:space="preserve"> </w:t>
      </w:r>
      <w:r w:rsidRPr="00DE3EB4">
        <w:t>dilemma: the choice between servicing creditors or protecting human rights, notably</w:t>
      </w:r>
      <w:r>
        <w:t xml:space="preserve"> </w:t>
      </w:r>
      <w:r w:rsidRPr="00DE3EB4">
        <w:t>the rights to life, health, food, education and social security</w:t>
      </w:r>
      <w:r>
        <w:t>.”</w:t>
      </w:r>
      <w:r>
        <w:rPr>
          <w:rStyle w:val="FootnoteReference"/>
        </w:rPr>
        <w:footnoteReference w:id="36"/>
      </w:r>
      <w:r>
        <w:t xml:space="preserve"> </w:t>
      </w:r>
      <w:r>
        <w:rPr>
          <w:color w:val="000000" w:themeColor="text1"/>
        </w:rPr>
        <w:t>Camillo M. Gonsalves, Minister of Finance, advocated forcefully for the use of a multi-dimensional vulnerability index to recognize the special circumstances and challenges faced by small island states and ensure access to climate finance and debt relief.</w:t>
      </w:r>
      <w:r>
        <w:rPr>
          <w:rStyle w:val="FootnoteReference"/>
          <w:color w:val="000000" w:themeColor="text1"/>
        </w:rPr>
        <w:footnoteReference w:id="37"/>
      </w:r>
      <w:r>
        <w:rPr>
          <w:color w:val="000000" w:themeColor="text1"/>
        </w:rPr>
        <w:t xml:space="preserve"> This concept is also being advanced by the Alliance of Small Island States and should be endorsed by the United Nations as a key step towards achieving climate justice.</w:t>
      </w:r>
      <w:r>
        <w:rPr>
          <w:rStyle w:val="FootnoteReference"/>
          <w:color w:val="000000" w:themeColor="text1"/>
        </w:rPr>
        <w:footnoteReference w:id="38"/>
      </w:r>
    </w:p>
    <w:p w:rsidR="006D7155" w:rsidRPr="00905D07" w:rsidRDefault="006D7155" w:rsidP="006D7155">
      <w:pPr>
        <w:pStyle w:val="H1G"/>
      </w:pPr>
      <w:r>
        <w:tab/>
      </w:r>
      <w:r w:rsidRPr="00905D07">
        <w:t>B.</w:t>
      </w:r>
      <w:r>
        <w:tab/>
      </w:r>
      <w:r w:rsidRPr="00905D07">
        <w:t xml:space="preserve">Safe, </w:t>
      </w:r>
      <w:r>
        <w:t>s</w:t>
      </w:r>
      <w:r w:rsidRPr="00905D07">
        <w:t xml:space="preserve">ufficient </w:t>
      </w:r>
      <w:r>
        <w:t>w</w:t>
      </w:r>
      <w:r w:rsidRPr="00905D07">
        <w:t xml:space="preserve">ater and </w:t>
      </w:r>
      <w:r>
        <w:t>a</w:t>
      </w:r>
      <w:r w:rsidRPr="00905D07">
        <w:t xml:space="preserve">dequate </w:t>
      </w:r>
      <w:r>
        <w:t>s</w:t>
      </w:r>
      <w:r w:rsidRPr="00905D07">
        <w:t>anitation</w:t>
      </w:r>
    </w:p>
    <w:p w:rsidR="006D7155" w:rsidRPr="001F7259" w:rsidRDefault="006D7155" w:rsidP="006D7155">
      <w:pPr>
        <w:pStyle w:val="SingleTxtG"/>
        <w:rPr>
          <w:shd w:val="clear" w:color="auto" w:fill="FFFFFF"/>
        </w:rPr>
      </w:pPr>
      <w:r>
        <w:rPr>
          <w:color w:val="000000"/>
        </w:rPr>
        <w:t>44.</w:t>
      </w:r>
      <w:r>
        <w:rPr>
          <w:color w:val="000000"/>
        </w:rPr>
        <w:tab/>
      </w:r>
      <w:r w:rsidRPr="001F7259">
        <w:rPr>
          <w:color w:val="000000"/>
        </w:rPr>
        <w:t>Thanks to the efforts of the Central Water and Sew</w:t>
      </w:r>
      <w:r>
        <w:rPr>
          <w:color w:val="000000"/>
        </w:rPr>
        <w:t>er</w:t>
      </w:r>
      <w:r w:rsidRPr="001F7259">
        <w:rPr>
          <w:color w:val="000000"/>
        </w:rPr>
        <w:t>age Authority, safe, clean water is accessible via piped service for 95 percent of residents in Saint Vincent and the Grenadines, up from 93 percent in 2000.</w:t>
      </w:r>
      <w:r>
        <w:rPr>
          <w:rStyle w:val="FootnoteReference"/>
          <w:color w:val="000000"/>
        </w:rPr>
        <w:footnoteReference w:id="39"/>
      </w:r>
      <w:r w:rsidRPr="001F7259">
        <w:rPr>
          <w:color w:val="000000"/>
        </w:rPr>
        <w:t xml:space="preserve"> Some </w:t>
      </w:r>
      <w:r>
        <w:rPr>
          <w:color w:val="000000"/>
        </w:rPr>
        <w:t>individuals</w:t>
      </w:r>
      <w:r w:rsidRPr="001F7259">
        <w:rPr>
          <w:color w:val="000000"/>
        </w:rPr>
        <w:t xml:space="preserve"> expressed concerns that their water appears very muddy every time there is a major rainfall. Turbidity increases the risk of waterborne illness. </w:t>
      </w:r>
    </w:p>
    <w:p w:rsidR="006D7155" w:rsidRPr="001F7259" w:rsidRDefault="006D7155" w:rsidP="006D7155">
      <w:pPr>
        <w:pStyle w:val="SingleTxtG"/>
        <w:rPr>
          <w:shd w:val="clear" w:color="auto" w:fill="FFFFFF"/>
        </w:rPr>
      </w:pPr>
      <w:r>
        <w:rPr>
          <w:color w:val="000000"/>
        </w:rPr>
        <w:t>45.</w:t>
      </w:r>
      <w:r>
        <w:rPr>
          <w:color w:val="000000"/>
        </w:rPr>
        <w:tab/>
        <w:t>Several</w:t>
      </w:r>
      <w:r w:rsidRPr="001F7259">
        <w:rPr>
          <w:color w:val="000000"/>
        </w:rPr>
        <w:t xml:space="preserve"> </w:t>
      </w:r>
      <w:r>
        <w:rPr>
          <w:color w:val="000000"/>
        </w:rPr>
        <w:t>individuals</w:t>
      </w:r>
      <w:r w:rsidRPr="001F7259">
        <w:rPr>
          <w:color w:val="000000"/>
        </w:rPr>
        <w:t xml:space="preserve"> expressed concerns </w:t>
      </w:r>
      <w:r>
        <w:rPr>
          <w:color w:val="000000"/>
        </w:rPr>
        <w:t xml:space="preserve">to the Special Rapporteur </w:t>
      </w:r>
      <w:r w:rsidRPr="001F7259">
        <w:rPr>
          <w:color w:val="000000"/>
        </w:rPr>
        <w:t>about water services being cut off for poor households due to non</w:t>
      </w:r>
      <w:r>
        <w:rPr>
          <w:color w:val="000000"/>
        </w:rPr>
        <w:t>-</w:t>
      </w:r>
      <w:r w:rsidRPr="001F7259">
        <w:rPr>
          <w:color w:val="000000"/>
        </w:rPr>
        <w:t>payment. This is not consistent with the government’s human rights obligations</w:t>
      </w:r>
      <w:r>
        <w:rPr>
          <w:color w:val="000000"/>
        </w:rPr>
        <w:t>, including the obligation of non-discrimination</w:t>
      </w:r>
      <w:r w:rsidRPr="001F7259">
        <w:rPr>
          <w:color w:val="000000"/>
        </w:rPr>
        <w:t>. Poor water quality and limited water availability have disproportionate impacts on women because women are primarily responsible for cooking, cleaning, laundry, and bathing young children, as well as caring for family members who are ill.</w:t>
      </w:r>
    </w:p>
    <w:p w:rsidR="006D7155" w:rsidRPr="001F7259" w:rsidRDefault="006D7155" w:rsidP="006D7155">
      <w:pPr>
        <w:pStyle w:val="SingleTxtG"/>
        <w:rPr>
          <w:shd w:val="clear" w:color="auto" w:fill="FFFFFF"/>
        </w:rPr>
      </w:pPr>
      <w:r>
        <w:rPr>
          <w:color w:val="000000"/>
        </w:rPr>
        <w:t>46.</w:t>
      </w:r>
      <w:r>
        <w:rPr>
          <w:color w:val="000000"/>
        </w:rPr>
        <w:tab/>
      </w:r>
      <w:r w:rsidRPr="001F7259">
        <w:rPr>
          <w:color w:val="000000"/>
        </w:rPr>
        <w:t>The security of the water supply is threatened by natural disasters and changes attributable to climate change, including droughts that have led to water rationing as well as intense rainfall and storms that damage infrastructure. When rebuilding the water system infrastructure, extra time and expense has been invested in ensuring that it is climate resilient and able to withstand future disasters</w:t>
      </w:r>
      <w:r>
        <w:rPr>
          <w:color w:val="000000"/>
        </w:rPr>
        <w:t>.</w:t>
      </w:r>
    </w:p>
    <w:p w:rsidR="006D7155" w:rsidRPr="001F7259" w:rsidRDefault="006D7155" w:rsidP="006D7155">
      <w:pPr>
        <w:pStyle w:val="SingleTxtG"/>
        <w:rPr>
          <w:shd w:val="clear" w:color="auto" w:fill="FFFFFF"/>
        </w:rPr>
      </w:pPr>
      <w:r>
        <w:rPr>
          <w:color w:val="000000"/>
        </w:rPr>
        <w:t>47.</w:t>
      </w:r>
      <w:r>
        <w:rPr>
          <w:color w:val="000000"/>
        </w:rPr>
        <w:tab/>
      </w:r>
      <w:r w:rsidRPr="001F7259">
        <w:rPr>
          <w:color w:val="000000"/>
        </w:rPr>
        <w:t xml:space="preserve">Polluted water threatens both human and ecosystem health. There is one central sewage plant in Kingstown that discharges raw, untreated sewage into </w:t>
      </w:r>
      <w:r w:rsidRPr="001F7259">
        <w:rPr>
          <w:color w:val="000000"/>
        </w:rPr>
        <w:lastRenderedPageBreak/>
        <w:t xml:space="preserve">the ocean through an outfall pipe. Although government officials indicated they were unaware of negative environmental impacts caused by this approach, an independent study would be useful. Most other households use septic tanks, which can contaminate groundwater unless properly managed. An education and monitoring program is warranted for these households. </w:t>
      </w:r>
    </w:p>
    <w:p w:rsidR="006D7155" w:rsidRPr="001F7259" w:rsidRDefault="006D7155" w:rsidP="006D7155">
      <w:pPr>
        <w:pStyle w:val="SingleTxtG"/>
        <w:rPr>
          <w:shd w:val="clear" w:color="auto" w:fill="FFFFFF"/>
        </w:rPr>
      </w:pPr>
      <w:r>
        <w:rPr>
          <w:color w:val="000000"/>
        </w:rPr>
        <w:t>48.</w:t>
      </w:r>
      <w:r>
        <w:rPr>
          <w:color w:val="000000"/>
        </w:rPr>
        <w:tab/>
      </w:r>
      <w:r w:rsidRPr="001F7259">
        <w:rPr>
          <w:color w:val="000000"/>
        </w:rPr>
        <w:t>There are some informal settlements in Saint Vincent and the Grenadines. These are areas that often lie on the outskirts of communities, have not been subject to zoning or planning, and are particularly vulnerable to climate change. Housing quality is poor, increasing vulnerability to climate-related natural disasters, and access to water and sanitation is limited, leading to pollution. The World Health Organization/UNICEF Joint Monitoring Programme estimated that 3</w:t>
      </w:r>
      <w:r>
        <w:rPr>
          <w:color w:val="000000"/>
        </w:rPr>
        <w:t xml:space="preserve"> percent</w:t>
      </w:r>
      <w:r w:rsidRPr="001F7259">
        <w:rPr>
          <w:color w:val="000000"/>
        </w:rPr>
        <w:t xml:space="preserve"> of the population may still be relying on open defecation because of lack of access to toilet facilities.</w:t>
      </w:r>
      <w:r>
        <w:rPr>
          <w:rStyle w:val="FootnoteReference"/>
          <w:color w:val="000000"/>
        </w:rPr>
        <w:footnoteReference w:id="40"/>
      </w:r>
      <w:r w:rsidRPr="001F7259">
        <w:rPr>
          <w:color w:val="000000"/>
        </w:rPr>
        <w:t xml:space="preserve"> The government is attempting to assist residents living in these challenging situations. </w:t>
      </w:r>
    </w:p>
    <w:p w:rsidR="006D7155" w:rsidRPr="001F7259" w:rsidRDefault="006D7155" w:rsidP="006D7155">
      <w:pPr>
        <w:pStyle w:val="SingleTxtG"/>
        <w:rPr>
          <w:shd w:val="clear" w:color="auto" w:fill="FFFFFF"/>
        </w:rPr>
      </w:pPr>
      <w:r>
        <w:rPr>
          <w:color w:val="000000"/>
        </w:rPr>
        <w:t>49.</w:t>
      </w:r>
      <w:r>
        <w:rPr>
          <w:color w:val="000000"/>
        </w:rPr>
        <w:tab/>
        <w:t>The Special Rapporteur</w:t>
      </w:r>
      <w:r w:rsidRPr="001F7259">
        <w:rPr>
          <w:color w:val="000000"/>
        </w:rPr>
        <w:t xml:space="preserve"> visited a community beside the port in Kingstown living in very rough conditions that is being relocated to superior housing in an area nearby. It is vital to ensure the rights of local residents are respected in all relocation projects, through information, consultation, and participation related to the decision-making process.</w:t>
      </w:r>
      <w:r>
        <w:rPr>
          <w:rStyle w:val="FootnoteReference"/>
          <w:color w:val="000000"/>
        </w:rPr>
        <w:footnoteReference w:id="41"/>
      </w:r>
    </w:p>
    <w:p w:rsidR="006D7155" w:rsidRPr="001F7259" w:rsidRDefault="006D7155" w:rsidP="006D7155">
      <w:pPr>
        <w:pStyle w:val="SingleTxtG"/>
        <w:rPr>
          <w:shd w:val="clear" w:color="auto" w:fill="FFFFFF"/>
        </w:rPr>
      </w:pPr>
      <w:r>
        <w:rPr>
          <w:color w:val="000000"/>
        </w:rPr>
        <w:t>50.</w:t>
      </w:r>
      <w:r>
        <w:rPr>
          <w:color w:val="000000"/>
        </w:rPr>
        <w:tab/>
      </w:r>
      <w:r w:rsidRPr="001F7259">
        <w:rPr>
          <w:color w:val="000000"/>
        </w:rPr>
        <w:t xml:space="preserve">On Bequia and other Grenadine islands, most water is provided by rainwater catchment and storage tanks. The increasing length of the dry season and increasingly erratic rainfall are exacerbating water stress and scarcity. </w:t>
      </w:r>
      <w:r>
        <w:rPr>
          <w:color w:val="000000"/>
        </w:rPr>
        <w:t xml:space="preserve">The Special Rapporteur </w:t>
      </w:r>
      <w:r w:rsidRPr="001F7259">
        <w:rPr>
          <w:color w:val="000000"/>
        </w:rPr>
        <w:t>received reports that people were unable to wash their hands for the recommended 20 seconds during the COVID-19 pandemic because of water shortages. Bequia does have one large desalination plant at Paget Farm</w:t>
      </w:r>
      <w:r>
        <w:rPr>
          <w:color w:val="000000"/>
        </w:rPr>
        <w:t xml:space="preserve"> (including a 70kW solar photovoltaic system)</w:t>
      </w:r>
      <w:r w:rsidRPr="001F7259">
        <w:rPr>
          <w:color w:val="000000"/>
        </w:rPr>
        <w:t xml:space="preserve">, but this is an expensive solution that creates additional environmental challenges. Action Bequia, a civil society organization, is operating an excellent project to assist low-income residents to increase rainwater storage. </w:t>
      </w:r>
    </w:p>
    <w:p w:rsidR="006D7155" w:rsidRPr="00905D07" w:rsidRDefault="006D7155" w:rsidP="006D7155">
      <w:pPr>
        <w:pStyle w:val="H1G"/>
      </w:pPr>
      <w:r>
        <w:tab/>
        <w:t>C.</w:t>
      </w:r>
      <w:r>
        <w:tab/>
      </w:r>
      <w:r w:rsidRPr="00905D07">
        <w:t xml:space="preserve">Clean </w:t>
      </w:r>
      <w:r>
        <w:t>a</w:t>
      </w:r>
      <w:r w:rsidRPr="00905D07">
        <w:t xml:space="preserve">ir </w:t>
      </w:r>
    </w:p>
    <w:p w:rsidR="006D7155" w:rsidRPr="001F7259" w:rsidRDefault="006D7155" w:rsidP="006D7155">
      <w:pPr>
        <w:pStyle w:val="SingleTxtG"/>
        <w:rPr>
          <w:shd w:val="clear" w:color="auto" w:fill="FFFFFF"/>
        </w:rPr>
      </w:pPr>
      <w:r>
        <w:rPr>
          <w:color w:val="000000" w:themeColor="text1"/>
        </w:rPr>
        <w:t>51.</w:t>
      </w:r>
      <w:r>
        <w:rPr>
          <w:color w:val="000000" w:themeColor="text1"/>
        </w:rPr>
        <w:tab/>
      </w:r>
      <w:r w:rsidRPr="001F7259">
        <w:rPr>
          <w:color w:val="000000" w:themeColor="text1"/>
        </w:rPr>
        <w:t xml:space="preserve">Air quality in </w:t>
      </w:r>
      <w:r w:rsidRPr="006155A7">
        <w:rPr>
          <w:rStyle w:val="Strong"/>
          <w:b w:val="0"/>
          <w:color w:val="000000" w:themeColor="text1"/>
        </w:rPr>
        <w:t>Saint Vincent and the Grenadines</w:t>
      </w:r>
      <w:r w:rsidRPr="001F7259">
        <w:rPr>
          <w:color w:val="000000" w:themeColor="text1"/>
        </w:rPr>
        <w:t xml:space="preserve"> is generally excellent, fulfilling people’s right to breathe clean air. However, </w:t>
      </w:r>
      <w:r>
        <w:rPr>
          <w:color w:val="000000" w:themeColor="text1"/>
        </w:rPr>
        <w:t xml:space="preserve">the </w:t>
      </w:r>
      <w:r>
        <w:rPr>
          <w:color w:val="000000"/>
        </w:rPr>
        <w:t>Special Rapporteur</w:t>
      </w:r>
      <w:r w:rsidRPr="001F7259">
        <w:rPr>
          <w:color w:val="000000" w:themeColor="text1"/>
        </w:rPr>
        <w:t xml:space="preserve"> ha</w:t>
      </w:r>
      <w:r>
        <w:rPr>
          <w:color w:val="000000" w:themeColor="text1"/>
        </w:rPr>
        <w:t>s</w:t>
      </w:r>
      <w:r w:rsidRPr="001F7259">
        <w:rPr>
          <w:color w:val="000000" w:themeColor="text1"/>
        </w:rPr>
        <w:t xml:space="preserve"> several important concerns. First, several people mentioned that rates of asthma are increasing. Second, </w:t>
      </w:r>
      <w:r w:rsidRPr="006155A7">
        <w:rPr>
          <w:rStyle w:val="Strong"/>
          <w:b w:val="0"/>
          <w:color w:val="000000" w:themeColor="text1"/>
        </w:rPr>
        <w:t>Saint Vincent and the Grenadines</w:t>
      </w:r>
      <w:r w:rsidRPr="001F7259">
        <w:rPr>
          <w:color w:val="000000" w:themeColor="text1"/>
        </w:rPr>
        <w:t xml:space="preserve"> only recently established a pilot project for monitoring air quality, does not yet have air quality standards, and does not have a daily air quality </w:t>
      </w:r>
      <w:r>
        <w:rPr>
          <w:color w:val="000000" w:themeColor="text1"/>
        </w:rPr>
        <w:t>index that is easily accessible to the public (e.g. as part of the daily weather report)</w:t>
      </w:r>
      <w:r w:rsidRPr="001F7259">
        <w:rPr>
          <w:color w:val="000000" w:themeColor="text1"/>
        </w:rPr>
        <w:t>. Several people mentioned dangerously poor air quality caused by dust storms from the Sahara Desert that cross the Atlantic Ocean</w:t>
      </w:r>
      <w:r>
        <w:rPr>
          <w:color w:val="000000" w:themeColor="text1"/>
        </w:rPr>
        <w:t>, hitting Saint Vincent in both 2020 and 2021</w:t>
      </w:r>
      <w:r w:rsidRPr="001F7259">
        <w:rPr>
          <w:color w:val="000000" w:themeColor="text1"/>
        </w:rPr>
        <w:t xml:space="preserve">. </w:t>
      </w:r>
      <w:r>
        <w:rPr>
          <w:color w:val="000000" w:themeColor="text1"/>
        </w:rPr>
        <w:t xml:space="preserve">The government has issued public advisories in response to these threats. </w:t>
      </w:r>
      <w:r w:rsidRPr="001F7259">
        <w:rPr>
          <w:color w:val="000000" w:themeColor="text1"/>
        </w:rPr>
        <w:t xml:space="preserve">Third, populations living in close proximity to the main sources of air pollution </w:t>
      </w:r>
      <w:r w:rsidRPr="006155A7">
        <w:rPr>
          <w:b/>
          <w:color w:val="000000" w:themeColor="text1"/>
        </w:rPr>
        <w:t xml:space="preserve">in </w:t>
      </w:r>
      <w:r w:rsidRPr="006155A7">
        <w:rPr>
          <w:rStyle w:val="Strong"/>
          <w:b w:val="0"/>
          <w:color w:val="000000" w:themeColor="text1"/>
        </w:rPr>
        <w:t>Saint Vincent and the Grenadines</w:t>
      </w:r>
      <w:r w:rsidRPr="001F7259">
        <w:rPr>
          <w:color w:val="000000" w:themeColor="text1"/>
        </w:rPr>
        <w:t xml:space="preserve"> (i.e. vehicle emissions on busy roads and emissions from two power plants that burn fossil fuels) may suffer disproportionate exposure to air pollution. In both of these cases, the people suffering adverse impacts on their health and human rights because of air pollution are also likely to be living in poverty. </w:t>
      </w:r>
    </w:p>
    <w:p w:rsidR="006D7155" w:rsidRPr="001F7259" w:rsidRDefault="006D7155" w:rsidP="006D7155">
      <w:pPr>
        <w:pStyle w:val="SingleTxtG"/>
        <w:rPr>
          <w:rStyle w:val="Strong"/>
          <w:b w:val="0"/>
          <w:bCs w:val="0"/>
          <w:shd w:val="clear" w:color="auto" w:fill="FFFFFF"/>
        </w:rPr>
      </w:pPr>
      <w:r>
        <w:rPr>
          <w:color w:val="000000" w:themeColor="text1"/>
        </w:rPr>
        <w:t>52.</w:t>
      </w:r>
      <w:r>
        <w:rPr>
          <w:color w:val="000000" w:themeColor="text1"/>
        </w:rPr>
        <w:tab/>
      </w:r>
      <w:r w:rsidRPr="001F7259">
        <w:rPr>
          <w:color w:val="000000" w:themeColor="text1"/>
        </w:rPr>
        <w:t xml:space="preserve">Globally, air pollution is the largest environmental risk factor for human health, contributing to seven million premature deaths annually. According to </w:t>
      </w:r>
      <w:r w:rsidRPr="001F7259">
        <w:rPr>
          <w:color w:val="000000" w:themeColor="text1"/>
        </w:rPr>
        <w:lastRenderedPageBreak/>
        <w:t xml:space="preserve">State of Global Air 2020, air pollution causes approximately 66 premature deaths per year in </w:t>
      </w:r>
      <w:r w:rsidRPr="006155A7">
        <w:rPr>
          <w:rStyle w:val="Strong"/>
          <w:b w:val="0"/>
          <w:color w:val="000000" w:themeColor="text1"/>
        </w:rPr>
        <w:t>Saint Vincent and the Grenadines.</w:t>
      </w:r>
      <w:r w:rsidRPr="009503D6">
        <w:rPr>
          <w:rStyle w:val="FootnoteReference"/>
          <w:color w:val="000000" w:themeColor="text1"/>
        </w:rPr>
        <w:footnoteReference w:id="42"/>
      </w:r>
    </w:p>
    <w:p w:rsidR="006D7155" w:rsidRPr="006155A7" w:rsidRDefault="006D7155" w:rsidP="006D7155">
      <w:pPr>
        <w:pStyle w:val="SingleTxtG"/>
        <w:rPr>
          <w:rStyle w:val="Strong"/>
          <w:b w:val="0"/>
          <w:bCs w:val="0"/>
          <w:color w:val="000000" w:themeColor="text1"/>
        </w:rPr>
      </w:pPr>
      <w:r>
        <w:rPr>
          <w:color w:val="000000" w:themeColor="text1"/>
        </w:rPr>
        <w:t>53.</w:t>
      </w:r>
      <w:r>
        <w:rPr>
          <w:color w:val="000000" w:themeColor="text1"/>
        </w:rPr>
        <w:tab/>
      </w:r>
      <w:r w:rsidRPr="001F7259">
        <w:rPr>
          <w:color w:val="000000" w:themeColor="text1"/>
        </w:rPr>
        <w:t xml:space="preserve">It should also be noted that black carbon (from diesel vehicles, fossil fuel burning power plants, and open burning) is not only a harmful air pollutant but also a powerful greenhouse gas that contributes to climate change. Overall, reducing emissions from motor vehicles and the two power plants should be the top air quality priority for </w:t>
      </w:r>
      <w:r w:rsidRPr="006155A7">
        <w:rPr>
          <w:rStyle w:val="Strong"/>
          <w:b w:val="0"/>
          <w:color w:val="000000" w:themeColor="text1"/>
        </w:rPr>
        <w:t>Saint Vincent and the Grenadines, as well as providing public alerts about poor air quality as part of the weather forecasting service. Policies should encourage imports of newer vehicles and discourage or disallow the import of older vehicles and vehicles with diesel engines (as the latter generate more air pollution).</w:t>
      </w:r>
    </w:p>
    <w:p w:rsidR="006D7155" w:rsidRPr="006056DD" w:rsidRDefault="006D7155" w:rsidP="006D7155">
      <w:pPr>
        <w:pStyle w:val="H1G"/>
        <w:rPr>
          <w:rStyle w:val="Strong"/>
          <w:bCs w:val="0"/>
          <w:color w:val="000000"/>
        </w:rPr>
      </w:pPr>
      <w:r>
        <w:tab/>
      </w:r>
      <w:r w:rsidRPr="006056DD">
        <w:t>D.</w:t>
      </w:r>
      <w:r>
        <w:tab/>
      </w:r>
      <w:r w:rsidRPr="006056DD">
        <w:t>Solid waste management</w:t>
      </w:r>
    </w:p>
    <w:p w:rsidR="006D7155" w:rsidRPr="00EC369A" w:rsidRDefault="006D7155" w:rsidP="006D7155">
      <w:pPr>
        <w:pStyle w:val="SingleTxtG"/>
        <w:rPr>
          <w:shd w:val="clear" w:color="auto" w:fill="FFFFFF"/>
        </w:rPr>
      </w:pPr>
      <w:r>
        <w:t>54.</w:t>
      </w:r>
      <w:r>
        <w:tab/>
      </w:r>
      <w:r w:rsidRPr="00D61F25">
        <w:t xml:space="preserve">For Small Island States, </w:t>
      </w:r>
      <w:r>
        <w:t xml:space="preserve">solid </w:t>
      </w:r>
      <w:r w:rsidRPr="00D61F25">
        <w:t xml:space="preserve">waste management </w:t>
      </w:r>
      <w:r>
        <w:t>can be</w:t>
      </w:r>
      <w:r w:rsidRPr="00D61F25">
        <w:t xml:space="preserve"> a major challenge. To its credit, the Government </w:t>
      </w:r>
      <w:r w:rsidRPr="001F7259">
        <w:rPr>
          <w:color w:val="000000"/>
        </w:rPr>
        <w:t xml:space="preserve">provides weekly garbage collection service to all residents on Saint Vincent, </w:t>
      </w:r>
      <w:r>
        <w:rPr>
          <w:color w:val="000000"/>
        </w:rPr>
        <w:t xml:space="preserve">as well as semi-annual collection of white goods (fridges, dryers, etc.). The success of the solid waste management program on Saint Vincent and the Grenadines dates back to a smart policy decision made roughly twenty years ago, when the Government decided to place the responsible department within the Central Water and Sewage Authority. This streamlined administration, but more importantly provided an easy means to bill customers on a monthly basis through a </w:t>
      </w:r>
      <w:r w:rsidRPr="001F7259">
        <w:rPr>
          <w:color w:val="000000"/>
        </w:rPr>
        <w:t xml:space="preserve">small levy on household water bills. </w:t>
      </w:r>
      <w:r>
        <w:rPr>
          <w:color w:val="000000"/>
        </w:rPr>
        <w:t>This levy provides sustainable funding for the waste management program.</w:t>
      </w:r>
    </w:p>
    <w:p w:rsidR="006D7155" w:rsidRPr="001F7259" w:rsidRDefault="006D7155" w:rsidP="006D7155">
      <w:pPr>
        <w:pStyle w:val="SingleTxtG"/>
        <w:rPr>
          <w:shd w:val="clear" w:color="auto" w:fill="FFFFFF"/>
        </w:rPr>
      </w:pPr>
      <w:r>
        <w:t>55.</w:t>
      </w:r>
      <w:r>
        <w:tab/>
        <w:t xml:space="preserve">The two main landfills on Saint Vincent were built twenty years ago as part of a regional solid waste management project funded by the World Bank, European Union and Caribbean Development Bank. </w:t>
      </w:r>
      <w:r>
        <w:rPr>
          <w:color w:val="000000"/>
        </w:rPr>
        <w:t>The Special Rapporteur</w:t>
      </w:r>
      <w:r w:rsidRPr="00D61F25">
        <w:t xml:space="preserve"> visited the Diamond Sanitary landfill on Saint Vincent. It appears to be a well-run facility, fenced off to the public and policed by security guards, with scrap metal separated for crushing, earth covering the garbage, and compost being processed to be </w:t>
      </w:r>
      <w:r>
        <w:t>used</w:t>
      </w:r>
      <w:r w:rsidRPr="00D61F25">
        <w:t xml:space="preserve"> as fertilizer. There was no foul odour or flies. </w:t>
      </w:r>
      <w:r>
        <w:t xml:space="preserve">Although no liner was used in the construction, leachate from the landfill is routed to a pond for natural treatment. </w:t>
      </w:r>
      <w:r w:rsidRPr="00D61F25">
        <w:t>The landfill on Bequia appears to be less well managed, with a foul odour, flies, and open access to the public.</w:t>
      </w:r>
    </w:p>
    <w:p w:rsidR="006D7155" w:rsidRPr="00EC369A" w:rsidRDefault="006D7155" w:rsidP="006D7155">
      <w:pPr>
        <w:pStyle w:val="SingleTxtG"/>
        <w:rPr>
          <w:shd w:val="clear" w:color="auto" w:fill="FFFFFF"/>
        </w:rPr>
      </w:pPr>
      <w:r>
        <w:rPr>
          <w:color w:val="000000"/>
        </w:rPr>
        <w:t>56.</w:t>
      </w:r>
      <w:r>
        <w:rPr>
          <w:color w:val="000000"/>
        </w:rPr>
        <w:tab/>
      </w:r>
      <w:r w:rsidRPr="001F7259">
        <w:rPr>
          <w:color w:val="000000"/>
        </w:rPr>
        <w:t>To begin addressing the problem of plastic pollution, there is a ban on Styrofoam and several single use plastic products.</w:t>
      </w:r>
      <w:r w:rsidRPr="00D61F25">
        <w:rPr>
          <w:rStyle w:val="FootnoteReference"/>
          <w:color w:val="000000"/>
        </w:rPr>
        <w:footnoteReference w:id="43"/>
      </w:r>
      <w:r w:rsidRPr="001F7259">
        <w:rPr>
          <w:color w:val="000000"/>
        </w:rPr>
        <w:t xml:space="preserve"> Since 2013, a public-private</w:t>
      </w:r>
      <w:r w:rsidRPr="00D61F25">
        <w:t xml:space="preserve"> partnership involving All Islands Recycling Inc and financed pursuant to the Environmental Levy Act of 1991 has collected more than </w:t>
      </w:r>
      <w:r>
        <w:t>42</w:t>
      </w:r>
      <w:r w:rsidRPr="00D61F25">
        <w:t xml:space="preserve"> million plastic bottles and </w:t>
      </w:r>
      <w:r w:rsidR="001A24DD" w:rsidRPr="00D61F25">
        <w:t>aluminium</w:t>
      </w:r>
      <w:r w:rsidRPr="00D61F25">
        <w:t xml:space="preserve"> tins for recycling. A deposit-refund policy alleviates poverty by supporting low-income individuals (sixty percent of whom are women)</w:t>
      </w:r>
      <w:r>
        <w:t xml:space="preserve"> </w:t>
      </w:r>
      <w:r w:rsidRPr="00D61F25">
        <w:t>who collect empty containers.</w:t>
      </w:r>
      <w:r>
        <w:t xml:space="preserve"> Prior to the volcanic eruption, 300 people earned between $130 and $1100 monthly, but the number of people involved in collecting refundable items has since doubled. The plastic bottles are exported to a broker in the US, but their ultimate destination is unknown. There is also some recycling of cardboard, glass, scrap metal and batteries.</w:t>
      </w:r>
    </w:p>
    <w:p w:rsidR="006D7155" w:rsidRPr="00EC369A" w:rsidRDefault="006D7155" w:rsidP="006D7155">
      <w:pPr>
        <w:pStyle w:val="SingleTxtG"/>
        <w:rPr>
          <w:shd w:val="clear" w:color="auto" w:fill="FFFFFF"/>
        </w:rPr>
      </w:pPr>
      <w:r>
        <w:rPr>
          <w:color w:val="000000"/>
        </w:rPr>
        <w:t>57.</w:t>
      </w:r>
      <w:r>
        <w:rPr>
          <w:color w:val="000000"/>
        </w:rPr>
        <w:tab/>
      </w:r>
      <w:r w:rsidRPr="00EC369A">
        <w:rPr>
          <w:color w:val="000000"/>
        </w:rPr>
        <w:t xml:space="preserve">Saint Vincent and the Grenadines does not have a comprehensive collection system for potentially </w:t>
      </w:r>
      <w:r>
        <w:t>h</w:t>
      </w:r>
      <w:r w:rsidRPr="00D61F25">
        <w:t xml:space="preserve">azardous materials including electronic waste, used motor oil, </w:t>
      </w:r>
      <w:r>
        <w:t xml:space="preserve">old </w:t>
      </w:r>
      <w:r w:rsidRPr="00D61F25">
        <w:t xml:space="preserve">paint, expired pharmaceutical products, </w:t>
      </w:r>
      <w:r>
        <w:t>medic</w:t>
      </w:r>
      <w:r w:rsidRPr="00D61F25">
        <w:t xml:space="preserve">al waste, solvents, </w:t>
      </w:r>
      <w:r>
        <w:t xml:space="preserve">tires, </w:t>
      </w:r>
      <w:r w:rsidRPr="00D61F25">
        <w:t>used gas canisters</w:t>
      </w:r>
      <w:r>
        <w:t xml:space="preserve">, etc. It appears that the majority of </w:t>
      </w:r>
      <w:r>
        <w:lastRenderedPageBreak/>
        <w:t xml:space="preserve">used tires are currently burned, which causes air pollution. </w:t>
      </w:r>
      <w:r>
        <w:rPr>
          <w:color w:val="000000"/>
        </w:rPr>
        <w:t>The Special Rapporteur</w:t>
      </w:r>
      <w:r>
        <w:t xml:space="preserve"> was informed by officials that new legislation for hazardous waste is under development, and encourages the government to be guided by key principles including prevention, precaution and the polluter pays. Another useful future priority would be separating collection of food waste and organic materials, which could increase the amount of compost for sale as fertilizer, reduce emissions of methane, and extend the lifespan of existing landfills. Organic materials currently comprise almost one-third of the waste collected, ahead of plastics and paper/cardboard.</w:t>
      </w:r>
      <w:r>
        <w:rPr>
          <w:rStyle w:val="FootnoteReference"/>
        </w:rPr>
        <w:footnoteReference w:id="44"/>
      </w:r>
      <w:r>
        <w:t xml:space="preserve"> </w:t>
      </w:r>
    </w:p>
    <w:p w:rsidR="006D7155" w:rsidRPr="00EC369A" w:rsidRDefault="006D7155" w:rsidP="006D7155">
      <w:pPr>
        <w:pStyle w:val="SingleTxtG"/>
        <w:rPr>
          <w:shd w:val="clear" w:color="auto" w:fill="FFFFFF"/>
        </w:rPr>
      </w:pPr>
      <w:r>
        <w:rPr>
          <w:color w:val="000000"/>
        </w:rPr>
        <w:t>58.</w:t>
      </w:r>
      <w:r>
        <w:rPr>
          <w:color w:val="000000"/>
        </w:rPr>
        <w:tab/>
      </w:r>
      <w:r w:rsidRPr="00EC369A">
        <w:rPr>
          <w:color w:val="000000"/>
        </w:rPr>
        <w:t xml:space="preserve">While traveling in Saint Vincent and the Grenadines </w:t>
      </w:r>
      <w:r>
        <w:rPr>
          <w:color w:val="000000"/>
        </w:rPr>
        <w:t>the Special Rapporteur</w:t>
      </w:r>
      <w:r w:rsidRPr="00EC369A">
        <w:rPr>
          <w:color w:val="000000"/>
        </w:rPr>
        <w:t xml:space="preserve"> was pleased to see that the country’s natural beauty is most unblemished by littering and dumping of trash, with some minor exceptions along roads. While littering is subject to potentially strong penalties, there does not seem to be an active enforcement effort. Education and enforcement could be strengthened to prevent pollution and associated health risks.</w:t>
      </w:r>
    </w:p>
    <w:p w:rsidR="006D7155" w:rsidRPr="00B84F5B" w:rsidRDefault="006D7155" w:rsidP="006D7155">
      <w:pPr>
        <w:pStyle w:val="SingleTxtG"/>
        <w:rPr>
          <w:shd w:val="clear" w:color="auto" w:fill="FFFFFF"/>
        </w:rPr>
      </w:pPr>
      <w:r>
        <w:rPr>
          <w:color w:val="000000"/>
        </w:rPr>
        <w:t>59.</w:t>
      </w:r>
      <w:r>
        <w:rPr>
          <w:color w:val="000000"/>
        </w:rPr>
        <w:tab/>
      </w:r>
      <w:r w:rsidRPr="00EC369A">
        <w:rPr>
          <w:color w:val="000000"/>
        </w:rPr>
        <w:t>Senior officials from the fire department reported concerns about perfluorooctane sulfonate (PFOS), a chemical found in fire-fighting foam. Known as a “forever chemical” because of its persistence in the environment, PFOS is implicated in a range of serious impacts on human health, including cancer. To their credit, the Fire Department is seeking an environmentally-friendly alternative and a responsible way to dispose of the existing stock of foam.</w:t>
      </w:r>
    </w:p>
    <w:p w:rsidR="006D7155" w:rsidRPr="00B84F5B" w:rsidRDefault="006D7155" w:rsidP="006D7155">
      <w:pPr>
        <w:pStyle w:val="SingleTxtG"/>
        <w:rPr>
          <w:shd w:val="clear" w:color="auto" w:fill="FFFFFF"/>
        </w:rPr>
      </w:pPr>
      <w:r>
        <w:rPr>
          <w:color w:val="000000"/>
        </w:rPr>
        <w:t>60.</w:t>
      </w:r>
      <w:r>
        <w:rPr>
          <w:color w:val="000000"/>
        </w:rPr>
        <w:tab/>
      </w:r>
      <w:r w:rsidRPr="00B84F5B">
        <w:rPr>
          <w:color w:val="000000"/>
        </w:rPr>
        <w:t xml:space="preserve">Given the substantial costs involved in recycling and handling hazardous waste, a particularly promising approach is extended producer responsibility (EPR), which shifts the burden of collection from governments to the industries that produce or import packaging or products. EPR regulations have proven effective in other nations for plastic bottles and plastic packaging, </w:t>
      </w:r>
      <w:r w:rsidR="001A24DD" w:rsidRPr="00B84F5B">
        <w:rPr>
          <w:color w:val="000000"/>
        </w:rPr>
        <w:t>aluminium</w:t>
      </w:r>
      <w:r w:rsidRPr="00B84F5B">
        <w:rPr>
          <w:color w:val="000000"/>
        </w:rPr>
        <w:t xml:space="preserve"> cans, metal, glass, batteries, newspapers, tires, consumer electronics, white goods and motor vehicles. Kenya offer</w:t>
      </w:r>
      <w:r>
        <w:rPr>
          <w:color w:val="000000"/>
        </w:rPr>
        <w:t>s a</w:t>
      </w:r>
      <w:r w:rsidRPr="00B84F5B">
        <w:rPr>
          <w:color w:val="000000"/>
        </w:rPr>
        <w:t xml:space="preserve"> relevant example from </w:t>
      </w:r>
      <w:r>
        <w:rPr>
          <w:color w:val="000000"/>
        </w:rPr>
        <w:t xml:space="preserve">a </w:t>
      </w:r>
      <w:r w:rsidRPr="00B84F5B">
        <w:rPr>
          <w:color w:val="000000"/>
        </w:rPr>
        <w:t>developing country context.</w:t>
      </w:r>
      <w:r>
        <w:rPr>
          <w:rStyle w:val="FootnoteReference"/>
          <w:color w:val="000000"/>
        </w:rPr>
        <w:footnoteReference w:id="45"/>
      </w:r>
      <w:r w:rsidRPr="00B84F5B">
        <w:rPr>
          <w:color w:val="000000"/>
        </w:rPr>
        <w:t xml:space="preserve"> </w:t>
      </w:r>
      <w:r w:rsidRPr="006155A7">
        <w:rPr>
          <w:rStyle w:val="Strong"/>
          <w:b w:val="0"/>
          <w:color w:val="1A1A1A"/>
        </w:rPr>
        <w:t>Saint Vincent and the Grenadines</w:t>
      </w:r>
      <w:r w:rsidRPr="00B84F5B">
        <w:rPr>
          <w:color w:val="000000"/>
        </w:rPr>
        <w:t xml:space="preserve"> should give serious consideration to this policy instrument as a priority in improving waste management, reducing government costs, and moving towards a circular economy. </w:t>
      </w:r>
    </w:p>
    <w:p w:rsidR="006D7155" w:rsidRPr="001A3BAA" w:rsidRDefault="006D7155" w:rsidP="001A3BAA">
      <w:pPr>
        <w:pStyle w:val="H1G"/>
      </w:pPr>
      <w:r w:rsidRPr="001A3BAA">
        <w:rPr>
          <w:rStyle w:val="Strong"/>
          <w:b/>
          <w:bCs w:val="0"/>
        </w:rPr>
        <w:tab/>
        <w:t>E.</w:t>
      </w:r>
      <w:r w:rsidRPr="001A3BAA">
        <w:rPr>
          <w:rStyle w:val="Strong"/>
          <w:b/>
          <w:bCs w:val="0"/>
        </w:rPr>
        <w:tab/>
        <w:t>Healthy and sustainable food</w:t>
      </w:r>
    </w:p>
    <w:p w:rsidR="006D7155" w:rsidRPr="006155A7" w:rsidRDefault="006D7155" w:rsidP="006D7155">
      <w:pPr>
        <w:pStyle w:val="SingleTxtG"/>
        <w:rPr>
          <w:rStyle w:val="Strong"/>
          <w:b w:val="0"/>
          <w:bCs w:val="0"/>
          <w:shd w:val="clear" w:color="auto" w:fill="FFFFFF"/>
        </w:rPr>
      </w:pPr>
      <w:r w:rsidRPr="006155A7">
        <w:rPr>
          <w:rStyle w:val="Strong"/>
          <w:b w:val="0"/>
          <w:color w:val="000000" w:themeColor="text1"/>
        </w:rPr>
        <w:t>61.</w:t>
      </w:r>
      <w:r w:rsidRPr="006155A7">
        <w:rPr>
          <w:rStyle w:val="Strong"/>
          <w:b w:val="0"/>
          <w:color w:val="000000" w:themeColor="text1"/>
        </w:rPr>
        <w:tab/>
        <w:t xml:space="preserve">Agriculture in Saint Vincent and the Grenadines is vital to livelihoods and the economy but faces multiple challenges exacerbated by climate change, including rising temperatures, changes in precipitation patterns that are causing extreme rainfall events and extended droughts, and more intense hurricanes. The pandemic and the eruption of La Soufriere added to the challenges, although the volcanic ash is a valuable natural fertilizer. Other external factors are also influencing this sector, which is important to a large number of low-income residents. For example, banana production has declined by 90 percent since 2005 due to an unfavourable decision of the World Trade Organization. </w:t>
      </w:r>
    </w:p>
    <w:p w:rsidR="006D7155" w:rsidRPr="006155A7" w:rsidRDefault="006D7155" w:rsidP="006D7155">
      <w:pPr>
        <w:pStyle w:val="SingleTxtG"/>
        <w:rPr>
          <w:rStyle w:val="Strong"/>
          <w:b w:val="0"/>
          <w:bCs w:val="0"/>
          <w:shd w:val="clear" w:color="auto" w:fill="FFFFFF"/>
        </w:rPr>
      </w:pPr>
      <w:r>
        <w:rPr>
          <w:color w:val="000000"/>
        </w:rPr>
        <w:t>62.</w:t>
      </w:r>
      <w:r>
        <w:rPr>
          <w:color w:val="000000"/>
        </w:rPr>
        <w:tab/>
      </w:r>
      <w:r w:rsidRPr="00B84F5B">
        <w:rPr>
          <w:color w:val="000000"/>
        </w:rPr>
        <w:t xml:space="preserve">Fisheries are vital to fulfilling the right to food, </w:t>
      </w:r>
      <w:r>
        <w:rPr>
          <w:color w:val="000000"/>
        </w:rPr>
        <w:t>and both</w:t>
      </w:r>
      <w:r w:rsidRPr="00B84F5B">
        <w:rPr>
          <w:color w:val="000000"/>
        </w:rPr>
        <w:t xml:space="preserve"> subsistence and </w:t>
      </w:r>
      <w:r w:rsidRPr="00B84F5B">
        <w:rPr>
          <w:color w:val="000000" w:themeColor="text1"/>
        </w:rPr>
        <w:t xml:space="preserve">commercial fisheries contribute to the national economy. However, fisheries face multiple pressures, including climate change, pollution, invasive species, </w:t>
      </w:r>
      <w:r w:rsidRPr="00B84F5B">
        <w:rPr>
          <w:color w:val="000000" w:themeColor="text1"/>
        </w:rPr>
        <w:lastRenderedPageBreak/>
        <w:t>and over-harvesting</w:t>
      </w:r>
      <w:r w:rsidRPr="005A4DF2">
        <w:rPr>
          <w:rStyle w:val="Strong"/>
          <w:color w:val="000000" w:themeColor="text1"/>
        </w:rPr>
        <w:t xml:space="preserve">. </w:t>
      </w:r>
      <w:r w:rsidRPr="006155A7">
        <w:rPr>
          <w:rStyle w:val="Strong"/>
          <w:b w:val="0"/>
          <w:color w:val="000000" w:themeColor="text1"/>
        </w:rPr>
        <w:t>Catches of kingfish (a type of mackerel) have declined, while catches of cavalli (a less valuable species) have increased.</w:t>
      </w:r>
    </w:p>
    <w:p w:rsidR="006D7155" w:rsidRPr="006155A7" w:rsidRDefault="006D7155" w:rsidP="006D7155">
      <w:pPr>
        <w:pStyle w:val="SingleTxtG"/>
        <w:rPr>
          <w:rStyle w:val="Strong"/>
          <w:b w:val="0"/>
          <w:bCs w:val="0"/>
          <w:shd w:val="clear" w:color="auto" w:fill="FFFFFF"/>
        </w:rPr>
      </w:pPr>
      <w:r w:rsidRPr="006155A7">
        <w:rPr>
          <w:rStyle w:val="Strong"/>
          <w:b w:val="0"/>
          <w:color w:val="000000" w:themeColor="text1"/>
        </w:rPr>
        <w:t>63.</w:t>
      </w:r>
      <w:r w:rsidRPr="006155A7">
        <w:rPr>
          <w:rStyle w:val="Strong"/>
          <w:b w:val="0"/>
          <w:color w:val="000000" w:themeColor="text1"/>
        </w:rPr>
        <w:tab/>
        <w:t xml:space="preserve">Government is encouraging multi-cropping to increase both the income and resilience of farmers, with crops including coffee and cocoa beans. The Zero Hunger Trust Fund is an excellent initiative that provides nutritional and financial support to vulnerable children and older persons. The Love Box is a terrific win-win program, where the government purchased food from farmers needing markets, then donated the food to families displaced for months by the volcanic eruption. </w:t>
      </w:r>
    </w:p>
    <w:p w:rsidR="006D7155" w:rsidRPr="00B84F5B" w:rsidRDefault="006D7155" w:rsidP="006D7155">
      <w:pPr>
        <w:pStyle w:val="SingleTxtG"/>
        <w:rPr>
          <w:rStyle w:val="Strong"/>
          <w:b w:val="0"/>
          <w:bCs w:val="0"/>
          <w:shd w:val="clear" w:color="auto" w:fill="FFFFFF"/>
        </w:rPr>
      </w:pPr>
      <w:r w:rsidRPr="006155A7">
        <w:rPr>
          <w:rStyle w:val="Strong"/>
          <w:b w:val="0"/>
          <w:color w:val="000000" w:themeColor="text1"/>
        </w:rPr>
        <w:t>64.</w:t>
      </w:r>
      <w:r w:rsidRPr="006155A7">
        <w:rPr>
          <w:rStyle w:val="Strong"/>
          <w:b w:val="0"/>
          <w:color w:val="000000" w:themeColor="text1"/>
        </w:rPr>
        <w:tab/>
        <w:t>Farmers need support in order to shift to climate smart agriculture (CSA), which</w:t>
      </w:r>
      <w:r w:rsidRPr="00B84F5B">
        <w:rPr>
          <w:rStyle w:val="Strong"/>
          <w:color w:val="000000" w:themeColor="text1"/>
        </w:rPr>
        <w:t xml:space="preserve"> </w:t>
      </w:r>
      <w:r w:rsidRPr="00B84F5B">
        <w:rPr>
          <w:rFonts w:asciiTheme="majorBidi" w:hAnsiTheme="majorBidi" w:cstheme="majorBidi"/>
        </w:rPr>
        <w:t>involves a suite of innovative and effective approaches to land, soil and water management that sequester carbon and reduce GHG emissions. CSA practices help to retain soil structure, organic matter and moisture under drier conditions, and include agronomic techniques (including irrigation and drainage) to adjust or extend cropping calendars to adapt to seasonal and interannual climate shifts</w:t>
      </w:r>
      <w:r w:rsidRPr="00B84F5B">
        <w:rPr>
          <w:rStyle w:val="Strong"/>
          <w:color w:val="000000" w:themeColor="text1"/>
        </w:rPr>
        <w:t>.</w:t>
      </w:r>
      <w:r>
        <w:rPr>
          <w:rStyle w:val="FootnoteReference"/>
          <w:color w:val="000000" w:themeColor="text1"/>
        </w:rPr>
        <w:footnoteReference w:id="46"/>
      </w:r>
    </w:p>
    <w:p w:rsidR="006D7155" w:rsidRPr="00B84F5B" w:rsidRDefault="006D7155" w:rsidP="006D7155">
      <w:pPr>
        <w:pStyle w:val="SingleTxtG"/>
        <w:rPr>
          <w:shd w:val="clear" w:color="auto" w:fill="FFFFFF"/>
        </w:rPr>
      </w:pPr>
      <w:r>
        <w:rPr>
          <w:color w:val="000000" w:themeColor="text1"/>
        </w:rPr>
        <w:t>65.</w:t>
      </w:r>
      <w:r>
        <w:rPr>
          <w:color w:val="000000" w:themeColor="text1"/>
        </w:rPr>
        <w:tab/>
      </w:r>
      <w:r w:rsidRPr="00B84F5B">
        <w:rPr>
          <w:color w:val="000000" w:themeColor="text1"/>
        </w:rPr>
        <w:t>Local food is generally healthier and has a smaller environmental footprint. The government negotiated an agreement with Sandals Resorts International that that will see the resort purchase over 700,000 pounds of agricultural produce from local farmers annually, provid</w:t>
      </w:r>
      <w:r>
        <w:rPr>
          <w:color w:val="000000" w:themeColor="text1"/>
        </w:rPr>
        <w:t>ed</w:t>
      </w:r>
      <w:r w:rsidRPr="00B84F5B">
        <w:rPr>
          <w:color w:val="000000" w:themeColor="text1"/>
        </w:rPr>
        <w:t xml:space="preserve"> they can supply the produce in sufficient quantities and quality.</w:t>
      </w:r>
      <w:r w:rsidRPr="00D61F25">
        <w:rPr>
          <w:rStyle w:val="FootnoteReference"/>
          <w:color w:val="000000" w:themeColor="text1"/>
        </w:rPr>
        <w:footnoteReference w:id="47"/>
      </w:r>
      <w:r w:rsidRPr="00B84F5B">
        <w:rPr>
          <w:color w:val="000000" w:themeColor="text1"/>
        </w:rPr>
        <w:t xml:space="preserve"> </w:t>
      </w:r>
    </w:p>
    <w:p w:rsidR="006D7155" w:rsidRPr="001A3BAA" w:rsidRDefault="006D7155" w:rsidP="001A3BAA">
      <w:pPr>
        <w:pStyle w:val="H1G"/>
      </w:pPr>
      <w:r w:rsidRPr="001A3BAA">
        <w:rPr>
          <w:rStyle w:val="Strong"/>
          <w:b/>
          <w:bCs w:val="0"/>
        </w:rPr>
        <w:tab/>
        <w:t>F.</w:t>
      </w:r>
      <w:r w:rsidRPr="001A3BAA">
        <w:rPr>
          <w:rStyle w:val="Strong"/>
          <w:b/>
          <w:bCs w:val="0"/>
        </w:rPr>
        <w:tab/>
        <w:t>Toxic substances</w:t>
      </w:r>
    </w:p>
    <w:p w:rsidR="006D7155" w:rsidRPr="006155A7" w:rsidRDefault="006D7155" w:rsidP="006D7155">
      <w:pPr>
        <w:pStyle w:val="SingleTxtG"/>
        <w:rPr>
          <w:rStyle w:val="Strong"/>
          <w:b w:val="0"/>
          <w:bCs w:val="0"/>
          <w:shd w:val="clear" w:color="auto" w:fill="FFFFFF"/>
        </w:rPr>
      </w:pPr>
      <w:r w:rsidRPr="006155A7">
        <w:rPr>
          <w:rStyle w:val="Strong"/>
          <w:b w:val="0"/>
          <w:color w:val="000000" w:themeColor="text1"/>
        </w:rPr>
        <w:t>66.</w:t>
      </w:r>
      <w:r w:rsidRPr="006155A7">
        <w:rPr>
          <w:rStyle w:val="Strong"/>
          <w:b w:val="0"/>
          <w:color w:val="000000" w:themeColor="text1"/>
        </w:rPr>
        <w:tab/>
        <w:t xml:space="preserve">Saint Vincent and the Grenadines has a strong program, led by the </w:t>
      </w:r>
      <w:r w:rsidRPr="006155A7">
        <w:rPr>
          <w:b/>
          <w:color w:val="000000" w:themeColor="text1"/>
        </w:rPr>
        <w:t>National Ozone Unit of the Ministry of Health, Wellness and the Environment,</w:t>
      </w:r>
      <w:r w:rsidRPr="006155A7">
        <w:rPr>
          <w:rStyle w:val="Strong"/>
          <w:b w:val="0"/>
          <w:color w:val="000000" w:themeColor="text1"/>
        </w:rPr>
        <w:t xml:space="preserve"> to phase out ozone depleting substances under the Montreal Protocol. The government is in the process of ratifying the Kigali Amendment, and should do so as soon as possible in order to accelerate the </w:t>
      </w:r>
      <w:r w:rsidR="001A24DD" w:rsidRPr="006155A7">
        <w:rPr>
          <w:rStyle w:val="Strong"/>
          <w:b w:val="0"/>
          <w:color w:val="000000" w:themeColor="text1"/>
        </w:rPr>
        <w:t>phase-out</w:t>
      </w:r>
      <w:r w:rsidRPr="006155A7">
        <w:rPr>
          <w:rStyle w:val="Strong"/>
          <w:b w:val="0"/>
          <w:color w:val="000000" w:themeColor="text1"/>
        </w:rPr>
        <w:t xml:space="preserve"> of the HFCs that are powerful greenhouse gases.</w:t>
      </w:r>
    </w:p>
    <w:p w:rsidR="006D7155" w:rsidRPr="00B84F5B" w:rsidRDefault="006D7155" w:rsidP="006D7155">
      <w:pPr>
        <w:pStyle w:val="SingleTxtG"/>
        <w:rPr>
          <w:shd w:val="clear" w:color="auto" w:fill="FFFFFF"/>
        </w:rPr>
      </w:pPr>
      <w:r>
        <w:rPr>
          <w:color w:val="000000" w:themeColor="text1"/>
        </w:rPr>
        <w:t>67.</w:t>
      </w:r>
      <w:r>
        <w:rPr>
          <w:color w:val="000000" w:themeColor="text1"/>
        </w:rPr>
        <w:tab/>
      </w:r>
      <w:r w:rsidRPr="00B84F5B">
        <w:rPr>
          <w:color w:val="000000" w:themeColor="text1"/>
        </w:rPr>
        <w:t xml:space="preserve">Saint Vincent and the Grenadines participated in the project “Disposal of Obsolete Pesticides, including POPs, Promotion of Alternatives and Strengthening Pesticides Management in the Caribbean”, led by the Food and Agriculture Organization. This resulted in over 3,000 kilograms of obsolete, dangerous pesticides being safely managed and exported for disposal. However, </w:t>
      </w:r>
      <w:r>
        <w:rPr>
          <w:color w:val="000000" w:themeColor="text1"/>
        </w:rPr>
        <w:t>the Special Rapporteur</w:t>
      </w:r>
      <w:r w:rsidRPr="00B84F5B">
        <w:rPr>
          <w:color w:val="000000" w:themeColor="text1"/>
        </w:rPr>
        <w:t xml:space="preserve"> received information indicating that some pesticides classified as “Highly Hazardous” by the World Health Organization and Food and Agriculture Organization continue to be permitted.</w:t>
      </w:r>
      <w:r>
        <w:rPr>
          <w:color w:val="000000" w:themeColor="text1"/>
        </w:rPr>
        <w:t xml:space="preserve"> For example, oxamyl, paraquat and quinaphos appear on a list dated 2012.</w:t>
      </w:r>
      <w:r>
        <w:rPr>
          <w:rStyle w:val="FootnoteReference"/>
          <w:color w:val="000000" w:themeColor="text1"/>
        </w:rPr>
        <w:footnoteReference w:id="48"/>
      </w:r>
      <w:r w:rsidRPr="00B84F5B">
        <w:rPr>
          <w:color w:val="000000" w:themeColor="text1"/>
        </w:rPr>
        <w:t xml:space="preserve"> </w:t>
      </w:r>
      <w:r>
        <w:rPr>
          <w:color w:val="000000" w:themeColor="text1"/>
        </w:rPr>
        <w:t>He also heard an account of a person who committed suicide by drinking gramoxone. T</w:t>
      </w:r>
      <w:r w:rsidRPr="00B84F5B">
        <w:rPr>
          <w:color w:val="000000" w:themeColor="text1"/>
        </w:rPr>
        <w:t xml:space="preserve">he government </w:t>
      </w:r>
      <w:r>
        <w:rPr>
          <w:color w:val="000000" w:themeColor="text1"/>
        </w:rPr>
        <w:t>should</w:t>
      </w:r>
      <w:r w:rsidRPr="00B84F5B">
        <w:rPr>
          <w:color w:val="000000" w:themeColor="text1"/>
        </w:rPr>
        <w:t xml:space="preserve"> ban any further use of </w:t>
      </w:r>
      <w:r>
        <w:rPr>
          <w:color w:val="000000" w:themeColor="text1"/>
        </w:rPr>
        <w:t>Highly Hazardous pesticides</w:t>
      </w:r>
      <w:r w:rsidRPr="00B84F5B">
        <w:rPr>
          <w:color w:val="000000" w:themeColor="text1"/>
        </w:rPr>
        <w:t xml:space="preserve"> and collect any remaining inventory for safe disposal.</w:t>
      </w:r>
      <w:r>
        <w:rPr>
          <w:rStyle w:val="FootnoteReference"/>
          <w:color w:val="000000" w:themeColor="text1"/>
        </w:rPr>
        <w:footnoteReference w:id="49"/>
      </w:r>
      <w:r w:rsidRPr="00B84F5B">
        <w:rPr>
          <w:color w:val="000000" w:themeColor="text1"/>
        </w:rPr>
        <w:t xml:space="preserve"> </w:t>
      </w:r>
    </w:p>
    <w:p w:rsidR="006D7155" w:rsidRDefault="006D7155" w:rsidP="006D7155">
      <w:pPr>
        <w:pStyle w:val="SingleTxtG"/>
        <w:rPr>
          <w:color w:val="000000" w:themeColor="text1"/>
        </w:rPr>
      </w:pPr>
      <w:r>
        <w:rPr>
          <w:color w:val="000000" w:themeColor="text1"/>
        </w:rPr>
        <w:t>68.</w:t>
      </w:r>
      <w:r>
        <w:rPr>
          <w:color w:val="000000" w:themeColor="text1"/>
        </w:rPr>
        <w:tab/>
      </w:r>
      <w:r w:rsidRPr="00B84F5B">
        <w:rPr>
          <w:color w:val="000000" w:themeColor="text1"/>
        </w:rPr>
        <w:t xml:space="preserve">Customs officials acknowledged that their ability to evaluate imports of chemicals is limited to reviewing the paperwork. Other officials acknowledged that information is not available for pesticide residues and other toxic substances in soil, water and marine environments due to a lack of monitoring capacity. Concerns were raised by </w:t>
      </w:r>
      <w:r>
        <w:rPr>
          <w:color w:val="000000" w:themeColor="text1"/>
        </w:rPr>
        <w:t xml:space="preserve">individuals </w:t>
      </w:r>
      <w:r w:rsidRPr="00B84F5B">
        <w:rPr>
          <w:color w:val="000000" w:themeColor="text1"/>
        </w:rPr>
        <w:t xml:space="preserve">about the potential relationship </w:t>
      </w:r>
      <w:r w:rsidRPr="00B84F5B">
        <w:rPr>
          <w:color w:val="000000" w:themeColor="text1"/>
        </w:rPr>
        <w:lastRenderedPageBreak/>
        <w:t xml:space="preserve">between pesticide use and high levels of prostate cancer, an issue that has been the </w:t>
      </w:r>
      <w:r w:rsidRPr="008C7131">
        <w:rPr>
          <w:color w:val="000000" w:themeColor="text1"/>
        </w:rPr>
        <w:t>subject of extensive research in Martinique and Guadeloupe but not Saint Vincent and the Grenadines.</w:t>
      </w:r>
      <w:r w:rsidRPr="008C7131">
        <w:rPr>
          <w:rStyle w:val="FootnoteReference"/>
          <w:color w:val="000000" w:themeColor="text1"/>
        </w:rPr>
        <w:footnoteReference w:id="50"/>
      </w:r>
      <w:r w:rsidRPr="008C7131">
        <w:rPr>
          <w:color w:val="000000" w:themeColor="text1"/>
        </w:rPr>
        <w:t xml:space="preserve"> </w:t>
      </w:r>
    </w:p>
    <w:p w:rsidR="006D7155" w:rsidRPr="008C7131" w:rsidRDefault="006D7155" w:rsidP="006D7155">
      <w:pPr>
        <w:pStyle w:val="SingleTxtG"/>
        <w:rPr>
          <w:color w:val="000000" w:themeColor="text1"/>
        </w:rPr>
      </w:pPr>
      <w:r>
        <w:t>69.</w:t>
      </w:r>
      <w:r>
        <w:tab/>
      </w:r>
      <w:r w:rsidRPr="008C7131">
        <w:t>Two recent reports identified the following priorities to enable Saint Vincent and the Grenadines to safely manage the full range of toxic chemicals: legislative reform for chemicals and hazardous waste, assessment of risks associated with hazardous substances, chemical inventory and database development, strengthened institutions for chemicals management, additional personnel and training, and increased public awareness.</w:t>
      </w:r>
      <w:r w:rsidRPr="008C7131">
        <w:rPr>
          <w:rStyle w:val="FootnoteReference"/>
        </w:rPr>
        <w:footnoteReference w:id="51"/>
      </w:r>
      <w:r>
        <w:rPr>
          <w:rFonts w:ascii="Calibri" w:hAnsi="Calibri" w:cs="Calibri"/>
        </w:rPr>
        <w:t xml:space="preserve"> </w:t>
      </w:r>
    </w:p>
    <w:p w:rsidR="006D7155" w:rsidRPr="00813979" w:rsidRDefault="006D7155" w:rsidP="006D7155">
      <w:pPr>
        <w:pStyle w:val="H1G"/>
      </w:pPr>
      <w:r>
        <w:tab/>
      </w:r>
      <w:r w:rsidRPr="00813979">
        <w:t>G.</w:t>
      </w:r>
      <w:r>
        <w:tab/>
        <w:t>Healthy ecosystems and b</w:t>
      </w:r>
      <w:r w:rsidRPr="00813979">
        <w:t>iodiversity</w:t>
      </w:r>
    </w:p>
    <w:p w:rsidR="006D7155" w:rsidRPr="00B84F5B" w:rsidRDefault="006D7155" w:rsidP="006D7155">
      <w:pPr>
        <w:pStyle w:val="SingleTxtG"/>
        <w:rPr>
          <w:shd w:val="clear" w:color="auto" w:fill="FFFFFF"/>
        </w:rPr>
      </w:pPr>
      <w:r>
        <w:rPr>
          <w:color w:val="000000" w:themeColor="text1"/>
        </w:rPr>
        <w:t>70.</w:t>
      </w:r>
      <w:r>
        <w:rPr>
          <w:color w:val="000000" w:themeColor="text1"/>
        </w:rPr>
        <w:tab/>
        <w:t>The Caribbean Islands are classified as one of the world’s 35 “biodiversity hotspots”.</w:t>
      </w:r>
      <w:r w:rsidRPr="003717F2">
        <w:rPr>
          <w:rStyle w:val="FootnoteReference"/>
          <w:color w:val="000000" w:themeColor="text1"/>
        </w:rPr>
        <w:footnoteReference w:id="52"/>
      </w:r>
      <w:r>
        <w:rPr>
          <w:color w:val="000000" w:themeColor="text1"/>
        </w:rPr>
        <w:t xml:space="preserve"> Among the endangered species on Saint Vincent and the Grenadines are the critically endangered Grenadines clawed gecko and Saint Vincent blacksnake as well as two endemic bird species at high risk of extinction—the Saint Vincent Amazon parrot and the whistling warbler.</w:t>
      </w:r>
      <w:r>
        <w:rPr>
          <w:rStyle w:val="FootnoteReference"/>
          <w:color w:val="000000" w:themeColor="text1"/>
        </w:rPr>
        <w:footnoteReference w:id="53"/>
      </w:r>
      <w:r>
        <w:rPr>
          <w:color w:val="000000" w:themeColor="text1"/>
        </w:rPr>
        <w:t xml:space="preserve"> </w:t>
      </w:r>
      <w:r w:rsidRPr="00B84F5B">
        <w:rPr>
          <w:color w:val="000000" w:themeColor="text1"/>
        </w:rPr>
        <w:t xml:space="preserve">Two key approaches to protecting biodiversity are protected terrestrial and marine areas and protecting endangered species. While Saint Vincent and the Grenadines has both of these tools in place, the resources required for implementation and enforcement may need to be improved. A botanical garden was established on Saint Vincent in 1763, making it the first in the western hemisphere. Twenty-two wildlife reserves have been created in recent decades, including a large reserve (&gt;10,000 acres) for the famous Saint Vincent </w:t>
      </w:r>
      <w:r>
        <w:rPr>
          <w:color w:val="000000" w:themeColor="text1"/>
        </w:rPr>
        <w:t xml:space="preserve">Amazon </w:t>
      </w:r>
      <w:r w:rsidRPr="00B84F5B">
        <w:rPr>
          <w:color w:val="000000" w:themeColor="text1"/>
        </w:rPr>
        <w:t>parrot.</w:t>
      </w:r>
    </w:p>
    <w:p w:rsidR="006D7155" w:rsidRPr="00B84F5B" w:rsidRDefault="006D7155" w:rsidP="006D7155">
      <w:pPr>
        <w:pStyle w:val="SingleTxtG"/>
        <w:rPr>
          <w:shd w:val="clear" w:color="auto" w:fill="FFFFFF"/>
        </w:rPr>
      </w:pPr>
      <w:r>
        <w:rPr>
          <w:color w:val="000000" w:themeColor="text1"/>
        </w:rPr>
        <w:t>71.</w:t>
      </w:r>
      <w:r>
        <w:rPr>
          <w:color w:val="000000" w:themeColor="text1"/>
        </w:rPr>
        <w:tab/>
      </w:r>
      <w:r w:rsidRPr="00B84F5B">
        <w:rPr>
          <w:color w:val="000000" w:themeColor="text1"/>
        </w:rPr>
        <w:t xml:space="preserve">As a party to the UN Convention on Biological Diversity, Saint Vincent and the Grenadines committed to achieving the Aichi targets for protected areas by 2020, which </w:t>
      </w:r>
      <w:r>
        <w:rPr>
          <w:color w:val="000000" w:themeColor="text1"/>
        </w:rPr>
        <w:t>included</w:t>
      </w:r>
      <w:r w:rsidRPr="00B84F5B">
        <w:rPr>
          <w:color w:val="000000" w:themeColor="text1"/>
        </w:rPr>
        <w:t xml:space="preserve"> protect</w:t>
      </w:r>
      <w:r>
        <w:rPr>
          <w:color w:val="000000" w:themeColor="text1"/>
        </w:rPr>
        <w:t>ing</w:t>
      </w:r>
      <w:r w:rsidRPr="00B84F5B">
        <w:rPr>
          <w:color w:val="000000" w:themeColor="text1"/>
        </w:rPr>
        <w:t xml:space="preserve"> at least seventeen percent of its land and ten percent of its marine area. Saint Vincent and the Grenadines has protected 22.4 percent of its land area,</w:t>
      </w:r>
      <w:r w:rsidRPr="003717F2">
        <w:rPr>
          <w:rStyle w:val="FootnoteReference"/>
          <w:color w:val="000000" w:themeColor="text1"/>
        </w:rPr>
        <w:footnoteReference w:id="54"/>
      </w:r>
      <w:r w:rsidRPr="00B84F5B">
        <w:rPr>
          <w:color w:val="000000" w:themeColor="text1"/>
        </w:rPr>
        <w:t xml:space="preserve"> which is above average and exceeds the Aichi target, but only 0.</w:t>
      </w:r>
      <w:r>
        <w:rPr>
          <w:color w:val="000000" w:themeColor="text1"/>
        </w:rPr>
        <w:t>35</w:t>
      </w:r>
      <w:r w:rsidRPr="00B84F5B">
        <w:rPr>
          <w:color w:val="000000" w:themeColor="text1"/>
        </w:rPr>
        <w:t xml:space="preserve"> percent of its marine area, which is well below average and fails to meet the Aichi target.</w:t>
      </w:r>
    </w:p>
    <w:p w:rsidR="006D7155" w:rsidRPr="00B84F5B" w:rsidRDefault="006D7155" w:rsidP="006D7155">
      <w:pPr>
        <w:pStyle w:val="SingleTxtG"/>
        <w:rPr>
          <w:shd w:val="clear" w:color="auto" w:fill="FFFFFF"/>
        </w:rPr>
      </w:pPr>
      <w:r>
        <w:rPr>
          <w:color w:val="000000" w:themeColor="text1"/>
        </w:rPr>
        <w:t xml:space="preserve">72. </w:t>
      </w:r>
      <w:r>
        <w:rPr>
          <w:color w:val="000000" w:themeColor="text1"/>
        </w:rPr>
        <w:tab/>
      </w:r>
      <w:r w:rsidRPr="00B84F5B">
        <w:rPr>
          <w:color w:val="000000" w:themeColor="text1"/>
        </w:rPr>
        <w:t>Other commendable actions taken by Saint Vincent and the Grenadines include a ban on sea turtle harvesting or egg collecting</w:t>
      </w:r>
      <w:r>
        <w:rPr>
          <w:color w:val="000000" w:themeColor="text1"/>
        </w:rPr>
        <w:t>,</w:t>
      </w:r>
      <w:r w:rsidRPr="00B84F5B">
        <w:rPr>
          <w:color w:val="000000" w:themeColor="text1"/>
        </w:rPr>
        <w:t xml:space="preserve"> a ban on shark finning, a ban on harvesting parrotfish, and setting minimum and maximum sizes for lobster harvesting. Because of the devastation inflicted on forests in the northern part of Saint Vincent by the eruption of La Soufriere, </w:t>
      </w:r>
      <w:r>
        <w:rPr>
          <w:color w:val="000000" w:themeColor="text1"/>
          <w:shd w:val="clear" w:color="auto" w:fill="FFFFFF"/>
        </w:rPr>
        <w:t>t</w:t>
      </w:r>
      <w:r w:rsidRPr="00B84F5B">
        <w:rPr>
          <w:color w:val="000000" w:themeColor="text1"/>
          <w:shd w:val="clear" w:color="auto" w:fill="FFFFFF"/>
        </w:rPr>
        <w:t>he Ministry of Agriculture</w:t>
      </w:r>
      <w:r>
        <w:rPr>
          <w:color w:val="000000" w:themeColor="text1"/>
          <w:shd w:val="clear" w:color="auto" w:fill="FFFFFF"/>
        </w:rPr>
        <w:t>,</w:t>
      </w:r>
      <w:r w:rsidRPr="00B84F5B">
        <w:rPr>
          <w:color w:val="000000" w:themeColor="text1"/>
          <w:shd w:val="clear" w:color="auto" w:fill="FFFFFF"/>
        </w:rPr>
        <w:t xml:space="preserve"> Forestry and Fisherie</w:t>
      </w:r>
      <w:r w:rsidRPr="00B84F5B">
        <w:rPr>
          <w:color w:val="000000" w:themeColor="text1"/>
        </w:rPr>
        <w:t xml:space="preserve">s announced a moratorium on the 2021-2022 hunting season for mammals, reptiles and birds. The Sustainable Grenadines Trust Fund is doing important conservation work and would benefit from additional support. </w:t>
      </w:r>
    </w:p>
    <w:p w:rsidR="006D7155" w:rsidRPr="0048243E" w:rsidRDefault="006D7155" w:rsidP="006D7155">
      <w:pPr>
        <w:pStyle w:val="SingleTxtG"/>
        <w:rPr>
          <w:shd w:val="clear" w:color="auto" w:fill="FFFFFF"/>
        </w:rPr>
      </w:pPr>
      <w:r>
        <w:rPr>
          <w:color w:val="000000" w:themeColor="text1"/>
        </w:rPr>
        <w:lastRenderedPageBreak/>
        <w:t>73.</w:t>
      </w:r>
      <w:r>
        <w:rPr>
          <w:color w:val="000000" w:themeColor="text1"/>
        </w:rPr>
        <w:tab/>
      </w:r>
      <w:r w:rsidRPr="00B84F5B">
        <w:rPr>
          <w:color w:val="000000" w:themeColor="text1"/>
        </w:rPr>
        <w:t xml:space="preserve">Tobago Cays Marine Park, encompassing some of the most spectacular and diverse coral reef ecosystems in the Grenadines, generated controversy when it was designated as a conservation area in 1987 (Fisheries Act) and then as a marine park in 1997 (Marine Parks Act). To this day it appears to be illegal for local communities, such as the </w:t>
      </w:r>
      <w:r w:rsidR="001A24DD" w:rsidRPr="00B84F5B">
        <w:rPr>
          <w:color w:val="000000" w:themeColor="text1"/>
        </w:rPr>
        <w:t>fisher folk</w:t>
      </w:r>
      <w:r w:rsidRPr="00B84F5B">
        <w:rPr>
          <w:color w:val="000000" w:themeColor="text1"/>
        </w:rPr>
        <w:t xml:space="preserve"> of the Grenadine island of Mayreau, </w:t>
      </w:r>
      <w:r>
        <w:rPr>
          <w:color w:val="000000" w:themeColor="text1"/>
        </w:rPr>
        <w:t xml:space="preserve">to </w:t>
      </w:r>
      <w:r w:rsidRPr="00B84F5B">
        <w:rPr>
          <w:color w:val="000000" w:themeColor="text1"/>
        </w:rPr>
        <w:t xml:space="preserve">continue subsistence fishing within the protected area. However, fishing continues using a variety of nets and techniques. </w:t>
      </w:r>
      <w:r>
        <w:rPr>
          <w:color w:val="000000" w:themeColor="text1"/>
        </w:rPr>
        <w:t>To its credit</w:t>
      </w:r>
      <w:r w:rsidRPr="00B84F5B">
        <w:rPr>
          <w:color w:val="000000" w:themeColor="text1"/>
        </w:rPr>
        <w:t>, the community successfully diversified by creating a cooperative to pursue sea moss farming, using innovative vertical farming techniques.</w:t>
      </w:r>
      <w:r>
        <w:rPr>
          <w:rStyle w:val="FootnoteReference"/>
          <w:color w:val="000000" w:themeColor="text1"/>
        </w:rPr>
        <w:footnoteReference w:id="55"/>
      </w:r>
      <w:r>
        <w:rPr>
          <w:color w:val="000000" w:themeColor="text1"/>
        </w:rPr>
        <w:t xml:space="preserve"> </w:t>
      </w:r>
    </w:p>
    <w:p w:rsidR="006D7155" w:rsidRPr="00B84F5B" w:rsidRDefault="006D7155" w:rsidP="006D7155">
      <w:pPr>
        <w:pStyle w:val="SingleTxtG"/>
        <w:rPr>
          <w:shd w:val="clear" w:color="auto" w:fill="FFFFFF"/>
        </w:rPr>
      </w:pPr>
      <w:r>
        <w:rPr>
          <w:color w:val="000000" w:themeColor="text1"/>
        </w:rPr>
        <w:t>74.</w:t>
      </w:r>
      <w:r>
        <w:rPr>
          <w:color w:val="000000" w:themeColor="text1"/>
        </w:rPr>
        <w:tab/>
      </w:r>
      <w:r w:rsidRPr="00B84F5B">
        <w:rPr>
          <w:color w:val="000000" w:themeColor="text1"/>
        </w:rPr>
        <w:t>Fish populations in Saint Vincent and the Grenadines are threatened by overfishing, pollution, invasive species (such as the lionfish), and by the declining health of coral reef ecosystems, particularly the elkhorn and staghorn corals, key reef-building species in the Caribbean that are designated as “critically endangered” by the IUCN.</w:t>
      </w:r>
      <w:r>
        <w:rPr>
          <w:color w:val="000000" w:themeColor="text1"/>
        </w:rPr>
        <w:t xml:space="preserve"> Fisheries landings doubled between 2016 and 2020, with conch landings growing by ten times during the same period.</w:t>
      </w:r>
      <w:r>
        <w:rPr>
          <w:rStyle w:val="FootnoteReference"/>
          <w:color w:val="000000" w:themeColor="text1"/>
        </w:rPr>
        <w:footnoteReference w:id="56"/>
      </w:r>
    </w:p>
    <w:p w:rsidR="006D7155" w:rsidRPr="00B84F5B" w:rsidRDefault="006D7155" w:rsidP="006D7155">
      <w:pPr>
        <w:pStyle w:val="SingleTxtG"/>
        <w:rPr>
          <w:shd w:val="clear" w:color="auto" w:fill="FFFFFF"/>
        </w:rPr>
      </w:pPr>
      <w:r>
        <w:rPr>
          <w:color w:val="000000" w:themeColor="text1"/>
        </w:rPr>
        <w:t>75.</w:t>
      </w:r>
      <w:r>
        <w:rPr>
          <w:color w:val="000000" w:themeColor="text1"/>
        </w:rPr>
        <w:tab/>
      </w:r>
      <w:r w:rsidRPr="00B84F5B">
        <w:rPr>
          <w:color w:val="000000" w:themeColor="text1"/>
        </w:rPr>
        <w:t>Saint Vincent and the Grenadines is home to many species of cetaceans, including humpback whales, sperm whales, pilot whales, bottlenose dolphins and spinner dolphins. Surprisingly, Bequia is home to one of the few Indigenous subsistence whale hunts authorized by the International Whaling Commission. It is also home to four species of sea turtles including loggerhead, hawksbill, green and leatherback, all considered to be</w:t>
      </w:r>
      <w:r>
        <w:rPr>
          <w:color w:val="000000" w:themeColor="text1"/>
        </w:rPr>
        <w:t xml:space="preserve"> endangered or critically endangered.</w:t>
      </w:r>
      <w:r>
        <w:rPr>
          <w:rStyle w:val="FootnoteReference"/>
          <w:color w:val="000000" w:themeColor="text1"/>
        </w:rPr>
        <w:footnoteReference w:id="57"/>
      </w:r>
    </w:p>
    <w:p w:rsidR="006D7155" w:rsidRPr="00FC6157" w:rsidRDefault="006D7155" w:rsidP="006D7155">
      <w:pPr>
        <w:pStyle w:val="SingleTxtG"/>
        <w:rPr>
          <w:shd w:val="clear" w:color="auto" w:fill="FFFFFF"/>
        </w:rPr>
      </w:pPr>
      <w:r>
        <w:rPr>
          <w:color w:val="000000" w:themeColor="text1"/>
        </w:rPr>
        <w:t>76.</w:t>
      </w:r>
      <w:r>
        <w:rPr>
          <w:color w:val="000000" w:themeColor="text1"/>
        </w:rPr>
        <w:tab/>
      </w:r>
      <w:r w:rsidRPr="00B84F5B">
        <w:rPr>
          <w:color w:val="000000" w:themeColor="text1"/>
        </w:rPr>
        <w:t xml:space="preserve">Mangrove ecosystems provide a natural source of coastal defence as well as providing many other benefits, from fish nurseries to carbon sequestration. It is well established that </w:t>
      </w:r>
      <w:r>
        <w:rPr>
          <w:color w:val="000000" w:themeColor="text1"/>
        </w:rPr>
        <w:t>the protection of mangroves reduces the risk of death for coastal communities hit by severe storms</w:t>
      </w:r>
      <w:r w:rsidRPr="00B84F5B">
        <w:rPr>
          <w:color w:val="000000" w:themeColor="text1"/>
        </w:rPr>
        <w:t>.</w:t>
      </w:r>
      <w:r>
        <w:rPr>
          <w:rStyle w:val="FootnoteReference"/>
          <w:color w:val="000000" w:themeColor="text1"/>
        </w:rPr>
        <w:footnoteReference w:id="58"/>
      </w:r>
      <w:r w:rsidRPr="00B84F5B">
        <w:rPr>
          <w:color w:val="000000" w:themeColor="text1"/>
        </w:rPr>
        <w:t xml:space="preserve"> There is a famous example of a pre-school in the Grenadines that was saved by mangroves </w:t>
      </w:r>
      <w:r>
        <w:rPr>
          <w:color w:val="000000" w:themeColor="text1"/>
        </w:rPr>
        <w:t>during Hurricane Ivan</w:t>
      </w:r>
      <w:r w:rsidRPr="00B84F5B">
        <w:rPr>
          <w:color w:val="000000" w:themeColor="text1"/>
        </w:rPr>
        <w:t xml:space="preserve"> in 200</w:t>
      </w:r>
      <w:r>
        <w:rPr>
          <w:color w:val="000000" w:themeColor="text1"/>
        </w:rPr>
        <w:t>4</w:t>
      </w:r>
      <w:r w:rsidRPr="00B84F5B">
        <w:rPr>
          <w:color w:val="000000" w:themeColor="text1"/>
        </w:rPr>
        <w:t>.</w:t>
      </w:r>
      <w:r>
        <w:rPr>
          <w:rStyle w:val="FootnoteReference"/>
          <w:color w:val="000000" w:themeColor="text1"/>
        </w:rPr>
        <w:footnoteReference w:id="59"/>
      </w:r>
      <w:r w:rsidRPr="00B84F5B">
        <w:rPr>
          <w:color w:val="000000" w:themeColor="text1"/>
        </w:rPr>
        <w:t xml:space="preserve"> In some areas of Saint Vincent and the Grenadines, mangroves have been removed to make way for tourist resorts and other types of development. Wherever possible, </w:t>
      </w:r>
      <w:r>
        <w:rPr>
          <w:color w:val="000000" w:themeColor="text1"/>
        </w:rPr>
        <w:t>the Special Rapporteur</w:t>
      </w:r>
      <w:r w:rsidRPr="00B84F5B">
        <w:rPr>
          <w:color w:val="000000" w:themeColor="text1"/>
        </w:rPr>
        <w:t xml:space="preserve"> encourage</w:t>
      </w:r>
      <w:r>
        <w:rPr>
          <w:color w:val="000000" w:themeColor="text1"/>
        </w:rPr>
        <w:t>s</w:t>
      </w:r>
      <w:r w:rsidRPr="00B84F5B">
        <w:rPr>
          <w:color w:val="000000" w:themeColor="text1"/>
        </w:rPr>
        <w:t xml:space="preserve"> the government to protect and restore mangroves and explore nature-based solutions to prevent erosion with coastal and river defence projects. </w:t>
      </w:r>
    </w:p>
    <w:p w:rsidR="006D7155" w:rsidRPr="00973903" w:rsidRDefault="006D7155" w:rsidP="006D7155">
      <w:pPr>
        <w:pStyle w:val="SingleTxtG"/>
        <w:rPr>
          <w:shd w:val="clear" w:color="auto" w:fill="FFFFFF"/>
        </w:rPr>
      </w:pPr>
      <w:r>
        <w:rPr>
          <w:lang w:val="en-US"/>
        </w:rPr>
        <w:t>77.</w:t>
      </w:r>
      <w:r>
        <w:rPr>
          <w:lang w:val="en-US"/>
        </w:rPr>
        <w:tab/>
      </w:r>
      <w:r w:rsidRPr="00A85147">
        <w:rPr>
          <w:lang w:val="en-US"/>
        </w:rPr>
        <w:t>Forests co</w:t>
      </w:r>
      <w:r>
        <w:rPr>
          <w:lang w:val="en-US"/>
        </w:rPr>
        <w:t>ver more than half</w:t>
      </w:r>
      <w:r w:rsidRPr="00A85147">
        <w:rPr>
          <w:lang w:val="en-US"/>
        </w:rPr>
        <w:t xml:space="preserve"> of </w:t>
      </w:r>
      <w:r>
        <w:rPr>
          <w:lang w:val="en-US"/>
        </w:rPr>
        <w:t>the</w:t>
      </w:r>
      <w:r w:rsidRPr="00A85147">
        <w:rPr>
          <w:lang w:val="en-US"/>
        </w:rPr>
        <w:t xml:space="preserve"> land area </w:t>
      </w:r>
      <w:r>
        <w:rPr>
          <w:lang w:val="en-US"/>
        </w:rPr>
        <w:t xml:space="preserve">on Saint Vincent </w:t>
      </w:r>
      <w:r w:rsidRPr="00A85147">
        <w:rPr>
          <w:lang w:val="en-US"/>
        </w:rPr>
        <w:t xml:space="preserve">and are important for environmental, cultural, and economic reasons. </w:t>
      </w:r>
      <w:r>
        <w:rPr>
          <w:lang w:val="en-US"/>
        </w:rPr>
        <w:t>However, f</w:t>
      </w:r>
      <w:r w:rsidRPr="00A85147">
        <w:rPr>
          <w:lang w:val="en-US"/>
        </w:rPr>
        <w:t>orests are being affected by climate change, clearing for agriculture, and urban expansion</w:t>
      </w:r>
      <w:r>
        <w:rPr>
          <w:lang w:val="en-US"/>
        </w:rPr>
        <w:t>, as well as the volcanic eruption</w:t>
      </w:r>
      <w:r w:rsidRPr="00A85147">
        <w:rPr>
          <w:lang w:val="en-US"/>
        </w:rPr>
        <w:t>.</w:t>
      </w:r>
      <w:r>
        <w:rPr>
          <w:lang w:val="en-US"/>
        </w:rPr>
        <w:t xml:space="preserve"> There has not been a comprehensive forest inventory since 1993, so current rates of deforestation are not known.</w:t>
      </w:r>
      <w:r>
        <w:rPr>
          <w:rStyle w:val="FootnoteReference"/>
          <w:lang w:val="en-US"/>
        </w:rPr>
        <w:footnoteReference w:id="60"/>
      </w:r>
      <w:r>
        <w:rPr>
          <w:lang w:val="en-US"/>
        </w:rPr>
        <w:t xml:space="preserve"> Protecting the remaining areas of native forests should be a conservation priority and will have the added benefit of protecting the water supply.</w:t>
      </w:r>
    </w:p>
    <w:p w:rsidR="006D7155" w:rsidRPr="00813979" w:rsidRDefault="006D7155" w:rsidP="006D7155">
      <w:pPr>
        <w:pStyle w:val="H1G"/>
      </w:pPr>
      <w:r>
        <w:lastRenderedPageBreak/>
        <w:tab/>
      </w:r>
      <w:r w:rsidRPr="00813979">
        <w:t>H.</w:t>
      </w:r>
      <w:r>
        <w:tab/>
      </w:r>
      <w:r w:rsidRPr="00813979">
        <w:t xml:space="preserve">Participation </w:t>
      </w:r>
      <w:r>
        <w:t>r</w:t>
      </w:r>
      <w:r w:rsidRPr="00813979">
        <w:t>ights</w:t>
      </w:r>
    </w:p>
    <w:p w:rsidR="006D7155" w:rsidRPr="00B84F5B" w:rsidRDefault="006D7155" w:rsidP="006D7155">
      <w:pPr>
        <w:pStyle w:val="SingleTxtG"/>
        <w:rPr>
          <w:shd w:val="clear" w:color="auto" w:fill="FFFFFF"/>
        </w:rPr>
      </w:pPr>
      <w:r>
        <w:rPr>
          <w:color w:val="000000"/>
        </w:rPr>
        <w:t>78.</w:t>
      </w:r>
      <w:r>
        <w:rPr>
          <w:color w:val="000000"/>
        </w:rPr>
        <w:tab/>
      </w:r>
      <w:r w:rsidRPr="00B84F5B">
        <w:rPr>
          <w:color w:val="000000"/>
        </w:rPr>
        <w:t xml:space="preserve">Pursuant to the </w:t>
      </w:r>
      <w:r w:rsidRPr="00ED5154">
        <w:t>Escazú</w:t>
      </w:r>
      <w:r w:rsidRPr="00B84F5B">
        <w:rPr>
          <w:color w:val="000000"/>
        </w:rPr>
        <w:t xml:space="preserve"> Treaty that came into force on 22 April 2021, everyone in Saint Vincent and the Grenadines has the right to information about environmental matters, the right to participate in environmental decision-making, the rights of freedom of expression and association on environmental matters, and the right of access to effective remedies for environmental harm. The free and full exercise of these rights enables people to ensure that environmental policy is fair and effective.  </w:t>
      </w:r>
    </w:p>
    <w:p w:rsidR="006D7155" w:rsidRPr="00B84F5B" w:rsidRDefault="006D7155" w:rsidP="006D7155">
      <w:pPr>
        <w:pStyle w:val="SingleTxtG"/>
        <w:rPr>
          <w:shd w:val="clear" w:color="auto" w:fill="FFFFFF"/>
        </w:rPr>
      </w:pPr>
      <w:r>
        <w:t>79.</w:t>
      </w:r>
      <w:r>
        <w:tab/>
        <w:t xml:space="preserve">Government websites for </w:t>
      </w:r>
      <w:r w:rsidRPr="00B84F5B">
        <w:rPr>
          <w:color w:val="000000"/>
        </w:rPr>
        <w:t xml:space="preserve">Saint Vincent and the Grenadines </w:t>
      </w:r>
      <w:r>
        <w:t>provide little detailed information related to environmental issues (climate change, environmental quality, environmental assessments, environmental legislation, etc.). This can inhibit public participation in environmental decision-making. There are large gaps in environmental data, from air quality to pesticide residues to populations of endangered species.</w:t>
      </w:r>
      <w:r>
        <w:rPr>
          <w:rStyle w:val="FootnoteReference"/>
        </w:rPr>
        <w:footnoteReference w:id="61"/>
      </w:r>
      <w:r>
        <w:t xml:space="preserve"> </w:t>
      </w:r>
      <w:r>
        <w:rPr>
          <w:color w:val="000000"/>
        </w:rPr>
        <w:t>The Special Rapporteur</w:t>
      </w:r>
      <w:r w:rsidRPr="00B84F5B">
        <w:rPr>
          <w:color w:val="000000"/>
        </w:rPr>
        <w:t xml:space="preserve"> encourage</w:t>
      </w:r>
      <w:r>
        <w:rPr>
          <w:color w:val="000000"/>
        </w:rPr>
        <w:t>s</w:t>
      </w:r>
      <w:r w:rsidRPr="00B84F5B">
        <w:rPr>
          <w:color w:val="000000"/>
        </w:rPr>
        <w:t xml:space="preserve"> Saint Vincent and the Grenadines to consider creating an online registry that would make environmental information</w:t>
      </w:r>
      <w:r>
        <w:rPr>
          <w:color w:val="000000"/>
        </w:rPr>
        <w:t xml:space="preserve"> </w:t>
      </w:r>
      <w:r w:rsidRPr="00B84F5B">
        <w:rPr>
          <w:color w:val="000000"/>
        </w:rPr>
        <w:t xml:space="preserve">easily available to the public, including laws, regulations, policies, permit applications and decisions, pollution data, and enforcement actions taken. Such a registry would be consistent with the government’s obligations under the </w:t>
      </w:r>
      <w:r w:rsidRPr="00ED5154">
        <w:t>Escazú</w:t>
      </w:r>
      <w:r w:rsidRPr="00B84F5B">
        <w:rPr>
          <w:color w:val="000000"/>
        </w:rPr>
        <w:t xml:space="preserve"> Treaty (Article 5) and would make it easier to submit the many reports required under international environmental treaties. It may be worth considering a regional approach, as was done effectively and efficiently by 14 States in the South Pacific.</w:t>
      </w:r>
      <w:r>
        <w:rPr>
          <w:rStyle w:val="FootnoteReference"/>
          <w:color w:val="000000"/>
        </w:rPr>
        <w:footnoteReference w:id="62"/>
      </w:r>
      <w:r w:rsidRPr="00B84F5B">
        <w:rPr>
          <w:color w:val="000000"/>
        </w:rPr>
        <w:t xml:space="preserve"> </w:t>
      </w:r>
    </w:p>
    <w:p w:rsidR="006D7155" w:rsidRPr="00973903" w:rsidRDefault="006D7155" w:rsidP="006D7155">
      <w:pPr>
        <w:pStyle w:val="SingleTxtG"/>
        <w:rPr>
          <w:shd w:val="clear" w:color="auto" w:fill="FFFFFF"/>
        </w:rPr>
      </w:pPr>
      <w:r>
        <w:rPr>
          <w:color w:val="000000"/>
        </w:rPr>
        <w:t>80.</w:t>
      </w:r>
      <w:r>
        <w:rPr>
          <w:color w:val="000000"/>
        </w:rPr>
        <w:tab/>
      </w:r>
      <w:r w:rsidRPr="00B84F5B">
        <w:rPr>
          <w:color w:val="000000"/>
        </w:rPr>
        <w:t xml:space="preserve">Environmental impact assessments for proposed developments are required by the Town and Country Planning Act. The legislative provisions are very brief and the opportunities for public participation are not clear. Some citizens and civil society organizations expressed frustration with their inability to gain easy access to important information, the lack of consultation, and constraints on the public’s ability to participate. Officials indicated that the EIA process is being updated. It is essential that the update be informed by, and consistent with, the requirements of the </w:t>
      </w:r>
      <w:r w:rsidRPr="00ED5154">
        <w:t>Escazú</w:t>
      </w:r>
      <w:r w:rsidRPr="00B84F5B">
        <w:rPr>
          <w:color w:val="000000"/>
        </w:rPr>
        <w:t xml:space="preserve"> Treaty (especially Article 7). </w:t>
      </w:r>
    </w:p>
    <w:p w:rsidR="006D7155" w:rsidRPr="00EF6A81" w:rsidRDefault="006D7155" w:rsidP="006D7155">
      <w:pPr>
        <w:pStyle w:val="SingleTxtG"/>
        <w:rPr>
          <w:shd w:val="clear" w:color="auto" w:fill="FFFFFF"/>
        </w:rPr>
      </w:pPr>
      <w:r>
        <w:rPr>
          <w:color w:val="000000"/>
        </w:rPr>
        <w:t>81.</w:t>
      </w:r>
      <w:r>
        <w:rPr>
          <w:color w:val="000000"/>
        </w:rPr>
        <w:tab/>
      </w:r>
      <w:r w:rsidRPr="00973903">
        <w:rPr>
          <w:color w:val="000000"/>
        </w:rPr>
        <w:t>There do not appear to be any environmental cases being brought to the courts in Saint Vincent and the Grenadines, suggesting a need for increased enforcement of environmental laws, capacity-building in the legal profession and judicial education.</w:t>
      </w:r>
      <w:r>
        <w:rPr>
          <w:rStyle w:val="FootnoteReference"/>
          <w:color w:val="000000"/>
        </w:rPr>
        <w:footnoteReference w:id="63"/>
      </w:r>
      <w:r w:rsidRPr="00973903">
        <w:rPr>
          <w:color w:val="000000"/>
        </w:rPr>
        <w:t xml:space="preserve"> </w:t>
      </w:r>
    </w:p>
    <w:p w:rsidR="006D7155" w:rsidRPr="00813979" w:rsidRDefault="006D7155" w:rsidP="006D7155">
      <w:pPr>
        <w:pStyle w:val="HChG"/>
      </w:pPr>
      <w:r>
        <w:tab/>
      </w:r>
      <w:r w:rsidRPr="00813979">
        <w:t>V.</w:t>
      </w:r>
      <w:r>
        <w:tab/>
      </w:r>
      <w:r w:rsidRPr="00813979">
        <w:t>Conclusion and recommendations</w:t>
      </w:r>
    </w:p>
    <w:p w:rsidR="006D7155" w:rsidRPr="007C2688" w:rsidRDefault="006D7155" w:rsidP="006D7155">
      <w:pPr>
        <w:pStyle w:val="SingleTxtG"/>
        <w:rPr>
          <w:b/>
        </w:rPr>
      </w:pPr>
      <w:r w:rsidRPr="007C2688">
        <w:t>82.</w:t>
      </w:r>
      <w:r w:rsidRPr="007C2688">
        <w:rPr>
          <w:b/>
        </w:rPr>
        <w:tab/>
        <w:t xml:space="preserve">Like many small island, big ocean states, Saint Vincent and the Grenadines faces a complex web of interconnected environmental challenges. The Special Rapporteur was impressed by the progress being made on many fronts, including water, solid waste management, and adapting to climate change. </w:t>
      </w:r>
    </w:p>
    <w:p w:rsidR="006D7155" w:rsidRPr="007C2688" w:rsidRDefault="006D7155" w:rsidP="006D7155">
      <w:pPr>
        <w:pStyle w:val="SingleTxtG"/>
        <w:rPr>
          <w:b/>
          <w:color w:val="000000"/>
        </w:rPr>
      </w:pPr>
      <w:r w:rsidRPr="007C2688">
        <w:t>83.</w:t>
      </w:r>
      <w:r w:rsidRPr="007C2688">
        <w:rPr>
          <w:b/>
        </w:rPr>
        <w:tab/>
        <w:t xml:space="preserve">The global climate crisis is multiplying a number of environmental risks, forcing the government to dedicate its limited resources to repair, </w:t>
      </w:r>
      <w:r w:rsidRPr="007C2688">
        <w:rPr>
          <w:b/>
        </w:rPr>
        <w:lastRenderedPageBreak/>
        <w:t xml:space="preserve">rebuild, and reconstruct instead of develop. Saint Vincent and the Grenadines represents a textbook example of global climate injustice. </w:t>
      </w:r>
      <w:r w:rsidRPr="007C2688">
        <w:rPr>
          <w:b/>
          <w:color w:val="000000"/>
          <w:shd w:val="clear" w:color="auto" w:fill="FFFFFF"/>
        </w:rPr>
        <w:t>Despite its negligible contribution to the problem, this nation is suffering, and will continue to suffer, dramatic consequences with major human rights implications, especially with regard to vulnerable populations. While this report focuses on a single nation, the future of all small island states depends on the willingness of wealthy states to fulfil their obligations to make rapid, systemic and transformative changes to address the climate emergency.</w:t>
      </w:r>
      <w:r w:rsidRPr="007C2688">
        <w:rPr>
          <w:rStyle w:val="FootnoteReference"/>
          <w:b/>
          <w:color w:val="000000"/>
          <w:shd w:val="clear" w:color="auto" w:fill="FFFFFF"/>
        </w:rPr>
        <w:footnoteReference w:id="64"/>
      </w:r>
      <w:r w:rsidRPr="007C2688">
        <w:rPr>
          <w:b/>
          <w:color w:val="000000"/>
          <w:shd w:val="clear" w:color="auto" w:fill="FFFFFF"/>
        </w:rPr>
        <w:t> </w:t>
      </w:r>
    </w:p>
    <w:p w:rsidR="006D7155" w:rsidRPr="007C2688" w:rsidRDefault="006D7155" w:rsidP="006D7155">
      <w:pPr>
        <w:pStyle w:val="SingleTxtG"/>
        <w:rPr>
          <w:b/>
          <w:color w:val="000000"/>
        </w:rPr>
      </w:pPr>
      <w:r w:rsidRPr="007C2688">
        <w:t>84.</w:t>
      </w:r>
      <w:r w:rsidRPr="007C2688">
        <w:rPr>
          <w:b/>
        </w:rPr>
        <w:tab/>
        <w:t xml:space="preserve">Saint Vincent and the Grenadines is </w:t>
      </w:r>
      <w:r w:rsidRPr="007C2688">
        <w:rPr>
          <w:b/>
          <w:color w:val="000000"/>
        </w:rPr>
        <w:t xml:space="preserve">committed to achieving the 2030 Sustainable Development Goals. Human rights are at the heart of the SDGs, and should be directly integrated into all plans, policies, and programmes intended to advance progress towards the 2030 targets. This is essential to ensure that no one is left behind. </w:t>
      </w:r>
    </w:p>
    <w:p w:rsidR="006D7155" w:rsidRPr="007C2688" w:rsidRDefault="006D7155" w:rsidP="006D7155">
      <w:pPr>
        <w:pStyle w:val="SingleTxtG"/>
        <w:rPr>
          <w:b/>
          <w:bCs/>
          <w:lang w:val="en-US"/>
        </w:rPr>
      </w:pPr>
      <w:r w:rsidRPr="007C2688">
        <w:t>85.</w:t>
      </w:r>
      <w:r w:rsidRPr="007C2688">
        <w:rPr>
          <w:b/>
        </w:rPr>
        <w:tab/>
        <w:t>Saint Vincent and the Grenadines</w:t>
      </w:r>
      <w:r w:rsidRPr="007C2688">
        <w:rPr>
          <w:b/>
          <w:lang w:val="en-US"/>
        </w:rPr>
        <w:t xml:space="preserve"> is a regional leader through its ratification of the </w:t>
      </w:r>
      <w:r w:rsidRPr="007C2688">
        <w:rPr>
          <w:b/>
        </w:rPr>
        <w:t>Escazú</w:t>
      </w:r>
      <w:r w:rsidRPr="007C2688">
        <w:rPr>
          <w:b/>
          <w:lang w:val="en-US"/>
        </w:rPr>
        <w:t xml:space="preserve"> Agreement, ratifying the full suite of multilateral environmental agreements and human rights treaties, responding to the global climate change emergency, and developing a solid set of strategies, frameworks and plans. </w:t>
      </w:r>
      <w:r w:rsidRPr="007C2688">
        <w:rPr>
          <w:b/>
        </w:rPr>
        <w:t xml:space="preserve">Saint Vincent and the Grenadines </w:t>
      </w:r>
      <w:r w:rsidRPr="007C2688">
        <w:rPr>
          <w:b/>
          <w:lang w:val="en-US"/>
        </w:rPr>
        <w:t xml:space="preserve">has a relatively good set of environmental laws and policies, although some need to be updated to be consistent with human rights obligations. </w:t>
      </w:r>
      <w:r w:rsidRPr="007C2688">
        <w:rPr>
          <w:b/>
          <w:color w:val="000000"/>
        </w:rPr>
        <w:t xml:space="preserve">The </w:t>
      </w:r>
      <w:r w:rsidRPr="007C2688">
        <w:rPr>
          <w:b/>
        </w:rPr>
        <w:t>Escazú treaty should be used to guide</w:t>
      </w:r>
      <w:r w:rsidRPr="007C2688">
        <w:rPr>
          <w:b/>
          <w:color w:val="000000"/>
        </w:rPr>
        <w:t xml:space="preserve"> the development of all climate- and environment-related initiatives, ensuring that human rights are mainstreamed and the right to a clean, healthy and sustainable environment is fulfilled. </w:t>
      </w:r>
      <w:r w:rsidRPr="007C2688">
        <w:rPr>
          <w:b/>
          <w:bCs/>
          <w:lang w:val="en-US"/>
        </w:rPr>
        <w:t xml:space="preserve">An important challenge is to close the gap between laws and policies on paper and practices on the ground, by increasing implementation and enforcement. </w:t>
      </w:r>
    </w:p>
    <w:p w:rsidR="006D7155" w:rsidRPr="007C2688" w:rsidRDefault="006D7155" w:rsidP="006D7155">
      <w:pPr>
        <w:pStyle w:val="SingleTxtG"/>
        <w:rPr>
          <w:b/>
          <w:color w:val="000000"/>
        </w:rPr>
      </w:pPr>
      <w:r w:rsidRPr="007C2688">
        <w:t>86.</w:t>
      </w:r>
      <w:r w:rsidRPr="007C2688">
        <w:rPr>
          <w:b/>
        </w:rPr>
        <w:tab/>
        <w:t xml:space="preserve">Education is also a central pillar of the SDGs, and the Convention on the Rights of the Child guarantees all children their right to an environmental education. Understanding the ecological challenges facing society, </w:t>
      </w:r>
      <w:r w:rsidRPr="007C2688">
        <w:rPr>
          <w:b/>
          <w:color w:val="000000"/>
          <w:shd w:val="clear" w:color="auto" w:fill="FFFFFF"/>
        </w:rPr>
        <w:t>as well as the potential solutions,</w:t>
      </w:r>
      <w:r w:rsidRPr="007C2688">
        <w:rPr>
          <w:b/>
        </w:rPr>
        <w:t xml:space="preserve"> is a prerequisite to responsible citizenship. Young people must be equipped with the knowledge, skills and opportunities to play an active role in shaping their future. </w:t>
      </w:r>
    </w:p>
    <w:p w:rsidR="006D7155" w:rsidRPr="007C2688" w:rsidRDefault="006D7155" w:rsidP="006D7155">
      <w:pPr>
        <w:pStyle w:val="SingleTxtG"/>
        <w:rPr>
          <w:b/>
          <w:shd w:val="clear" w:color="auto" w:fill="FFFFFF"/>
        </w:rPr>
      </w:pPr>
      <w:r w:rsidRPr="007C2688">
        <w:t>87.</w:t>
      </w:r>
      <w:r w:rsidRPr="007C2688">
        <w:rPr>
          <w:b/>
        </w:rPr>
        <w:tab/>
        <w:t xml:space="preserve">In conclusion, the Special Rapporteur would like to </w:t>
      </w:r>
      <w:r w:rsidRPr="007C2688">
        <w:rPr>
          <w:b/>
          <w:color w:val="000000"/>
        </w:rPr>
        <w:t>reiterate his heartfelt appreciation to all of the people of who took the time to share their views with him during his visit. It was an honour and a privilege for him to learn about this beautiful Caribbean island nation, its environmental challenges, its resilience, and its genuine determination to respect, protect, and fulfil everyone’s right to live in a clean, healthy and sustainable environment.</w:t>
      </w:r>
    </w:p>
    <w:p w:rsidR="006D7155" w:rsidRPr="00CE5386" w:rsidRDefault="006D7155" w:rsidP="006D7155">
      <w:pPr>
        <w:pStyle w:val="SingleTxtG"/>
        <w:rPr>
          <w:lang w:val="en-US"/>
        </w:rPr>
      </w:pPr>
      <w:r w:rsidRPr="007C2688">
        <w:rPr>
          <w:lang w:val="en-US"/>
        </w:rPr>
        <w:t>88.</w:t>
      </w:r>
      <w:r>
        <w:rPr>
          <w:b/>
          <w:lang w:val="en-US"/>
        </w:rPr>
        <w:tab/>
      </w:r>
      <w:r w:rsidRPr="00CE5386">
        <w:rPr>
          <w:b/>
          <w:lang w:val="en-US"/>
        </w:rPr>
        <w:t xml:space="preserve">The Special Rapporteur encourages the Government of </w:t>
      </w:r>
      <w:r>
        <w:rPr>
          <w:b/>
          <w:lang w:val="en-US"/>
        </w:rPr>
        <w:t>Saint Vincent and the Grenadines</w:t>
      </w:r>
      <w:r w:rsidRPr="00CE5386">
        <w:rPr>
          <w:b/>
          <w:lang w:val="en-US"/>
        </w:rPr>
        <w:t xml:space="preserve"> to implement the following recommendations in order to enhance </w:t>
      </w:r>
      <w:r>
        <w:rPr>
          <w:b/>
          <w:lang w:val="en-US"/>
        </w:rPr>
        <w:t>the nation’s</w:t>
      </w:r>
      <w:r w:rsidRPr="00CE5386">
        <w:rPr>
          <w:b/>
          <w:lang w:val="en-US"/>
        </w:rPr>
        <w:t xml:space="preserve"> reputation </w:t>
      </w:r>
      <w:r>
        <w:rPr>
          <w:b/>
          <w:lang w:val="en-US"/>
        </w:rPr>
        <w:t>for fulfilling</w:t>
      </w:r>
      <w:r w:rsidRPr="00CE5386">
        <w:rPr>
          <w:b/>
          <w:lang w:val="en-US"/>
        </w:rPr>
        <w:t xml:space="preserve"> its environmental and human rights commitments, and </w:t>
      </w:r>
      <w:r>
        <w:rPr>
          <w:b/>
          <w:lang w:val="en-US"/>
        </w:rPr>
        <w:t xml:space="preserve">to </w:t>
      </w:r>
      <w:r w:rsidRPr="00CE5386">
        <w:rPr>
          <w:b/>
          <w:lang w:val="en-US"/>
        </w:rPr>
        <w:t xml:space="preserve">accelerate progress towards </w:t>
      </w:r>
      <w:r>
        <w:rPr>
          <w:b/>
          <w:lang w:val="en-US"/>
        </w:rPr>
        <w:t>achiev</w:t>
      </w:r>
      <w:r w:rsidRPr="00CE5386">
        <w:rPr>
          <w:b/>
          <w:lang w:val="en-US"/>
        </w:rPr>
        <w:t>ing the UN Sustainable Development Goals</w:t>
      </w:r>
      <w:r w:rsidRPr="00CE5386">
        <w:rPr>
          <w:lang w:val="en-US"/>
        </w:rPr>
        <w:t xml:space="preserve">: </w:t>
      </w:r>
    </w:p>
    <w:p w:rsidR="006D7155" w:rsidRPr="00A04B3D" w:rsidRDefault="006D7155" w:rsidP="006D7155">
      <w:pPr>
        <w:pStyle w:val="SingleTxtG"/>
        <w:ind w:firstLine="567"/>
        <w:rPr>
          <w:b/>
          <w:lang w:val="en-US"/>
        </w:rPr>
      </w:pPr>
      <w:r w:rsidRPr="008D7BC1">
        <w:rPr>
          <w:lang w:val="en-US"/>
        </w:rPr>
        <w:t>(a)</w:t>
      </w:r>
      <w:r w:rsidRPr="00A04B3D">
        <w:rPr>
          <w:b/>
          <w:lang w:val="en-US"/>
        </w:rPr>
        <w:tab/>
        <w:t xml:space="preserve">Continue its admirable record of speaking out forcefully about the need for accelerated climate action on mitigation, adaptation, and </w:t>
      </w:r>
      <w:r>
        <w:rPr>
          <w:b/>
          <w:lang w:val="en-US"/>
        </w:rPr>
        <w:t>loss and damage by:</w:t>
      </w:r>
    </w:p>
    <w:p w:rsidR="006D7155" w:rsidRDefault="006D7155" w:rsidP="006D7155">
      <w:pPr>
        <w:pStyle w:val="SingleTxtG"/>
        <w:ind w:left="1701"/>
        <w:rPr>
          <w:b/>
          <w:lang w:val="en-US"/>
        </w:rPr>
      </w:pPr>
      <w:r w:rsidRPr="008D7BC1">
        <w:rPr>
          <w:lang w:val="en-US"/>
        </w:rPr>
        <w:lastRenderedPageBreak/>
        <w:t>(i)</w:t>
      </w:r>
      <w:r w:rsidRPr="008D7BC1">
        <w:rPr>
          <w:lang w:val="en-US"/>
        </w:rPr>
        <w:tab/>
      </w:r>
      <w:r>
        <w:rPr>
          <w:b/>
          <w:lang w:val="en-US"/>
        </w:rPr>
        <w:t>s</w:t>
      </w:r>
      <w:r w:rsidRPr="00A04B3D">
        <w:rPr>
          <w:b/>
          <w:lang w:val="en-US"/>
        </w:rPr>
        <w:t>upport</w:t>
      </w:r>
      <w:r>
        <w:rPr>
          <w:b/>
          <w:lang w:val="en-US"/>
        </w:rPr>
        <w:t>ing</w:t>
      </w:r>
      <w:r w:rsidRPr="00A04B3D">
        <w:rPr>
          <w:b/>
          <w:lang w:val="en-US"/>
        </w:rPr>
        <w:t xml:space="preserve"> </w:t>
      </w:r>
      <w:r>
        <w:rPr>
          <w:b/>
          <w:lang w:val="en-US"/>
        </w:rPr>
        <w:t xml:space="preserve">innovative </w:t>
      </w:r>
      <w:r w:rsidRPr="00A04B3D">
        <w:rPr>
          <w:b/>
          <w:lang w:val="en-US"/>
        </w:rPr>
        <w:t xml:space="preserve">global </w:t>
      </w:r>
      <w:r>
        <w:rPr>
          <w:b/>
          <w:lang w:val="en-US"/>
        </w:rPr>
        <w:t>climate finance</w:t>
      </w:r>
      <w:r w:rsidRPr="00A04B3D">
        <w:rPr>
          <w:b/>
          <w:lang w:val="en-US"/>
        </w:rPr>
        <w:t xml:space="preserve"> </w:t>
      </w:r>
      <w:r>
        <w:rPr>
          <w:b/>
          <w:lang w:val="en-US"/>
        </w:rPr>
        <w:t xml:space="preserve">solutions, including Special Drawing Rights from the International Monetary Fund, </w:t>
      </w:r>
      <w:r w:rsidRPr="00A04B3D">
        <w:rPr>
          <w:b/>
          <w:lang w:val="en-US"/>
        </w:rPr>
        <w:t xml:space="preserve">an air travel </w:t>
      </w:r>
      <w:r>
        <w:rPr>
          <w:b/>
          <w:lang w:val="en-US"/>
        </w:rPr>
        <w:t xml:space="preserve">passenger </w:t>
      </w:r>
      <w:r w:rsidRPr="00A04B3D">
        <w:rPr>
          <w:b/>
          <w:lang w:val="en-US"/>
        </w:rPr>
        <w:t>levy</w:t>
      </w:r>
      <w:r>
        <w:rPr>
          <w:b/>
          <w:lang w:val="en-US"/>
        </w:rPr>
        <w:t>,</w:t>
      </w:r>
      <w:r>
        <w:rPr>
          <w:rStyle w:val="FootnoteReference"/>
          <w:b/>
          <w:lang w:val="en-US"/>
        </w:rPr>
        <w:footnoteReference w:id="65"/>
      </w:r>
      <w:r>
        <w:rPr>
          <w:b/>
          <w:lang w:val="en-US"/>
        </w:rPr>
        <w:t xml:space="preserve"> an international maritime shipping levy, debt relief for climate action swaps</w:t>
      </w:r>
      <w:r>
        <w:rPr>
          <w:rStyle w:val="FootnoteReference"/>
          <w:b/>
          <w:lang w:val="en-US"/>
        </w:rPr>
        <w:footnoteReference w:id="66"/>
      </w:r>
      <w:r>
        <w:rPr>
          <w:b/>
          <w:lang w:val="en-US"/>
        </w:rPr>
        <w:t xml:space="preserve"> and a global tax on fossil fuel products in order</w:t>
      </w:r>
      <w:r w:rsidRPr="00A04B3D">
        <w:rPr>
          <w:b/>
          <w:lang w:val="en-US"/>
        </w:rPr>
        <w:t xml:space="preserve"> to </w:t>
      </w:r>
      <w:r>
        <w:rPr>
          <w:b/>
          <w:lang w:val="en-US"/>
        </w:rPr>
        <w:t>assist</w:t>
      </w:r>
      <w:r w:rsidRPr="00A04B3D">
        <w:rPr>
          <w:b/>
          <w:lang w:val="en-US"/>
        </w:rPr>
        <w:t xml:space="preserve"> climate vulnerable nations</w:t>
      </w:r>
      <w:r>
        <w:rPr>
          <w:b/>
          <w:lang w:val="en-US"/>
        </w:rPr>
        <w:t>; and</w:t>
      </w:r>
    </w:p>
    <w:p w:rsidR="006D7155" w:rsidRPr="00A04B3D" w:rsidRDefault="006D7155" w:rsidP="006D7155">
      <w:pPr>
        <w:pStyle w:val="SingleTxtG"/>
        <w:ind w:left="1701"/>
        <w:rPr>
          <w:b/>
          <w:lang w:val="en-US"/>
        </w:rPr>
      </w:pPr>
      <w:r w:rsidRPr="008D7BC1">
        <w:rPr>
          <w:lang w:val="en-US"/>
        </w:rPr>
        <w:t>(ii)</w:t>
      </w:r>
      <w:r>
        <w:rPr>
          <w:b/>
          <w:lang w:val="en-US"/>
        </w:rPr>
        <w:tab/>
        <w:t xml:space="preserve">advancing the implementation of a multi-dimensional vulnerability index for determining access to climate finance and debt relief.  </w:t>
      </w:r>
    </w:p>
    <w:p w:rsidR="006D7155" w:rsidRDefault="006D7155" w:rsidP="006D7155">
      <w:pPr>
        <w:pStyle w:val="SingleTxtG"/>
        <w:ind w:firstLine="567"/>
        <w:rPr>
          <w:b/>
          <w:lang w:val="en-US"/>
        </w:rPr>
      </w:pPr>
      <w:r w:rsidRPr="008D7BC1">
        <w:rPr>
          <w:lang w:val="en-US"/>
        </w:rPr>
        <w:t>(b)</w:t>
      </w:r>
      <w:r w:rsidRPr="00A04B3D">
        <w:rPr>
          <w:b/>
          <w:lang w:val="en-US"/>
        </w:rPr>
        <w:tab/>
        <w:t>Continue taking an effective, rights-based approach to domestic climate action, including</w:t>
      </w:r>
      <w:r>
        <w:rPr>
          <w:b/>
          <w:lang w:val="en-US"/>
        </w:rPr>
        <w:t>:</w:t>
      </w:r>
    </w:p>
    <w:p w:rsidR="006D7155" w:rsidRPr="00901AAA" w:rsidRDefault="006D7155" w:rsidP="006D7155">
      <w:pPr>
        <w:pStyle w:val="SingleTxtG"/>
        <w:ind w:left="1746"/>
        <w:rPr>
          <w:rStyle w:val="Strong"/>
          <w:color w:val="000000" w:themeColor="text1"/>
        </w:rPr>
      </w:pPr>
      <w:r w:rsidRPr="008D7BC1">
        <w:rPr>
          <w:lang w:val="en-US"/>
        </w:rPr>
        <w:t>(i)</w:t>
      </w:r>
      <w:r>
        <w:rPr>
          <w:b/>
          <w:lang w:val="en-US"/>
        </w:rPr>
        <w:tab/>
      </w:r>
      <w:r w:rsidRPr="00A04B3D">
        <w:rPr>
          <w:b/>
          <w:lang w:val="en-US"/>
        </w:rPr>
        <w:t xml:space="preserve">accelerated efforts to </w:t>
      </w:r>
      <w:r w:rsidRPr="00901AAA">
        <w:rPr>
          <w:rStyle w:val="Strong"/>
          <w:color w:val="000000" w:themeColor="text1"/>
        </w:rPr>
        <w:t>shift to renewable electricity, combining solar, wind, hydro and possibly geothermal, in order to generate environmental benefits and lower electricity prices</w:t>
      </w:r>
      <w:r>
        <w:rPr>
          <w:rStyle w:val="Strong"/>
          <w:color w:val="000000" w:themeColor="text1"/>
        </w:rPr>
        <w:t>;</w:t>
      </w:r>
    </w:p>
    <w:p w:rsidR="006D7155" w:rsidRDefault="006D7155" w:rsidP="006D7155">
      <w:pPr>
        <w:pStyle w:val="SingleTxtG"/>
        <w:ind w:left="1746"/>
        <w:rPr>
          <w:b/>
          <w:lang w:val="en-US"/>
        </w:rPr>
      </w:pPr>
      <w:r w:rsidRPr="008D7BC1">
        <w:rPr>
          <w:lang w:val="en-US"/>
        </w:rPr>
        <w:t>(ii)</w:t>
      </w:r>
      <w:r w:rsidRPr="008D7BC1">
        <w:rPr>
          <w:lang w:val="en-US"/>
        </w:rPr>
        <w:tab/>
      </w:r>
      <w:r>
        <w:rPr>
          <w:b/>
          <w:lang w:val="en-US"/>
        </w:rPr>
        <w:t xml:space="preserve">reducing the permitted age of imported vehicles, encouraging the purchase of hybrid and electric vehicles, discouraging the purchase of diesel vehicles and strengthening public transport services; </w:t>
      </w:r>
    </w:p>
    <w:p w:rsidR="006D7155" w:rsidRDefault="006D7155" w:rsidP="006D7155">
      <w:pPr>
        <w:pStyle w:val="SingleTxtG"/>
        <w:ind w:left="1746"/>
        <w:rPr>
          <w:b/>
          <w:lang w:val="en-US"/>
        </w:rPr>
      </w:pPr>
      <w:r w:rsidRPr="008D7BC1">
        <w:rPr>
          <w:lang w:val="en-US"/>
        </w:rPr>
        <w:t>(iii)</w:t>
      </w:r>
      <w:r>
        <w:rPr>
          <w:b/>
          <w:lang w:val="en-US"/>
        </w:rPr>
        <w:tab/>
        <w:t xml:space="preserve">continuing to invest in adaptation projects, including climate smart agriculture and nature-based solutions to prevent erosion through coastal and river </w:t>
      </w:r>
      <w:r w:rsidR="001A24DD">
        <w:rPr>
          <w:b/>
          <w:lang w:val="en-US"/>
        </w:rPr>
        <w:t>defense</w:t>
      </w:r>
      <w:r>
        <w:rPr>
          <w:b/>
          <w:lang w:val="en-US"/>
        </w:rPr>
        <w:t xml:space="preserve"> projects (such as protecting and restoring mangrove ecosystems);</w:t>
      </w:r>
    </w:p>
    <w:p w:rsidR="006D7155" w:rsidRDefault="006D7155" w:rsidP="006D7155">
      <w:pPr>
        <w:pStyle w:val="SingleTxtG"/>
        <w:ind w:left="1440" w:firstLine="306"/>
        <w:rPr>
          <w:rStyle w:val="Strong"/>
          <w:bCs w:val="0"/>
          <w:color w:val="000000" w:themeColor="text1"/>
        </w:rPr>
      </w:pPr>
      <w:r w:rsidRPr="008D7BC1">
        <w:rPr>
          <w:lang w:val="en-US"/>
        </w:rPr>
        <w:t>(iv)</w:t>
      </w:r>
      <w:r>
        <w:rPr>
          <w:bCs/>
          <w:lang w:val="en-US"/>
        </w:rPr>
        <w:tab/>
      </w:r>
      <w:r w:rsidRPr="002A0D01">
        <w:rPr>
          <w:rStyle w:val="Strong"/>
          <w:color w:val="000000" w:themeColor="text1"/>
        </w:rPr>
        <w:t>seek</w:t>
      </w:r>
      <w:r>
        <w:rPr>
          <w:rStyle w:val="Strong"/>
          <w:color w:val="000000" w:themeColor="text1"/>
        </w:rPr>
        <w:t>ing</w:t>
      </w:r>
      <w:r w:rsidRPr="002A0D01">
        <w:rPr>
          <w:rStyle w:val="Strong"/>
          <w:color w:val="000000" w:themeColor="text1"/>
        </w:rPr>
        <w:t xml:space="preserve"> climate finance to assist with the reforestation effort</w:t>
      </w:r>
      <w:r>
        <w:rPr>
          <w:rStyle w:val="Strong"/>
          <w:color w:val="000000" w:themeColor="text1"/>
        </w:rPr>
        <w:t>; and</w:t>
      </w:r>
    </w:p>
    <w:p w:rsidR="006D7155" w:rsidRPr="00014344" w:rsidRDefault="006D7155" w:rsidP="006D7155">
      <w:pPr>
        <w:pStyle w:val="SingleTxtG"/>
        <w:ind w:left="1701"/>
        <w:rPr>
          <w:b/>
          <w:bCs/>
          <w:color w:val="000000" w:themeColor="text1"/>
        </w:rPr>
      </w:pPr>
      <w:r w:rsidRPr="008D7BC1">
        <w:rPr>
          <w:bCs/>
          <w:color w:val="000000" w:themeColor="text1"/>
        </w:rPr>
        <w:t>(v)</w:t>
      </w:r>
      <w:r>
        <w:rPr>
          <w:b/>
          <w:bCs/>
          <w:color w:val="000000" w:themeColor="text1"/>
        </w:rPr>
        <w:tab/>
      </w:r>
      <w:r w:rsidRPr="00F836CE">
        <w:rPr>
          <w:b/>
          <w:bCs/>
          <w:color w:val="000000" w:themeColor="text1"/>
        </w:rPr>
        <w:t>implement</w:t>
      </w:r>
      <w:r>
        <w:rPr>
          <w:b/>
          <w:bCs/>
          <w:color w:val="000000" w:themeColor="text1"/>
        </w:rPr>
        <w:t>ing</w:t>
      </w:r>
      <w:r w:rsidRPr="00F836CE">
        <w:rPr>
          <w:b/>
          <w:bCs/>
          <w:color w:val="000000" w:themeColor="text1"/>
        </w:rPr>
        <w:t xml:space="preserve"> the various climate change-related recommendations made in the course of the recently completed Universal Periodic Review conducted by the Human Rights Council</w:t>
      </w:r>
      <w:r>
        <w:rPr>
          <w:b/>
          <w:bCs/>
          <w:color w:val="000000" w:themeColor="text1"/>
        </w:rPr>
        <w:t>.</w:t>
      </w:r>
    </w:p>
    <w:p w:rsidR="006D7155" w:rsidRPr="00A85768" w:rsidRDefault="006D7155" w:rsidP="006D7155">
      <w:pPr>
        <w:pStyle w:val="SingleTxtG"/>
        <w:ind w:firstLine="567"/>
        <w:rPr>
          <w:b/>
          <w:lang w:val="en-US"/>
        </w:rPr>
      </w:pPr>
      <w:r w:rsidRPr="008D7BC1">
        <w:rPr>
          <w:lang w:val="en-US"/>
        </w:rPr>
        <w:t>(c)</w:t>
      </w:r>
      <w:r>
        <w:rPr>
          <w:b/>
          <w:lang w:val="en-US"/>
        </w:rPr>
        <w:tab/>
      </w:r>
      <w:r w:rsidRPr="00F41CDE">
        <w:rPr>
          <w:b/>
          <w:bCs/>
          <w:color w:val="000000" w:themeColor="text1"/>
        </w:rPr>
        <w:t>The ratification of the Escazú Agreement by Saint Vincent and the Grenadines should be used to ensure a human rights-based approach to the development and implementation of all environment-related initiatives:</w:t>
      </w:r>
    </w:p>
    <w:p w:rsidR="006D7155" w:rsidRPr="00F836CE" w:rsidRDefault="006D7155" w:rsidP="006D7155">
      <w:pPr>
        <w:pStyle w:val="SingleTxtG"/>
        <w:ind w:left="1701"/>
        <w:rPr>
          <w:b/>
          <w:bCs/>
          <w:color w:val="000000" w:themeColor="text1"/>
        </w:rPr>
      </w:pPr>
      <w:r w:rsidRPr="008D7BC1">
        <w:rPr>
          <w:bCs/>
          <w:color w:val="000000" w:themeColor="text1"/>
        </w:rPr>
        <w:t>(i)</w:t>
      </w:r>
      <w:r>
        <w:rPr>
          <w:b/>
          <w:bCs/>
          <w:color w:val="000000" w:themeColor="text1"/>
        </w:rPr>
        <w:tab/>
      </w:r>
      <w:r w:rsidRPr="00F836CE">
        <w:rPr>
          <w:b/>
          <w:bCs/>
          <w:color w:val="000000" w:themeColor="text1"/>
        </w:rPr>
        <w:t>introduce a constitutional and/or legislative amendment to recognize the right to a clean, healthy and sustainable environment</w:t>
      </w:r>
      <w:r>
        <w:rPr>
          <w:b/>
          <w:bCs/>
          <w:color w:val="000000" w:themeColor="text1"/>
        </w:rPr>
        <w:t>;</w:t>
      </w:r>
    </w:p>
    <w:p w:rsidR="006D7155" w:rsidRPr="00F836CE" w:rsidRDefault="006D7155" w:rsidP="006D7155">
      <w:pPr>
        <w:pStyle w:val="SingleTxtG"/>
        <w:ind w:left="1701"/>
        <w:rPr>
          <w:b/>
          <w:bCs/>
          <w:color w:val="000000" w:themeColor="text1"/>
        </w:rPr>
      </w:pPr>
      <w:r w:rsidRPr="008D7BC1">
        <w:rPr>
          <w:bCs/>
          <w:color w:val="000000" w:themeColor="text1"/>
        </w:rPr>
        <w:t>(ii)</w:t>
      </w:r>
      <w:r>
        <w:rPr>
          <w:b/>
          <w:bCs/>
          <w:color w:val="000000" w:themeColor="text1"/>
        </w:rPr>
        <w:tab/>
      </w:r>
      <w:r w:rsidRPr="00F836CE">
        <w:rPr>
          <w:b/>
          <w:bCs/>
          <w:color w:val="000000" w:themeColor="text1"/>
        </w:rPr>
        <w:t>carry out a review of environmental legislation,</w:t>
      </w:r>
      <w:r w:rsidRPr="00F836CE">
        <w:rPr>
          <w:b/>
          <w:bCs/>
          <w:lang w:val="en-US"/>
        </w:rPr>
        <w:t xml:space="preserve"> regulations, plans and policies</w:t>
      </w:r>
      <w:r w:rsidRPr="00F836CE">
        <w:rPr>
          <w:b/>
          <w:bCs/>
          <w:color w:val="000000" w:themeColor="text1"/>
        </w:rPr>
        <w:t xml:space="preserve"> to identify where changes are needed to be consistent with the Escazú Agreement</w:t>
      </w:r>
      <w:r>
        <w:rPr>
          <w:b/>
          <w:bCs/>
          <w:color w:val="000000" w:themeColor="text1"/>
        </w:rPr>
        <w:t>;</w:t>
      </w:r>
    </w:p>
    <w:p w:rsidR="006D7155" w:rsidRPr="00F836CE" w:rsidRDefault="006D7155" w:rsidP="006D7155">
      <w:pPr>
        <w:pStyle w:val="SingleTxtG"/>
        <w:ind w:left="1701"/>
        <w:rPr>
          <w:b/>
          <w:bCs/>
          <w:color w:val="000000" w:themeColor="text1"/>
        </w:rPr>
      </w:pPr>
      <w:r w:rsidRPr="008D7BC1">
        <w:rPr>
          <w:bCs/>
          <w:color w:val="000000" w:themeColor="text1"/>
        </w:rPr>
        <w:t>(iii)</w:t>
      </w:r>
      <w:r>
        <w:rPr>
          <w:b/>
          <w:bCs/>
          <w:color w:val="000000" w:themeColor="text1"/>
        </w:rPr>
        <w:tab/>
      </w:r>
      <w:r w:rsidRPr="00F836CE">
        <w:rPr>
          <w:b/>
          <w:bCs/>
          <w:color w:val="000000" w:themeColor="text1"/>
        </w:rPr>
        <w:t>ensure that the update to the environmental impact assessment (EIA) process be informed by, and be consistent with, the requirements of the Escazú Agreement (especially Article 7)</w:t>
      </w:r>
      <w:r>
        <w:rPr>
          <w:b/>
          <w:bCs/>
          <w:color w:val="000000" w:themeColor="text1"/>
        </w:rPr>
        <w:t>;</w:t>
      </w:r>
    </w:p>
    <w:p w:rsidR="006D7155" w:rsidRPr="00A85768" w:rsidRDefault="006D7155" w:rsidP="006D7155">
      <w:pPr>
        <w:pStyle w:val="SingleTxtG"/>
        <w:ind w:left="1701"/>
        <w:rPr>
          <w:b/>
          <w:bCs/>
          <w:color w:val="000000" w:themeColor="text1"/>
        </w:rPr>
      </w:pPr>
      <w:r w:rsidRPr="008D7BC1">
        <w:rPr>
          <w:bCs/>
          <w:color w:val="000000" w:themeColor="text1"/>
        </w:rPr>
        <w:t>(iv)</w:t>
      </w:r>
      <w:r>
        <w:rPr>
          <w:color w:val="000000" w:themeColor="text1"/>
        </w:rPr>
        <w:tab/>
      </w:r>
      <w:r>
        <w:rPr>
          <w:b/>
          <w:lang w:val="en-US"/>
        </w:rPr>
        <w:t>e</w:t>
      </w:r>
      <w:r w:rsidRPr="00A04B3D">
        <w:rPr>
          <w:b/>
          <w:lang w:val="en-US"/>
        </w:rPr>
        <w:t xml:space="preserve">nhance the public’s ability to participate meaningfully in environmental decision-making by creating an online registry that would make environmental information easy to access, including </w:t>
      </w:r>
      <w:r w:rsidRPr="00A04B3D">
        <w:rPr>
          <w:b/>
          <w:lang w:val="en-US"/>
        </w:rPr>
        <w:lastRenderedPageBreak/>
        <w:t>air and water quality, laws, regulations, policies, permit applications and decisions, pollution data, and enforcement actions taken</w:t>
      </w:r>
      <w:r>
        <w:rPr>
          <w:b/>
          <w:lang w:val="en-US"/>
        </w:rPr>
        <w:t xml:space="preserve">; </w:t>
      </w:r>
    </w:p>
    <w:p w:rsidR="006D7155" w:rsidRPr="00A85768" w:rsidRDefault="006D7155" w:rsidP="006D7155">
      <w:pPr>
        <w:pStyle w:val="SingleTxtG"/>
        <w:ind w:left="1701"/>
        <w:rPr>
          <w:b/>
          <w:bCs/>
          <w:color w:val="000000" w:themeColor="text1"/>
        </w:rPr>
      </w:pPr>
      <w:r w:rsidRPr="008D7BC1">
        <w:rPr>
          <w:lang w:val="en-US"/>
        </w:rPr>
        <w:t>(v)</w:t>
      </w:r>
      <w:r>
        <w:rPr>
          <w:b/>
          <w:lang w:val="en-US"/>
        </w:rPr>
        <w:tab/>
        <w:t>i</w:t>
      </w:r>
      <w:r w:rsidRPr="00A04B3D">
        <w:rPr>
          <w:b/>
          <w:lang w:val="en-US"/>
        </w:rPr>
        <w:t xml:space="preserve">nvest in public education and capacity-building related to </w:t>
      </w:r>
      <w:r>
        <w:rPr>
          <w:b/>
          <w:lang w:val="en-US"/>
        </w:rPr>
        <w:t xml:space="preserve">climate change and </w:t>
      </w:r>
      <w:r w:rsidRPr="00A04B3D">
        <w:rPr>
          <w:b/>
          <w:lang w:val="en-US"/>
        </w:rPr>
        <w:t>the right to a clean</w:t>
      </w:r>
      <w:r>
        <w:rPr>
          <w:b/>
          <w:lang w:val="en-US"/>
        </w:rPr>
        <w:t>,</w:t>
      </w:r>
      <w:r w:rsidRPr="00A04B3D">
        <w:rPr>
          <w:b/>
          <w:lang w:val="en-US"/>
        </w:rPr>
        <w:t xml:space="preserve"> healthy </w:t>
      </w:r>
      <w:r>
        <w:rPr>
          <w:b/>
          <w:lang w:val="en-US"/>
        </w:rPr>
        <w:t xml:space="preserve">and sustainable </w:t>
      </w:r>
      <w:r w:rsidRPr="00A04B3D">
        <w:rPr>
          <w:b/>
          <w:lang w:val="en-US"/>
        </w:rPr>
        <w:t xml:space="preserve">environment in </w:t>
      </w:r>
      <w:r>
        <w:rPr>
          <w:b/>
          <w:lang w:val="en-US"/>
        </w:rPr>
        <w:t xml:space="preserve">educational curricula and continuing education programs for </w:t>
      </w:r>
      <w:r w:rsidRPr="00A04B3D">
        <w:rPr>
          <w:b/>
          <w:lang w:val="en-US"/>
        </w:rPr>
        <w:t>government agencies, the legal profession and the judiciary;</w:t>
      </w:r>
    </w:p>
    <w:p w:rsidR="006D7155" w:rsidRDefault="006D7155" w:rsidP="006D7155">
      <w:pPr>
        <w:pStyle w:val="SingleTxtG"/>
        <w:ind w:left="1701"/>
        <w:rPr>
          <w:b/>
          <w:bCs/>
          <w:color w:val="000000" w:themeColor="text1"/>
        </w:rPr>
      </w:pPr>
      <w:r w:rsidRPr="008D7BC1">
        <w:rPr>
          <w:bCs/>
          <w:color w:val="000000" w:themeColor="text1"/>
        </w:rPr>
        <w:t>(vi)</w:t>
      </w:r>
      <w:r>
        <w:rPr>
          <w:b/>
          <w:bCs/>
          <w:color w:val="000000" w:themeColor="text1"/>
        </w:rPr>
        <w:tab/>
      </w:r>
      <w:r w:rsidRPr="00F836CE">
        <w:rPr>
          <w:b/>
          <w:bCs/>
          <w:color w:val="000000" w:themeColor="text1"/>
        </w:rPr>
        <w:t>ensure the participation of women, especially rural women, in the design and implementation of policies and programs intended to prepare for, reduce the risks of, and recover from climate-related and natural disasters</w:t>
      </w:r>
      <w:r>
        <w:rPr>
          <w:b/>
          <w:bCs/>
          <w:color w:val="000000" w:themeColor="text1"/>
        </w:rPr>
        <w:t>;</w:t>
      </w:r>
    </w:p>
    <w:p w:rsidR="006D7155" w:rsidRDefault="006D7155" w:rsidP="006D7155">
      <w:pPr>
        <w:pStyle w:val="SingleTxtG"/>
        <w:ind w:left="1701"/>
        <w:rPr>
          <w:b/>
          <w:bCs/>
          <w:color w:val="000000" w:themeColor="text1"/>
        </w:rPr>
      </w:pPr>
      <w:r w:rsidRPr="008D7BC1">
        <w:rPr>
          <w:bCs/>
          <w:color w:val="000000" w:themeColor="text1"/>
        </w:rPr>
        <w:t>(vii</w:t>
      </w:r>
      <w:r>
        <w:rPr>
          <w:b/>
          <w:bCs/>
          <w:color w:val="000000" w:themeColor="text1"/>
        </w:rPr>
        <w:t>)</w:t>
      </w:r>
      <w:r>
        <w:rPr>
          <w:b/>
          <w:bCs/>
          <w:color w:val="000000" w:themeColor="text1"/>
        </w:rPr>
        <w:tab/>
      </w:r>
      <w:r w:rsidRPr="005D024E">
        <w:rPr>
          <w:b/>
          <w:bCs/>
          <w:color w:val="000000" w:themeColor="text1"/>
        </w:rPr>
        <w:t>ensure the rights of local residents are respected in all relocation projects, through information, consultation, and participation related to the decision-making process</w:t>
      </w:r>
      <w:r>
        <w:rPr>
          <w:b/>
          <w:bCs/>
          <w:color w:val="000000" w:themeColor="text1"/>
        </w:rPr>
        <w:t>;</w:t>
      </w:r>
    </w:p>
    <w:p w:rsidR="006D7155" w:rsidRPr="00F836CE" w:rsidRDefault="006D7155" w:rsidP="006D7155">
      <w:pPr>
        <w:pStyle w:val="SingleTxtG"/>
        <w:ind w:left="1701"/>
        <w:rPr>
          <w:b/>
          <w:bCs/>
          <w:color w:val="000000" w:themeColor="text1"/>
        </w:rPr>
      </w:pPr>
      <w:r w:rsidRPr="008D7BC1">
        <w:rPr>
          <w:lang w:val="en-US"/>
        </w:rPr>
        <w:t>(viii)</w:t>
      </w:r>
      <w:r>
        <w:rPr>
          <w:b/>
          <w:lang w:val="en-US"/>
        </w:rPr>
        <w:tab/>
        <w:t>a</w:t>
      </w:r>
      <w:r w:rsidRPr="00A04B3D">
        <w:rPr>
          <w:b/>
          <w:lang w:val="en-US"/>
        </w:rPr>
        <w:t>llocate more financial and human resources to all departments and agencies with environmental responsibilities</w:t>
      </w:r>
      <w:r>
        <w:rPr>
          <w:b/>
          <w:lang w:val="en-US"/>
        </w:rPr>
        <w:t>; and</w:t>
      </w:r>
    </w:p>
    <w:p w:rsidR="006D7155" w:rsidRPr="00A85768" w:rsidRDefault="006D7155" w:rsidP="006D7155">
      <w:pPr>
        <w:pStyle w:val="SingleTxtG"/>
        <w:ind w:left="1701"/>
        <w:rPr>
          <w:b/>
          <w:bCs/>
          <w:color w:val="000000" w:themeColor="text1"/>
        </w:rPr>
      </w:pPr>
      <w:r w:rsidRPr="008D7BC1">
        <w:rPr>
          <w:lang w:val="en-US"/>
        </w:rPr>
        <w:t>(ix)</w:t>
      </w:r>
      <w:r>
        <w:rPr>
          <w:b/>
          <w:lang w:val="en-US"/>
        </w:rPr>
        <w:tab/>
        <w:t>encourage</w:t>
      </w:r>
      <w:r w:rsidRPr="00A04B3D">
        <w:rPr>
          <w:b/>
          <w:lang w:val="en-US"/>
        </w:rPr>
        <w:t xml:space="preserve"> other Small Island States </w:t>
      </w:r>
      <w:r>
        <w:rPr>
          <w:b/>
          <w:lang w:val="en-US"/>
        </w:rPr>
        <w:t xml:space="preserve">in the Caribbean region </w:t>
      </w:r>
      <w:r w:rsidRPr="00A04B3D">
        <w:rPr>
          <w:b/>
          <w:lang w:val="en-US"/>
        </w:rPr>
        <w:t xml:space="preserve">to </w:t>
      </w:r>
      <w:r>
        <w:rPr>
          <w:b/>
          <w:lang w:val="en-US"/>
        </w:rPr>
        <w:t>become parties to the</w:t>
      </w:r>
      <w:r w:rsidRPr="00A04B3D">
        <w:rPr>
          <w:b/>
          <w:lang w:val="en-US"/>
        </w:rPr>
        <w:t xml:space="preserve"> </w:t>
      </w:r>
      <w:r w:rsidRPr="00F836CE">
        <w:rPr>
          <w:b/>
          <w:bCs/>
          <w:color w:val="000000" w:themeColor="text1"/>
        </w:rPr>
        <w:t>Escazú</w:t>
      </w:r>
      <w:r w:rsidRPr="00F836CE">
        <w:rPr>
          <w:b/>
          <w:bCs/>
          <w:lang w:val="en-US"/>
        </w:rPr>
        <w:t xml:space="preserve"> </w:t>
      </w:r>
      <w:r>
        <w:rPr>
          <w:b/>
          <w:lang w:val="en-US"/>
        </w:rPr>
        <w:t xml:space="preserve">Agreement </w:t>
      </w:r>
      <w:r w:rsidRPr="00A04B3D">
        <w:rPr>
          <w:b/>
          <w:lang w:val="en-US"/>
        </w:rPr>
        <w:t>on environmental democracy</w:t>
      </w:r>
      <w:r>
        <w:rPr>
          <w:b/>
          <w:lang w:val="en-US"/>
        </w:rPr>
        <w:t>.</w:t>
      </w:r>
    </w:p>
    <w:p w:rsidR="006D7155" w:rsidRPr="007F0DC7" w:rsidRDefault="006D7155" w:rsidP="006D7155">
      <w:pPr>
        <w:pStyle w:val="SingleTxtG"/>
        <w:ind w:firstLine="567"/>
        <w:rPr>
          <w:b/>
          <w:lang w:val="en-US"/>
        </w:rPr>
      </w:pPr>
      <w:r w:rsidRPr="008D7BC1">
        <w:rPr>
          <w:bCs/>
          <w:color w:val="000000" w:themeColor="text1"/>
        </w:rPr>
        <w:t>(d)</w:t>
      </w:r>
      <w:r>
        <w:rPr>
          <w:b/>
          <w:bCs/>
          <w:color w:val="000000" w:themeColor="text1"/>
        </w:rPr>
        <w:tab/>
      </w:r>
      <w:r w:rsidRPr="005D024E">
        <w:rPr>
          <w:b/>
          <w:bCs/>
          <w:color w:val="000000" w:themeColor="text1"/>
        </w:rPr>
        <w:t>To ensure safe, sufficient water and adequate sanitation</w:t>
      </w:r>
      <w:r>
        <w:rPr>
          <w:b/>
          <w:bCs/>
          <w:color w:val="000000" w:themeColor="text1"/>
        </w:rPr>
        <w:t>:</w:t>
      </w:r>
    </w:p>
    <w:p w:rsidR="006D7155" w:rsidRPr="005D024E" w:rsidRDefault="006D7155" w:rsidP="006D7155">
      <w:pPr>
        <w:pStyle w:val="SingleTxtG"/>
        <w:ind w:left="1701"/>
        <w:rPr>
          <w:b/>
          <w:bCs/>
          <w:color w:val="000000" w:themeColor="text1"/>
        </w:rPr>
      </w:pPr>
      <w:r w:rsidRPr="008D7BC1">
        <w:rPr>
          <w:bCs/>
          <w:color w:val="000000" w:themeColor="text1"/>
        </w:rPr>
        <w:t>(i)</w:t>
      </w:r>
      <w:r>
        <w:rPr>
          <w:b/>
          <w:bCs/>
          <w:color w:val="000000" w:themeColor="text1"/>
        </w:rPr>
        <w:tab/>
      </w:r>
      <w:r w:rsidRPr="005D024E">
        <w:rPr>
          <w:b/>
          <w:bCs/>
          <w:color w:val="000000" w:themeColor="text1"/>
        </w:rPr>
        <w:t>avoid cutting off water services for poor households due to non-payment of bills, and consider establishing a solidarity levy on all customers to pay for water used by poorest households</w:t>
      </w:r>
      <w:r>
        <w:rPr>
          <w:b/>
          <w:bCs/>
          <w:color w:val="000000" w:themeColor="text1"/>
        </w:rPr>
        <w:t>;</w:t>
      </w:r>
    </w:p>
    <w:p w:rsidR="006D7155" w:rsidRPr="005D024E" w:rsidRDefault="006D7155" w:rsidP="006D7155">
      <w:pPr>
        <w:pStyle w:val="SingleTxtG"/>
        <w:ind w:left="1701"/>
        <w:rPr>
          <w:b/>
          <w:bCs/>
          <w:color w:val="000000" w:themeColor="text1"/>
        </w:rPr>
      </w:pPr>
      <w:r w:rsidRPr="008D7BC1">
        <w:rPr>
          <w:bCs/>
          <w:color w:val="000000" w:themeColor="text1"/>
        </w:rPr>
        <w:t>(ii)</w:t>
      </w:r>
      <w:r>
        <w:rPr>
          <w:b/>
          <w:bCs/>
          <w:color w:val="000000" w:themeColor="text1"/>
        </w:rPr>
        <w:tab/>
      </w:r>
      <w:r w:rsidRPr="005D024E">
        <w:rPr>
          <w:b/>
          <w:bCs/>
          <w:color w:val="000000" w:themeColor="text1"/>
        </w:rPr>
        <w:t>conduct an independent study into potential adverse environmental effects of discharging untreated sewage from Kingstown into the ocean</w:t>
      </w:r>
      <w:r>
        <w:rPr>
          <w:b/>
          <w:bCs/>
          <w:color w:val="000000" w:themeColor="text1"/>
        </w:rPr>
        <w:t>; and</w:t>
      </w:r>
    </w:p>
    <w:p w:rsidR="006D7155" w:rsidRPr="005D024E" w:rsidRDefault="006D7155" w:rsidP="006D7155">
      <w:pPr>
        <w:pStyle w:val="SingleTxtG"/>
        <w:ind w:left="1701"/>
        <w:rPr>
          <w:b/>
          <w:bCs/>
          <w:color w:val="000000" w:themeColor="text1"/>
        </w:rPr>
      </w:pPr>
      <w:r w:rsidRPr="008D7BC1">
        <w:rPr>
          <w:bCs/>
          <w:color w:val="000000" w:themeColor="text1"/>
        </w:rPr>
        <w:t>(iii)</w:t>
      </w:r>
      <w:r>
        <w:rPr>
          <w:b/>
          <w:bCs/>
          <w:color w:val="000000" w:themeColor="text1"/>
        </w:rPr>
        <w:tab/>
      </w:r>
      <w:r w:rsidRPr="005D024E">
        <w:rPr>
          <w:b/>
          <w:bCs/>
          <w:color w:val="000000" w:themeColor="text1"/>
        </w:rPr>
        <w:t>implement a program to monitor potential groundwater pollution and educate residents about safe operation and maintenance of septic tank systems</w:t>
      </w:r>
      <w:r>
        <w:rPr>
          <w:b/>
          <w:bCs/>
          <w:color w:val="000000" w:themeColor="text1"/>
        </w:rPr>
        <w:t>.</w:t>
      </w:r>
      <w:r w:rsidRPr="005D024E">
        <w:rPr>
          <w:b/>
          <w:bCs/>
          <w:color w:val="000000" w:themeColor="text1"/>
        </w:rPr>
        <w:t xml:space="preserve"> </w:t>
      </w:r>
    </w:p>
    <w:p w:rsidR="006D7155" w:rsidRPr="007F0DC7" w:rsidRDefault="006D7155" w:rsidP="006D7155">
      <w:pPr>
        <w:pStyle w:val="SingleTxtG"/>
        <w:ind w:firstLine="567"/>
        <w:rPr>
          <w:b/>
          <w:lang w:val="en-US"/>
        </w:rPr>
      </w:pPr>
      <w:r w:rsidRPr="008D7BC1">
        <w:rPr>
          <w:bCs/>
          <w:color w:val="000000" w:themeColor="text1"/>
        </w:rPr>
        <w:t>(e)</w:t>
      </w:r>
      <w:r>
        <w:rPr>
          <w:b/>
          <w:bCs/>
          <w:color w:val="000000" w:themeColor="text1"/>
        </w:rPr>
        <w:tab/>
      </w:r>
      <w:r w:rsidRPr="005D024E">
        <w:rPr>
          <w:b/>
          <w:bCs/>
          <w:color w:val="000000" w:themeColor="text1"/>
        </w:rPr>
        <w:t>To further improve solid waste management and safely manage toxic substances:</w:t>
      </w:r>
    </w:p>
    <w:p w:rsidR="006D7155" w:rsidRPr="007F0DC7" w:rsidRDefault="006D7155" w:rsidP="006D7155">
      <w:pPr>
        <w:pStyle w:val="SingleTxtG"/>
        <w:ind w:left="1701"/>
        <w:rPr>
          <w:b/>
          <w:bCs/>
          <w:color w:val="000000" w:themeColor="text1"/>
        </w:rPr>
      </w:pPr>
      <w:r w:rsidRPr="008D7BC1">
        <w:rPr>
          <w:lang w:val="en-US"/>
        </w:rPr>
        <w:t>(i)</w:t>
      </w:r>
      <w:r>
        <w:rPr>
          <w:b/>
          <w:lang w:val="en-US"/>
        </w:rPr>
        <w:tab/>
      </w:r>
      <w:r w:rsidRPr="00A04B3D">
        <w:rPr>
          <w:b/>
          <w:lang w:val="en-US"/>
        </w:rPr>
        <w:t>Increase implementation of the polluter pays principle through taxes on toxic substances, including pesticides, fossil fuels, and other hazardous materials, generating additional revenue for environmental protection;</w:t>
      </w:r>
    </w:p>
    <w:p w:rsidR="006D7155" w:rsidRPr="007F0DC7" w:rsidRDefault="006D7155" w:rsidP="006D7155">
      <w:pPr>
        <w:pStyle w:val="SingleTxtG"/>
        <w:ind w:left="1701"/>
        <w:rPr>
          <w:b/>
          <w:bCs/>
          <w:color w:val="000000" w:themeColor="text1"/>
        </w:rPr>
      </w:pPr>
      <w:r w:rsidRPr="008D7BC1">
        <w:rPr>
          <w:lang w:val="en-US"/>
        </w:rPr>
        <w:t>(ii)</w:t>
      </w:r>
      <w:r>
        <w:rPr>
          <w:b/>
          <w:lang w:val="en-US"/>
        </w:rPr>
        <w:tab/>
      </w:r>
      <w:r w:rsidRPr="00A04B3D">
        <w:rPr>
          <w:b/>
          <w:lang w:val="en-US"/>
        </w:rPr>
        <w:t>Apply extended producer responsibility (EPR) in the context of solid waste management so that producers of paper, plastic, packaging</w:t>
      </w:r>
      <w:r>
        <w:rPr>
          <w:b/>
          <w:lang w:val="en-US"/>
        </w:rPr>
        <w:t>, batteries, tires,</w:t>
      </w:r>
      <w:r w:rsidRPr="00A04B3D">
        <w:rPr>
          <w:b/>
          <w:lang w:val="en-US"/>
        </w:rPr>
        <w:t xml:space="preserve"> and other materials become responsible for financing and operating an effective recycling program</w:t>
      </w:r>
      <w:r>
        <w:rPr>
          <w:b/>
          <w:lang w:val="en-US"/>
        </w:rPr>
        <w:t xml:space="preserve">, thus </w:t>
      </w:r>
      <w:r w:rsidRPr="005D024E">
        <w:rPr>
          <w:b/>
          <w:bCs/>
          <w:color w:val="000000" w:themeColor="text1"/>
        </w:rPr>
        <w:t>reducing government costs, and moving towards a circular economy</w:t>
      </w:r>
      <w:r w:rsidRPr="007F0DC7">
        <w:rPr>
          <w:b/>
          <w:bCs/>
          <w:color w:val="000000" w:themeColor="text1"/>
        </w:rPr>
        <w:t xml:space="preserve">; </w:t>
      </w:r>
    </w:p>
    <w:p w:rsidR="006D7155" w:rsidRPr="007F0DC7" w:rsidRDefault="006D7155" w:rsidP="006D7155">
      <w:pPr>
        <w:pStyle w:val="SingleTxtG"/>
        <w:ind w:left="1701"/>
      </w:pPr>
      <w:r w:rsidRPr="008D7BC1">
        <w:rPr>
          <w:rStyle w:val="Strong"/>
          <w:b w:val="0"/>
          <w:color w:val="000000" w:themeColor="text1"/>
        </w:rPr>
        <w:t>(iii)</w:t>
      </w:r>
      <w:r>
        <w:rPr>
          <w:rStyle w:val="Strong"/>
          <w:color w:val="000000" w:themeColor="text1"/>
        </w:rPr>
        <w:tab/>
      </w:r>
      <w:r w:rsidRPr="005D024E">
        <w:rPr>
          <w:rStyle w:val="Strong"/>
          <w:color w:val="000000" w:themeColor="text1"/>
        </w:rPr>
        <w:t xml:space="preserve"> ratify the Kigali Amendment</w:t>
      </w:r>
      <w:r>
        <w:rPr>
          <w:rStyle w:val="Strong"/>
          <w:color w:val="000000" w:themeColor="text1"/>
        </w:rPr>
        <w:t xml:space="preserve"> to the Montreal Protocol </w:t>
      </w:r>
      <w:r w:rsidRPr="005D024E">
        <w:rPr>
          <w:rStyle w:val="Strong"/>
          <w:color w:val="000000" w:themeColor="text1"/>
        </w:rPr>
        <w:t xml:space="preserve">as soon as possible in order to accelerate the </w:t>
      </w:r>
      <w:r w:rsidR="001A24DD" w:rsidRPr="005D024E">
        <w:rPr>
          <w:rStyle w:val="Strong"/>
          <w:color w:val="000000" w:themeColor="text1"/>
        </w:rPr>
        <w:t>phase-out</w:t>
      </w:r>
      <w:r w:rsidRPr="005D024E">
        <w:rPr>
          <w:rStyle w:val="Strong"/>
          <w:color w:val="000000" w:themeColor="text1"/>
        </w:rPr>
        <w:t xml:space="preserve"> of the HFCs that are powerful greenhouse gases</w:t>
      </w:r>
      <w:r>
        <w:rPr>
          <w:rStyle w:val="Strong"/>
          <w:color w:val="000000" w:themeColor="text1"/>
        </w:rPr>
        <w:t>;</w:t>
      </w:r>
    </w:p>
    <w:p w:rsidR="006D7155" w:rsidRPr="007F0DC7" w:rsidRDefault="006D7155" w:rsidP="006D7155">
      <w:pPr>
        <w:pStyle w:val="SingleTxtG"/>
        <w:ind w:left="1701"/>
      </w:pPr>
      <w:r w:rsidRPr="008D7BC1">
        <w:rPr>
          <w:bCs/>
          <w:color w:val="000000" w:themeColor="text1"/>
        </w:rPr>
        <w:t>(iv)</w:t>
      </w:r>
      <w:r>
        <w:rPr>
          <w:b/>
          <w:bCs/>
          <w:color w:val="000000" w:themeColor="text1"/>
        </w:rPr>
        <w:tab/>
      </w:r>
      <w:r w:rsidRPr="005D024E">
        <w:rPr>
          <w:b/>
          <w:bCs/>
          <w:color w:val="000000" w:themeColor="text1"/>
        </w:rPr>
        <w:t>ban any further use of Highly Hazardous pesticides (category I and II) and collect any remaining inventory for safe disposal</w:t>
      </w:r>
      <w:r>
        <w:rPr>
          <w:b/>
          <w:bCs/>
          <w:color w:val="000000" w:themeColor="text1"/>
        </w:rPr>
        <w:t>;</w:t>
      </w:r>
    </w:p>
    <w:p w:rsidR="006D7155" w:rsidRPr="005D024E" w:rsidRDefault="006D7155" w:rsidP="006D7155">
      <w:pPr>
        <w:pStyle w:val="SingleTxtG"/>
        <w:ind w:left="1701"/>
        <w:rPr>
          <w:b/>
          <w:bCs/>
          <w:color w:val="000000" w:themeColor="text1"/>
        </w:rPr>
      </w:pPr>
      <w:r w:rsidRPr="008D7BC1">
        <w:rPr>
          <w:bCs/>
          <w:color w:val="000000" w:themeColor="text1"/>
        </w:rPr>
        <w:t>(v)</w:t>
      </w:r>
      <w:r>
        <w:rPr>
          <w:b/>
          <w:bCs/>
          <w:color w:val="000000" w:themeColor="text1"/>
        </w:rPr>
        <w:tab/>
      </w:r>
      <w:r w:rsidRPr="005D024E">
        <w:rPr>
          <w:b/>
          <w:bCs/>
          <w:color w:val="000000" w:themeColor="text1"/>
        </w:rPr>
        <w:t>enact new legislation for hazardous waste guided by key principles including prevention, precaution and the polluter pays</w:t>
      </w:r>
      <w:r>
        <w:rPr>
          <w:b/>
          <w:bCs/>
          <w:color w:val="000000" w:themeColor="text1"/>
        </w:rPr>
        <w:t>; and</w:t>
      </w:r>
    </w:p>
    <w:p w:rsidR="006D7155" w:rsidRPr="007F0DC7" w:rsidRDefault="006D7155" w:rsidP="006D7155">
      <w:pPr>
        <w:pStyle w:val="SingleTxtG"/>
        <w:ind w:left="1701"/>
      </w:pPr>
      <w:r>
        <w:rPr>
          <w:b/>
          <w:bCs/>
          <w:color w:val="000000" w:themeColor="text1"/>
        </w:rPr>
        <w:lastRenderedPageBreak/>
        <w:t>(</w:t>
      </w:r>
      <w:r w:rsidRPr="008D7BC1">
        <w:rPr>
          <w:bCs/>
          <w:color w:val="000000" w:themeColor="text1"/>
        </w:rPr>
        <w:t>vi)</w:t>
      </w:r>
      <w:r>
        <w:rPr>
          <w:b/>
          <w:bCs/>
          <w:color w:val="000000" w:themeColor="text1"/>
        </w:rPr>
        <w:tab/>
      </w:r>
      <w:r w:rsidRPr="005D024E">
        <w:rPr>
          <w:b/>
          <w:bCs/>
          <w:color w:val="000000" w:themeColor="text1"/>
        </w:rPr>
        <w:t>consider diverting food waste and organic materials from garbage, which could reduce emissions of methane, increase the amount of compost for sale as fertilizer, and extend the lifespan of existing landfills</w:t>
      </w:r>
      <w:r>
        <w:rPr>
          <w:b/>
          <w:bCs/>
          <w:color w:val="000000" w:themeColor="text1"/>
        </w:rPr>
        <w:t>.</w:t>
      </w:r>
    </w:p>
    <w:p w:rsidR="006D7155" w:rsidRDefault="006D7155" w:rsidP="006D7155">
      <w:pPr>
        <w:pStyle w:val="SingleTxtG"/>
        <w:ind w:firstLine="567"/>
        <w:rPr>
          <w:b/>
          <w:lang w:val="en-US"/>
        </w:rPr>
      </w:pPr>
      <w:r w:rsidRPr="008D7BC1">
        <w:rPr>
          <w:lang w:val="en-US"/>
        </w:rPr>
        <w:t>(f)</w:t>
      </w:r>
      <w:r>
        <w:rPr>
          <w:b/>
          <w:lang w:val="en-US"/>
        </w:rPr>
        <w:tab/>
        <w:t>To protect and improve air quality:</w:t>
      </w:r>
    </w:p>
    <w:p w:rsidR="006D7155" w:rsidRPr="00800D50" w:rsidRDefault="006D7155" w:rsidP="006D7155">
      <w:pPr>
        <w:pStyle w:val="SingleTxtG"/>
        <w:ind w:left="1701"/>
      </w:pPr>
      <w:r w:rsidRPr="008D7BC1">
        <w:rPr>
          <w:lang w:val="en-US"/>
        </w:rPr>
        <w:t>(i)</w:t>
      </w:r>
      <w:r>
        <w:rPr>
          <w:b/>
          <w:lang w:val="en-US"/>
        </w:rPr>
        <w:tab/>
        <w:t>make the current pilot project for monitoring air quality a permanent program;</w:t>
      </w:r>
    </w:p>
    <w:p w:rsidR="006D7155" w:rsidRPr="00800D50" w:rsidRDefault="006D7155" w:rsidP="006D7155">
      <w:pPr>
        <w:pStyle w:val="SingleTxtG"/>
        <w:ind w:left="1701"/>
      </w:pPr>
      <w:r w:rsidRPr="008D7BC1">
        <w:rPr>
          <w:lang w:val="en-US"/>
        </w:rPr>
        <w:t>(ii)</w:t>
      </w:r>
      <w:r>
        <w:rPr>
          <w:b/>
          <w:lang w:val="en-US"/>
        </w:rPr>
        <w:tab/>
      </w:r>
      <w:r w:rsidRPr="00F41CDE">
        <w:rPr>
          <w:b/>
          <w:color w:val="000000" w:themeColor="text1"/>
        </w:rPr>
        <w:t>reduce emissions from motor vehicles and the two fossil-fuel burning power plants</w:t>
      </w:r>
      <w:r>
        <w:rPr>
          <w:b/>
          <w:color w:val="000000" w:themeColor="text1"/>
        </w:rPr>
        <w:t>; and</w:t>
      </w:r>
      <w:r w:rsidRPr="00F41CDE">
        <w:rPr>
          <w:b/>
          <w:color w:val="000000" w:themeColor="text1"/>
        </w:rPr>
        <w:t xml:space="preserve"> </w:t>
      </w:r>
    </w:p>
    <w:p w:rsidR="006D7155" w:rsidRPr="00800D50" w:rsidRDefault="006D7155" w:rsidP="006D7155">
      <w:pPr>
        <w:pStyle w:val="SingleTxtG"/>
        <w:ind w:left="1701"/>
        <w:rPr>
          <w:bCs/>
        </w:rPr>
      </w:pPr>
      <w:r w:rsidRPr="008D7BC1">
        <w:rPr>
          <w:color w:val="000000" w:themeColor="text1"/>
        </w:rPr>
        <w:t>(iii)</w:t>
      </w:r>
      <w:r>
        <w:rPr>
          <w:b/>
          <w:color w:val="000000" w:themeColor="text1"/>
        </w:rPr>
        <w:tab/>
      </w:r>
      <w:r w:rsidRPr="00F41CDE">
        <w:rPr>
          <w:rStyle w:val="Strong"/>
          <w:color w:val="000000" w:themeColor="text1"/>
        </w:rPr>
        <w:t>establish a Daily Air Quality Index as part of weather reports</w:t>
      </w:r>
      <w:r>
        <w:rPr>
          <w:rStyle w:val="Strong"/>
          <w:color w:val="000000" w:themeColor="text1"/>
        </w:rPr>
        <w:t>.</w:t>
      </w:r>
    </w:p>
    <w:p w:rsidR="006D7155" w:rsidRDefault="006D7155" w:rsidP="006D7155">
      <w:pPr>
        <w:pStyle w:val="SingleTxtG"/>
        <w:ind w:firstLine="567"/>
        <w:rPr>
          <w:b/>
          <w:lang w:val="en-US"/>
        </w:rPr>
      </w:pPr>
      <w:r>
        <w:rPr>
          <w:b/>
          <w:lang w:val="en-US"/>
        </w:rPr>
        <w:t>(</w:t>
      </w:r>
      <w:r w:rsidRPr="008D7BC1">
        <w:rPr>
          <w:lang w:val="en-US"/>
        </w:rPr>
        <w:t>g)</w:t>
      </w:r>
      <w:r>
        <w:rPr>
          <w:b/>
          <w:lang w:val="en-US"/>
        </w:rPr>
        <w:tab/>
        <w:t>To protect and restore healthy ecosystems and biodiversity:</w:t>
      </w:r>
    </w:p>
    <w:p w:rsidR="006D7155" w:rsidRDefault="006D7155" w:rsidP="006D7155">
      <w:pPr>
        <w:pStyle w:val="SingleTxtG"/>
        <w:ind w:left="1701"/>
        <w:rPr>
          <w:b/>
          <w:lang w:val="en-US"/>
        </w:rPr>
      </w:pPr>
      <w:r w:rsidRPr="008D7BC1">
        <w:rPr>
          <w:lang w:val="en-US"/>
        </w:rPr>
        <w:t>(i)</w:t>
      </w:r>
      <w:r>
        <w:rPr>
          <w:b/>
          <w:lang w:val="en-US"/>
        </w:rPr>
        <w:tab/>
        <w:t xml:space="preserve"> e</w:t>
      </w:r>
      <w:r w:rsidRPr="00A04B3D">
        <w:rPr>
          <w:b/>
          <w:lang w:val="en-US"/>
        </w:rPr>
        <w:t xml:space="preserve">xpedite actions to formally designate additional protected areas, </w:t>
      </w:r>
      <w:r>
        <w:rPr>
          <w:b/>
          <w:lang w:val="en-US"/>
        </w:rPr>
        <w:t>particularly in the</w:t>
      </w:r>
      <w:r w:rsidRPr="00A04B3D">
        <w:rPr>
          <w:b/>
          <w:lang w:val="en-US"/>
        </w:rPr>
        <w:t xml:space="preserve"> marine</w:t>
      </w:r>
      <w:r>
        <w:rPr>
          <w:b/>
          <w:lang w:val="en-US"/>
        </w:rPr>
        <w:t xml:space="preserve"> realm</w:t>
      </w:r>
      <w:r w:rsidRPr="00A04B3D">
        <w:rPr>
          <w:b/>
          <w:lang w:val="en-US"/>
        </w:rPr>
        <w:t xml:space="preserve">, in line with </w:t>
      </w:r>
      <w:r>
        <w:rPr>
          <w:b/>
          <w:lang w:val="en-US"/>
        </w:rPr>
        <w:t>commitments made</w:t>
      </w:r>
      <w:r w:rsidRPr="00A04B3D">
        <w:rPr>
          <w:b/>
          <w:lang w:val="en-US"/>
        </w:rPr>
        <w:t xml:space="preserve"> under the Convention on Biological Diversity</w:t>
      </w:r>
      <w:r>
        <w:rPr>
          <w:b/>
          <w:lang w:val="en-US"/>
        </w:rPr>
        <w:t xml:space="preserve"> and </w:t>
      </w:r>
      <w:r w:rsidRPr="00F41CDE">
        <w:rPr>
          <w:b/>
          <w:bCs/>
          <w:color w:val="000000" w:themeColor="text1"/>
        </w:rPr>
        <w:t>in consultation with local communities to ensure their rights are respected</w:t>
      </w:r>
      <w:r w:rsidRPr="00A04B3D">
        <w:rPr>
          <w:b/>
          <w:lang w:val="en-US"/>
        </w:rPr>
        <w:t>;</w:t>
      </w:r>
      <w:r>
        <w:rPr>
          <w:b/>
          <w:lang w:val="en-US"/>
        </w:rPr>
        <w:t xml:space="preserve"> and</w:t>
      </w:r>
    </w:p>
    <w:p w:rsidR="006D7155" w:rsidRDefault="006D7155" w:rsidP="006D7155">
      <w:pPr>
        <w:pStyle w:val="SingleTxtG"/>
        <w:ind w:left="1701"/>
        <w:rPr>
          <w:b/>
          <w:lang w:val="en-US"/>
        </w:rPr>
      </w:pPr>
      <w:r w:rsidRPr="008D7BC1">
        <w:rPr>
          <w:lang w:val="en-US"/>
        </w:rPr>
        <w:t>(ii)</w:t>
      </w:r>
      <w:r>
        <w:rPr>
          <w:b/>
          <w:lang w:val="en-US"/>
        </w:rPr>
        <w:tab/>
        <w:t>carry out a comprehensive forest inventory and protect remaining high conservation value forests, in consultation with local communities.</w:t>
      </w:r>
    </w:p>
    <w:p w:rsidR="006D7155" w:rsidRPr="00800D50" w:rsidRDefault="006D7155" w:rsidP="006D7155">
      <w:pPr>
        <w:pStyle w:val="SingleTxtG"/>
        <w:ind w:firstLine="567"/>
        <w:rPr>
          <w:b/>
          <w:lang w:val="en-US"/>
        </w:rPr>
      </w:pPr>
      <w:r w:rsidRPr="008D7BC1">
        <w:rPr>
          <w:lang w:val="en-US"/>
        </w:rPr>
        <w:t>(h)</w:t>
      </w:r>
      <w:r>
        <w:rPr>
          <w:b/>
          <w:lang w:val="en-US"/>
        </w:rPr>
        <w:tab/>
        <w:t>To further advance respect for human rights, Saint Vincent and the Grenadines should:</w:t>
      </w:r>
    </w:p>
    <w:p w:rsidR="006D7155" w:rsidRPr="00800D50" w:rsidRDefault="006D7155" w:rsidP="006D7155">
      <w:pPr>
        <w:pStyle w:val="SingleTxtG"/>
        <w:ind w:left="1701"/>
        <w:rPr>
          <w:b/>
          <w:lang w:val="en-US"/>
        </w:rPr>
      </w:pPr>
      <w:r w:rsidRPr="008D7BC1">
        <w:rPr>
          <w:bCs/>
          <w:color w:val="000000" w:themeColor="text1"/>
        </w:rPr>
        <w:t>(i)</w:t>
      </w:r>
      <w:r>
        <w:rPr>
          <w:b/>
          <w:bCs/>
          <w:color w:val="000000" w:themeColor="text1"/>
        </w:rPr>
        <w:tab/>
      </w:r>
      <w:r w:rsidRPr="005D024E">
        <w:rPr>
          <w:b/>
          <w:bCs/>
          <w:color w:val="000000" w:themeColor="text1"/>
        </w:rPr>
        <w:t>become a party to the American Convention on Human Rights and the San Salvador Protocol</w:t>
      </w:r>
      <w:r>
        <w:rPr>
          <w:b/>
          <w:bCs/>
          <w:color w:val="000000" w:themeColor="text1"/>
        </w:rPr>
        <w:t>; and</w:t>
      </w:r>
    </w:p>
    <w:p w:rsidR="006D7155" w:rsidRPr="00800D50" w:rsidRDefault="006D7155" w:rsidP="006D7155">
      <w:pPr>
        <w:pStyle w:val="SingleTxtG"/>
        <w:ind w:left="1701"/>
        <w:rPr>
          <w:b/>
          <w:lang w:val="en-US"/>
        </w:rPr>
      </w:pPr>
      <w:r w:rsidRPr="008D7BC1">
        <w:rPr>
          <w:bCs/>
          <w:color w:val="000000" w:themeColor="text1"/>
        </w:rPr>
        <w:t>(ii)</w:t>
      </w:r>
      <w:r w:rsidRPr="008D7BC1">
        <w:rPr>
          <w:bCs/>
          <w:color w:val="000000" w:themeColor="text1"/>
        </w:rPr>
        <w:tab/>
      </w:r>
      <w:r>
        <w:rPr>
          <w:b/>
          <w:bCs/>
          <w:color w:val="000000" w:themeColor="text1"/>
        </w:rPr>
        <w:t xml:space="preserve">establish </w:t>
      </w:r>
      <w:r w:rsidRPr="005D024E">
        <w:rPr>
          <w:b/>
          <w:bCs/>
          <w:color w:val="000000" w:themeColor="text1"/>
        </w:rPr>
        <w:t>an independent National Human Rights Institution, in accordance with the Paris Principles</w:t>
      </w:r>
      <w:r>
        <w:rPr>
          <w:b/>
          <w:bCs/>
          <w:color w:val="000000" w:themeColor="text1"/>
        </w:rPr>
        <w:t>.</w:t>
      </w:r>
    </w:p>
    <w:p w:rsidR="00CF586F" w:rsidRPr="006D7155" w:rsidRDefault="006D7155" w:rsidP="006D7155">
      <w:pPr>
        <w:spacing w:before="240"/>
        <w:ind w:left="1134" w:right="1134"/>
        <w:jc w:val="center"/>
        <w:rPr>
          <w:u w:val="single"/>
        </w:rPr>
      </w:pPr>
      <w:r>
        <w:rPr>
          <w:u w:val="single"/>
        </w:rPr>
        <w:tab/>
      </w:r>
      <w:r>
        <w:rPr>
          <w:u w:val="single"/>
        </w:rPr>
        <w:tab/>
      </w:r>
      <w:r>
        <w:rPr>
          <w:u w:val="single"/>
        </w:rPr>
        <w:tab/>
      </w:r>
      <w:r w:rsidR="00D8199C">
        <w:rPr>
          <w:u w:val="single"/>
        </w:rPr>
        <w:tab/>
      </w:r>
    </w:p>
    <w:sectPr w:rsidR="00CF586F" w:rsidRPr="006D7155" w:rsidSect="00A31F8C">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F8C" w:rsidRDefault="00A31F8C"/>
  </w:endnote>
  <w:endnote w:type="continuationSeparator" w:id="0">
    <w:p w:rsidR="00A31F8C" w:rsidRDefault="00A31F8C"/>
  </w:endnote>
  <w:endnote w:type="continuationNotice" w:id="1">
    <w:p w:rsidR="00A31F8C" w:rsidRDefault="00A31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MS">
    <w:altName w:val="Cambria"/>
    <w:charset w:val="00"/>
    <w:family w:val="roman"/>
    <w:pitch w:val="default"/>
  </w:font>
  <w:font w:name="ArialM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8C" w:rsidRPr="00A31F8C" w:rsidRDefault="00A31F8C" w:rsidP="00A31F8C">
    <w:pPr>
      <w:pStyle w:val="Footer"/>
      <w:tabs>
        <w:tab w:val="right" w:pos="9638"/>
      </w:tabs>
      <w:rPr>
        <w:sz w:val="18"/>
      </w:rPr>
    </w:pPr>
    <w:r w:rsidRPr="00A31F8C">
      <w:rPr>
        <w:b/>
        <w:sz w:val="18"/>
      </w:rPr>
      <w:fldChar w:fldCharType="begin"/>
    </w:r>
    <w:r w:rsidRPr="00A31F8C">
      <w:rPr>
        <w:b/>
        <w:sz w:val="18"/>
      </w:rPr>
      <w:instrText xml:space="preserve"> PAGE  \* MERGEFORMAT </w:instrText>
    </w:r>
    <w:r w:rsidRPr="00A31F8C">
      <w:rPr>
        <w:b/>
        <w:sz w:val="18"/>
      </w:rPr>
      <w:fldChar w:fldCharType="separate"/>
    </w:r>
    <w:r w:rsidR="003D5D80">
      <w:rPr>
        <w:b/>
        <w:noProof/>
        <w:sz w:val="18"/>
      </w:rPr>
      <w:t>20</w:t>
    </w:r>
    <w:r w:rsidRPr="00A31F8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8C" w:rsidRPr="00A31F8C" w:rsidRDefault="00A31F8C" w:rsidP="00A31F8C">
    <w:pPr>
      <w:pStyle w:val="Footer"/>
      <w:tabs>
        <w:tab w:val="right" w:pos="9638"/>
      </w:tabs>
      <w:rPr>
        <w:b/>
        <w:sz w:val="18"/>
      </w:rPr>
    </w:pPr>
    <w:r>
      <w:tab/>
    </w:r>
    <w:r w:rsidRPr="00A31F8C">
      <w:rPr>
        <w:b/>
        <w:sz w:val="18"/>
      </w:rPr>
      <w:fldChar w:fldCharType="begin"/>
    </w:r>
    <w:r w:rsidRPr="00A31F8C">
      <w:rPr>
        <w:b/>
        <w:sz w:val="18"/>
      </w:rPr>
      <w:instrText xml:space="preserve"> PAGE  \* MERGEFORMAT </w:instrText>
    </w:r>
    <w:r w:rsidRPr="00A31F8C">
      <w:rPr>
        <w:b/>
        <w:sz w:val="18"/>
      </w:rPr>
      <w:fldChar w:fldCharType="separate"/>
    </w:r>
    <w:r w:rsidR="003D5D80">
      <w:rPr>
        <w:b/>
        <w:noProof/>
        <w:sz w:val="18"/>
      </w:rPr>
      <w:t>19</w:t>
    </w:r>
    <w:r w:rsidRPr="00A31F8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F8C" w:rsidRPr="000B175B" w:rsidRDefault="00A31F8C" w:rsidP="000B175B">
      <w:pPr>
        <w:tabs>
          <w:tab w:val="right" w:pos="2155"/>
        </w:tabs>
        <w:spacing w:after="80"/>
        <w:ind w:left="680"/>
        <w:rPr>
          <w:u w:val="single"/>
        </w:rPr>
      </w:pPr>
      <w:r>
        <w:rPr>
          <w:u w:val="single"/>
        </w:rPr>
        <w:tab/>
      </w:r>
    </w:p>
  </w:footnote>
  <w:footnote w:type="continuationSeparator" w:id="0">
    <w:p w:rsidR="00A31F8C" w:rsidRPr="00FC68B7" w:rsidRDefault="00A31F8C" w:rsidP="00FC68B7">
      <w:pPr>
        <w:tabs>
          <w:tab w:val="left" w:pos="2155"/>
        </w:tabs>
        <w:spacing w:after="80"/>
        <w:ind w:left="680"/>
        <w:rPr>
          <w:u w:val="single"/>
        </w:rPr>
      </w:pPr>
      <w:r>
        <w:rPr>
          <w:u w:val="single"/>
        </w:rPr>
        <w:tab/>
      </w:r>
    </w:p>
  </w:footnote>
  <w:footnote w:type="continuationNotice" w:id="1">
    <w:p w:rsidR="00A31F8C" w:rsidRDefault="00A31F8C"/>
  </w:footnote>
  <w:footnote w:id="2">
    <w:p w:rsidR="00C44F49" w:rsidRPr="00C44F49" w:rsidRDefault="00C44F49">
      <w:pPr>
        <w:pStyle w:val="FootnoteText"/>
      </w:pPr>
      <w:r>
        <w:rPr>
          <w:rStyle w:val="FootnoteReference"/>
        </w:rPr>
        <w:tab/>
      </w:r>
      <w:r w:rsidRPr="00C44F49">
        <w:rPr>
          <w:rStyle w:val="FootnoteReference"/>
          <w:sz w:val="20"/>
          <w:vertAlign w:val="baseline"/>
        </w:rPr>
        <w:t>*</w:t>
      </w:r>
      <w:r>
        <w:rPr>
          <w:rStyle w:val="FootnoteReference"/>
          <w:sz w:val="20"/>
          <w:vertAlign w:val="baseline"/>
        </w:rPr>
        <w:tab/>
      </w:r>
      <w:r w:rsidR="008D7BC1">
        <w:t>The summary of the report is being circulated in all official languages. The report itself, which is annexed to the summary, is being circulated in the language</w:t>
      </w:r>
      <w:r w:rsidR="008D7BC1" w:rsidRPr="00BA277D">
        <w:rPr>
          <w:color w:val="FF0000"/>
        </w:rPr>
        <w:t xml:space="preserve"> </w:t>
      </w:r>
      <w:r w:rsidR="008D7BC1">
        <w:t>of submission only.</w:t>
      </w:r>
    </w:p>
  </w:footnote>
  <w:footnote w:id="3">
    <w:p w:rsidR="00C44F49" w:rsidRPr="00C44F49" w:rsidRDefault="00C44F49">
      <w:pPr>
        <w:pStyle w:val="FootnoteText"/>
      </w:pPr>
      <w:r>
        <w:rPr>
          <w:rStyle w:val="FootnoteReference"/>
        </w:rPr>
        <w:tab/>
      </w:r>
      <w:r w:rsidRPr="00C44F49">
        <w:rPr>
          <w:rStyle w:val="FootnoteReference"/>
          <w:sz w:val="20"/>
          <w:vertAlign w:val="baseline"/>
        </w:rPr>
        <w:t>**</w:t>
      </w:r>
      <w:r>
        <w:rPr>
          <w:rStyle w:val="FootnoteReference"/>
          <w:sz w:val="20"/>
          <w:vertAlign w:val="baseline"/>
        </w:rPr>
        <w:tab/>
      </w:r>
      <w:r w:rsidR="008D7BC1" w:rsidRPr="009A63F7">
        <w:rPr>
          <w:color w:val="000000"/>
          <w:lang w:eastAsia="en-GB"/>
        </w:rPr>
        <w:t>The present report was submitted after the deadline in order to reflect the most recent information.</w:t>
      </w:r>
    </w:p>
  </w:footnote>
  <w:footnote w:id="4">
    <w:p w:rsidR="006D7155" w:rsidRPr="008C0FDF" w:rsidRDefault="006D7155" w:rsidP="006D7155">
      <w:pPr>
        <w:pStyle w:val="FootnoteText"/>
        <w:rPr>
          <w:szCs w:val="18"/>
        </w:rPr>
      </w:pPr>
      <w:r w:rsidRPr="008C0FDF">
        <w:rPr>
          <w:szCs w:val="18"/>
        </w:rPr>
        <w:tab/>
      </w:r>
      <w:r w:rsidRPr="008C0FDF">
        <w:rPr>
          <w:rStyle w:val="FootnoteReference"/>
          <w:szCs w:val="18"/>
        </w:rPr>
        <w:footnoteRef/>
      </w:r>
      <w:r w:rsidRPr="008C0FDF">
        <w:rPr>
          <w:szCs w:val="18"/>
        </w:rPr>
        <w:tab/>
        <w:t xml:space="preserve">See Map: </w:t>
      </w:r>
      <w:hyperlink r:id="rId1" w:history="1">
        <w:r w:rsidRPr="008C0FDF">
          <w:rPr>
            <w:rStyle w:val="Hyperlink"/>
            <w:szCs w:val="18"/>
          </w:rPr>
          <w:t xml:space="preserve"> (europa.eu)</w:t>
        </w:r>
      </w:hyperlink>
      <w:r w:rsidRPr="008C0FDF">
        <w:rPr>
          <w:rStyle w:val="Hyperlink"/>
          <w:szCs w:val="18"/>
        </w:rPr>
        <w:t>.</w:t>
      </w:r>
    </w:p>
  </w:footnote>
  <w:footnote w:id="5">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r w:rsidR="00AA3733">
        <w:rPr>
          <w:color w:val="000000" w:themeColor="text1"/>
          <w:szCs w:val="18"/>
          <w:lang w:val="en-US"/>
        </w:rPr>
        <w:t>He</w:t>
      </w:r>
      <w:r w:rsidRPr="008C0FDF">
        <w:rPr>
          <w:color w:val="000000" w:themeColor="text1"/>
          <w:szCs w:val="18"/>
          <w:lang w:val="en-US"/>
        </w:rPr>
        <w:t xml:space="preserve"> was particularly struck by the volume of ash and rock still covering the landscape seven months after the eruption, as well as the many lahars, which are a mix of water, ash and rock that can flow down the slope of a volcano like raging rivers of wet concrete. </w:t>
      </w:r>
    </w:p>
  </w:footnote>
  <w:footnote w:id="6">
    <w:p w:rsidR="006D7155" w:rsidRPr="006E29F8" w:rsidRDefault="006D7155" w:rsidP="006D7155">
      <w:pPr>
        <w:pStyle w:val="FootnoteText"/>
        <w:rPr>
          <w:szCs w:val="18"/>
        </w:rPr>
      </w:pPr>
      <w:r w:rsidRPr="008C0FDF">
        <w:rPr>
          <w:szCs w:val="18"/>
        </w:rPr>
        <w:tab/>
      </w:r>
      <w:r w:rsidRPr="008C0FDF">
        <w:rPr>
          <w:rStyle w:val="FootnoteReference"/>
          <w:szCs w:val="18"/>
        </w:rPr>
        <w:footnoteRef/>
      </w:r>
      <w:r w:rsidRPr="008C0FDF">
        <w:rPr>
          <w:szCs w:val="18"/>
        </w:rPr>
        <w:tab/>
      </w:r>
      <w:hyperlink r:id="rId2" w:history="1">
        <w:r w:rsidRPr="008C0FDF">
          <w:rPr>
            <w:rStyle w:val="Hyperlink"/>
            <w:szCs w:val="18"/>
          </w:rPr>
          <w:t>Action Bequia: Actions Speak Louder than Words</w:t>
        </w:r>
      </w:hyperlink>
      <w:r w:rsidRPr="008C0FDF">
        <w:rPr>
          <w:rStyle w:val="Hyperlink"/>
          <w:szCs w:val="18"/>
        </w:rPr>
        <w:t>.</w:t>
      </w:r>
    </w:p>
  </w:footnote>
  <w:footnote w:id="7">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Ratified by Saint Vincent and the Grenadines on 26 September 2019, came into force 21 April 2021.</w:t>
      </w:r>
    </w:p>
  </w:footnote>
  <w:footnote w:id="8">
    <w:p w:rsidR="006D7155" w:rsidRPr="006E29F8" w:rsidRDefault="006D7155" w:rsidP="006D7155">
      <w:pPr>
        <w:pStyle w:val="FootnoteText"/>
        <w:rPr>
          <w:szCs w:val="18"/>
        </w:rPr>
      </w:pPr>
      <w:r w:rsidRPr="006E29F8">
        <w:rPr>
          <w:szCs w:val="18"/>
        </w:rPr>
        <w:tab/>
      </w:r>
      <w:r w:rsidRPr="006E29F8">
        <w:rPr>
          <w:rStyle w:val="FootnoteReference"/>
          <w:szCs w:val="18"/>
        </w:rPr>
        <w:footnoteRef/>
      </w:r>
      <w:r w:rsidRPr="006E29F8">
        <w:rPr>
          <w:szCs w:val="18"/>
        </w:rPr>
        <w:tab/>
      </w:r>
      <w:hyperlink r:id="rId3" w:anchor=":~:text=The%20EnGenDER%20project%20will%20support%20CC%2C%20DRR%20and,supporting%20implementation%20and%2For%20upscaling%20of%20countries%E2%80%99%20priority%20actions." w:history="1">
        <w:r w:rsidRPr="008C0FDF">
          <w:rPr>
            <w:rStyle w:val="Hyperlink"/>
            <w:szCs w:val="18"/>
          </w:rPr>
          <w:t>EnGenDER | UNDP in Barbados &amp; the Eastern Caribbean</w:t>
        </w:r>
      </w:hyperlink>
      <w:r w:rsidRPr="008C0FDF">
        <w:rPr>
          <w:rStyle w:val="Hyperlink"/>
          <w:szCs w:val="18"/>
        </w:rPr>
        <w:t>.</w:t>
      </w:r>
    </w:p>
  </w:footnote>
  <w:footnote w:id="9">
    <w:p w:rsidR="006D7155" w:rsidRPr="008C0FDF" w:rsidRDefault="006D7155" w:rsidP="006D7155">
      <w:pPr>
        <w:pStyle w:val="FootnoteText"/>
        <w:rPr>
          <w:szCs w:val="18"/>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r w:rsidRPr="008C0FDF">
        <w:rPr>
          <w:szCs w:val="18"/>
        </w:rPr>
        <w:t xml:space="preserve">UN Development Programme. 2020. </w:t>
      </w:r>
      <w:r w:rsidRPr="008C0FDF">
        <w:rPr>
          <w:i/>
          <w:iCs/>
          <w:szCs w:val="18"/>
        </w:rPr>
        <w:t>Human Development Index</w:t>
      </w:r>
      <w:r w:rsidRPr="008C0FDF">
        <w:rPr>
          <w:szCs w:val="18"/>
        </w:rPr>
        <w:t xml:space="preserve">. See </w:t>
      </w:r>
      <w:hyperlink r:id="rId4" w:history="1">
        <w:r w:rsidRPr="008C0FDF">
          <w:rPr>
            <w:rStyle w:val="Hyperlink"/>
            <w:szCs w:val="18"/>
          </w:rPr>
          <w:t>http://hdr.undp.org/en/countries/profiles/VCT</w:t>
        </w:r>
      </w:hyperlink>
      <w:r w:rsidRPr="008C0FDF">
        <w:rPr>
          <w:szCs w:val="18"/>
        </w:rPr>
        <w:t xml:space="preserve">. </w:t>
      </w:r>
    </w:p>
  </w:footnote>
  <w:footnote w:id="10">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t xml:space="preserve">Government of Saint Vincent and the Grenadines, 2020, </w:t>
      </w:r>
      <w:r w:rsidRPr="008C0FDF">
        <w:rPr>
          <w:i/>
          <w:iCs/>
          <w:szCs w:val="18"/>
        </w:rPr>
        <w:t>Voluntary National Review to the UN High Level Political Forum</w:t>
      </w:r>
      <w:r w:rsidRPr="008C0FDF">
        <w:rPr>
          <w:szCs w:val="18"/>
        </w:rPr>
        <w:t>.</w:t>
      </w:r>
    </w:p>
  </w:footnote>
  <w:footnote w:id="11">
    <w:p w:rsidR="006D7155" w:rsidRPr="008C0FDF" w:rsidRDefault="006D7155" w:rsidP="006D7155">
      <w:pPr>
        <w:pStyle w:val="FootnoteText"/>
        <w:tabs>
          <w:tab w:val="left" w:pos="0"/>
        </w:tabs>
        <w:rPr>
          <w:color w:val="000000" w:themeColor="text1"/>
          <w:szCs w:val="18"/>
        </w:rPr>
      </w:pPr>
      <w:r w:rsidRPr="008C0FDF">
        <w:rPr>
          <w:color w:val="000000" w:themeColor="text1"/>
          <w:szCs w:val="18"/>
        </w:rPr>
        <w:tab/>
      </w:r>
      <w:r w:rsidRPr="008C0FDF">
        <w:rPr>
          <w:color w:val="000000" w:themeColor="text1"/>
          <w:szCs w:val="18"/>
          <w:vertAlign w:val="superscript"/>
        </w:rPr>
        <w:footnoteRef/>
      </w:r>
      <w:r w:rsidRPr="008C0FDF">
        <w:rPr>
          <w:color w:val="000000" w:themeColor="text1"/>
          <w:szCs w:val="18"/>
        </w:rPr>
        <w:tab/>
      </w:r>
      <w:r w:rsidRPr="008C0FDF">
        <w:rPr>
          <w:szCs w:val="18"/>
        </w:rPr>
        <w:t xml:space="preserve">World Bank, 2021, </w:t>
      </w:r>
      <w:r w:rsidRPr="008C0FDF">
        <w:rPr>
          <w:i/>
          <w:iCs/>
          <w:szCs w:val="18"/>
        </w:rPr>
        <w:t>Saint Vincent and the Grenadines</w:t>
      </w:r>
      <w:r w:rsidRPr="008C0FDF">
        <w:rPr>
          <w:szCs w:val="18"/>
        </w:rPr>
        <w:t xml:space="preserve">. See </w:t>
      </w:r>
      <w:hyperlink r:id="rId5" w:history="1">
        <w:r w:rsidRPr="008C0FDF">
          <w:rPr>
            <w:rStyle w:val="Hyperlink"/>
            <w:szCs w:val="18"/>
          </w:rPr>
          <w:t>https://data.worldbank.org/country/VC</w:t>
        </w:r>
      </w:hyperlink>
      <w:r w:rsidRPr="008C0FDF">
        <w:rPr>
          <w:rStyle w:val="Hyperlink"/>
          <w:szCs w:val="18"/>
        </w:rPr>
        <w:t>.</w:t>
      </w:r>
      <w:r w:rsidRPr="008C0FDF">
        <w:rPr>
          <w:szCs w:val="18"/>
        </w:rPr>
        <w:t xml:space="preserve"> </w:t>
      </w:r>
    </w:p>
  </w:footnote>
  <w:footnote w:id="12">
    <w:p w:rsidR="006D7155" w:rsidRPr="008C0FDF" w:rsidRDefault="006D7155" w:rsidP="006D7155">
      <w:pPr>
        <w:pStyle w:val="FootnoteText"/>
        <w:tabs>
          <w:tab w:val="left" w:pos="0"/>
        </w:tabs>
        <w:rPr>
          <w:color w:val="000000" w:themeColor="text1"/>
          <w:szCs w:val="18"/>
        </w:rPr>
      </w:pPr>
      <w:r w:rsidRPr="006E29F8">
        <w:rPr>
          <w:color w:val="000000" w:themeColor="text1"/>
          <w:szCs w:val="18"/>
        </w:rPr>
        <w:tab/>
      </w:r>
      <w:r w:rsidRPr="008C0FDF">
        <w:rPr>
          <w:rStyle w:val="FootnoteReference"/>
          <w:color w:val="000000" w:themeColor="text1"/>
          <w:szCs w:val="18"/>
        </w:rPr>
        <w:footnoteRef/>
      </w:r>
      <w:r w:rsidRPr="006E29F8">
        <w:rPr>
          <w:color w:val="000000" w:themeColor="text1"/>
          <w:szCs w:val="18"/>
        </w:rPr>
        <w:tab/>
      </w:r>
      <w:r w:rsidRPr="008C0FDF">
        <w:rPr>
          <w:color w:val="000000" w:themeColor="text1"/>
          <w:szCs w:val="18"/>
        </w:rPr>
        <w:t>Richard H. Grove, 2000, “The Culture of Islands and the History of Environmental Concern,” Harvard Seminar on Environmental Values, 18 April 2000.</w:t>
      </w:r>
    </w:p>
  </w:footnote>
  <w:footnote w:id="13">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For guidance see </w:t>
      </w:r>
      <w:hyperlink r:id="rId6" w:history="1">
        <w:r w:rsidRPr="008C0FDF">
          <w:rPr>
            <w:rStyle w:val="Hyperlink"/>
            <w:szCs w:val="18"/>
            <w:lang w:val="en-US"/>
          </w:rPr>
          <w:t>https://accessinitiative.org/resources/escazu-legal-and-policy-assessment-tool</w:t>
        </w:r>
      </w:hyperlink>
      <w:r w:rsidRPr="008C0FDF">
        <w:rPr>
          <w:rStyle w:val="Hyperlink"/>
          <w:szCs w:val="18"/>
          <w:lang w:val="en-US"/>
        </w:rPr>
        <w:t>.</w:t>
      </w:r>
      <w:r w:rsidRPr="008C0FDF">
        <w:rPr>
          <w:szCs w:val="18"/>
          <w:lang w:val="en-US"/>
        </w:rPr>
        <w:t xml:space="preserve"> </w:t>
      </w:r>
    </w:p>
  </w:footnote>
  <w:footnote w:id="14">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00AA3733" w:rsidRPr="008C0FDF">
        <w:rPr>
          <w:szCs w:val="18"/>
        </w:rPr>
        <w:t>Gov</w:t>
      </w:r>
      <w:r w:rsidR="00AA3733">
        <w:rPr>
          <w:szCs w:val="18"/>
        </w:rPr>
        <w:t>.</w:t>
      </w:r>
      <w:r w:rsidR="00AA3733" w:rsidRPr="008C0FDF">
        <w:rPr>
          <w:szCs w:val="18"/>
        </w:rPr>
        <w:t xml:space="preserve"> </w:t>
      </w:r>
      <w:r w:rsidRPr="008C0FDF">
        <w:rPr>
          <w:szCs w:val="18"/>
        </w:rPr>
        <w:t xml:space="preserve">of Saint Vincent and the Grenadines, 2020, </w:t>
      </w:r>
      <w:r w:rsidRPr="008C0FDF">
        <w:rPr>
          <w:i/>
          <w:iCs/>
          <w:szCs w:val="18"/>
        </w:rPr>
        <w:t xml:space="preserve">Voluntary National Review to the UN </w:t>
      </w:r>
      <w:r w:rsidR="00AA3733">
        <w:rPr>
          <w:i/>
          <w:iCs/>
          <w:szCs w:val="18"/>
        </w:rPr>
        <w:t>HL</w:t>
      </w:r>
      <w:r w:rsidRPr="008C0FDF">
        <w:rPr>
          <w:i/>
          <w:iCs/>
          <w:szCs w:val="18"/>
        </w:rPr>
        <w:t xml:space="preserve"> Political Forum</w:t>
      </w:r>
      <w:r w:rsidRPr="008C0FDF">
        <w:rPr>
          <w:szCs w:val="18"/>
        </w:rPr>
        <w:t>.</w:t>
      </w:r>
    </w:p>
  </w:footnote>
  <w:footnote w:id="15">
    <w:p w:rsidR="006D7155" w:rsidRPr="006E29F8" w:rsidRDefault="006D7155" w:rsidP="006D7155">
      <w:pPr>
        <w:pStyle w:val="FootnoteText"/>
        <w:rPr>
          <w:szCs w:val="18"/>
          <w:lang w:val="es-ES"/>
        </w:rPr>
      </w:pPr>
      <w:r w:rsidRPr="006E29F8">
        <w:rPr>
          <w:szCs w:val="18"/>
        </w:rPr>
        <w:tab/>
      </w:r>
      <w:r w:rsidRPr="006E29F8">
        <w:rPr>
          <w:rStyle w:val="FootnoteReference"/>
          <w:szCs w:val="18"/>
        </w:rPr>
        <w:footnoteRef/>
      </w:r>
      <w:r w:rsidRPr="006E29F8">
        <w:rPr>
          <w:szCs w:val="18"/>
          <w:lang w:val="es-ES"/>
        </w:rPr>
        <w:tab/>
      </w:r>
      <w:r w:rsidRPr="008C0FDF">
        <w:rPr>
          <w:szCs w:val="18"/>
          <w:lang w:val="es-ES"/>
        </w:rPr>
        <w:t>A/HRC/48/78, para 59 page 13.</w:t>
      </w:r>
      <w:r w:rsidRPr="006E29F8">
        <w:rPr>
          <w:szCs w:val="18"/>
          <w:lang w:val="es-ES"/>
        </w:rPr>
        <w:t xml:space="preserve"> </w:t>
      </w:r>
    </w:p>
  </w:footnote>
  <w:footnote w:id="16">
    <w:p w:rsidR="006D7155" w:rsidRPr="008C0FDF" w:rsidRDefault="006D7155" w:rsidP="006D7155">
      <w:pPr>
        <w:pStyle w:val="FootnoteText"/>
        <w:rPr>
          <w:szCs w:val="18"/>
          <w:lang w:val="es-ES"/>
        </w:rPr>
      </w:pPr>
      <w:r w:rsidRPr="008C0FDF">
        <w:rPr>
          <w:szCs w:val="18"/>
          <w:lang w:val="es-ES"/>
        </w:rPr>
        <w:tab/>
      </w:r>
      <w:r w:rsidRPr="008C0FDF">
        <w:rPr>
          <w:rStyle w:val="FootnoteReference"/>
          <w:szCs w:val="18"/>
        </w:rPr>
        <w:footnoteRef/>
      </w:r>
      <w:r w:rsidRPr="008C0FDF">
        <w:rPr>
          <w:szCs w:val="18"/>
          <w:lang w:val="es-ES"/>
        </w:rPr>
        <w:tab/>
        <w:t>A/HRC/WG.6/39/VCT/1.</w:t>
      </w:r>
    </w:p>
  </w:footnote>
  <w:footnote w:id="17">
    <w:p w:rsidR="006D7155" w:rsidRPr="008C0FDF" w:rsidRDefault="006D7155" w:rsidP="006D7155">
      <w:pPr>
        <w:pStyle w:val="FootnoteText"/>
        <w:rPr>
          <w:color w:val="000000" w:themeColor="text1"/>
          <w:szCs w:val="18"/>
          <w:lang w:val="en-US"/>
        </w:rPr>
      </w:pPr>
      <w:r w:rsidRPr="008C0FDF">
        <w:rPr>
          <w:color w:val="000000" w:themeColor="text1"/>
          <w:szCs w:val="18"/>
          <w:lang w:val="es-ES"/>
        </w:rPr>
        <w:tab/>
      </w:r>
      <w:r w:rsidRPr="008C0FDF">
        <w:rPr>
          <w:rStyle w:val="FootnoteReference"/>
          <w:color w:val="000000" w:themeColor="text1"/>
          <w:szCs w:val="18"/>
        </w:rPr>
        <w:footnoteRef/>
      </w:r>
      <w:r w:rsidRPr="008C0FDF">
        <w:rPr>
          <w:color w:val="000000" w:themeColor="text1"/>
          <w:szCs w:val="18"/>
        </w:rPr>
        <w:tab/>
        <w:t xml:space="preserve">R. Gonsalves, 2018, </w:t>
      </w:r>
      <w:r w:rsidRPr="008C0FDF">
        <w:rPr>
          <w:color w:val="000000" w:themeColor="text1"/>
          <w:szCs w:val="18"/>
          <w:lang w:val="en-US"/>
        </w:rPr>
        <w:t>Speech to the UN General Assembly.</w:t>
      </w:r>
    </w:p>
  </w:footnote>
  <w:footnote w:id="18">
    <w:p w:rsidR="006D7155" w:rsidRPr="008C0FDF" w:rsidRDefault="006D7155" w:rsidP="006D7155">
      <w:pPr>
        <w:pStyle w:val="FootnoteText"/>
        <w:tabs>
          <w:tab w:val="left" w:pos="0"/>
        </w:tabs>
        <w:rPr>
          <w:color w:val="000000" w:themeColor="text1"/>
          <w:szCs w:val="18"/>
        </w:rPr>
      </w:pPr>
      <w:r w:rsidRPr="006E29F8">
        <w:rPr>
          <w:color w:val="000000" w:themeColor="text1"/>
          <w:szCs w:val="18"/>
        </w:rPr>
        <w:tab/>
      </w:r>
      <w:r w:rsidRPr="008C0FDF">
        <w:rPr>
          <w:rStyle w:val="FootnoteReference"/>
          <w:color w:val="000000" w:themeColor="text1"/>
          <w:szCs w:val="18"/>
        </w:rPr>
        <w:footnoteRef/>
      </w:r>
      <w:r w:rsidRPr="006E29F8">
        <w:rPr>
          <w:color w:val="000000" w:themeColor="text1"/>
          <w:szCs w:val="18"/>
        </w:rPr>
        <w:tab/>
      </w:r>
      <w:r w:rsidRPr="008C0FDF">
        <w:rPr>
          <w:color w:val="000000" w:themeColor="text1"/>
          <w:szCs w:val="18"/>
        </w:rPr>
        <w:t xml:space="preserve">Sargassum </w:t>
      </w:r>
      <w:r w:rsidRPr="008C0FDF">
        <w:rPr>
          <w:color w:val="000000" w:themeColor="text1"/>
          <w:szCs w:val="18"/>
          <w:shd w:val="clear" w:color="auto" w:fill="FFFFFF"/>
        </w:rPr>
        <w:t xml:space="preserve">represents an environmental and economic disaster as well as a threat to human health. After 48 hours on the seashore, large amounts of toxic gases such as hydrogen sulphide and ammonia are produced by the decomposition of the seaweed. D. Resiere et al, 2018, “Sargassum Seaweed on Caribbean Islands: An International Public Health Concern, </w:t>
      </w:r>
      <w:r w:rsidRPr="008C0FDF">
        <w:rPr>
          <w:i/>
          <w:iCs/>
          <w:color w:val="000000" w:themeColor="text1"/>
          <w:szCs w:val="18"/>
          <w:shd w:val="clear" w:color="auto" w:fill="FFFFFF"/>
        </w:rPr>
        <w:t xml:space="preserve">The </w:t>
      </w:r>
      <w:r w:rsidRPr="008C0FDF">
        <w:rPr>
          <w:color w:val="000000" w:themeColor="text1"/>
          <w:szCs w:val="18"/>
          <w:shd w:val="clear" w:color="auto" w:fill="FFFFFF"/>
        </w:rPr>
        <w:t>Lancet, 392: 10165, p. 2691.</w:t>
      </w:r>
    </w:p>
  </w:footnote>
  <w:footnote w:id="19">
    <w:p w:rsidR="006D7155" w:rsidRPr="008C0FDF" w:rsidRDefault="006D7155" w:rsidP="006D7155">
      <w:pPr>
        <w:pStyle w:val="FootnoteText"/>
        <w:tabs>
          <w:tab w:val="left" w:pos="0"/>
        </w:tabs>
        <w:rPr>
          <w:color w:val="000000" w:themeColor="text1"/>
          <w:szCs w:val="18"/>
        </w:rPr>
      </w:pPr>
      <w:r w:rsidRPr="006E29F8">
        <w:rPr>
          <w:color w:val="000000" w:themeColor="text1"/>
          <w:szCs w:val="18"/>
        </w:rPr>
        <w:tab/>
      </w:r>
      <w:r w:rsidRPr="008C0FDF">
        <w:rPr>
          <w:rStyle w:val="FootnoteReference"/>
          <w:color w:val="000000" w:themeColor="text1"/>
          <w:szCs w:val="18"/>
        </w:rPr>
        <w:footnoteRef/>
      </w:r>
      <w:r w:rsidRPr="006E29F8">
        <w:rPr>
          <w:color w:val="000000" w:themeColor="text1"/>
          <w:szCs w:val="18"/>
        </w:rPr>
        <w:tab/>
      </w:r>
      <w:r w:rsidRPr="008C0FDF">
        <w:rPr>
          <w:i/>
          <w:iCs/>
          <w:color w:val="000000" w:themeColor="text1"/>
          <w:szCs w:val="18"/>
        </w:rPr>
        <w:t>See</w:t>
      </w:r>
      <w:r w:rsidRPr="008C0FDF">
        <w:rPr>
          <w:color w:val="000000" w:themeColor="text1"/>
          <w:szCs w:val="18"/>
        </w:rPr>
        <w:t xml:space="preserve">, “CWSA extends water rationing to help negate worst drought in years,” </w:t>
      </w:r>
      <w:r w:rsidRPr="008C0FDF">
        <w:rPr>
          <w:i/>
          <w:iCs/>
          <w:color w:val="000000" w:themeColor="text1"/>
          <w:szCs w:val="18"/>
        </w:rPr>
        <w:t>Searchlight</w:t>
      </w:r>
      <w:r w:rsidRPr="008C0FDF">
        <w:rPr>
          <w:color w:val="000000" w:themeColor="text1"/>
          <w:szCs w:val="18"/>
        </w:rPr>
        <w:t xml:space="preserve">, 29 May 2020, </w:t>
      </w:r>
      <w:hyperlink r:id="rId7" w:history="1">
        <w:r w:rsidRPr="008C0FDF">
          <w:rPr>
            <w:rStyle w:val="Hyperlink"/>
            <w:color w:val="000000" w:themeColor="text1"/>
            <w:szCs w:val="18"/>
          </w:rPr>
          <w:t>https://searchlight.vc/searchlight/press-release/2020/05/29/131997/</w:t>
        </w:r>
      </w:hyperlink>
      <w:r w:rsidRPr="008C0FDF">
        <w:rPr>
          <w:rStyle w:val="Hyperlink"/>
          <w:color w:val="000000" w:themeColor="text1"/>
          <w:szCs w:val="18"/>
        </w:rPr>
        <w:t>.</w:t>
      </w:r>
    </w:p>
  </w:footnote>
  <w:footnote w:id="20">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r w:rsidRPr="008C0FDF">
        <w:rPr>
          <w:szCs w:val="18"/>
          <w:lang w:val="en-US"/>
        </w:rPr>
        <w:t xml:space="preserve">Government of Saint Vincent and the Grenadines, </w:t>
      </w:r>
      <w:r w:rsidRPr="008C0FDF">
        <w:rPr>
          <w:i/>
          <w:iCs/>
          <w:color w:val="000000" w:themeColor="text1"/>
          <w:szCs w:val="18"/>
          <w:lang w:val="en-US"/>
        </w:rPr>
        <w:t xml:space="preserve">Budget 2021, </w:t>
      </w:r>
      <w:r w:rsidRPr="008C0FDF">
        <w:rPr>
          <w:color w:val="000000" w:themeColor="text1"/>
          <w:szCs w:val="18"/>
          <w:lang w:val="en-US"/>
        </w:rPr>
        <w:t>p. 12.</w:t>
      </w:r>
    </w:p>
  </w:footnote>
  <w:footnote w:id="21">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00265FE9">
        <w:rPr>
          <w:szCs w:val="18"/>
          <w:lang w:val="en-US"/>
        </w:rPr>
        <w:t>Ibid</w:t>
      </w:r>
      <w:r w:rsidRPr="008C0FDF">
        <w:rPr>
          <w:szCs w:val="18"/>
          <w:lang w:val="en-US"/>
        </w:rPr>
        <w:t xml:space="preserve">, 2019, </w:t>
      </w:r>
      <w:r w:rsidRPr="008C0FDF">
        <w:rPr>
          <w:i/>
          <w:iCs/>
          <w:szCs w:val="18"/>
          <w:lang w:val="en-US"/>
        </w:rPr>
        <w:t>National Climate Change Policy</w:t>
      </w:r>
      <w:r w:rsidRPr="008C0FDF">
        <w:rPr>
          <w:szCs w:val="18"/>
          <w:lang w:val="en-US"/>
        </w:rPr>
        <w:t>, p. 8.</w:t>
      </w:r>
    </w:p>
  </w:footnote>
  <w:footnote w:id="22">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r w:rsidRPr="008C0FDF">
        <w:rPr>
          <w:color w:val="000000" w:themeColor="text1"/>
          <w:szCs w:val="18"/>
          <w:lang w:val="en-US"/>
        </w:rPr>
        <w:t xml:space="preserve">C.M. Gonsalves, 2019, </w:t>
      </w:r>
      <w:r w:rsidRPr="008C0FDF">
        <w:rPr>
          <w:i/>
          <w:iCs/>
          <w:color w:val="000000" w:themeColor="text1"/>
          <w:szCs w:val="18"/>
          <w:lang w:val="en-US"/>
        </w:rPr>
        <w:t>Globalised, Climatised, Stigmatised</w:t>
      </w:r>
      <w:r w:rsidRPr="008C0FDF">
        <w:rPr>
          <w:color w:val="000000" w:themeColor="text1"/>
          <w:szCs w:val="18"/>
          <w:lang w:val="en-US"/>
        </w:rPr>
        <w:t>. Strategy Forum, Inc.</w:t>
      </w:r>
    </w:p>
  </w:footnote>
  <w:footnote w:id="23">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Green Climate Fund, 2021, </w:t>
      </w:r>
      <w:r w:rsidRPr="008C0FDF">
        <w:rPr>
          <w:i/>
          <w:iCs/>
          <w:szCs w:val="18"/>
          <w:lang w:val="en-US"/>
        </w:rPr>
        <w:t>Readiness Proposal for Saint Vincent and the Grenadines</w:t>
      </w:r>
      <w:r w:rsidRPr="008C0FDF">
        <w:rPr>
          <w:szCs w:val="18"/>
          <w:lang w:val="en-US"/>
        </w:rPr>
        <w:t>.</w:t>
      </w:r>
    </w:p>
  </w:footnote>
  <w:footnote w:id="24">
    <w:p w:rsidR="006D7155" w:rsidRPr="008C0FDF" w:rsidRDefault="006D7155" w:rsidP="006D7155">
      <w:pPr>
        <w:pStyle w:val="FootnoteText"/>
        <w:tabs>
          <w:tab w:val="left" w:pos="0"/>
        </w:tabs>
        <w:rPr>
          <w:color w:val="000000" w:themeColor="text1"/>
          <w:szCs w:val="18"/>
        </w:rPr>
      </w:pPr>
      <w:r w:rsidRPr="006E29F8">
        <w:rPr>
          <w:color w:val="000000" w:themeColor="text1"/>
          <w:szCs w:val="18"/>
        </w:rPr>
        <w:tab/>
      </w:r>
      <w:r w:rsidRPr="008C0FDF">
        <w:rPr>
          <w:rStyle w:val="FootnoteReference"/>
          <w:color w:val="000000" w:themeColor="text1"/>
          <w:szCs w:val="18"/>
        </w:rPr>
        <w:footnoteRef/>
      </w:r>
      <w:r w:rsidRPr="006E29F8">
        <w:rPr>
          <w:color w:val="000000" w:themeColor="text1"/>
          <w:szCs w:val="18"/>
        </w:rPr>
        <w:tab/>
      </w:r>
      <w:r w:rsidRPr="008C0FDF">
        <w:rPr>
          <w:color w:val="000000" w:themeColor="text1"/>
          <w:szCs w:val="18"/>
        </w:rPr>
        <w:t xml:space="preserve">See </w:t>
      </w:r>
      <w:hyperlink r:id="rId8" w:history="1">
        <w:r w:rsidRPr="008C0FDF">
          <w:rPr>
            <w:rStyle w:val="Hyperlink"/>
            <w:szCs w:val="18"/>
          </w:rPr>
          <w:t>https://globalnutritionreport.org/resources/nutrition-profiles/latin-america-and-caribbean/caribbean/saint-vincent-and-grenadines/</w:t>
        </w:r>
      </w:hyperlink>
      <w:r w:rsidRPr="008C0FDF">
        <w:rPr>
          <w:rStyle w:val="Hyperlink"/>
          <w:szCs w:val="18"/>
        </w:rPr>
        <w:t>.</w:t>
      </w:r>
    </w:p>
  </w:footnote>
  <w:footnote w:id="25">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r w:rsidRPr="008C0FDF">
        <w:rPr>
          <w:color w:val="000000" w:themeColor="text1"/>
          <w:szCs w:val="18"/>
          <w:lang w:val="en-US"/>
        </w:rPr>
        <w:t>CEDAW/C/GC/37.</w:t>
      </w:r>
    </w:p>
  </w:footnote>
  <w:footnote w:id="26">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t>CEDAW/C/VCT/CO/4-8.</w:t>
      </w:r>
    </w:p>
  </w:footnote>
  <w:footnote w:id="27">
    <w:p w:rsidR="006D7155" w:rsidRPr="006E29F8" w:rsidRDefault="006D7155" w:rsidP="006D7155">
      <w:pPr>
        <w:pStyle w:val="FootnoteText"/>
        <w:rPr>
          <w:szCs w:val="18"/>
        </w:rPr>
      </w:pPr>
      <w:r w:rsidRPr="006E29F8">
        <w:rPr>
          <w:szCs w:val="18"/>
        </w:rPr>
        <w:tab/>
      </w:r>
      <w:r w:rsidRPr="008C0FDF">
        <w:rPr>
          <w:rStyle w:val="FootnoteReference"/>
          <w:color w:val="000000" w:themeColor="text1"/>
          <w:szCs w:val="18"/>
        </w:rPr>
        <w:footnoteRef/>
      </w:r>
      <w:r w:rsidRPr="006E29F8">
        <w:rPr>
          <w:szCs w:val="18"/>
        </w:rPr>
        <w:tab/>
      </w:r>
      <w:r w:rsidRPr="008C0FDF">
        <w:rPr>
          <w:szCs w:val="18"/>
          <w:lang w:val="en-US"/>
        </w:rPr>
        <w:t>UNICEF, 2019, Caribbean Children Facing the Climate Crisis.</w:t>
      </w:r>
    </w:p>
  </w:footnote>
  <w:footnote w:id="28">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World Health Organization, 2009, </w:t>
      </w:r>
      <w:r w:rsidRPr="008C0FDF">
        <w:rPr>
          <w:i/>
          <w:iCs/>
          <w:szCs w:val="18"/>
          <w:lang w:val="en-US"/>
        </w:rPr>
        <w:t>Country Profile of Environmental Burden of Disease: Saint Vincent and the Grenadines</w:t>
      </w:r>
      <w:r w:rsidRPr="008C0FDF">
        <w:rPr>
          <w:szCs w:val="18"/>
          <w:lang w:val="en-US"/>
        </w:rPr>
        <w:t xml:space="preserve">. </w:t>
      </w:r>
      <w:hyperlink r:id="rId9" w:history="1">
        <w:r w:rsidRPr="008C0FDF">
          <w:rPr>
            <w:rStyle w:val="Hyperlink"/>
            <w:szCs w:val="18"/>
            <w:lang w:val="en-US"/>
          </w:rPr>
          <w:t>https://www.who.int/quantifying_ehimpacts/national/countryprofile/saintvincentandgrenadines.pdf</w:t>
        </w:r>
      </w:hyperlink>
      <w:r w:rsidRPr="008C0FDF">
        <w:rPr>
          <w:rStyle w:val="Hyperlink"/>
          <w:szCs w:val="18"/>
          <w:lang w:val="en-US"/>
        </w:rPr>
        <w:t>.</w:t>
      </w:r>
      <w:r w:rsidRPr="008C0FDF">
        <w:rPr>
          <w:szCs w:val="18"/>
          <w:lang w:val="en-US"/>
        </w:rPr>
        <w:t xml:space="preserve"> </w:t>
      </w:r>
    </w:p>
  </w:footnote>
  <w:footnote w:id="29">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Government of Saint Vincent and the Grenadines, 2019, </w:t>
      </w:r>
      <w:r w:rsidRPr="008C0FDF">
        <w:rPr>
          <w:i/>
          <w:iCs/>
          <w:szCs w:val="18"/>
          <w:lang w:val="en-US"/>
        </w:rPr>
        <w:t>National Climate Change Policy</w:t>
      </w:r>
      <w:r w:rsidRPr="008C0FDF">
        <w:rPr>
          <w:szCs w:val="18"/>
          <w:lang w:val="en-US"/>
        </w:rPr>
        <w:t>.</w:t>
      </w:r>
    </w:p>
  </w:footnote>
  <w:footnote w:id="30">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006E29F8" w:rsidRPr="00605971">
        <w:rPr>
          <w:szCs w:val="18"/>
          <w:lang w:val="en-US"/>
        </w:rPr>
        <w:t>Ibid</w:t>
      </w:r>
      <w:r w:rsidRPr="00605971">
        <w:rPr>
          <w:szCs w:val="18"/>
          <w:lang w:val="en-US"/>
        </w:rPr>
        <w:t>.</w:t>
      </w:r>
    </w:p>
  </w:footnote>
  <w:footnote w:id="31">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Pr="00605971">
        <w:rPr>
          <w:szCs w:val="18"/>
          <w:lang w:val="en-US"/>
        </w:rPr>
        <w:t>A/HRC/WG.6/39/L.5.</w:t>
      </w:r>
    </w:p>
  </w:footnote>
  <w:footnote w:id="32">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Pr="00605971">
        <w:rPr>
          <w:color w:val="000000" w:themeColor="text1"/>
          <w:szCs w:val="18"/>
        </w:rPr>
        <w:t xml:space="preserve">Statistical Office, </w:t>
      </w:r>
      <w:r w:rsidRPr="00605971">
        <w:rPr>
          <w:szCs w:val="18"/>
        </w:rPr>
        <w:t xml:space="preserve">Ministry of Finance, Economic Planning &amp; Information Technology, 2020, </w:t>
      </w:r>
      <w:r w:rsidRPr="00605971">
        <w:rPr>
          <w:i/>
          <w:iCs/>
          <w:szCs w:val="18"/>
        </w:rPr>
        <w:t>Compendium of Environmental Statistics 2020</w:t>
      </w:r>
      <w:r w:rsidRPr="00605971">
        <w:rPr>
          <w:szCs w:val="18"/>
        </w:rPr>
        <w:t>.</w:t>
      </w:r>
    </w:p>
  </w:footnote>
  <w:footnote w:id="33">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Pr="00605971">
        <w:rPr>
          <w:szCs w:val="18"/>
          <w:lang w:val="en-US"/>
        </w:rPr>
        <w:t xml:space="preserve">See Our World in Data, 2021, </w:t>
      </w:r>
      <w:hyperlink r:id="rId10" w:history="1">
        <w:r w:rsidRPr="00605971">
          <w:rPr>
            <w:rStyle w:val="Hyperlink"/>
            <w:szCs w:val="18"/>
            <w:lang w:val="en-US"/>
          </w:rPr>
          <w:t>https://ourworldindata.org/grapher/per-capita-electricity-consumption?tab=table</w:t>
        </w:r>
      </w:hyperlink>
      <w:r w:rsidRPr="00605971">
        <w:rPr>
          <w:szCs w:val="18"/>
          <w:lang w:val="en-US"/>
        </w:rPr>
        <w:t xml:space="preserve"> </w:t>
      </w:r>
    </w:p>
  </w:footnote>
  <w:footnote w:id="34">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Pr="00605971">
        <w:rPr>
          <w:color w:val="000000" w:themeColor="text1"/>
          <w:szCs w:val="18"/>
        </w:rPr>
        <w:t xml:space="preserve">International Federation of Red Cross and Red Crescent Societies, 2021, </w:t>
      </w:r>
      <w:r w:rsidRPr="00605971">
        <w:rPr>
          <w:i/>
          <w:iCs/>
          <w:color w:val="000000" w:themeColor="text1"/>
          <w:szCs w:val="18"/>
        </w:rPr>
        <w:t>World Disasters Report 2020</w:t>
      </w:r>
      <w:r w:rsidRPr="00605971">
        <w:rPr>
          <w:color w:val="000000" w:themeColor="text1"/>
          <w:szCs w:val="18"/>
        </w:rPr>
        <w:t>.</w:t>
      </w:r>
    </w:p>
  </w:footnote>
  <w:footnote w:id="35">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Pr="00605971">
        <w:rPr>
          <w:szCs w:val="18"/>
          <w:lang w:val="en-US"/>
        </w:rPr>
        <w:t>F. Fuller et al, 2018, “</w:t>
      </w:r>
      <w:r w:rsidRPr="00605971">
        <w:rPr>
          <w:szCs w:val="18"/>
        </w:rPr>
        <w:t xml:space="preserve">Debt for Climate Swaps: Caribbean Outlook.” </w:t>
      </w:r>
      <w:r w:rsidRPr="00605971">
        <w:rPr>
          <w:i/>
          <w:iCs/>
          <w:szCs w:val="18"/>
        </w:rPr>
        <w:t xml:space="preserve">Clim. Anal. Brief. Pap. </w:t>
      </w:r>
      <w:r w:rsidRPr="00605971">
        <w:rPr>
          <w:szCs w:val="18"/>
        </w:rPr>
        <w:t xml:space="preserve"> </w:t>
      </w:r>
    </w:p>
  </w:footnote>
  <w:footnote w:id="36">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Pr="00605971">
        <w:rPr>
          <w:szCs w:val="18"/>
          <w:lang w:val="en-US"/>
        </w:rPr>
        <w:t>UN Doc. A/76/167.</w:t>
      </w:r>
    </w:p>
  </w:footnote>
  <w:footnote w:id="37">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Pr="00605971">
        <w:rPr>
          <w:szCs w:val="18"/>
          <w:lang w:val="en-US"/>
        </w:rPr>
        <w:t xml:space="preserve">C.M. Gonsalves, 2019, </w:t>
      </w:r>
      <w:r w:rsidRPr="00605971">
        <w:rPr>
          <w:i/>
          <w:iCs/>
          <w:szCs w:val="18"/>
          <w:lang w:val="en-US"/>
        </w:rPr>
        <w:t>Globalised, Climatised, Stigmatised</w:t>
      </w:r>
      <w:r w:rsidRPr="00605971">
        <w:rPr>
          <w:szCs w:val="18"/>
          <w:lang w:val="en-US"/>
        </w:rPr>
        <w:t>. Strategy Forum, Inc.</w:t>
      </w:r>
    </w:p>
  </w:footnote>
  <w:footnote w:id="38">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t xml:space="preserve">Alliance of Small Island States, 2020, </w:t>
      </w:r>
      <w:r w:rsidRPr="00605971">
        <w:rPr>
          <w:i/>
          <w:iCs/>
          <w:szCs w:val="18"/>
        </w:rPr>
        <w:t>Statement on Debt</w:t>
      </w:r>
      <w:r w:rsidRPr="00605971">
        <w:rPr>
          <w:szCs w:val="18"/>
        </w:rPr>
        <w:t xml:space="preserve">. A/74/943. </w:t>
      </w:r>
    </w:p>
  </w:footnote>
  <w:footnote w:id="39">
    <w:p w:rsidR="006D7155" w:rsidRPr="00605971" w:rsidRDefault="006D7155" w:rsidP="006D7155">
      <w:pPr>
        <w:pStyle w:val="FootnoteText"/>
        <w:rPr>
          <w:color w:val="000000" w:themeColor="text1"/>
          <w:szCs w:val="18"/>
          <w:lang w:val="en-US"/>
        </w:rPr>
      </w:pPr>
      <w:r w:rsidRPr="00605971">
        <w:rPr>
          <w:color w:val="000000" w:themeColor="text1"/>
          <w:szCs w:val="18"/>
        </w:rPr>
        <w:tab/>
      </w:r>
      <w:r w:rsidRPr="00605971">
        <w:rPr>
          <w:rStyle w:val="FootnoteReference"/>
          <w:color w:val="000000" w:themeColor="text1"/>
          <w:szCs w:val="18"/>
        </w:rPr>
        <w:footnoteRef/>
      </w:r>
      <w:r w:rsidRPr="00605971">
        <w:rPr>
          <w:color w:val="000000" w:themeColor="text1"/>
          <w:szCs w:val="18"/>
        </w:rPr>
        <w:tab/>
        <w:t xml:space="preserve">See </w:t>
      </w:r>
      <w:hyperlink r:id="rId11" w:anchor="!/" w:history="1">
        <w:r w:rsidRPr="00605971">
          <w:rPr>
            <w:rStyle w:val="Hyperlink"/>
            <w:szCs w:val="18"/>
          </w:rPr>
          <w:t>https://washdata.org/data/household#!/</w:t>
        </w:r>
      </w:hyperlink>
      <w:r w:rsidRPr="00605971">
        <w:rPr>
          <w:rStyle w:val="Hyperlink"/>
          <w:szCs w:val="18"/>
        </w:rPr>
        <w:t>.</w:t>
      </w:r>
      <w:r w:rsidRPr="00605971">
        <w:rPr>
          <w:szCs w:val="18"/>
        </w:rPr>
        <w:t xml:space="preserve"> </w:t>
      </w:r>
    </w:p>
  </w:footnote>
  <w:footnote w:id="40">
    <w:p w:rsidR="006D7155" w:rsidRPr="00605971" w:rsidRDefault="006D7155" w:rsidP="006D7155">
      <w:pPr>
        <w:pStyle w:val="FootnoteText"/>
        <w:rPr>
          <w:color w:val="000000" w:themeColor="text1"/>
          <w:szCs w:val="18"/>
          <w:lang w:val="en-US"/>
        </w:rPr>
      </w:pPr>
      <w:r w:rsidRPr="00605971">
        <w:rPr>
          <w:color w:val="000000" w:themeColor="text1"/>
          <w:szCs w:val="18"/>
        </w:rPr>
        <w:tab/>
      </w:r>
      <w:r w:rsidRPr="00605971">
        <w:rPr>
          <w:rStyle w:val="FootnoteReference"/>
          <w:color w:val="000000" w:themeColor="text1"/>
          <w:szCs w:val="18"/>
        </w:rPr>
        <w:footnoteRef/>
      </w:r>
      <w:r w:rsidRPr="00605971">
        <w:rPr>
          <w:color w:val="000000" w:themeColor="text1"/>
          <w:szCs w:val="18"/>
        </w:rPr>
        <w:tab/>
      </w:r>
      <w:r w:rsidR="006E29F8" w:rsidRPr="00605971">
        <w:rPr>
          <w:color w:val="000000" w:themeColor="text1"/>
          <w:szCs w:val="18"/>
        </w:rPr>
        <w:t>Ibid.</w:t>
      </w:r>
      <w:r w:rsidRPr="00605971">
        <w:rPr>
          <w:color w:val="000000" w:themeColor="text1"/>
          <w:szCs w:val="18"/>
        </w:rPr>
        <w:t xml:space="preserve"> </w:t>
      </w:r>
    </w:p>
  </w:footnote>
  <w:footnote w:id="41">
    <w:p w:rsidR="006D7155" w:rsidRPr="00605971" w:rsidRDefault="006D7155" w:rsidP="006D7155">
      <w:pPr>
        <w:pStyle w:val="FootnoteText"/>
        <w:rPr>
          <w:szCs w:val="18"/>
          <w:lang w:val="en-US"/>
        </w:rPr>
      </w:pPr>
      <w:r w:rsidRPr="00605971">
        <w:rPr>
          <w:szCs w:val="18"/>
        </w:rPr>
        <w:tab/>
      </w:r>
      <w:r w:rsidRPr="00605971">
        <w:rPr>
          <w:rStyle w:val="FootnoteReference"/>
          <w:szCs w:val="18"/>
        </w:rPr>
        <w:footnoteRef/>
      </w:r>
      <w:r w:rsidRPr="00605971">
        <w:rPr>
          <w:szCs w:val="18"/>
        </w:rPr>
        <w:tab/>
      </w:r>
      <w:r w:rsidRPr="00605971">
        <w:rPr>
          <w:szCs w:val="18"/>
          <w:lang w:val="en-US"/>
        </w:rPr>
        <w:t xml:space="preserve">See </w:t>
      </w:r>
      <w:r w:rsidRPr="00605971">
        <w:rPr>
          <w:szCs w:val="18"/>
        </w:rPr>
        <w:t>A/HRC/43/43.</w:t>
      </w:r>
    </w:p>
  </w:footnote>
  <w:footnote w:id="42">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t xml:space="preserve">See </w:t>
      </w:r>
      <w:hyperlink r:id="rId12" w:anchor="/health/plot" w:history="1">
        <w:r w:rsidRPr="008C0FDF">
          <w:rPr>
            <w:rStyle w:val="Hyperlink"/>
            <w:szCs w:val="18"/>
          </w:rPr>
          <w:t>https://www.stateofglobalair.org/data/#/health/plot</w:t>
        </w:r>
      </w:hyperlink>
      <w:r w:rsidRPr="008C0FDF">
        <w:rPr>
          <w:rStyle w:val="Hyperlink"/>
          <w:szCs w:val="18"/>
        </w:rPr>
        <w:t>.</w:t>
      </w:r>
      <w:r w:rsidRPr="008C0FDF">
        <w:rPr>
          <w:color w:val="000000" w:themeColor="text1"/>
          <w:szCs w:val="18"/>
        </w:rPr>
        <w:t xml:space="preserve">  </w:t>
      </w:r>
    </w:p>
  </w:footnote>
  <w:footnote w:id="43">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r w:rsidRPr="008C0FDF">
        <w:rPr>
          <w:i/>
          <w:iCs/>
          <w:color w:val="000000" w:themeColor="text1"/>
          <w:szCs w:val="18"/>
          <w:lang w:val="en-US"/>
        </w:rPr>
        <w:t>Environmental Health (Expanded Polystyrene Ban) Regulations</w:t>
      </w:r>
      <w:r w:rsidRPr="008C0FDF">
        <w:rPr>
          <w:color w:val="000000" w:themeColor="text1"/>
          <w:szCs w:val="18"/>
          <w:lang w:val="en-US"/>
        </w:rPr>
        <w:t xml:space="preserve"> (SRO No. 21 of 2017).</w:t>
      </w:r>
    </w:p>
  </w:footnote>
  <w:footnote w:id="44">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color w:val="000000" w:themeColor="text1"/>
          <w:szCs w:val="18"/>
        </w:rPr>
        <w:t xml:space="preserve">Statistical Office, </w:t>
      </w:r>
      <w:r w:rsidRPr="008C0FDF">
        <w:rPr>
          <w:szCs w:val="18"/>
        </w:rPr>
        <w:t xml:space="preserve">Ministry of Finance, Economic Planning &amp; Information Technology, 2020, </w:t>
      </w:r>
      <w:r w:rsidRPr="008C0FDF">
        <w:rPr>
          <w:i/>
          <w:iCs/>
          <w:szCs w:val="18"/>
        </w:rPr>
        <w:t>Compendium of Environmental Statistics 2020</w:t>
      </w:r>
      <w:r w:rsidRPr="008C0FDF">
        <w:rPr>
          <w:szCs w:val="18"/>
        </w:rPr>
        <w:t>.</w:t>
      </w:r>
    </w:p>
  </w:footnote>
  <w:footnote w:id="45">
    <w:p w:rsidR="006D7155" w:rsidRPr="006E29F8" w:rsidRDefault="006D7155" w:rsidP="006D7155">
      <w:pPr>
        <w:pStyle w:val="FootnoteText"/>
        <w:rPr>
          <w:szCs w:val="18"/>
          <w:lang w:val="en-US"/>
        </w:rPr>
      </w:pPr>
      <w:r w:rsidRPr="006E29F8">
        <w:rPr>
          <w:szCs w:val="18"/>
        </w:rPr>
        <w:tab/>
      </w:r>
      <w:r w:rsidRPr="006E29F8">
        <w:rPr>
          <w:rStyle w:val="FootnoteReference"/>
          <w:szCs w:val="18"/>
        </w:rPr>
        <w:footnoteRef/>
      </w:r>
      <w:r w:rsidRPr="006E29F8">
        <w:rPr>
          <w:szCs w:val="18"/>
        </w:rPr>
        <w:tab/>
      </w:r>
      <w:r w:rsidRPr="008C0FDF">
        <w:rPr>
          <w:color w:val="000000" w:themeColor="text1"/>
          <w:szCs w:val="18"/>
        </w:rPr>
        <w:t xml:space="preserve">Kenya, </w:t>
      </w:r>
      <w:r w:rsidRPr="008C0FDF">
        <w:rPr>
          <w:color w:val="000000" w:themeColor="text1"/>
          <w:szCs w:val="18"/>
          <w:shd w:val="clear" w:color="auto" w:fill="FFFFFF"/>
        </w:rPr>
        <w:t>2021, Environmental Management and Co-ordination (Extended Producer Responsibility) Regulations. </w:t>
      </w:r>
      <w:r w:rsidRPr="006E29F8">
        <w:rPr>
          <w:szCs w:val="18"/>
          <w:lang w:val="en-US"/>
        </w:rPr>
        <w:t xml:space="preserve"> </w:t>
      </w:r>
    </w:p>
  </w:footnote>
  <w:footnote w:id="46">
    <w:p w:rsidR="006D7155" w:rsidRPr="008C0FDF" w:rsidRDefault="006D7155" w:rsidP="006D7155">
      <w:pPr>
        <w:pStyle w:val="FootnoteText"/>
        <w:rPr>
          <w:szCs w:val="18"/>
        </w:rPr>
      </w:pPr>
      <w:r w:rsidRPr="008C0FDF">
        <w:rPr>
          <w:szCs w:val="18"/>
        </w:rPr>
        <w:tab/>
      </w:r>
      <w:r w:rsidRPr="008C0FDF">
        <w:rPr>
          <w:rStyle w:val="FootnoteReference"/>
          <w:szCs w:val="18"/>
        </w:rPr>
        <w:footnoteRef/>
      </w:r>
      <w:r w:rsidRPr="008C0FDF">
        <w:rPr>
          <w:szCs w:val="18"/>
        </w:rPr>
        <w:tab/>
      </w:r>
      <w:r w:rsidRPr="008C0FDF">
        <w:rPr>
          <w:szCs w:val="18"/>
          <w:shd w:val="clear" w:color="auto" w:fill="FFFFFF"/>
        </w:rPr>
        <w:t>FAO, Climate-Smart Agriculture Sourcebook.</w:t>
      </w:r>
    </w:p>
  </w:footnote>
  <w:footnote w:id="47">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r w:rsidR="00265FE9" w:rsidRPr="008C0FDF">
        <w:rPr>
          <w:szCs w:val="18"/>
        </w:rPr>
        <w:t>Gov</w:t>
      </w:r>
      <w:r w:rsidR="00265FE9">
        <w:rPr>
          <w:szCs w:val="18"/>
        </w:rPr>
        <w:t>.</w:t>
      </w:r>
      <w:r w:rsidR="00265FE9" w:rsidRPr="008C0FDF">
        <w:rPr>
          <w:szCs w:val="18"/>
        </w:rPr>
        <w:t xml:space="preserve"> </w:t>
      </w:r>
      <w:r w:rsidRPr="008C0FDF">
        <w:rPr>
          <w:szCs w:val="18"/>
        </w:rPr>
        <w:t xml:space="preserve">of St. Vincent and the Grenadines, </w:t>
      </w:r>
      <w:r w:rsidRPr="008C0FDF">
        <w:rPr>
          <w:i/>
          <w:iCs/>
          <w:color w:val="000000" w:themeColor="text1"/>
          <w:szCs w:val="18"/>
          <w:lang w:val="en-US"/>
        </w:rPr>
        <w:t>Budget 2021</w:t>
      </w:r>
      <w:r w:rsidRPr="008C0FDF">
        <w:rPr>
          <w:color w:val="000000" w:themeColor="text1"/>
          <w:szCs w:val="18"/>
          <w:lang w:val="en-US"/>
        </w:rPr>
        <w:t>.</w:t>
      </w:r>
    </w:p>
  </w:footnote>
  <w:footnote w:id="48">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Pesticide Control Board (Ministry of Agriculture), 2012, </w:t>
      </w:r>
      <w:r w:rsidRPr="008C0FDF">
        <w:rPr>
          <w:i/>
          <w:iCs/>
          <w:szCs w:val="18"/>
          <w:lang w:val="en-US"/>
        </w:rPr>
        <w:t>List of Officially Approved Pesticides for Use in Saint Vincent and the Grenadines</w:t>
      </w:r>
      <w:r w:rsidRPr="008C0FDF">
        <w:rPr>
          <w:szCs w:val="18"/>
          <w:lang w:val="en-US"/>
        </w:rPr>
        <w:t>.</w:t>
      </w:r>
    </w:p>
  </w:footnote>
  <w:footnote w:id="49">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r w:rsidRPr="008C0FDF">
        <w:rPr>
          <w:color w:val="000000" w:themeColor="text1"/>
          <w:szCs w:val="18"/>
          <w:lang w:val="en-US"/>
        </w:rPr>
        <w:t xml:space="preserve">WHO and FAO, 2015, </w:t>
      </w:r>
      <w:r w:rsidRPr="008C0FDF">
        <w:rPr>
          <w:i/>
          <w:iCs/>
          <w:color w:val="000000" w:themeColor="text1"/>
          <w:szCs w:val="18"/>
          <w:lang w:val="en-US"/>
        </w:rPr>
        <w:t>Guidelines on Highly Hazardous Pesticides</w:t>
      </w:r>
      <w:r w:rsidRPr="008C0FDF">
        <w:rPr>
          <w:color w:val="000000" w:themeColor="text1"/>
          <w:szCs w:val="18"/>
          <w:lang w:val="en-US"/>
        </w:rPr>
        <w:t>.</w:t>
      </w:r>
    </w:p>
  </w:footnote>
  <w:footnote w:id="50">
    <w:p w:rsidR="006D7155" w:rsidRPr="008C0FDF" w:rsidRDefault="006D7155" w:rsidP="006D7155">
      <w:pPr>
        <w:pStyle w:val="FootnoteText"/>
        <w:rPr>
          <w:szCs w:val="18"/>
          <w:lang w:val="fr-CH"/>
        </w:rPr>
      </w:pPr>
      <w:r w:rsidRPr="008C0FDF">
        <w:rPr>
          <w:szCs w:val="18"/>
        </w:rPr>
        <w:tab/>
      </w:r>
      <w:r w:rsidRPr="008C0FDF">
        <w:rPr>
          <w:rStyle w:val="FootnoteReference"/>
          <w:szCs w:val="18"/>
        </w:rPr>
        <w:footnoteRef/>
      </w:r>
      <w:r w:rsidRPr="008C0FDF">
        <w:rPr>
          <w:szCs w:val="18"/>
        </w:rPr>
        <w:tab/>
        <w:t>L. Multigner et al. 2016, “</w:t>
      </w:r>
      <w:r w:rsidRPr="008C0FDF">
        <w:rPr>
          <w:color w:val="000000"/>
          <w:szCs w:val="18"/>
        </w:rPr>
        <w:t xml:space="preserve">Chlordecone exposure and adverse effects in French West Indies populations.” </w:t>
      </w:r>
      <w:r w:rsidRPr="008C0FDF">
        <w:rPr>
          <w:i/>
          <w:iCs/>
          <w:color w:val="000000"/>
          <w:szCs w:val="18"/>
          <w:lang w:val="fr-CH"/>
        </w:rPr>
        <w:t>Environ Sci Pollut Res Int.</w:t>
      </w:r>
      <w:r w:rsidRPr="008C0FDF">
        <w:rPr>
          <w:color w:val="000000"/>
          <w:szCs w:val="18"/>
          <w:lang w:val="fr-CH"/>
        </w:rPr>
        <w:t xml:space="preserve"> 23: 3-8. </w:t>
      </w:r>
      <w:hyperlink r:id="rId13" w:history="1">
        <w:r w:rsidRPr="008C0FDF">
          <w:rPr>
            <w:rStyle w:val="Hyperlink"/>
            <w:szCs w:val="18"/>
            <w:lang w:val="fr-CH"/>
          </w:rPr>
          <w:t>https://www.ncbi.nlm.nih.gov/pmc/articles/PMC4712216/</w:t>
        </w:r>
      </w:hyperlink>
      <w:r w:rsidRPr="008C0FDF">
        <w:rPr>
          <w:rStyle w:val="Hyperlink"/>
          <w:szCs w:val="18"/>
          <w:lang w:val="fr-CH"/>
        </w:rPr>
        <w:t>.</w:t>
      </w:r>
    </w:p>
  </w:footnote>
  <w:footnote w:id="51">
    <w:p w:rsidR="006D7155" w:rsidRPr="008C0FDF" w:rsidRDefault="006D7155" w:rsidP="006D7155">
      <w:pPr>
        <w:pStyle w:val="FootnoteText"/>
        <w:rPr>
          <w:szCs w:val="18"/>
          <w:lang w:val="en-US"/>
        </w:rPr>
      </w:pPr>
      <w:r w:rsidRPr="008C0FDF">
        <w:rPr>
          <w:szCs w:val="18"/>
          <w:lang w:val="fr-FR"/>
        </w:rPr>
        <w:tab/>
      </w:r>
      <w:r w:rsidRPr="008C0FDF">
        <w:rPr>
          <w:rStyle w:val="FootnoteReference"/>
          <w:szCs w:val="18"/>
        </w:rPr>
        <w:footnoteRef/>
      </w:r>
      <w:r w:rsidRPr="008C0FDF">
        <w:rPr>
          <w:szCs w:val="18"/>
        </w:rPr>
        <w:tab/>
      </w:r>
      <w:r w:rsidR="00265FE9" w:rsidRPr="008C0FDF">
        <w:rPr>
          <w:szCs w:val="18"/>
        </w:rPr>
        <w:t>Gov</w:t>
      </w:r>
      <w:r w:rsidR="00265FE9">
        <w:rPr>
          <w:szCs w:val="18"/>
        </w:rPr>
        <w:t>.</w:t>
      </w:r>
      <w:r w:rsidR="00265FE9" w:rsidRPr="008C0FDF">
        <w:rPr>
          <w:szCs w:val="18"/>
        </w:rPr>
        <w:t xml:space="preserve"> </w:t>
      </w:r>
      <w:r w:rsidRPr="008C0FDF">
        <w:rPr>
          <w:szCs w:val="18"/>
        </w:rPr>
        <w:t xml:space="preserve">of St. Vincent and the Grenadines, 2015, </w:t>
      </w:r>
      <w:r w:rsidRPr="008C0FDF">
        <w:rPr>
          <w:i/>
          <w:iCs/>
          <w:szCs w:val="18"/>
        </w:rPr>
        <w:t>National Implementation Plan for the Stockholm Convention on Persistent Organic Pollutants</w:t>
      </w:r>
      <w:r w:rsidRPr="008C0FDF">
        <w:rPr>
          <w:szCs w:val="18"/>
        </w:rPr>
        <w:t xml:space="preserve">. Basel Convention Regional Centre for Training and Technology Transfer, 2015, </w:t>
      </w:r>
      <w:r w:rsidRPr="008C0FDF">
        <w:rPr>
          <w:i/>
          <w:iCs/>
          <w:szCs w:val="18"/>
        </w:rPr>
        <w:t>Update to St. Vincent and the Grenadines National Chemical Management Profile for the Management of Chemicals and Waste</w:t>
      </w:r>
      <w:r w:rsidRPr="008C0FDF">
        <w:rPr>
          <w:szCs w:val="18"/>
        </w:rPr>
        <w:t>.</w:t>
      </w:r>
    </w:p>
  </w:footnote>
  <w:footnote w:id="52">
    <w:p w:rsidR="006D7155" w:rsidRPr="008C0FDF" w:rsidRDefault="006D7155" w:rsidP="006D7155">
      <w:pPr>
        <w:pStyle w:val="FootnoteText"/>
        <w:rPr>
          <w:szCs w:val="18"/>
          <w:lang w:val="en-US"/>
        </w:rPr>
      </w:pPr>
      <w:r w:rsidRPr="006E29F8">
        <w:rPr>
          <w:color w:val="000000" w:themeColor="text1"/>
          <w:szCs w:val="18"/>
        </w:rPr>
        <w:tab/>
      </w:r>
      <w:r w:rsidRPr="008C0FDF">
        <w:rPr>
          <w:rStyle w:val="FootnoteReference"/>
          <w:color w:val="000000" w:themeColor="text1"/>
          <w:szCs w:val="18"/>
        </w:rPr>
        <w:footnoteRef/>
      </w:r>
      <w:r w:rsidRPr="006E29F8">
        <w:rPr>
          <w:color w:val="000000" w:themeColor="text1"/>
          <w:szCs w:val="18"/>
        </w:rPr>
        <w:tab/>
      </w:r>
      <w:r w:rsidRPr="008C0FDF">
        <w:rPr>
          <w:color w:val="000000" w:themeColor="text1"/>
          <w:szCs w:val="18"/>
        </w:rPr>
        <w:t xml:space="preserve">Critical Ecosystem Partnership Fund, 2009, </w:t>
      </w:r>
      <w:r w:rsidRPr="008C0FDF">
        <w:rPr>
          <w:i/>
          <w:iCs/>
          <w:color w:val="000000" w:themeColor="text1"/>
          <w:szCs w:val="18"/>
        </w:rPr>
        <w:t>Caribbean Islands Biodiversity Hotspot: Ecosystem Profile Summary</w:t>
      </w:r>
      <w:r w:rsidRPr="008C0FDF">
        <w:rPr>
          <w:color w:val="000000" w:themeColor="text1"/>
          <w:szCs w:val="18"/>
        </w:rPr>
        <w:t xml:space="preserve">. </w:t>
      </w:r>
    </w:p>
  </w:footnote>
  <w:footnote w:id="53">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IUCN, 2021, </w:t>
      </w:r>
      <w:r w:rsidRPr="008C0FDF">
        <w:rPr>
          <w:i/>
          <w:iCs/>
          <w:szCs w:val="18"/>
          <w:lang w:val="en-US"/>
        </w:rPr>
        <w:t>Red List of Threatened Species</w:t>
      </w:r>
      <w:r w:rsidRPr="008C0FDF">
        <w:rPr>
          <w:szCs w:val="18"/>
          <w:lang w:val="en-US"/>
        </w:rPr>
        <w:t xml:space="preserve">. See </w:t>
      </w:r>
      <w:hyperlink r:id="rId14" w:history="1">
        <w:r w:rsidRPr="008C0FDF">
          <w:rPr>
            <w:rStyle w:val="Hyperlink"/>
            <w:szCs w:val="18"/>
            <w:lang w:val="en-US"/>
          </w:rPr>
          <w:t>https://www.iucnredlist.org</w:t>
        </w:r>
      </w:hyperlink>
      <w:r w:rsidRPr="008C0FDF">
        <w:rPr>
          <w:rStyle w:val="Hyperlink"/>
          <w:szCs w:val="18"/>
          <w:lang w:val="en-US"/>
        </w:rPr>
        <w:t>.</w:t>
      </w:r>
    </w:p>
  </w:footnote>
  <w:footnote w:id="54">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World Bank, 2021, </w:t>
      </w:r>
      <w:r w:rsidRPr="008C0FDF">
        <w:rPr>
          <w:i/>
          <w:iCs/>
          <w:szCs w:val="18"/>
          <w:lang w:val="en-US"/>
        </w:rPr>
        <w:t>Protected Areas Database</w:t>
      </w:r>
      <w:r w:rsidRPr="008C0FDF">
        <w:rPr>
          <w:szCs w:val="18"/>
          <w:lang w:val="en-US"/>
        </w:rPr>
        <w:t>.</w:t>
      </w:r>
    </w:p>
  </w:footnote>
  <w:footnote w:id="55">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t xml:space="preserve">A.M.S.N. Lancaster et al. 2022, </w:t>
      </w:r>
      <w:r w:rsidRPr="008C0FDF">
        <w:rPr>
          <w:i/>
          <w:iCs/>
          <w:szCs w:val="18"/>
        </w:rPr>
        <w:t xml:space="preserve">From Fishing to Farming the Sea: The Successful Case of Community-Based Management in </w:t>
      </w:r>
      <w:proofErr w:type="spellStart"/>
      <w:r w:rsidRPr="008C0FDF">
        <w:rPr>
          <w:i/>
          <w:iCs/>
          <w:szCs w:val="18"/>
        </w:rPr>
        <w:t>Mayreau</w:t>
      </w:r>
      <w:proofErr w:type="spellEnd"/>
      <w:r w:rsidRPr="008C0FDF">
        <w:rPr>
          <w:i/>
          <w:iCs/>
          <w:szCs w:val="18"/>
        </w:rPr>
        <w:t>, Saint Vincent and the Grenadines</w:t>
      </w:r>
      <w:r w:rsidRPr="008C0FDF">
        <w:rPr>
          <w:szCs w:val="18"/>
        </w:rPr>
        <w:t xml:space="preserve">. </w:t>
      </w:r>
    </w:p>
  </w:footnote>
  <w:footnote w:id="56">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color w:val="000000" w:themeColor="text1"/>
          <w:szCs w:val="18"/>
        </w:rPr>
        <w:t xml:space="preserve">Statistical Office, </w:t>
      </w:r>
      <w:r w:rsidRPr="008C0FDF">
        <w:rPr>
          <w:szCs w:val="18"/>
        </w:rPr>
        <w:t xml:space="preserve">Ministry of Finance, Economic Planning &amp; Information Technology, 2020, </w:t>
      </w:r>
      <w:r w:rsidRPr="008C0FDF">
        <w:rPr>
          <w:i/>
          <w:iCs/>
          <w:szCs w:val="18"/>
        </w:rPr>
        <w:t>Compendium of Environmental Statistics 2020</w:t>
      </w:r>
      <w:r w:rsidRPr="008C0FDF">
        <w:rPr>
          <w:szCs w:val="18"/>
        </w:rPr>
        <w:t>.</w:t>
      </w:r>
    </w:p>
  </w:footnote>
  <w:footnote w:id="57">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IUCN, 2021, </w:t>
      </w:r>
      <w:r w:rsidRPr="008C0FDF">
        <w:rPr>
          <w:i/>
          <w:iCs/>
          <w:szCs w:val="18"/>
          <w:lang w:val="en-US"/>
        </w:rPr>
        <w:t>Red List of Threatened Species</w:t>
      </w:r>
      <w:r w:rsidRPr="008C0FDF">
        <w:rPr>
          <w:szCs w:val="18"/>
          <w:lang w:val="en-US"/>
        </w:rPr>
        <w:t xml:space="preserve">. See </w:t>
      </w:r>
      <w:hyperlink r:id="rId15" w:history="1">
        <w:r w:rsidRPr="008C0FDF">
          <w:rPr>
            <w:rStyle w:val="Hyperlink"/>
            <w:szCs w:val="18"/>
            <w:lang w:val="en-US"/>
          </w:rPr>
          <w:t>https://www.iucnredlist.org</w:t>
        </w:r>
      </w:hyperlink>
      <w:r w:rsidRPr="008C0FDF">
        <w:rPr>
          <w:szCs w:val="18"/>
          <w:lang w:val="en-US"/>
        </w:rPr>
        <w:t xml:space="preserve"> </w:t>
      </w:r>
    </w:p>
  </w:footnote>
  <w:footnote w:id="58">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proofErr w:type="spellStart"/>
      <w:r w:rsidRPr="008C0FDF">
        <w:rPr>
          <w:szCs w:val="18"/>
        </w:rPr>
        <w:t>Saudamini</w:t>
      </w:r>
      <w:proofErr w:type="spellEnd"/>
      <w:r w:rsidRPr="008C0FDF">
        <w:rPr>
          <w:szCs w:val="18"/>
        </w:rPr>
        <w:t xml:space="preserve"> Das and Jeffrey R. Vincent, “Mangroves protected villages and reduced death toll during Indian super cyclone”, </w:t>
      </w:r>
      <w:r w:rsidRPr="008C0FDF">
        <w:rPr>
          <w:i/>
          <w:iCs/>
          <w:szCs w:val="18"/>
        </w:rPr>
        <w:t>Proceedings of the National Academy of Sciences</w:t>
      </w:r>
      <w:r w:rsidRPr="008C0FDF">
        <w:rPr>
          <w:szCs w:val="18"/>
        </w:rPr>
        <w:t>, vol. 106, No. 18 (5 May 2009).</w:t>
      </w:r>
    </w:p>
  </w:footnote>
  <w:footnote w:id="59">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Nature Conservancy, “Nature Kept Us Safe”, </w:t>
      </w:r>
      <w:hyperlink r:id="rId16" w:history="1">
        <w:r w:rsidRPr="008C0FDF">
          <w:rPr>
            <w:rStyle w:val="Hyperlink"/>
            <w:szCs w:val="18"/>
            <w:lang w:val="en-US"/>
          </w:rPr>
          <w:t>https://www.youtube.com/watch?v=73FpifZ9-CM</w:t>
        </w:r>
      </w:hyperlink>
      <w:r w:rsidRPr="008C0FDF">
        <w:rPr>
          <w:szCs w:val="18"/>
          <w:lang w:val="en-US"/>
        </w:rPr>
        <w:t xml:space="preserve">  </w:t>
      </w:r>
    </w:p>
  </w:footnote>
  <w:footnote w:id="60">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00AA3733">
        <w:rPr>
          <w:szCs w:val="18"/>
        </w:rPr>
        <w:t>Gov.</w:t>
      </w:r>
      <w:r w:rsidR="00AA3733" w:rsidRPr="008C0FDF">
        <w:rPr>
          <w:szCs w:val="18"/>
        </w:rPr>
        <w:t xml:space="preserve"> </w:t>
      </w:r>
      <w:r w:rsidRPr="008C0FDF">
        <w:rPr>
          <w:szCs w:val="18"/>
        </w:rPr>
        <w:t xml:space="preserve">of Saint Vincent and the Grenadines, 2020, </w:t>
      </w:r>
      <w:r w:rsidRPr="008C0FDF">
        <w:rPr>
          <w:i/>
          <w:iCs/>
          <w:szCs w:val="18"/>
        </w:rPr>
        <w:t xml:space="preserve">Voluntary National Review to the UN </w:t>
      </w:r>
      <w:r w:rsidR="00AA3733">
        <w:rPr>
          <w:i/>
          <w:iCs/>
          <w:szCs w:val="18"/>
        </w:rPr>
        <w:t>HL</w:t>
      </w:r>
      <w:r w:rsidRPr="008C0FDF">
        <w:rPr>
          <w:i/>
          <w:iCs/>
          <w:szCs w:val="18"/>
        </w:rPr>
        <w:t xml:space="preserve"> Political Forum</w:t>
      </w:r>
      <w:r w:rsidRPr="008C0FDF">
        <w:rPr>
          <w:szCs w:val="18"/>
        </w:rPr>
        <w:t>.</w:t>
      </w:r>
    </w:p>
  </w:footnote>
  <w:footnote w:id="61">
    <w:p w:rsidR="006D7155" w:rsidRPr="008C0FDF" w:rsidRDefault="006D7155" w:rsidP="006D7155">
      <w:pPr>
        <w:pStyle w:val="FootnoteText"/>
        <w:rPr>
          <w:color w:val="000000" w:themeColor="text1"/>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For example, see D. </w:t>
      </w:r>
      <w:proofErr w:type="spellStart"/>
      <w:r w:rsidRPr="008C0FDF">
        <w:rPr>
          <w:szCs w:val="18"/>
          <w:lang w:val="en-US"/>
        </w:rPr>
        <w:t>Andreola</w:t>
      </w:r>
      <w:proofErr w:type="spellEnd"/>
      <w:r w:rsidRPr="008C0FDF">
        <w:rPr>
          <w:szCs w:val="18"/>
          <w:lang w:val="en-US"/>
        </w:rPr>
        <w:t xml:space="preserve"> </w:t>
      </w:r>
      <w:proofErr w:type="spellStart"/>
      <w:r w:rsidRPr="008C0FDF">
        <w:rPr>
          <w:szCs w:val="18"/>
          <w:lang w:val="en-US"/>
        </w:rPr>
        <w:t>Serraglio</w:t>
      </w:r>
      <w:proofErr w:type="spellEnd"/>
      <w:r w:rsidRPr="008C0FDF">
        <w:rPr>
          <w:szCs w:val="18"/>
          <w:lang w:val="en-US"/>
        </w:rPr>
        <w:t xml:space="preserve"> et al., 2021 </w:t>
      </w:r>
      <w:r w:rsidRPr="008C0FDF">
        <w:rPr>
          <w:i/>
          <w:iCs/>
          <w:color w:val="333333"/>
          <w:szCs w:val="18"/>
        </w:rPr>
        <w:t xml:space="preserve">Migration, Environment, Disasters and Climate Change Data in the Eastern Caribbean – Saint Vincent and the Grenadines Country Analysis. </w:t>
      </w:r>
      <w:r w:rsidRPr="008C0FDF">
        <w:rPr>
          <w:color w:val="333333"/>
          <w:szCs w:val="18"/>
        </w:rPr>
        <w:t>International Organization for Migration.</w:t>
      </w:r>
    </w:p>
  </w:footnote>
  <w:footnote w:id="62">
    <w:p w:rsidR="006D7155" w:rsidRPr="008C0FDF" w:rsidRDefault="006D7155" w:rsidP="006D7155">
      <w:pPr>
        <w:pStyle w:val="FootnoteText"/>
        <w:rPr>
          <w:color w:val="000000" w:themeColor="text1"/>
          <w:szCs w:val="18"/>
          <w:lang w:val="en-US"/>
        </w:rPr>
      </w:pPr>
      <w:r w:rsidRPr="008C0FDF">
        <w:rPr>
          <w:color w:val="000000" w:themeColor="text1"/>
          <w:szCs w:val="18"/>
        </w:rPr>
        <w:tab/>
      </w:r>
      <w:r w:rsidRPr="008C0FDF">
        <w:rPr>
          <w:rStyle w:val="FootnoteReference"/>
          <w:color w:val="000000" w:themeColor="text1"/>
          <w:szCs w:val="18"/>
        </w:rPr>
        <w:footnoteRef/>
      </w:r>
      <w:r w:rsidRPr="008C0FDF">
        <w:rPr>
          <w:color w:val="000000" w:themeColor="text1"/>
          <w:szCs w:val="18"/>
        </w:rPr>
        <w:tab/>
      </w:r>
      <w:hyperlink r:id="rId17" w:history="1">
        <w:r w:rsidRPr="008C0FDF">
          <w:rPr>
            <w:rStyle w:val="Hyperlink"/>
            <w:color w:val="000000" w:themeColor="text1"/>
            <w:szCs w:val="18"/>
          </w:rPr>
          <w:t>https://pacific-data.sprep.org/index.php/about</w:t>
        </w:r>
      </w:hyperlink>
      <w:r w:rsidRPr="008C0FDF">
        <w:rPr>
          <w:color w:val="000000" w:themeColor="text1"/>
          <w:szCs w:val="18"/>
        </w:rPr>
        <w:t xml:space="preserve"> </w:t>
      </w:r>
    </w:p>
  </w:footnote>
  <w:footnote w:id="63">
    <w:p w:rsidR="006D7155" w:rsidRPr="008C0FDF" w:rsidRDefault="006D7155" w:rsidP="006D7155">
      <w:pPr>
        <w:pStyle w:val="FootnoteText"/>
        <w:rPr>
          <w:szCs w:val="18"/>
          <w:lang w:val="en-US"/>
        </w:rPr>
      </w:pPr>
      <w:r w:rsidRPr="006E29F8">
        <w:rPr>
          <w:szCs w:val="18"/>
        </w:rPr>
        <w:tab/>
      </w:r>
      <w:r w:rsidRPr="006E29F8">
        <w:rPr>
          <w:rStyle w:val="FootnoteReference"/>
          <w:szCs w:val="18"/>
        </w:rPr>
        <w:footnoteRef/>
      </w:r>
      <w:r w:rsidRPr="006E29F8">
        <w:rPr>
          <w:szCs w:val="18"/>
        </w:rPr>
        <w:tab/>
        <w:t>Caribbean Court of Justice Academy of Law and ECLAC,</w:t>
      </w:r>
      <w:r w:rsidRPr="00D77241">
        <w:rPr>
          <w:szCs w:val="18"/>
        </w:rPr>
        <w:t xml:space="preserve"> 2018, </w:t>
      </w:r>
      <w:r w:rsidRPr="00D77241">
        <w:rPr>
          <w:i/>
          <w:iCs/>
          <w:szCs w:val="18"/>
        </w:rPr>
        <w:t>Ensuring environmental access rights in the Caribbean: analysis of selected case law</w:t>
      </w:r>
      <w:r w:rsidRPr="00D77241">
        <w:rPr>
          <w:szCs w:val="18"/>
        </w:rPr>
        <w:t xml:space="preserve">. </w:t>
      </w:r>
    </w:p>
  </w:footnote>
  <w:footnote w:id="64">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r>
      <w:r w:rsidRPr="008C0FDF">
        <w:rPr>
          <w:szCs w:val="18"/>
          <w:lang w:val="en-US"/>
        </w:rPr>
        <w:t xml:space="preserve">D.R. Boyd, 2019, </w:t>
      </w:r>
      <w:r w:rsidRPr="008C0FDF">
        <w:rPr>
          <w:i/>
          <w:iCs/>
          <w:szCs w:val="18"/>
          <w:lang w:val="en-US"/>
        </w:rPr>
        <w:t>A Safe Climate: Report of the Special Rapporteur on Human Rights and the Environment</w:t>
      </w:r>
      <w:r w:rsidRPr="008C0FDF">
        <w:rPr>
          <w:szCs w:val="18"/>
          <w:lang w:val="en-US"/>
        </w:rPr>
        <w:t>, A/74/161.</w:t>
      </w:r>
    </w:p>
  </w:footnote>
  <w:footnote w:id="65">
    <w:p w:rsidR="006D7155" w:rsidRPr="008C0FDF" w:rsidRDefault="006D7155" w:rsidP="006D7155">
      <w:pPr>
        <w:pStyle w:val="FootnoteText"/>
        <w:rPr>
          <w:szCs w:val="18"/>
        </w:rPr>
      </w:pPr>
      <w:r w:rsidRPr="006E29F8">
        <w:rPr>
          <w:szCs w:val="18"/>
        </w:rPr>
        <w:tab/>
      </w:r>
      <w:r w:rsidRPr="006E29F8">
        <w:rPr>
          <w:rStyle w:val="FootnoteReference"/>
          <w:szCs w:val="18"/>
        </w:rPr>
        <w:footnoteRef/>
      </w:r>
      <w:r w:rsidRPr="006E29F8">
        <w:rPr>
          <w:szCs w:val="18"/>
        </w:rPr>
        <w:tab/>
      </w:r>
      <w:r w:rsidRPr="006E29F8">
        <w:rPr>
          <w:szCs w:val="18"/>
          <w:lang w:val="en-US"/>
        </w:rPr>
        <w:t xml:space="preserve">See D.R. Boyd and S. Keene, 2021, </w:t>
      </w:r>
      <w:r w:rsidRPr="00D77241">
        <w:rPr>
          <w:i/>
          <w:iCs/>
          <w:color w:val="000000"/>
          <w:szCs w:val="18"/>
          <w:shd w:val="clear" w:color="auto" w:fill="FFFFFF"/>
        </w:rPr>
        <w:t>Air Travel and Maritime Shipping Levies: Making Polluters Pay for Climate Loss, Damages and Adaptation</w:t>
      </w:r>
      <w:r w:rsidRPr="008C0FDF">
        <w:rPr>
          <w:color w:val="000000"/>
          <w:szCs w:val="18"/>
          <w:shd w:val="clear" w:color="auto" w:fill="FFFFFF"/>
        </w:rPr>
        <w:t xml:space="preserve">. </w:t>
      </w:r>
    </w:p>
  </w:footnote>
  <w:footnote w:id="66">
    <w:p w:rsidR="006D7155" w:rsidRPr="008C0FDF" w:rsidRDefault="006D7155" w:rsidP="006D7155">
      <w:pPr>
        <w:pStyle w:val="FootnoteText"/>
        <w:rPr>
          <w:szCs w:val="18"/>
          <w:lang w:val="en-US"/>
        </w:rPr>
      </w:pPr>
      <w:r w:rsidRPr="008C0FDF">
        <w:rPr>
          <w:szCs w:val="18"/>
        </w:rPr>
        <w:tab/>
      </w:r>
      <w:r w:rsidRPr="008C0FDF">
        <w:rPr>
          <w:rStyle w:val="FootnoteReference"/>
          <w:szCs w:val="18"/>
        </w:rPr>
        <w:footnoteRef/>
      </w:r>
      <w:r w:rsidRPr="008C0FDF">
        <w:rPr>
          <w:szCs w:val="18"/>
        </w:rPr>
        <w:tab/>
        <w:t xml:space="preserve">A debt for climate swap involves bilateral or multilateral debt being forgiven by creditors in exchange for a commitment by the debtor to use outstanding debt service payments for climate action programs. See A. Fenton et al. “Debt relief and financing climate change action.” </w:t>
      </w:r>
      <w:r w:rsidRPr="008C0FDF">
        <w:rPr>
          <w:i/>
          <w:iCs/>
          <w:szCs w:val="18"/>
        </w:rPr>
        <w:t xml:space="preserve">Nat. Clim. Chang. </w:t>
      </w:r>
      <w:r w:rsidRPr="008C0FDF">
        <w:rPr>
          <w:b/>
          <w:bCs/>
          <w:szCs w:val="18"/>
        </w:rPr>
        <w:t>4</w:t>
      </w:r>
      <w:r w:rsidRPr="008C0FDF">
        <w:rPr>
          <w:szCs w:val="18"/>
        </w:rPr>
        <w:t xml:space="preserve">, 650-653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8C" w:rsidRPr="00A31F8C" w:rsidRDefault="00605971">
    <w:pPr>
      <w:pStyle w:val="Header"/>
    </w:pPr>
    <w:fldSimple w:instr=" TITLE  \* MERGEFORMAT ">
      <w:r w:rsidR="00A31F8C">
        <w:t>A/HRC/49/53/Add.1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8C" w:rsidRPr="00A31F8C" w:rsidRDefault="00605971" w:rsidP="00A31F8C">
    <w:pPr>
      <w:pStyle w:val="Header"/>
      <w:jc w:val="right"/>
    </w:pPr>
    <w:fldSimple w:instr=" TITLE  \* MERGEFORMAT ">
      <w:r w:rsidR="00A31F8C">
        <w:t>A/HRC/49/53/Add.1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4CB"/>
    <w:multiLevelType w:val="hybridMultilevel"/>
    <w:tmpl w:val="85BC1C12"/>
    <w:lvl w:ilvl="0" w:tplc="497EBFAC">
      <w:start w:val="1"/>
      <w:numFmt w:val="decimal"/>
      <w:lvlText w:val="%1."/>
      <w:lvlJc w:val="left"/>
      <w:pPr>
        <w:ind w:left="1636"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5"/>
  </w:num>
  <w:num w:numId="3">
    <w:abstractNumId w:val="8"/>
  </w:num>
  <w:num w:numId="4">
    <w:abstractNumId w:val="4"/>
  </w:num>
  <w:num w:numId="5">
    <w:abstractNumId w:val="1"/>
  </w:num>
  <w:num w:numId="6">
    <w:abstractNumId w:val="2"/>
  </w:num>
  <w:num w:numId="7">
    <w:abstractNumId w:val="7"/>
  </w:num>
  <w:num w:numId="8">
    <w:abstractNumId w:val="3"/>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8C"/>
    <w:rsid w:val="0000778E"/>
    <w:rsid w:val="00007F7F"/>
    <w:rsid w:val="00022DB5"/>
    <w:rsid w:val="000403D1"/>
    <w:rsid w:val="000449AA"/>
    <w:rsid w:val="00050F6B"/>
    <w:rsid w:val="0005662A"/>
    <w:rsid w:val="00072C8C"/>
    <w:rsid w:val="00073E70"/>
    <w:rsid w:val="00082492"/>
    <w:rsid w:val="000876EB"/>
    <w:rsid w:val="00091419"/>
    <w:rsid w:val="000931C0"/>
    <w:rsid w:val="000B175B"/>
    <w:rsid w:val="000B2851"/>
    <w:rsid w:val="000B3A0F"/>
    <w:rsid w:val="000B4A3B"/>
    <w:rsid w:val="000C59D8"/>
    <w:rsid w:val="000D1851"/>
    <w:rsid w:val="000E0415"/>
    <w:rsid w:val="00146D32"/>
    <w:rsid w:val="001509BA"/>
    <w:rsid w:val="001A24DD"/>
    <w:rsid w:val="001A3BAA"/>
    <w:rsid w:val="001B4B04"/>
    <w:rsid w:val="001C6663"/>
    <w:rsid w:val="001C7895"/>
    <w:rsid w:val="001D26DF"/>
    <w:rsid w:val="001E2790"/>
    <w:rsid w:val="00211E0B"/>
    <w:rsid w:val="00211E72"/>
    <w:rsid w:val="00214047"/>
    <w:rsid w:val="0022130F"/>
    <w:rsid w:val="00237785"/>
    <w:rsid w:val="002410DD"/>
    <w:rsid w:val="00241466"/>
    <w:rsid w:val="00253D58"/>
    <w:rsid w:val="00265FE9"/>
    <w:rsid w:val="0027725F"/>
    <w:rsid w:val="002A7BAB"/>
    <w:rsid w:val="002C21F0"/>
    <w:rsid w:val="003107FA"/>
    <w:rsid w:val="003229D8"/>
    <w:rsid w:val="003314D1"/>
    <w:rsid w:val="00335A2F"/>
    <w:rsid w:val="00341937"/>
    <w:rsid w:val="0039277A"/>
    <w:rsid w:val="003972E0"/>
    <w:rsid w:val="003975ED"/>
    <w:rsid w:val="003A4598"/>
    <w:rsid w:val="003C2CC4"/>
    <w:rsid w:val="003D4B23"/>
    <w:rsid w:val="003D5D80"/>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05971"/>
    <w:rsid w:val="00611FC4"/>
    <w:rsid w:val="006155A7"/>
    <w:rsid w:val="006176FB"/>
    <w:rsid w:val="00640B26"/>
    <w:rsid w:val="00655B60"/>
    <w:rsid w:val="00670741"/>
    <w:rsid w:val="006827F2"/>
    <w:rsid w:val="00696BD6"/>
    <w:rsid w:val="006A6B9D"/>
    <w:rsid w:val="006A7392"/>
    <w:rsid w:val="006B3189"/>
    <w:rsid w:val="006B7D65"/>
    <w:rsid w:val="006D6DA6"/>
    <w:rsid w:val="006D7155"/>
    <w:rsid w:val="006E29F8"/>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641"/>
    <w:rsid w:val="008A6B25"/>
    <w:rsid w:val="008A6C4F"/>
    <w:rsid w:val="008C0FDF"/>
    <w:rsid w:val="008C1E4D"/>
    <w:rsid w:val="008D7BC1"/>
    <w:rsid w:val="008E0E46"/>
    <w:rsid w:val="0090452C"/>
    <w:rsid w:val="00907C3F"/>
    <w:rsid w:val="0092237C"/>
    <w:rsid w:val="00925594"/>
    <w:rsid w:val="00926A6E"/>
    <w:rsid w:val="0093707B"/>
    <w:rsid w:val="009400EB"/>
    <w:rsid w:val="009427E3"/>
    <w:rsid w:val="00946575"/>
    <w:rsid w:val="00956D9B"/>
    <w:rsid w:val="00963CBA"/>
    <w:rsid w:val="009654B7"/>
    <w:rsid w:val="00975261"/>
    <w:rsid w:val="0098469B"/>
    <w:rsid w:val="00991261"/>
    <w:rsid w:val="009A0B83"/>
    <w:rsid w:val="009A1EEF"/>
    <w:rsid w:val="009A4F78"/>
    <w:rsid w:val="009B3800"/>
    <w:rsid w:val="009D22AC"/>
    <w:rsid w:val="009D50DB"/>
    <w:rsid w:val="009E1C4E"/>
    <w:rsid w:val="00A0036A"/>
    <w:rsid w:val="00A05E0B"/>
    <w:rsid w:val="00A1427D"/>
    <w:rsid w:val="00A31F8C"/>
    <w:rsid w:val="00A4634F"/>
    <w:rsid w:val="00A51CF3"/>
    <w:rsid w:val="00A72F22"/>
    <w:rsid w:val="00A73D32"/>
    <w:rsid w:val="00A748A6"/>
    <w:rsid w:val="00A879A4"/>
    <w:rsid w:val="00A87E95"/>
    <w:rsid w:val="00A92E29"/>
    <w:rsid w:val="00A96512"/>
    <w:rsid w:val="00AA3733"/>
    <w:rsid w:val="00AC5AE2"/>
    <w:rsid w:val="00AD09E9"/>
    <w:rsid w:val="00AF0576"/>
    <w:rsid w:val="00AF3829"/>
    <w:rsid w:val="00B037F0"/>
    <w:rsid w:val="00B2327D"/>
    <w:rsid w:val="00B27091"/>
    <w:rsid w:val="00B2718F"/>
    <w:rsid w:val="00B30179"/>
    <w:rsid w:val="00B3317B"/>
    <w:rsid w:val="00B334DC"/>
    <w:rsid w:val="00B33903"/>
    <w:rsid w:val="00B3631A"/>
    <w:rsid w:val="00B373C8"/>
    <w:rsid w:val="00B53013"/>
    <w:rsid w:val="00B67F5E"/>
    <w:rsid w:val="00B73E65"/>
    <w:rsid w:val="00B81E12"/>
    <w:rsid w:val="00B87110"/>
    <w:rsid w:val="00B97FA8"/>
    <w:rsid w:val="00BC1385"/>
    <w:rsid w:val="00BC44DE"/>
    <w:rsid w:val="00BC74E9"/>
    <w:rsid w:val="00BD1CC7"/>
    <w:rsid w:val="00BE618E"/>
    <w:rsid w:val="00BE655C"/>
    <w:rsid w:val="00C217E7"/>
    <w:rsid w:val="00C24693"/>
    <w:rsid w:val="00C35F0B"/>
    <w:rsid w:val="00C44F49"/>
    <w:rsid w:val="00C4596D"/>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77241"/>
    <w:rsid w:val="00D8199C"/>
    <w:rsid w:val="00D872D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0F62"/>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25A912"/>
  <w15:docId w15:val="{7F3B03BE-EB75-4882-B8EB-0460198E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SUPERS,Footnote symbol,BVI fnr,Appel note de bas de p,Nota,(NECG) Footnote Reference,Voetnootverwijzing,-E Fußnotenzeichen,Footnotes refss,Footnote Ref,16 Point,Superscript 6 Point,Footnote Refernece,Footnote number,ftref,FZ"/>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Car,F,Footnote reference"/>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basedOn w:val="DefaultParagraphFont"/>
    <w:link w:val="FootnoteText"/>
    <w:uiPriority w:val="99"/>
    <w:qFormat/>
    <w:rsid w:val="006D7155"/>
    <w:rPr>
      <w:sz w:val="18"/>
      <w:lang w:val="en-GB" w:eastAsia="en-US"/>
    </w:rPr>
  </w:style>
  <w:style w:type="character" w:customStyle="1" w:styleId="apple-converted-space">
    <w:name w:val="apple-converted-space"/>
    <w:basedOn w:val="DefaultParagraphFont"/>
    <w:rsid w:val="006D7155"/>
  </w:style>
  <w:style w:type="character" w:styleId="Strong">
    <w:name w:val="Strong"/>
    <w:basedOn w:val="DefaultParagraphFont"/>
    <w:uiPriority w:val="22"/>
    <w:qFormat/>
    <w:rsid w:val="006D7155"/>
    <w:rPr>
      <w:b/>
      <w:bCs/>
    </w:rPr>
  </w:style>
  <w:style w:type="character" w:customStyle="1" w:styleId="SingleTxtGChar">
    <w:name w:val="_ Single Txt_G Char"/>
    <w:basedOn w:val="DefaultParagraphFont"/>
    <w:link w:val="SingleTxtG"/>
    <w:locked/>
    <w:rsid w:val="006D715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33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docs.org/A/HRC/RES/48/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globalnutritionreport.org/resources/nutrition-profiles/latin-america-and-caribbean/caribbean/saint-vincent-and-grenadines/" TargetMode="External"/><Relationship Id="rId13" Type="http://schemas.openxmlformats.org/officeDocument/2006/relationships/hyperlink" Target="https://www.ncbi.nlm.nih.gov/pmc/articles/PMC4712216/" TargetMode="External"/><Relationship Id="rId3" Type="http://schemas.openxmlformats.org/officeDocument/2006/relationships/hyperlink" Target="https://www.bb.undp.org/content/barbados/en/home/engender.html" TargetMode="External"/><Relationship Id="rId7" Type="http://schemas.openxmlformats.org/officeDocument/2006/relationships/hyperlink" Target="https://searchlight.vc/searchlight/press-release/2020/05/29/131997/" TargetMode="External"/><Relationship Id="rId12" Type="http://schemas.openxmlformats.org/officeDocument/2006/relationships/hyperlink" Target="https://www.stateofglobalair.org/data/" TargetMode="External"/><Relationship Id="rId17" Type="http://schemas.openxmlformats.org/officeDocument/2006/relationships/hyperlink" Target="https://pacific-data.sprep.org/index.php/about" TargetMode="External"/><Relationship Id="rId2" Type="http://schemas.openxmlformats.org/officeDocument/2006/relationships/hyperlink" Target="https://www.actionbequia.org/" TargetMode="External"/><Relationship Id="rId16" Type="http://schemas.openxmlformats.org/officeDocument/2006/relationships/hyperlink" Target="https://www.youtube.com/watch?v=73FpifZ9-CM" TargetMode="External"/><Relationship Id="rId1" Type="http://schemas.openxmlformats.org/officeDocument/2006/relationships/hyperlink" Target="https://erccportal.jrc.ec.europa.eu/ercmaps/ECDM_20210428_Soufriere_Volcano.pdf" TargetMode="External"/><Relationship Id="rId6" Type="http://schemas.openxmlformats.org/officeDocument/2006/relationships/hyperlink" Target="https://accessinitiative.org/resources/escazu-legal-and-policy-assessment-tool" TargetMode="External"/><Relationship Id="rId11" Type="http://schemas.openxmlformats.org/officeDocument/2006/relationships/hyperlink" Target="https://washdata.org/data/household" TargetMode="External"/><Relationship Id="rId5" Type="http://schemas.openxmlformats.org/officeDocument/2006/relationships/hyperlink" Target="https://data.worldbank.org/country/VC" TargetMode="External"/><Relationship Id="rId15" Type="http://schemas.openxmlformats.org/officeDocument/2006/relationships/hyperlink" Target="https://www.iucnredlist.org" TargetMode="External"/><Relationship Id="rId10" Type="http://schemas.openxmlformats.org/officeDocument/2006/relationships/hyperlink" Target="https://ourworldindata.org/grapher/per-capita-electricity-consumption?tab=table" TargetMode="External"/><Relationship Id="rId4" Type="http://schemas.openxmlformats.org/officeDocument/2006/relationships/hyperlink" Target="http://hdr.undp.org/en/countries/profiles/VCT" TargetMode="External"/><Relationship Id="rId9" Type="http://schemas.openxmlformats.org/officeDocument/2006/relationships/hyperlink" Target="https://www.who.int/quantifying_ehimpacts/national/countryprofile/saintvincentandgrenadines.pdf" TargetMode="External"/><Relationship Id="rId14" Type="http://schemas.openxmlformats.org/officeDocument/2006/relationships/hyperlink" Target="https://www.iucnredli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20</Pages>
  <Words>9823</Words>
  <Characters>55996</Characters>
  <Application>Microsoft Office Word</Application>
  <DocSecurity>0</DocSecurity>
  <Lines>466</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A/HRC/49/53/Add.1</vt:lpstr>
      <vt:lpstr/>
    </vt:vector>
  </TitlesOfParts>
  <Company>CSD</Company>
  <LinksUpToDate>false</LinksUpToDate>
  <CharactersWithSpaces>65688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A/HRC/49/53/Add.1</dc:title>
  <dc:creator>FOPPIANO Francesca</dc:creator>
  <cp:lastModifiedBy>Veronique Lanz</cp:lastModifiedBy>
  <cp:revision>2</cp:revision>
  <cp:lastPrinted>2008-01-29T08:30:00Z</cp:lastPrinted>
  <dcterms:created xsi:type="dcterms:W3CDTF">2022-03-03T18:12:00Z</dcterms:created>
  <dcterms:modified xsi:type="dcterms:W3CDTF">2022-03-03T18:12:00Z</dcterms:modified>
</cp:coreProperties>
</file>