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AC2A7" w14:textId="77777777" w:rsidR="003B1C56" w:rsidRPr="00B8173C" w:rsidRDefault="00B8173C" w:rsidP="00AF6FC4">
      <w:pPr>
        <w:spacing w:before="120" w:after="0"/>
        <w:jc w:val="center"/>
        <w:rPr>
          <w:b/>
          <w:color w:val="4472C4" w:themeColor="accent1"/>
          <w:sz w:val="24"/>
        </w:rPr>
      </w:pPr>
      <w:bookmarkStart w:id="0" w:name="_GoBack"/>
      <w:bookmarkEnd w:id="0"/>
      <w:r>
        <w:rPr>
          <w:b/>
          <w:color w:val="4472C4" w:themeColor="accent1"/>
          <w:sz w:val="24"/>
        </w:rPr>
        <w:t>ONU</w:t>
      </w:r>
      <w:r w:rsidRPr="00B8173C">
        <w:rPr>
          <w:b/>
          <w:color w:val="4472C4" w:themeColor="accent1"/>
          <w:sz w:val="24"/>
        </w:rPr>
        <w:t xml:space="preserve"> </w:t>
      </w:r>
      <w:r>
        <w:rPr>
          <w:b/>
          <w:color w:val="4472C4" w:themeColor="accent1"/>
          <w:sz w:val="24"/>
        </w:rPr>
        <w:t xml:space="preserve">- </w:t>
      </w:r>
      <w:r w:rsidR="003B1C56" w:rsidRPr="00B8173C">
        <w:rPr>
          <w:b/>
          <w:color w:val="4472C4" w:themeColor="accent1"/>
          <w:sz w:val="24"/>
        </w:rPr>
        <w:t>Criminalisation du sans-abrisme et de l’extrême pauvreté</w:t>
      </w:r>
    </w:p>
    <w:p w14:paraId="3F2A3BA3" w14:textId="77777777" w:rsidR="003B1C56" w:rsidRPr="00082282" w:rsidRDefault="003B1C56" w:rsidP="00AF6FC4">
      <w:pPr>
        <w:spacing w:before="120" w:after="0"/>
        <w:jc w:val="center"/>
        <w:rPr>
          <w:b/>
          <w:i/>
          <w:color w:val="4472C4" w:themeColor="accent1"/>
        </w:rPr>
      </w:pPr>
      <w:r w:rsidRPr="00082282">
        <w:rPr>
          <w:b/>
          <w:i/>
          <w:color w:val="4472C4" w:themeColor="accent1"/>
        </w:rPr>
        <w:t xml:space="preserve">Contribution de la Fondation Abbé Pierre </w:t>
      </w:r>
      <w:r w:rsidR="00082282" w:rsidRPr="00082282">
        <w:rPr>
          <w:b/>
          <w:i/>
          <w:color w:val="4472C4" w:themeColor="accent1"/>
        </w:rPr>
        <w:t>- 25 novembre 2021</w:t>
      </w:r>
    </w:p>
    <w:p w14:paraId="523EB42E" w14:textId="77777777" w:rsidR="00B313CF" w:rsidRDefault="00B313CF" w:rsidP="00AF6FC4">
      <w:pPr>
        <w:pStyle w:val="Pa3"/>
        <w:spacing w:before="120"/>
        <w:jc w:val="both"/>
        <w:rPr>
          <w:rFonts w:asciiTheme="minorHAnsi" w:eastAsiaTheme="minorHAnsi" w:hAnsiTheme="minorHAnsi" w:cstheme="minorBidi"/>
          <w:sz w:val="22"/>
          <w:szCs w:val="22"/>
          <w:lang w:eastAsia="en-US"/>
        </w:rPr>
      </w:pPr>
    </w:p>
    <w:p w14:paraId="4A932BFE" w14:textId="77777777" w:rsidR="009A78DE" w:rsidRPr="00B8173C" w:rsidRDefault="009A78DE" w:rsidP="00AF6FC4">
      <w:pPr>
        <w:pStyle w:val="Pa3"/>
        <w:spacing w:before="120"/>
        <w:jc w:val="both"/>
        <w:rPr>
          <w:rFonts w:asciiTheme="minorHAnsi" w:hAnsiTheme="minorHAnsi"/>
          <w:sz w:val="22"/>
          <w:szCs w:val="22"/>
        </w:rPr>
      </w:pPr>
      <w:r w:rsidRPr="00B8173C">
        <w:rPr>
          <w:rFonts w:asciiTheme="minorHAnsi" w:eastAsiaTheme="minorHAnsi" w:hAnsiTheme="minorHAnsi" w:cstheme="minorBidi"/>
          <w:sz w:val="22"/>
          <w:szCs w:val="22"/>
          <w:lang w:eastAsia="en-US"/>
        </w:rPr>
        <w:t xml:space="preserve">La Fondation Abbé Pierre a été </w:t>
      </w:r>
      <w:r w:rsidRPr="00B8173C">
        <w:rPr>
          <w:rFonts w:asciiTheme="minorHAnsi" w:hAnsiTheme="minorHAnsi"/>
          <w:sz w:val="22"/>
          <w:szCs w:val="22"/>
        </w:rPr>
        <w:t xml:space="preserve">crée en 1992 dans l’objet d’agir au bénéfice de toutes personnes démunies, sans distinction, afin qu’elles puissent accéder à un logement décent ou ne pas le perdre. </w:t>
      </w:r>
      <w:r w:rsidRPr="00B8173C">
        <w:rPr>
          <w:rFonts w:asciiTheme="minorHAnsi" w:hAnsiTheme="minorHAnsi" w:cs="Meta"/>
          <w:color w:val="010202"/>
          <w:sz w:val="22"/>
          <w:szCs w:val="22"/>
        </w:rPr>
        <w:t>Elle récolte des dons qu’elle redistribue à</w:t>
      </w:r>
      <w:r w:rsidRPr="00B8173C">
        <w:rPr>
          <w:rFonts w:asciiTheme="minorHAnsi" w:hAnsiTheme="minorHAnsi" w:cs="Meta-Normal"/>
          <w:sz w:val="22"/>
          <w:szCs w:val="22"/>
        </w:rPr>
        <w:t xml:space="preserve"> plus de 80 %, soit près de 41 millions d’euros, directement dans des missions sociales.</w:t>
      </w:r>
      <w:r w:rsidRPr="00B8173C">
        <w:rPr>
          <w:rFonts w:asciiTheme="minorHAnsi" w:hAnsiTheme="minorHAnsi" w:cs="Meta"/>
          <w:color w:val="010202"/>
          <w:sz w:val="22"/>
          <w:szCs w:val="22"/>
        </w:rPr>
        <w:t xml:space="preserve"> Elle dispose d’agences régionales dans 9 régions. </w:t>
      </w:r>
      <w:r w:rsidRPr="00B8173C">
        <w:rPr>
          <w:rFonts w:asciiTheme="minorHAnsi" w:hAnsiTheme="minorHAnsi" w:cs="Meta-Normal"/>
          <w:sz w:val="22"/>
          <w:szCs w:val="22"/>
        </w:rPr>
        <w:t>Ses axes majeurs d’intervention sont :</w:t>
      </w:r>
    </w:p>
    <w:p w14:paraId="0B0B7C9A" w14:textId="77777777" w:rsidR="009A78DE" w:rsidRPr="00033E5C" w:rsidRDefault="002F3652" w:rsidP="00AF6FC4">
      <w:pPr>
        <w:pStyle w:val="Pa3"/>
        <w:spacing w:before="120"/>
        <w:jc w:val="both"/>
        <w:rPr>
          <w:rFonts w:asciiTheme="minorHAnsi" w:hAnsiTheme="minorHAnsi" w:cs="Meta"/>
          <w:color w:val="010202"/>
          <w:sz w:val="22"/>
          <w:szCs w:val="22"/>
        </w:rPr>
      </w:pPr>
      <w:r>
        <w:rPr>
          <w:rFonts w:asciiTheme="minorHAnsi" w:hAnsiTheme="minorHAnsi"/>
          <w:bCs/>
          <w:sz w:val="22"/>
          <w:szCs w:val="22"/>
        </w:rPr>
        <w:t xml:space="preserve">1. </w:t>
      </w:r>
      <w:r w:rsidR="009A78DE" w:rsidRPr="00033E5C">
        <w:rPr>
          <w:rFonts w:asciiTheme="minorHAnsi" w:hAnsiTheme="minorHAnsi"/>
          <w:bCs/>
          <w:sz w:val="22"/>
          <w:szCs w:val="22"/>
        </w:rPr>
        <w:t xml:space="preserve">Le soutien des projets associatifs engagés dans la lutte contre l’exclusion liée au logement. Les actions soutenues sont diverses, mais doivent toutes </w:t>
      </w:r>
      <w:r w:rsidR="009A78DE" w:rsidRPr="00033E5C">
        <w:rPr>
          <w:rFonts w:asciiTheme="minorHAnsi" w:hAnsiTheme="minorHAnsi"/>
          <w:bCs/>
          <w:i/>
          <w:sz w:val="22"/>
          <w:szCs w:val="22"/>
        </w:rPr>
        <w:t>in fine</w:t>
      </w:r>
      <w:r w:rsidR="009A78DE" w:rsidRPr="00033E5C">
        <w:rPr>
          <w:rFonts w:asciiTheme="minorHAnsi" w:hAnsiTheme="minorHAnsi"/>
          <w:bCs/>
          <w:sz w:val="22"/>
          <w:szCs w:val="22"/>
        </w:rPr>
        <w:t xml:space="preserve"> bénéficier aux personnes mal-logées : </w:t>
      </w:r>
    </w:p>
    <w:p w14:paraId="52B7E4CE" w14:textId="77777777" w:rsidR="009A78DE" w:rsidRPr="00B8173C" w:rsidRDefault="00AF6FC4" w:rsidP="00AF6FC4">
      <w:pPr>
        <w:pStyle w:val="Pa3"/>
        <w:numPr>
          <w:ilvl w:val="0"/>
          <w:numId w:val="1"/>
        </w:numPr>
        <w:spacing w:before="120"/>
        <w:ind w:left="714" w:hanging="357"/>
        <w:jc w:val="both"/>
        <w:rPr>
          <w:rFonts w:asciiTheme="minorHAnsi" w:hAnsiTheme="minorHAnsi" w:cs="Meta"/>
          <w:color w:val="010202"/>
          <w:sz w:val="22"/>
          <w:szCs w:val="22"/>
        </w:rPr>
      </w:pPr>
      <w:r w:rsidRPr="00B8173C">
        <w:rPr>
          <w:rFonts w:asciiTheme="minorHAnsi" w:hAnsiTheme="minorHAnsi" w:cs="Meta"/>
          <w:color w:val="010202"/>
          <w:sz w:val="22"/>
          <w:szCs w:val="22"/>
        </w:rPr>
        <w:t>Les</w:t>
      </w:r>
      <w:r w:rsidR="009A78DE" w:rsidRPr="00B8173C">
        <w:rPr>
          <w:rFonts w:asciiTheme="minorHAnsi" w:hAnsiTheme="minorHAnsi" w:cs="Meta"/>
          <w:color w:val="010202"/>
          <w:sz w:val="22"/>
          <w:szCs w:val="22"/>
        </w:rPr>
        <w:t xml:space="preserve"> accueillir et leur offrir un moment ou un lieu de répits (dans les accueils de jours et les boutiques solidarité, les restaurants sociaux…)</w:t>
      </w:r>
      <w:r>
        <w:rPr>
          <w:rFonts w:asciiTheme="minorHAnsi" w:hAnsiTheme="minorHAnsi" w:cs="Meta"/>
          <w:color w:val="010202"/>
          <w:sz w:val="22"/>
          <w:szCs w:val="22"/>
        </w:rPr>
        <w:t> ;</w:t>
      </w:r>
    </w:p>
    <w:p w14:paraId="73D189E6" w14:textId="77777777" w:rsidR="009A78DE" w:rsidRPr="00B8173C" w:rsidRDefault="00AF6FC4" w:rsidP="00AF6FC4">
      <w:pPr>
        <w:pStyle w:val="Pa3"/>
        <w:numPr>
          <w:ilvl w:val="0"/>
          <w:numId w:val="1"/>
        </w:numPr>
        <w:spacing w:before="120"/>
        <w:ind w:left="714" w:hanging="357"/>
        <w:jc w:val="both"/>
        <w:rPr>
          <w:rFonts w:asciiTheme="minorHAnsi" w:hAnsiTheme="minorHAnsi" w:cs="Meta"/>
          <w:color w:val="010202"/>
          <w:sz w:val="22"/>
          <w:szCs w:val="22"/>
        </w:rPr>
      </w:pPr>
      <w:r w:rsidRPr="00B8173C">
        <w:rPr>
          <w:rFonts w:asciiTheme="minorHAnsi" w:hAnsiTheme="minorHAnsi" w:cs="Meta"/>
          <w:color w:val="010202"/>
          <w:sz w:val="22"/>
          <w:szCs w:val="22"/>
        </w:rPr>
        <w:t>Les</w:t>
      </w:r>
      <w:r w:rsidR="009A78DE" w:rsidRPr="00B8173C">
        <w:rPr>
          <w:rFonts w:asciiTheme="minorHAnsi" w:hAnsiTheme="minorHAnsi" w:cs="Meta"/>
          <w:color w:val="010202"/>
          <w:sz w:val="22"/>
          <w:szCs w:val="22"/>
        </w:rPr>
        <w:t xml:space="preserve"> accompagner dans leurs démarches administratives et juridiques pour accéder à un logement, en cas d’habitat indigne, d’expulsions locatives (permanences d’accès aux droits, </w:t>
      </w:r>
      <w:r w:rsidR="009A78DE" w:rsidRPr="00B8173C">
        <w:rPr>
          <w:rFonts w:asciiTheme="minorHAnsi" w:hAnsiTheme="minorHAnsi"/>
          <w:sz w:val="22"/>
          <w:szCs w:val="22"/>
        </w:rPr>
        <w:t xml:space="preserve">plateforme téléphonique </w:t>
      </w:r>
      <w:r w:rsidR="009A78DE" w:rsidRPr="00B8173C">
        <w:rPr>
          <w:rFonts w:asciiTheme="minorHAnsi" w:hAnsiTheme="minorHAnsi" w:cs="Meta"/>
          <w:color w:val="010202"/>
          <w:sz w:val="22"/>
          <w:szCs w:val="22"/>
        </w:rPr>
        <w:t>« Allô Prévention Expulsion »</w:t>
      </w:r>
      <w:r>
        <w:rPr>
          <w:rFonts w:asciiTheme="minorHAnsi" w:hAnsiTheme="minorHAnsi" w:cs="Meta"/>
          <w:color w:val="010202"/>
          <w:sz w:val="22"/>
          <w:szCs w:val="22"/>
        </w:rPr>
        <w:t>, etc.</w:t>
      </w:r>
      <w:r w:rsidR="009A78DE" w:rsidRPr="00B8173C">
        <w:rPr>
          <w:rFonts w:asciiTheme="minorHAnsi" w:hAnsiTheme="minorHAnsi" w:cs="Meta"/>
          <w:color w:val="010202"/>
          <w:sz w:val="22"/>
          <w:szCs w:val="22"/>
        </w:rPr>
        <w:t>)</w:t>
      </w:r>
      <w:r>
        <w:rPr>
          <w:rFonts w:asciiTheme="minorHAnsi" w:hAnsiTheme="minorHAnsi" w:cs="Meta"/>
          <w:color w:val="010202"/>
          <w:sz w:val="22"/>
          <w:szCs w:val="22"/>
        </w:rPr>
        <w:t> ;</w:t>
      </w:r>
    </w:p>
    <w:p w14:paraId="48A43F4E" w14:textId="77777777" w:rsidR="004D2B36" w:rsidRPr="00B8173C" w:rsidRDefault="00AF6FC4" w:rsidP="00AF6FC4">
      <w:pPr>
        <w:pStyle w:val="Pa3"/>
        <w:numPr>
          <w:ilvl w:val="0"/>
          <w:numId w:val="1"/>
        </w:numPr>
        <w:spacing w:before="120"/>
        <w:ind w:left="714" w:hanging="357"/>
        <w:jc w:val="both"/>
        <w:rPr>
          <w:rFonts w:asciiTheme="minorHAnsi" w:hAnsiTheme="minorHAnsi" w:cs="Meta"/>
          <w:color w:val="010202"/>
          <w:sz w:val="22"/>
          <w:szCs w:val="22"/>
        </w:rPr>
      </w:pPr>
      <w:r w:rsidRPr="00B8173C">
        <w:rPr>
          <w:rFonts w:asciiTheme="minorHAnsi" w:hAnsiTheme="minorHAnsi" w:cs="Meta"/>
          <w:color w:val="010202"/>
          <w:sz w:val="22"/>
          <w:szCs w:val="22"/>
        </w:rPr>
        <w:t>Construire</w:t>
      </w:r>
      <w:r w:rsidR="009A78DE" w:rsidRPr="00B8173C">
        <w:rPr>
          <w:rFonts w:asciiTheme="minorHAnsi" w:hAnsiTheme="minorHAnsi" w:cs="Meta"/>
          <w:color w:val="010202"/>
          <w:sz w:val="22"/>
          <w:szCs w:val="22"/>
        </w:rPr>
        <w:t xml:space="preserve"> et réhabiliter des logements à bas loyers et performants énergétiquement (programmes SOS taudis et Toit d’abord)</w:t>
      </w:r>
      <w:r>
        <w:rPr>
          <w:rFonts w:asciiTheme="minorHAnsi" w:hAnsiTheme="minorHAnsi" w:cs="Meta"/>
          <w:color w:val="010202"/>
          <w:sz w:val="22"/>
          <w:szCs w:val="22"/>
        </w:rPr>
        <w:t> ;</w:t>
      </w:r>
    </w:p>
    <w:p w14:paraId="601D6BD3" w14:textId="77777777" w:rsidR="004D2B36" w:rsidRPr="00B8173C" w:rsidRDefault="00DE3CF2" w:rsidP="002F3652">
      <w:pPr>
        <w:pStyle w:val="Pardeliste"/>
        <w:numPr>
          <w:ilvl w:val="0"/>
          <w:numId w:val="1"/>
        </w:numPr>
        <w:spacing w:before="120" w:after="0"/>
        <w:ind w:left="714" w:hanging="357"/>
        <w:contextualSpacing w:val="0"/>
        <w:jc w:val="both"/>
        <w:rPr>
          <w:lang w:eastAsia="fr-FR"/>
        </w:rPr>
      </w:pPr>
      <w:r>
        <w:rPr>
          <w:lang w:eastAsia="fr-FR"/>
        </w:rPr>
        <w:t xml:space="preserve">Et d'autres interventions pour </w:t>
      </w:r>
      <w:r w:rsidR="002F3652">
        <w:rPr>
          <w:lang w:eastAsia="fr-FR"/>
        </w:rPr>
        <w:t>parer</w:t>
      </w:r>
      <w:r>
        <w:rPr>
          <w:lang w:eastAsia="fr-FR"/>
        </w:rPr>
        <w:t xml:space="preserve"> aux situations exceptionnelles (un f</w:t>
      </w:r>
      <w:r w:rsidR="00AF6FC4" w:rsidRPr="00B8173C">
        <w:rPr>
          <w:lang w:eastAsia="fr-FR"/>
        </w:rPr>
        <w:t>onds</w:t>
      </w:r>
      <w:r w:rsidR="004D2B36" w:rsidRPr="00B8173C">
        <w:rPr>
          <w:lang w:eastAsia="fr-FR"/>
        </w:rPr>
        <w:t xml:space="preserve"> d’urgence </w:t>
      </w:r>
      <w:r>
        <w:rPr>
          <w:lang w:eastAsia="fr-FR"/>
        </w:rPr>
        <w:t xml:space="preserve">à été </w:t>
      </w:r>
      <w:r w:rsidR="004D2B36" w:rsidRPr="00B8173C">
        <w:rPr>
          <w:lang w:eastAsia="fr-FR"/>
        </w:rPr>
        <w:t>durant la crise sanitaire</w:t>
      </w:r>
      <w:r w:rsidR="004D2B36" w:rsidRPr="00B8173C">
        <w:rPr>
          <w:rStyle w:val="Appelnotedebasdep"/>
          <w:lang w:eastAsia="fr-FR"/>
        </w:rPr>
        <w:footnoteReference w:id="1"/>
      </w:r>
      <w:r w:rsidR="002F3652">
        <w:rPr>
          <w:lang w:eastAsia="fr-FR"/>
        </w:rPr>
        <w:t>) et</w:t>
      </w:r>
      <w:r>
        <w:rPr>
          <w:lang w:eastAsia="fr-FR"/>
        </w:rPr>
        <w:t xml:space="preserve"> </w:t>
      </w:r>
      <w:r w:rsidR="002F3652">
        <w:rPr>
          <w:lang w:eastAsia="fr-FR"/>
        </w:rPr>
        <w:t xml:space="preserve">participer à remédier aux défaillances </w:t>
      </w:r>
      <w:r>
        <w:rPr>
          <w:lang w:eastAsia="fr-FR"/>
        </w:rPr>
        <w:t>structurelles (interventions sociales et culturelles dans les quartiers populaires et participation des habitants)</w:t>
      </w:r>
      <w:r w:rsidR="004D2B36" w:rsidRPr="00B8173C">
        <w:rPr>
          <w:lang w:eastAsia="fr-FR"/>
        </w:rPr>
        <w:t>…</w:t>
      </w:r>
    </w:p>
    <w:p w14:paraId="63BE6B58" w14:textId="77777777" w:rsidR="009A78DE" w:rsidRPr="00B8173C" w:rsidRDefault="002F3652" w:rsidP="00AF6FC4">
      <w:pPr>
        <w:spacing w:before="120" w:after="0"/>
        <w:jc w:val="both"/>
        <w:rPr>
          <w:lang w:eastAsia="fr-FR"/>
        </w:rPr>
      </w:pPr>
      <w:r>
        <w:rPr>
          <w:lang w:eastAsia="fr-FR"/>
        </w:rPr>
        <w:t>2. L' i</w:t>
      </w:r>
      <w:r w:rsidR="004D2B36" w:rsidRPr="00033E5C">
        <w:rPr>
          <w:lang w:eastAsia="fr-FR"/>
        </w:rPr>
        <w:t>nterpell</w:t>
      </w:r>
      <w:r>
        <w:rPr>
          <w:lang w:eastAsia="fr-FR"/>
        </w:rPr>
        <w:t>ation</w:t>
      </w:r>
      <w:r w:rsidR="004D2B36" w:rsidRPr="00033E5C">
        <w:rPr>
          <w:lang w:eastAsia="fr-FR"/>
        </w:rPr>
        <w:t xml:space="preserve"> </w:t>
      </w:r>
      <w:r>
        <w:rPr>
          <w:lang w:eastAsia="fr-FR"/>
        </w:rPr>
        <w:t>d</w:t>
      </w:r>
      <w:r w:rsidR="004D2B36" w:rsidRPr="00033E5C">
        <w:rPr>
          <w:lang w:eastAsia="fr-FR"/>
        </w:rPr>
        <w:t>es pouvoirs publics </w:t>
      </w:r>
      <w:r w:rsidR="004D2B36" w:rsidRPr="00033E5C">
        <w:rPr>
          <w:bCs/>
          <w:lang w:eastAsia="fr-FR"/>
        </w:rPr>
        <w:t xml:space="preserve">et </w:t>
      </w:r>
      <w:r>
        <w:rPr>
          <w:bCs/>
          <w:lang w:eastAsia="fr-FR"/>
        </w:rPr>
        <w:t xml:space="preserve">la </w:t>
      </w:r>
      <w:r w:rsidR="004D2B36" w:rsidRPr="00033E5C">
        <w:rPr>
          <w:bCs/>
          <w:lang w:eastAsia="fr-FR"/>
        </w:rPr>
        <w:t>s</w:t>
      </w:r>
      <w:r w:rsidR="009A78DE" w:rsidRPr="00033E5C">
        <w:rPr>
          <w:lang w:eastAsia="fr-FR"/>
        </w:rPr>
        <w:t>ensibilis</w:t>
      </w:r>
      <w:r>
        <w:rPr>
          <w:lang w:eastAsia="fr-FR"/>
        </w:rPr>
        <w:t>ation de</w:t>
      </w:r>
      <w:r w:rsidR="009A78DE" w:rsidRPr="00033E5C">
        <w:rPr>
          <w:lang w:eastAsia="fr-FR"/>
        </w:rPr>
        <w:t xml:space="preserve"> l’opinion publique aux problématiques du mal-</w:t>
      </w:r>
      <w:r w:rsidR="009A78DE" w:rsidRPr="00B8173C">
        <w:rPr>
          <w:lang w:eastAsia="fr-FR"/>
        </w:rPr>
        <w:t>logement</w:t>
      </w:r>
      <w:r w:rsidR="004D2B36" w:rsidRPr="00B8173C">
        <w:rPr>
          <w:lang w:eastAsia="fr-FR"/>
        </w:rPr>
        <w:t xml:space="preserve"> dans le but</w:t>
      </w:r>
      <w:r w:rsidR="009A78DE" w:rsidRPr="00B8173C">
        <w:rPr>
          <w:lang w:eastAsia="fr-FR"/>
        </w:rPr>
        <w:t> </w:t>
      </w:r>
      <w:r w:rsidR="004D2B36" w:rsidRPr="00B8173C">
        <w:rPr>
          <w:lang w:eastAsia="fr-FR"/>
        </w:rPr>
        <w:t xml:space="preserve">de </w:t>
      </w:r>
      <w:r w:rsidR="004D2B36" w:rsidRPr="00B8173C">
        <w:rPr>
          <w:rFonts w:cs="Meta"/>
          <w:color w:val="010202"/>
        </w:rPr>
        <w:t xml:space="preserve">rendre visible et de solutionner des conditions de vie inacceptables </w:t>
      </w:r>
      <w:r w:rsidR="009A78DE" w:rsidRPr="00B8173C">
        <w:rPr>
          <w:lang w:eastAsia="fr-FR"/>
        </w:rPr>
        <w:t>: publication annuelle de son Rapport sur l’Etat du mal</w:t>
      </w:r>
      <w:r w:rsidR="00B8173C" w:rsidRPr="00B8173C">
        <w:rPr>
          <w:lang w:eastAsia="fr-FR"/>
        </w:rPr>
        <w:t>-</w:t>
      </w:r>
      <w:r w:rsidR="009A78DE" w:rsidRPr="00B8173C">
        <w:rPr>
          <w:lang w:eastAsia="fr-FR"/>
        </w:rPr>
        <w:t>logement en France</w:t>
      </w:r>
      <w:r w:rsidR="009A78DE" w:rsidRPr="00B8173C">
        <w:rPr>
          <w:rStyle w:val="Appelnotedebasdep"/>
          <w:lang w:eastAsia="fr-FR"/>
        </w:rPr>
        <w:footnoteReference w:id="2"/>
      </w:r>
      <w:r w:rsidR="004D2B36" w:rsidRPr="00B8173C">
        <w:rPr>
          <w:lang w:eastAsia="fr-FR"/>
        </w:rPr>
        <w:t xml:space="preserve"> et en Europe</w:t>
      </w:r>
      <w:r w:rsidR="004D2B36" w:rsidRPr="00B8173C">
        <w:rPr>
          <w:rStyle w:val="Appelnotedebasdep"/>
          <w:lang w:eastAsia="fr-FR"/>
        </w:rPr>
        <w:footnoteReference w:id="3"/>
      </w:r>
      <w:r w:rsidR="009A78DE" w:rsidRPr="00B8173C">
        <w:rPr>
          <w:lang w:eastAsia="fr-FR"/>
        </w:rPr>
        <w:t>, campagne</w:t>
      </w:r>
      <w:r w:rsidR="004D2B36" w:rsidRPr="00B8173C">
        <w:rPr>
          <w:lang w:eastAsia="fr-FR"/>
        </w:rPr>
        <w:t>s</w:t>
      </w:r>
      <w:r w:rsidR="009A78DE" w:rsidRPr="00B8173C">
        <w:rPr>
          <w:lang w:eastAsia="fr-FR"/>
        </w:rPr>
        <w:t xml:space="preserve"> d’affichage</w:t>
      </w:r>
      <w:r w:rsidR="004D2B36" w:rsidRPr="00B8173C">
        <w:rPr>
          <w:lang w:eastAsia="fr-FR"/>
        </w:rPr>
        <w:t>s</w:t>
      </w:r>
      <w:r w:rsidR="009A78DE" w:rsidRPr="00B8173C">
        <w:rPr>
          <w:lang w:eastAsia="fr-FR"/>
        </w:rPr>
        <w:t xml:space="preserve"> nationale</w:t>
      </w:r>
      <w:r w:rsidR="004D2B36" w:rsidRPr="00B8173C">
        <w:rPr>
          <w:lang w:eastAsia="fr-FR"/>
        </w:rPr>
        <w:t>s</w:t>
      </w:r>
      <w:r w:rsidR="009A78DE" w:rsidRPr="00B8173C">
        <w:rPr>
          <w:lang w:eastAsia="fr-FR"/>
        </w:rPr>
        <w:t>, les pics d’or</w:t>
      </w:r>
      <w:r w:rsidR="000207B2" w:rsidRPr="00B8173C">
        <w:rPr>
          <w:rStyle w:val="Appelnotedebasdep"/>
          <w:lang w:eastAsia="fr-FR"/>
        </w:rPr>
        <w:footnoteReference w:id="4"/>
      </w:r>
      <w:r w:rsidR="009A78DE" w:rsidRPr="00B8173C">
        <w:rPr>
          <w:lang w:eastAsia="fr-FR"/>
        </w:rPr>
        <w:t xml:space="preserve">... </w:t>
      </w:r>
      <w:r w:rsidR="004D2B36" w:rsidRPr="00B8173C">
        <w:rPr>
          <w:lang w:eastAsia="fr-FR"/>
        </w:rPr>
        <w:t xml:space="preserve">Elle cherche à </w:t>
      </w:r>
      <w:r w:rsidR="009A78DE" w:rsidRPr="00B8173C">
        <w:rPr>
          <w:lang w:eastAsia="fr-FR"/>
        </w:rPr>
        <w:t xml:space="preserve">influencer les décisions prises </w:t>
      </w:r>
      <w:r w:rsidR="004D2B36" w:rsidRPr="00B8173C">
        <w:rPr>
          <w:lang w:eastAsia="fr-FR"/>
        </w:rPr>
        <w:t>par les pouvoirs publics</w:t>
      </w:r>
      <w:r w:rsidR="009A78DE" w:rsidRPr="00B8173C">
        <w:rPr>
          <w:lang w:eastAsia="fr-FR"/>
        </w:rPr>
        <w:t xml:space="preserve"> (ministres, ministères, députés, sénateurs, collectivités</w:t>
      </w:r>
      <w:r w:rsidR="00B8173C" w:rsidRPr="00B8173C">
        <w:rPr>
          <w:lang w:eastAsia="fr-FR"/>
        </w:rPr>
        <w:t xml:space="preserve"> locales</w:t>
      </w:r>
      <w:r w:rsidR="009A78DE" w:rsidRPr="00B8173C">
        <w:rPr>
          <w:lang w:eastAsia="fr-FR"/>
        </w:rPr>
        <w:t>…)</w:t>
      </w:r>
      <w:r>
        <w:rPr>
          <w:lang w:eastAsia="fr-FR"/>
        </w:rPr>
        <w:t xml:space="preserve"> pour supprimer</w:t>
      </w:r>
      <w:r w:rsidR="004D2B36" w:rsidRPr="00B8173C">
        <w:rPr>
          <w:lang w:eastAsia="fr-FR"/>
        </w:rPr>
        <w:t xml:space="preserve"> </w:t>
      </w:r>
      <w:r w:rsidR="00B8173C" w:rsidRPr="00B8173C">
        <w:rPr>
          <w:lang w:eastAsia="fr-FR"/>
        </w:rPr>
        <w:t>les</w:t>
      </w:r>
      <w:r w:rsidR="004D2B36" w:rsidRPr="00B8173C">
        <w:rPr>
          <w:lang w:eastAsia="fr-FR"/>
        </w:rPr>
        <w:t xml:space="preserve"> mesures défavorables </w:t>
      </w:r>
      <w:r w:rsidRPr="00B8173C">
        <w:rPr>
          <w:lang w:eastAsia="fr-FR"/>
        </w:rPr>
        <w:t xml:space="preserve">personnes mal-logées </w:t>
      </w:r>
      <w:r w:rsidR="004D2B36" w:rsidRPr="00B8173C">
        <w:rPr>
          <w:lang w:eastAsia="fr-FR"/>
        </w:rPr>
        <w:t xml:space="preserve">tout en promouvant celles nécessaires à l’effectivité du droit au logement. </w:t>
      </w:r>
    </w:p>
    <w:p w14:paraId="1B290C2D" w14:textId="77777777" w:rsidR="00B8173C" w:rsidRDefault="002F3652" w:rsidP="00AF6FC4">
      <w:pPr>
        <w:spacing w:before="120" w:after="0"/>
        <w:jc w:val="both"/>
        <w:rPr>
          <w:szCs w:val="24"/>
          <w:lang w:eastAsia="fr-FR"/>
        </w:rPr>
      </w:pPr>
      <w:r>
        <w:rPr>
          <w:szCs w:val="24"/>
          <w:lang w:eastAsia="fr-FR"/>
        </w:rPr>
        <w:t>En</w:t>
      </w:r>
      <w:r w:rsidRPr="00033E5C">
        <w:rPr>
          <w:szCs w:val="24"/>
          <w:lang w:eastAsia="fr-FR"/>
        </w:rPr>
        <w:t xml:space="preserve"> France</w:t>
      </w:r>
      <w:r>
        <w:rPr>
          <w:szCs w:val="24"/>
          <w:lang w:eastAsia="fr-FR"/>
        </w:rPr>
        <w:t>,</w:t>
      </w:r>
      <w:r w:rsidRPr="00033E5C">
        <w:rPr>
          <w:szCs w:val="24"/>
          <w:lang w:eastAsia="fr-FR"/>
        </w:rPr>
        <w:t xml:space="preserve"> </w:t>
      </w:r>
      <w:r w:rsidR="00033E5C" w:rsidRPr="00033E5C">
        <w:rPr>
          <w:szCs w:val="24"/>
          <w:lang w:eastAsia="fr-FR"/>
        </w:rPr>
        <w:t>plusieurs dispositions législatives et r</w:t>
      </w:r>
      <w:r>
        <w:rPr>
          <w:szCs w:val="24"/>
          <w:lang w:eastAsia="fr-FR"/>
        </w:rPr>
        <w:t>églementaires, en elles-mêmes et surtout</w:t>
      </w:r>
      <w:r w:rsidR="00033E5C" w:rsidRPr="00033E5C">
        <w:rPr>
          <w:szCs w:val="24"/>
          <w:lang w:eastAsia="fr-FR"/>
        </w:rPr>
        <w:t xml:space="preserve"> </w:t>
      </w:r>
      <w:r w:rsidR="00033E5C">
        <w:rPr>
          <w:szCs w:val="24"/>
          <w:lang w:eastAsia="fr-FR"/>
        </w:rPr>
        <w:t>en raison de l’application</w:t>
      </w:r>
      <w:r w:rsidR="00033E5C" w:rsidRPr="00033E5C">
        <w:rPr>
          <w:szCs w:val="24"/>
          <w:lang w:eastAsia="fr-FR"/>
        </w:rPr>
        <w:t xml:space="preserve"> qui en est faite, </w:t>
      </w:r>
      <w:r>
        <w:rPr>
          <w:szCs w:val="24"/>
          <w:lang w:eastAsia="fr-FR"/>
        </w:rPr>
        <w:t>"</w:t>
      </w:r>
      <w:r w:rsidR="00033E5C" w:rsidRPr="00033E5C">
        <w:rPr>
          <w:szCs w:val="24"/>
          <w:lang w:eastAsia="fr-FR"/>
        </w:rPr>
        <w:t>criminalisent</w:t>
      </w:r>
      <w:r>
        <w:rPr>
          <w:szCs w:val="24"/>
          <w:lang w:eastAsia="fr-FR"/>
        </w:rPr>
        <w:t>"</w:t>
      </w:r>
      <w:r w:rsidR="00033E5C" w:rsidRPr="00033E5C">
        <w:rPr>
          <w:szCs w:val="24"/>
          <w:lang w:eastAsia="fr-FR"/>
        </w:rPr>
        <w:t xml:space="preserve"> </w:t>
      </w:r>
      <w:r>
        <w:rPr>
          <w:szCs w:val="24"/>
          <w:lang w:eastAsia="fr-FR"/>
        </w:rPr>
        <w:t xml:space="preserve">et sanctionnent </w:t>
      </w:r>
      <w:r w:rsidR="00033E5C" w:rsidRPr="00033E5C">
        <w:rPr>
          <w:szCs w:val="24"/>
          <w:lang w:eastAsia="fr-FR"/>
        </w:rPr>
        <w:t xml:space="preserve">les personnes sans-abri et en situation de précarité économique, sociale et/ou administrative. La Fondation Abbé Pierre veut attirer l’attention des Rapporteurs spéciaux sur le droit à un logement convenable, sur l’extrême pauvreté et les droits humains sur quelques </w:t>
      </w:r>
      <w:r w:rsidR="007B546E">
        <w:rPr>
          <w:szCs w:val="24"/>
          <w:lang w:eastAsia="fr-FR"/>
        </w:rPr>
        <w:t>sujets</w:t>
      </w:r>
      <w:r w:rsidR="00033E5C" w:rsidRPr="00033E5C">
        <w:rPr>
          <w:szCs w:val="24"/>
          <w:lang w:eastAsia="fr-FR"/>
        </w:rPr>
        <w:t xml:space="preserve"> saillants </w:t>
      </w:r>
      <w:r w:rsidR="007B546E">
        <w:rPr>
          <w:szCs w:val="24"/>
          <w:lang w:eastAsia="fr-FR"/>
        </w:rPr>
        <w:t xml:space="preserve">dont le traitement </w:t>
      </w:r>
      <w:r w:rsidR="00033E5C" w:rsidRPr="00033E5C">
        <w:rPr>
          <w:szCs w:val="24"/>
          <w:lang w:eastAsia="fr-FR"/>
        </w:rPr>
        <w:t>rév</w:t>
      </w:r>
      <w:r w:rsidR="007B546E">
        <w:rPr>
          <w:szCs w:val="24"/>
          <w:lang w:eastAsia="fr-FR"/>
        </w:rPr>
        <w:t>èle</w:t>
      </w:r>
      <w:r w:rsidR="00033E5C" w:rsidRPr="00033E5C">
        <w:rPr>
          <w:szCs w:val="24"/>
          <w:lang w:eastAsia="fr-FR"/>
        </w:rPr>
        <w:t xml:space="preserve"> une violence </w:t>
      </w:r>
      <w:r w:rsidR="007B546E">
        <w:rPr>
          <w:szCs w:val="24"/>
          <w:lang w:eastAsia="fr-FR"/>
        </w:rPr>
        <w:t xml:space="preserve">à la fois </w:t>
      </w:r>
      <w:r>
        <w:rPr>
          <w:szCs w:val="24"/>
          <w:lang w:eastAsia="fr-FR"/>
        </w:rPr>
        <w:t xml:space="preserve">concrète et symbolique </w:t>
      </w:r>
      <w:r w:rsidR="007B546E">
        <w:rPr>
          <w:szCs w:val="24"/>
          <w:lang w:eastAsia="fr-FR"/>
        </w:rPr>
        <w:t>qui alimente le</w:t>
      </w:r>
      <w:r w:rsidR="007B546E" w:rsidRPr="00033E5C">
        <w:rPr>
          <w:szCs w:val="24"/>
          <w:lang w:eastAsia="fr-FR"/>
        </w:rPr>
        <w:t xml:space="preserve"> rejet</w:t>
      </w:r>
      <w:r w:rsidR="007B546E">
        <w:rPr>
          <w:szCs w:val="24"/>
          <w:lang w:eastAsia="fr-FR"/>
        </w:rPr>
        <w:t xml:space="preserve"> et la </w:t>
      </w:r>
      <w:r w:rsidR="007B546E" w:rsidRPr="00033E5C">
        <w:rPr>
          <w:szCs w:val="24"/>
          <w:lang w:eastAsia="fr-FR"/>
        </w:rPr>
        <w:t>stigmatisation</w:t>
      </w:r>
      <w:r w:rsidR="007B546E" w:rsidRPr="007B546E">
        <w:rPr>
          <w:szCs w:val="24"/>
          <w:lang w:eastAsia="fr-FR"/>
        </w:rPr>
        <w:t xml:space="preserve"> </w:t>
      </w:r>
      <w:r w:rsidR="007B546E" w:rsidRPr="00033E5C">
        <w:rPr>
          <w:szCs w:val="24"/>
          <w:lang w:eastAsia="fr-FR"/>
        </w:rPr>
        <w:t>des plus démunis vivant sur son territoire, notamment en raison des leurs conditions de vie liée</w:t>
      </w:r>
      <w:r>
        <w:rPr>
          <w:szCs w:val="24"/>
          <w:lang w:eastAsia="fr-FR"/>
        </w:rPr>
        <w:t>s</w:t>
      </w:r>
      <w:r w:rsidR="007B546E" w:rsidRPr="00033E5C">
        <w:rPr>
          <w:szCs w:val="24"/>
          <w:lang w:eastAsia="fr-FR"/>
        </w:rPr>
        <w:t xml:space="preserve"> à l’absence de logement digne, adapté et financièrement accessible</w:t>
      </w:r>
      <w:r w:rsidR="00033E5C" w:rsidRPr="00033E5C">
        <w:rPr>
          <w:szCs w:val="24"/>
          <w:lang w:eastAsia="fr-FR"/>
        </w:rPr>
        <w:t>.</w:t>
      </w:r>
    </w:p>
    <w:p w14:paraId="10C4E1D5" w14:textId="77777777" w:rsidR="00B313CF" w:rsidRDefault="00B313CF" w:rsidP="00AF6FC4">
      <w:pPr>
        <w:spacing w:before="120" w:after="0"/>
        <w:jc w:val="both"/>
        <w:rPr>
          <w:rFonts w:ascii="Times New Roman" w:eastAsia="Times New Roman" w:hAnsi="Times New Roman" w:cs="Times New Roman"/>
          <w:sz w:val="24"/>
          <w:szCs w:val="24"/>
          <w:lang w:eastAsia="fr-FR"/>
        </w:rPr>
      </w:pPr>
      <w:r>
        <w:rPr>
          <w:szCs w:val="24"/>
          <w:lang w:eastAsia="fr-FR"/>
        </w:rPr>
        <w:t>Pour un état des lieux de m</w:t>
      </w:r>
      <w:r w:rsidRPr="00B313CF">
        <w:rPr>
          <w:rFonts w:ascii="Verdana" w:eastAsia="Times New Roman" w:hAnsi="Verdana" w:cs="Times New Roman"/>
          <w:color w:val="000000"/>
          <w:sz w:val="19"/>
          <w:szCs w:val="19"/>
          <w:shd w:val="clear" w:color="auto" w:fill="FFFFFF"/>
          <w:lang w:eastAsia="fr-FR"/>
        </w:rPr>
        <w:t>esures et services disponibles pour aider les p</w:t>
      </w:r>
      <w:r>
        <w:rPr>
          <w:rFonts w:ascii="Verdana" w:eastAsia="Times New Roman" w:hAnsi="Verdana" w:cs="Times New Roman"/>
          <w:color w:val="000000"/>
          <w:sz w:val="19"/>
          <w:szCs w:val="19"/>
          <w:shd w:val="clear" w:color="auto" w:fill="FFFFFF"/>
          <w:lang w:eastAsia="fr-FR"/>
        </w:rPr>
        <w:t>ersonnes en situation de mal-logement, la Fondation renvoie au tableau de bord de son rapport annuel</w:t>
      </w:r>
      <w:r>
        <w:rPr>
          <w:rStyle w:val="Appelnotedebasdep"/>
          <w:rFonts w:ascii="Verdana" w:eastAsia="Times New Roman" w:hAnsi="Verdana" w:cs="Times New Roman"/>
          <w:color w:val="000000"/>
          <w:sz w:val="19"/>
          <w:szCs w:val="19"/>
          <w:shd w:val="clear" w:color="auto" w:fill="FFFFFF"/>
          <w:lang w:eastAsia="fr-FR"/>
        </w:rPr>
        <w:footnoteReference w:id="5"/>
      </w:r>
      <w:r>
        <w:rPr>
          <w:rFonts w:ascii="Verdana" w:eastAsia="Times New Roman" w:hAnsi="Verdana" w:cs="Times New Roman"/>
          <w:color w:val="000000"/>
          <w:sz w:val="19"/>
          <w:szCs w:val="19"/>
          <w:shd w:val="clear" w:color="auto" w:fill="FFFFFF"/>
          <w:lang w:eastAsia="fr-FR"/>
        </w:rPr>
        <w:t>.</w:t>
      </w:r>
    </w:p>
    <w:p w14:paraId="6C1866CB" w14:textId="77777777" w:rsidR="00B313CF" w:rsidRPr="00B313CF" w:rsidRDefault="00B313CF" w:rsidP="00AF6FC4">
      <w:pPr>
        <w:spacing w:before="120" w:after="0"/>
        <w:jc w:val="both"/>
        <w:rPr>
          <w:rFonts w:ascii="Times New Roman" w:eastAsia="Times New Roman" w:hAnsi="Times New Roman" w:cs="Times New Roman"/>
          <w:sz w:val="24"/>
          <w:szCs w:val="24"/>
          <w:lang w:eastAsia="fr-FR"/>
        </w:rPr>
      </w:pPr>
    </w:p>
    <w:p w14:paraId="7F2C5F58" w14:textId="77777777" w:rsidR="00EB6FFB" w:rsidRPr="003F1769" w:rsidRDefault="00EB6FFB" w:rsidP="00AF6FC4">
      <w:pPr>
        <w:pStyle w:val="Pardeliste"/>
        <w:numPr>
          <w:ilvl w:val="0"/>
          <w:numId w:val="2"/>
        </w:numPr>
        <w:spacing w:before="120" w:after="0"/>
        <w:contextualSpacing w:val="0"/>
        <w:jc w:val="both"/>
        <w:rPr>
          <w:b/>
          <w:color w:val="4472C4" w:themeColor="accent1"/>
          <w:szCs w:val="24"/>
          <w:lang w:eastAsia="fr-FR"/>
        </w:rPr>
      </w:pPr>
      <w:r w:rsidRPr="003F1769">
        <w:rPr>
          <w:b/>
          <w:color w:val="4472C4" w:themeColor="accent1"/>
          <w:szCs w:val="24"/>
          <w:lang w:eastAsia="fr-FR"/>
        </w:rPr>
        <w:lastRenderedPageBreak/>
        <w:t xml:space="preserve">Les arrêtés municipaux </w:t>
      </w:r>
      <w:r w:rsidR="00723A0D">
        <w:rPr>
          <w:b/>
          <w:color w:val="4472C4" w:themeColor="accent1"/>
          <w:szCs w:val="24"/>
          <w:lang w:eastAsia="fr-FR"/>
        </w:rPr>
        <w:t>"</w:t>
      </w:r>
      <w:r w:rsidRPr="003F1769">
        <w:rPr>
          <w:b/>
          <w:color w:val="4472C4" w:themeColor="accent1"/>
          <w:szCs w:val="24"/>
          <w:lang w:eastAsia="fr-FR"/>
        </w:rPr>
        <w:t>anti-précaires</w:t>
      </w:r>
      <w:r w:rsidR="00723A0D">
        <w:rPr>
          <w:b/>
          <w:color w:val="4472C4" w:themeColor="accent1"/>
          <w:szCs w:val="24"/>
          <w:lang w:eastAsia="fr-FR"/>
        </w:rPr>
        <w:t>"</w:t>
      </w:r>
    </w:p>
    <w:p w14:paraId="6452BEDC" w14:textId="77777777" w:rsidR="00EB6FFB" w:rsidRPr="003F594D" w:rsidRDefault="007B5368" w:rsidP="00AF6FC4">
      <w:pPr>
        <w:spacing w:before="120" w:after="0"/>
        <w:jc w:val="both"/>
        <w:rPr>
          <w:lang w:eastAsia="fr-FR"/>
        </w:rPr>
      </w:pPr>
      <w:r w:rsidRPr="003F594D">
        <w:rPr>
          <w:lang w:eastAsia="fr-FR"/>
        </w:rPr>
        <w:t>De nombreuses communes interdisent une multitude de</w:t>
      </w:r>
      <w:r w:rsidR="00AC3082" w:rsidRPr="003F594D">
        <w:rPr>
          <w:lang w:eastAsia="fr-FR"/>
        </w:rPr>
        <w:t xml:space="preserve"> comportements</w:t>
      </w:r>
      <w:r w:rsidRPr="003F594D">
        <w:rPr>
          <w:rStyle w:val="Appelnotedebasdep"/>
          <w:lang w:eastAsia="fr-FR"/>
        </w:rPr>
        <w:footnoteReference w:id="6"/>
      </w:r>
      <w:r w:rsidR="00AC3082" w:rsidRPr="003F594D">
        <w:rPr>
          <w:lang w:eastAsia="fr-FR"/>
        </w:rPr>
        <w:t xml:space="preserve"> </w:t>
      </w:r>
      <w:r w:rsidRPr="003F594D">
        <w:rPr>
          <w:lang w:eastAsia="fr-FR"/>
        </w:rPr>
        <w:t xml:space="preserve">adoptés </w:t>
      </w:r>
      <w:r w:rsidR="00AC3082" w:rsidRPr="003F594D">
        <w:rPr>
          <w:lang w:eastAsia="fr-FR"/>
        </w:rPr>
        <w:t>dans l'espace public principalement par les personnes précaires</w:t>
      </w:r>
      <w:r w:rsidR="005470B5" w:rsidRPr="003F594D">
        <w:rPr>
          <w:lang w:eastAsia="fr-FR"/>
        </w:rPr>
        <w:t xml:space="preserve"> faute d'espace personnel où vivre de manière digne et stable</w:t>
      </w:r>
      <w:r w:rsidRPr="003F594D">
        <w:rPr>
          <w:lang w:eastAsia="fr-FR"/>
        </w:rPr>
        <w:t xml:space="preserve">. Ainsi, si elles ne les visent plus aussi explicitement </w:t>
      </w:r>
      <w:r w:rsidR="00723A0D">
        <w:rPr>
          <w:lang w:eastAsia="fr-FR"/>
        </w:rPr>
        <w:t>qu'</w:t>
      </w:r>
      <w:r w:rsidR="00723A0D" w:rsidRPr="003F594D">
        <w:rPr>
          <w:lang w:eastAsia="fr-FR"/>
        </w:rPr>
        <w:t xml:space="preserve">autrefois </w:t>
      </w:r>
      <w:r w:rsidRPr="003F594D">
        <w:rPr>
          <w:lang w:eastAsia="fr-FR"/>
        </w:rPr>
        <w:t>(sauf pour la mendicité), ces mesures les pénalisent incontestablement plus que tout autre</w:t>
      </w:r>
      <w:r w:rsidR="00723A0D">
        <w:rPr>
          <w:rStyle w:val="Appelnotedebasdep"/>
          <w:lang w:eastAsia="fr-FR"/>
        </w:rPr>
        <w:footnoteReference w:id="7"/>
      </w:r>
      <w:r w:rsidR="00723A0D">
        <w:rPr>
          <w:lang w:eastAsia="fr-FR"/>
        </w:rPr>
        <w:t>, et ce</w:t>
      </w:r>
      <w:r w:rsidRPr="003F594D">
        <w:rPr>
          <w:lang w:eastAsia="fr-FR"/>
        </w:rPr>
        <w:t xml:space="preserve"> dans l'intention</w:t>
      </w:r>
      <w:r w:rsidR="00AC3082" w:rsidRPr="003F594D">
        <w:rPr>
          <w:lang w:eastAsia="fr-FR"/>
        </w:rPr>
        <w:t xml:space="preserve"> de les écarter des zones les plus fréquentées, comm</w:t>
      </w:r>
      <w:r w:rsidR="005470B5" w:rsidRPr="003F594D">
        <w:rPr>
          <w:lang w:eastAsia="fr-FR"/>
        </w:rPr>
        <w:t xml:space="preserve">erçantes, touristiques </w:t>
      </w:r>
      <w:r w:rsidR="00723A0D">
        <w:rPr>
          <w:lang w:eastAsia="fr-FR"/>
        </w:rPr>
        <w:t>d'une</w:t>
      </w:r>
      <w:r w:rsidR="00AC3082" w:rsidRPr="003F594D">
        <w:rPr>
          <w:lang w:eastAsia="fr-FR"/>
        </w:rPr>
        <w:t xml:space="preserve"> ville.</w:t>
      </w:r>
      <w:r w:rsidR="003536D2" w:rsidRPr="003F594D">
        <w:rPr>
          <w:lang w:eastAsia="fr-FR"/>
        </w:rPr>
        <w:t xml:space="preserve"> Bien souvent, </w:t>
      </w:r>
      <w:r w:rsidR="003536D2" w:rsidRPr="003F594D">
        <w:rPr>
          <w:rFonts w:cs="Times New Roman"/>
        </w:rPr>
        <w:t>les motivations apparaissent intimement liées à des considérations purement économiques, veulent répondre</w:t>
      </w:r>
      <w:r w:rsidR="00723A0D">
        <w:rPr>
          <w:rFonts w:cs="Times New Roman"/>
        </w:rPr>
        <w:t xml:space="preserve"> à un "sentiment d'insécurité" ou </w:t>
      </w:r>
      <w:r w:rsidR="003F594D" w:rsidRPr="003F594D">
        <w:rPr>
          <w:rFonts w:cs="Times New Roman"/>
        </w:rPr>
        <w:t xml:space="preserve">une </w:t>
      </w:r>
      <w:r w:rsidR="00723A0D">
        <w:rPr>
          <w:rFonts w:cs="Times New Roman"/>
        </w:rPr>
        <w:t xml:space="preserve">simple </w:t>
      </w:r>
      <w:r w:rsidR="003F594D" w:rsidRPr="003F594D">
        <w:rPr>
          <w:rFonts w:cs="Times New Roman"/>
        </w:rPr>
        <w:t>"gêne"</w:t>
      </w:r>
      <w:r w:rsidR="00723A0D">
        <w:rPr>
          <w:rFonts w:cs="Times New Roman"/>
        </w:rPr>
        <w:t>. Et plus</w:t>
      </w:r>
      <w:r w:rsidR="003536D2" w:rsidRPr="003F594D">
        <w:rPr>
          <w:rFonts w:cs="Calibri"/>
        </w:rPr>
        <w:t xml:space="preserve"> une ville organise des manifestations culturelles, sportives ou festives, plus elle restreint la liberté</w:t>
      </w:r>
      <w:r w:rsidR="003536D2" w:rsidRPr="003F594D">
        <w:rPr>
          <w:lang w:eastAsia="fr-FR"/>
        </w:rPr>
        <w:t xml:space="preserve"> de tous d'occuper l'espace public.</w:t>
      </w:r>
    </w:p>
    <w:p w14:paraId="5570DC8E" w14:textId="77777777" w:rsidR="00AC3082" w:rsidRPr="003F594D" w:rsidRDefault="005470B5" w:rsidP="00AF6FC4">
      <w:pPr>
        <w:spacing w:before="120" w:after="0"/>
        <w:jc w:val="both"/>
        <w:rPr>
          <w:rFonts w:cs="Calibri"/>
        </w:rPr>
      </w:pPr>
      <w:r w:rsidRPr="003F594D">
        <w:rPr>
          <w:lang w:eastAsia="fr-FR"/>
        </w:rPr>
        <w:t>Ces arrêtés municipaux sont pris sur le fondement</w:t>
      </w:r>
      <w:r w:rsidR="00154981" w:rsidRPr="003F594D">
        <w:rPr>
          <w:lang w:eastAsia="fr-FR"/>
        </w:rPr>
        <w:t xml:space="preserve"> de </w:t>
      </w:r>
      <w:r w:rsidR="00154981" w:rsidRPr="003F594D">
        <w:rPr>
          <w:rFonts w:cs="Calibri"/>
        </w:rPr>
        <w:t xml:space="preserve">l'article L. 2212-2 2° du code général des collectivités territoriales (CGCT), mais ils ne correspondant pas à son esprit qui vise des conséquences plus graves que ce dont les communes, quelques habitants et commerçants se plaignent. </w:t>
      </w:r>
    </w:p>
    <w:p w14:paraId="65CA1D3C" w14:textId="77777777" w:rsidR="005470B5" w:rsidRPr="00B339A6" w:rsidRDefault="00723A0D" w:rsidP="00AF6FC4">
      <w:pPr>
        <w:spacing w:before="120" w:after="0"/>
        <w:jc w:val="both"/>
        <w:rPr>
          <w:rFonts w:cs="Times New Roman"/>
        </w:rPr>
      </w:pPr>
      <w:r>
        <w:rPr>
          <w:rFonts w:cs="Calibri"/>
        </w:rPr>
        <w:t>Car si ces arrêtés n'interdisent sur le papier que des comportements</w:t>
      </w:r>
      <w:r w:rsidR="005470B5" w:rsidRPr="003F594D">
        <w:rPr>
          <w:rFonts w:cs="Calibri"/>
        </w:rPr>
        <w:t xml:space="preserve"> </w:t>
      </w:r>
      <w:r>
        <w:rPr>
          <w:rFonts w:cs="Calibri"/>
        </w:rPr>
        <w:t xml:space="preserve">troublant </w:t>
      </w:r>
      <w:r w:rsidR="005470B5" w:rsidRPr="003F594D">
        <w:rPr>
          <w:rFonts w:cs="Calibri"/>
        </w:rPr>
        <w:t>l'ordre public</w:t>
      </w:r>
      <w:r>
        <w:rPr>
          <w:rFonts w:cs="Calibri"/>
        </w:rPr>
        <w:t>, d'une part</w:t>
      </w:r>
      <w:r w:rsidR="005470B5" w:rsidRPr="003F594D">
        <w:rPr>
          <w:rFonts w:cs="Calibri"/>
        </w:rPr>
        <w:t>, les circonstances susceptibles de caractériser l'atteinte à l'ordre public (à partir de quand l'occupation devient abusive, par exemple), ne sont pas définis précisément</w:t>
      </w:r>
      <w:r>
        <w:rPr>
          <w:rFonts w:cs="Calibri"/>
        </w:rPr>
        <w:t xml:space="preserve"> et, d'autre part,</w:t>
      </w:r>
      <w:r w:rsidR="00154981" w:rsidRPr="003F594D">
        <w:rPr>
          <w:rFonts w:cstheme="minorHAnsi"/>
        </w:rPr>
        <w:t xml:space="preserve"> </w:t>
      </w:r>
      <w:r w:rsidR="00154981" w:rsidRPr="003F594D">
        <w:rPr>
          <w:rFonts w:cs="Calibri"/>
        </w:rPr>
        <w:t xml:space="preserve">la grande majorité des constats réalisés par la police dépêchée sur place ne </w:t>
      </w:r>
      <w:r w:rsidR="00FD184C">
        <w:rPr>
          <w:rFonts w:cs="Calibri"/>
        </w:rPr>
        <w:t>constatent</w:t>
      </w:r>
      <w:r w:rsidR="00154981" w:rsidRPr="003F594D">
        <w:rPr>
          <w:rFonts w:cs="Calibri"/>
        </w:rPr>
        <w:t xml:space="preserve"> </w:t>
      </w:r>
      <w:r w:rsidR="00FD184C">
        <w:rPr>
          <w:rFonts w:cs="Calibri"/>
        </w:rPr>
        <w:t>aucun</w:t>
      </w:r>
      <w:r w:rsidR="00B339A6">
        <w:rPr>
          <w:rFonts w:cs="Calibri"/>
        </w:rPr>
        <w:t>s</w:t>
      </w:r>
      <w:r w:rsidR="00154981" w:rsidRPr="003F594D">
        <w:rPr>
          <w:rFonts w:cs="Calibri"/>
        </w:rPr>
        <w:t xml:space="preserve"> troubles ou des incidents non graves. </w:t>
      </w:r>
      <w:r w:rsidR="00B339A6" w:rsidRPr="003F594D">
        <w:rPr>
          <w:rFonts w:cs="Times New Roman"/>
        </w:rPr>
        <w:t xml:space="preserve">Les personnes à la rue </w:t>
      </w:r>
      <w:r w:rsidR="00B339A6">
        <w:rPr>
          <w:rFonts w:cs="Times New Roman"/>
        </w:rPr>
        <w:t>se voient donc</w:t>
      </w:r>
      <w:r w:rsidR="00B339A6" w:rsidRPr="003F594D">
        <w:rPr>
          <w:rFonts w:cs="Times New Roman"/>
        </w:rPr>
        <w:t xml:space="preserve"> sanctionner alors qu’elles n’ont en réalité commis aucune atteinte à l’ordre public. Il n’y </w:t>
      </w:r>
      <w:r w:rsidR="00134599">
        <w:rPr>
          <w:rFonts w:cs="Times New Roman"/>
        </w:rPr>
        <w:t xml:space="preserve">a </w:t>
      </w:r>
      <w:r w:rsidR="00B339A6" w:rsidRPr="003F594D">
        <w:rPr>
          <w:rFonts w:cs="Times New Roman"/>
        </w:rPr>
        <w:t>aucun contrôle de ces décisions et les personnes sont alors soumises à un arbitraire complet.</w:t>
      </w:r>
    </w:p>
    <w:p w14:paraId="15D064FC" w14:textId="77777777" w:rsidR="008262D2" w:rsidRPr="003F594D" w:rsidRDefault="00B339A6" w:rsidP="00AF6FC4">
      <w:pPr>
        <w:spacing w:before="120" w:after="0"/>
        <w:jc w:val="both"/>
      </w:pPr>
      <w:r>
        <w:t>C</w:t>
      </w:r>
      <w:r w:rsidR="008262D2" w:rsidRPr="003F594D">
        <w:t>ertains arrêtés</w:t>
      </w:r>
      <w:r w:rsidR="00713128" w:rsidRPr="003F594D">
        <w:t xml:space="preserve"> sur succèdent au point de couvrir une importante partie de l'année, voire d'être</w:t>
      </w:r>
      <w:r w:rsidR="008262D2" w:rsidRPr="003F594D">
        <w:t xml:space="preserve"> quasi permanents. Nombreux </w:t>
      </w:r>
      <w:r w:rsidR="00713128" w:rsidRPr="003F594D">
        <w:t>s'appliquent tous les jours de</w:t>
      </w:r>
      <w:r w:rsidR="008262D2" w:rsidRPr="003F594D">
        <w:t xml:space="preserve"> la semaine et </w:t>
      </w:r>
      <w:r w:rsidR="00713128" w:rsidRPr="003F594D">
        <w:t xml:space="preserve">ont </w:t>
      </w:r>
      <w:r w:rsidR="008262D2" w:rsidRPr="003F594D">
        <w:t>une amplitude horaire extrêmement grande</w:t>
      </w:r>
      <w:r w:rsidR="00883F34" w:rsidRPr="003F594D">
        <w:t xml:space="preserve"> (jusqu'à 17 heures par jour)</w:t>
      </w:r>
      <w:r w:rsidR="008262D2" w:rsidRPr="003F594D">
        <w:t>.</w:t>
      </w:r>
    </w:p>
    <w:p w14:paraId="76BED762" w14:textId="77777777" w:rsidR="003F594D" w:rsidRDefault="00B339A6" w:rsidP="00AF6FC4">
      <w:pPr>
        <w:spacing w:before="120" w:after="0"/>
        <w:jc w:val="both"/>
        <w:rPr>
          <w:rFonts w:cs="Times New Roman"/>
        </w:rPr>
      </w:pPr>
      <w:r>
        <w:rPr>
          <w:rFonts w:cs="Times New Roman"/>
        </w:rPr>
        <w:t xml:space="preserve">En adoptant de telles mesures </w:t>
      </w:r>
      <w:r w:rsidR="00B66A5A">
        <w:rPr>
          <w:rFonts w:cs="Times New Roman"/>
        </w:rPr>
        <w:t>répressives, l</w:t>
      </w:r>
      <w:r w:rsidR="003F594D" w:rsidRPr="003F594D">
        <w:rPr>
          <w:rFonts w:cs="Times New Roman"/>
        </w:rPr>
        <w:t xml:space="preserve">es maires contribuent à entretenir l’idée que les personnes sans domicile </w:t>
      </w:r>
      <w:r w:rsidR="00B66A5A">
        <w:rPr>
          <w:rFonts w:cs="Times New Roman"/>
        </w:rPr>
        <w:t xml:space="preserve">et précaires </w:t>
      </w:r>
      <w:r w:rsidR="003F594D" w:rsidRPr="003F594D">
        <w:rPr>
          <w:rFonts w:cs="Times New Roman"/>
        </w:rPr>
        <w:t xml:space="preserve">sont dangereuses, sales et bruyantes. Les arrêtés </w:t>
      </w:r>
      <w:r w:rsidR="00B66A5A">
        <w:rPr>
          <w:rFonts w:cs="Times New Roman"/>
        </w:rPr>
        <w:t>"</w:t>
      </w:r>
      <w:r w:rsidR="003F594D" w:rsidRPr="003F594D">
        <w:rPr>
          <w:rFonts w:cs="Times New Roman"/>
        </w:rPr>
        <w:t>anti-précaires</w:t>
      </w:r>
      <w:r w:rsidR="00B66A5A">
        <w:rPr>
          <w:rFonts w:cs="Times New Roman"/>
        </w:rPr>
        <w:t>"</w:t>
      </w:r>
      <w:r w:rsidR="003F594D" w:rsidRPr="003F594D">
        <w:rPr>
          <w:rFonts w:cs="Times New Roman"/>
        </w:rPr>
        <w:t xml:space="preserve"> véhiculent des stéréotypes négatifs à l’égard des personnes sans domicile et participent à légitimer les discriminations à leur encontre. Ils renforcent </w:t>
      </w:r>
      <w:r w:rsidR="00B66A5A">
        <w:rPr>
          <w:rFonts w:cs="Times New Roman"/>
        </w:rPr>
        <w:t>une</w:t>
      </w:r>
      <w:r w:rsidR="003F594D" w:rsidRPr="003F594D">
        <w:rPr>
          <w:rFonts w:cs="Times New Roman"/>
        </w:rPr>
        <w:t xml:space="preserve"> stigmatisation déjà prégnante à l’égard des personnes sans domicile</w:t>
      </w:r>
      <w:r w:rsidR="00B66A5A">
        <w:rPr>
          <w:rFonts w:cs="Times New Roman"/>
        </w:rPr>
        <w:t xml:space="preserve"> donnant lieu à nombres de préjugés qui aboutissent notamment à les considérer comme "incapables d'habiter" et font ainsi obstacle à leur accès au logement</w:t>
      </w:r>
      <w:r w:rsidR="003F594D" w:rsidRPr="003F594D">
        <w:rPr>
          <w:rFonts w:cs="Times New Roman"/>
        </w:rPr>
        <w:t>.</w:t>
      </w:r>
    </w:p>
    <w:p w14:paraId="1259C184" w14:textId="77777777" w:rsidR="00600BC5" w:rsidRPr="003F594D" w:rsidRDefault="00600BC5" w:rsidP="00AF6FC4">
      <w:pPr>
        <w:spacing w:before="120" w:after="0"/>
        <w:jc w:val="both"/>
        <w:rPr>
          <w:lang w:eastAsia="fr-FR"/>
        </w:rPr>
      </w:pPr>
    </w:p>
    <w:p w14:paraId="1861A29F" w14:textId="77777777" w:rsidR="00BC121F" w:rsidRPr="003F1769" w:rsidRDefault="00BC121F" w:rsidP="00BC121F">
      <w:pPr>
        <w:pStyle w:val="Pardeliste"/>
        <w:numPr>
          <w:ilvl w:val="0"/>
          <w:numId w:val="2"/>
        </w:numPr>
        <w:spacing w:before="120" w:after="0"/>
        <w:ind w:left="714" w:hanging="357"/>
        <w:contextualSpacing w:val="0"/>
        <w:jc w:val="both"/>
        <w:rPr>
          <w:b/>
          <w:color w:val="4472C4" w:themeColor="accent1"/>
          <w:szCs w:val="24"/>
          <w:lang w:eastAsia="fr-FR"/>
        </w:rPr>
      </w:pPr>
      <w:proofErr w:type="spellStart"/>
      <w:r w:rsidRPr="003F1769">
        <w:rPr>
          <w:b/>
          <w:color w:val="4472C4" w:themeColor="accent1"/>
          <w:szCs w:val="24"/>
          <w:lang w:eastAsia="fr-FR"/>
        </w:rPr>
        <w:t>Délictualisation</w:t>
      </w:r>
      <w:proofErr w:type="spellEnd"/>
      <w:r w:rsidRPr="003F1769">
        <w:rPr>
          <w:b/>
          <w:color w:val="4472C4" w:themeColor="accent1"/>
          <w:szCs w:val="24"/>
          <w:lang w:eastAsia="fr-FR"/>
        </w:rPr>
        <w:t xml:space="preserve"> du squat</w:t>
      </w:r>
    </w:p>
    <w:p w14:paraId="74A8740B" w14:textId="77777777" w:rsidR="00BC121F" w:rsidRDefault="00BC121F" w:rsidP="00BC121F">
      <w:pPr>
        <w:pStyle w:val="Pardeliste"/>
        <w:spacing w:before="120" w:after="0"/>
        <w:ind w:left="0"/>
        <w:contextualSpacing w:val="0"/>
        <w:jc w:val="both"/>
        <w:rPr>
          <w:rFonts w:cstheme="minorHAnsi"/>
        </w:rPr>
      </w:pPr>
      <w:r w:rsidRPr="00AF6FC4">
        <w:rPr>
          <w:rFonts w:cstheme="minorHAnsi"/>
        </w:rPr>
        <w:t xml:space="preserve">Dans une certaine invisibilité sociale, les </w:t>
      </w:r>
      <w:r w:rsidR="00B66A5A">
        <w:rPr>
          <w:rFonts w:cstheme="minorHAnsi"/>
        </w:rPr>
        <w:t>"squatteurs"</w:t>
      </w:r>
      <w:r w:rsidRPr="00AF6FC4">
        <w:rPr>
          <w:rFonts w:cstheme="minorHAnsi"/>
        </w:rPr>
        <w:t xml:space="preserve"> échappent en bonne partie aux dispositifs d’aides cl</w:t>
      </w:r>
      <w:r w:rsidR="00B66A5A">
        <w:rPr>
          <w:rFonts w:cstheme="minorHAnsi"/>
        </w:rPr>
        <w:t>assiques. Leur habitat précaire et</w:t>
      </w:r>
      <w:r w:rsidRPr="00AF6FC4">
        <w:rPr>
          <w:rFonts w:cstheme="minorHAnsi"/>
        </w:rPr>
        <w:t xml:space="preserve"> illégal les expose à des risques d’expulsions régulières, souvent brutales. Depuis la loi </w:t>
      </w:r>
      <w:r w:rsidR="00B66A5A">
        <w:rPr>
          <w:rFonts w:cstheme="minorHAnsi"/>
        </w:rPr>
        <w:t>"</w:t>
      </w:r>
      <w:r w:rsidRPr="00AF6FC4">
        <w:rPr>
          <w:rFonts w:cstheme="minorHAnsi"/>
        </w:rPr>
        <w:t>DALO</w:t>
      </w:r>
      <w:r w:rsidR="00B66A5A">
        <w:rPr>
          <w:rFonts w:cstheme="minorHAnsi"/>
        </w:rPr>
        <w:t>"</w:t>
      </w:r>
      <w:r w:rsidRPr="00AF6FC4">
        <w:rPr>
          <w:rFonts w:cstheme="minorHAnsi"/>
        </w:rPr>
        <w:t xml:space="preserve"> de 2007</w:t>
      </w:r>
      <w:r w:rsidR="00B66A5A">
        <w:rPr>
          <w:rStyle w:val="Appelnotedebasdep"/>
          <w:rFonts w:cstheme="minorHAnsi"/>
        </w:rPr>
        <w:footnoteReference w:id="8"/>
      </w:r>
      <w:r w:rsidRPr="00AF6FC4">
        <w:rPr>
          <w:rFonts w:cstheme="minorHAnsi"/>
        </w:rPr>
        <w:t xml:space="preserve">, en cas de squat d’une résidence principale, l’expulsion peut avoir lieu en </w:t>
      </w:r>
      <w:r>
        <w:rPr>
          <w:rFonts w:cstheme="minorHAnsi"/>
        </w:rPr>
        <w:t>quelques jours seulement</w:t>
      </w:r>
      <w:r w:rsidRPr="00AF6FC4">
        <w:rPr>
          <w:rFonts w:cstheme="minorHAnsi"/>
        </w:rPr>
        <w:t xml:space="preserve"> </w:t>
      </w:r>
      <w:r w:rsidRPr="00E03387">
        <w:rPr>
          <w:rFonts w:cstheme="minorHAnsi"/>
          <w:b/>
          <w:u w:val="single"/>
        </w:rPr>
        <w:t>sans jugement</w:t>
      </w:r>
      <w:r w:rsidRPr="00AF6FC4">
        <w:rPr>
          <w:rFonts w:cstheme="minorHAnsi"/>
        </w:rPr>
        <w:t xml:space="preserve">. La loi </w:t>
      </w:r>
      <w:r w:rsidR="00151260">
        <w:rPr>
          <w:rFonts w:cstheme="minorHAnsi"/>
        </w:rPr>
        <w:t>"</w:t>
      </w:r>
      <w:r w:rsidRPr="00AF6FC4">
        <w:rPr>
          <w:rFonts w:cstheme="minorHAnsi"/>
        </w:rPr>
        <w:t>ASAP</w:t>
      </w:r>
      <w:r w:rsidR="00151260">
        <w:rPr>
          <w:rFonts w:cstheme="minorHAnsi"/>
        </w:rPr>
        <w:t>"</w:t>
      </w:r>
      <w:r w:rsidR="00151260">
        <w:rPr>
          <w:rStyle w:val="Appelnotedebasdep"/>
          <w:rFonts w:cstheme="minorHAnsi"/>
        </w:rPr>
        <w:footnoteReference w:id="9"/>
      </w:r>
      <w:r w:rsidRPr="00AF6FC4">
        <w:rPr>
          <w:rFonts w:cstheme="minorHAnsi"/>
        </w:rPr>
        <w:t xml:space="preserve"> (Accélération et </w:t>
      </w:r>
      <w:r w:rsidRPr="00AF6FC4">
        <w:rPr>
          <w:rFonts w:cstheme="minorHAnsi"/>
        </w:rPr>
        <w:lastRenderedPageBreak/>
        <w:t>simplification de l’action publique) votée en 2020 étend cette procédure aux cas de squats de résidences secondaires</w:t>
      </w:r>
      <w:r>
        <w:rPr>
          <w:rFonts w:cstheme="minorHAnsi"/>
        </w:rPr>
        <w:t xml:space="preserve"> ou occasionnelle</w:t>
      </w:r>
      <w:r w:rsidRPr="00AF6FC4">
        <w:rPr>
          <w:rFonts w:cstheme="minorHAnsi"/>
        </w:rPr>
        <w:t>.</w:t>
      </w:r>
    </w:p>
    <w:p w14:paraId="7D78B25E" w14:textId="77777777" w:rsidR="00BC121F" w:rsidRDefault="00BA3A74" w:rsidP="00BC121F">
      <w:pPr>
        <w:pStyle w:val="Pardeliste"/>
        <w:spacing w:before="120" w:after="0"/>
        <w:ind w:left="0"/>
        <w:contextualSpacing w:val="0"/>
        <w:jc w:val="both"/>
        <w:rPr>
          <w:rFonts w:cstheme="minorHAnsi"/>
        </w:rPr>
      </w:pPr>
      <w:r>
        <w:rPr>
          <w:rFonts w:cstheme="minorHAnsi"/>
        </w:rPr>
        <w:t>S</w:t>
      </w:r>
      <w:r w:rsidR="00BC121F">
        <w:rPr>
          <w:rFonts w:cstheme="minorHAnsi"/>
        </w:rPr>
        <w:t>ur le plan pénal, c'est principalement l'application de la procédure de flagrance, sur le fondement de l'article 226-4 du code pénal (la violation de domicile</w:t>
      </w:r>
      <w:r w:rsidR="00BC121F">
        <w:rPr>
          <w:rStyle w:val="Appelnotedebasdep"/>
          <w:rFonts w:cstheme="minorHAnsi"/>
        </w:rPr>
        <w:footnoteReference w:id="10"/>
      </w:r>
      <w:r w:rsidR="00BC121F">
        <w:rPr>
          <w:rFonts w:cstheme="minorHAnsi"/>
        </w:rPr>
        <w:t>) qui révèle de nombreuses irrégularités en défaveur des "squatteurs". Si cette procédure</w:t>
      </w:r>
      <w:r>
        <w:rPr>
          <w:rFonts w:cstheme="minorHAnsi"/>
        </w:rPr>
        <w:t>,</w:t>
      </w:r>
      <w:r w:rsidR="00BC121F">
        <w:rPr>
          <w:rFonts w:cstheme="minorHAnsi"/>
        </w:rPr>
        <w:t xml:space="preserve"> </w:t>
      </w:r>
      <w:r>
        <w:rPr>
          <w:rFonts w:cstheme="minorHAnsi"/>
        </w:rPr>
        <w:t xml:space="preserve">pour mettre </w:t>
      </w:r>
      <w:r w:rsidR="00BC121F">
        <w:rPr>
          <w:rFonts w:cstheme="minorHAnsi"/>
        </w:rPr>
        <w:t>fin au délit et de conserver des preuves</w:t>
      </w:r>
      <w:r>
        <w:rPr>
          <w:rFonts w:cstheme="minorHAnsi"/>
        </w:rPr>
        <w:t>,</w:t>
      </w:r>
      <w:r w:rsidR="00BC121F" w:rsidRPr="00386754">
        <w:rPr>
          <w:rFonts w:cstheme="minorHAnsi"/>
        </w:rPr>
        <w:t xml:space="preserve"> </w:t>
      </w:r>
      <w:r>
        <w:rPr>
          <w:rFonts w:cstheme="minorHAnsi"/>
        </w:rPr>
        <w:t>octroi</w:t>
      </w:r>
      <w:r w:rsidR="00BC121F">
        <w:rPr>
          <w:rFonts w:cstheme="minorHAnsi"/>
        </w:rPr>
        <w:t>e aux officiers de police judiciaire certains pouvoirs</w:t>
      </w:r>
      <w:r w:rsidR="00BC121F">
        <w:rPr>
          <w:rStyle w:val="Appelnotedebasdep"/>
          <w:rFonts w:cstheme="minorHAnsi"/>
        </w:rPr>
        <w:footnoteReference w:id="11"/>
      </w:r>
      <w:r w:rsidR="00BC121F">
        <w:rPr>
          <w:rFonts w:cstheme="minorHAnsi"/>
        </w:rPr>
        <w:t xml:space="preserve"> </w:t>
      </w:r>
      <w:r>
        <w:rPr>
          <w:rFonts w:cstheme="minorHAnsi"/>
        </w:rPr>
        <w:t>(</w:t>
      </w:r>
      <w:r w:rsidR="00BC121F">
        <w:rPr>
          <w:rFonts w:cstheme="minorHAnsi"/>
        </w:rPr>
        <w:t>autorisés par le procureur de la République</w:t>
      </w:r>
      <w:r>
        <w:rPr>
          <w:rFonts w:cstheme="minorHAnsi"/>
        </w:rPr>
        <w:t>)</w:t>
      </w:r>
      <w:r w:rsidR="00BC121F">
        <w:rPr>
          <w:rFonts w:cstheme="minorHAnsi"/>
        </w:rPr>
        <w:t xml:space="preserve">, elle ne permet pas l'expulsion, encore moins au-delà de 48h (délai entre la réalisation du délit et sa constatation </w:t>
      </w:r>
      <w:proofErr w:type="spellStart"/>
      <w:r w:rsidR="00BC121F">
        <w:rPr>
          <w:rFonts w:cstheme="minorHAnsi"/>
        </w:rPr>
        <w:t>jurisprudentiellement</w:t>
      </w:r>
      <w:proofErr w:type="spellEnd"/>
      <w:r w:rsidR="00BC121F">
        <w:rPr>
          <w:rFonts w:cstheme="minorHAnsi"/>
        </w:rPr>
        <w:t xml:space="preserve"> admis pour caractériser cette flagrance), san</w:t>
      </w:r>
      <w:r>
        <w:rPr>
          <w:rFonts w:cstheme="minorHAnsi"/>
        </w:rPr>
        <w:t>s décision de justice,</w:t>
      </w:r>
      <w:r w:rsidR="00BC121F">
        <w:rPr>
          <w:rFonts w:cstheme="minorHAnsi"/>
        </w:rPr>
        <w:t xml:space="preserve"> si cette même décision exclut l'application de la trêve hivernale</w:t>
      </w:r>
      <w:r>
        <w:rPr>
          <w:rFonts w:cstheme="minorHAnsi"/>
        </w:rPr>
        <w:t xml:space="preserve"> en cas de</w:t>
      </w:r>
      <w:r w:rsidR="00BC121F">
        <w:rPr>
          <w:rFonts w:cstheme="minorHAnsi"/>
        </w:rPr>
        <w:t xml:space="preserve"> voi</w:t>
      </w:r>
      <w:r>
        <w:rPr>
          <w:rFonts w:cstheme="minorHAnsi"/>
        </w:rPr>
        <w:t>e de fait</w:t>
      </w:r>
      <w:r w:rsidR="00BC121F">
        <w:rPr>
          <w:rFonts w:cstheme="minorHAnsi"/>
        </w:rPr>
        <w:t xml:space="preserve">. Autant de conditions qui, souvent, ne sont pas remplies lors des expulsions de squats réalisées avec le concours de la force publique, mais également en cas d'occupation illégale en réunion de terrains en vue d'y établir une habitation (terme pénal pour qualifier les dimensions du mal-logement que sont le </w:t>
      </w:r>
      <w:proofErr w:type="spellStart"/>
      <w:r w:rsidR="00BC121F">
        <w:rPr>
          <w:rFonts w:cstheme="minorHAnsi"/>
        </w:rPr>
        <w:t>sans-abrisme</w:t>
      </w:r>
      <w:proofErr w:type="spellEnd"/>
      <w:r w:rsidR="00BC121F">
        <w:rPr>
          <w:rFonts w:cstheme="minorHAnsi"/>
        </w:rPr>
        <w:t xml:space="preserve"> et le bidonville</w:t>
      </w:r>
      <w:r>
        <w:rPr>
          <w:rFonts w:cstheme="minorHAnsi"/>
        </w:rPr>
        <w:t xml:space="preserve"> -</w:t>
      </w:r>
      <w:r w:rsidR="00BC121F">
        <w:rPr>
          <w:rFonts w:cstheme="minorHAnsi"/>
        </w:rPr>
        <w:t xml:space="preserve"> article 322-4-1 du code pénal, voir plus bas).</w:t>
      </w:r>
    </w:p>
    <w:p w14:paraId="1A5FC167" w14:textId="77777777" w:rsidR="00FF1C72" w:rsidRDefault="00FF1C72" w:rsidP="00BC121F">
      <w:pPr>
        <w:pStyle w:val="Pardeliste"/>
        <w:spacing w:before="120" w:after="0"/>
        <w:ind w:left="0"/>
        <w:contextualSpacing w:val="0"/>
        <w:jc w:val="both"/>
        <w:rPr>
          <w:rFonts w:cstheme="minorHAnsi"/>
        </w:rPr>
      </w:pPr>
      <w:r>
        <w:rPr>
          <w:rFonts w:cstheme="minorHAnsi"/>
        </w:rPr>
        <w:t>Il faut néanmoins savoir que la grande majorité des squats ne s'établissent pas dans le domicile de personnes mais dans des locaux inutilisés, parfois depuis de</w:t>
      </w:r>
      <w:r w:rsidR="00BA3A74">
        <w:rPr>
          <w:rFonts w:cstheme="minorHAnsi"/>
        </w:rPr>
        <w:t xml:space="preserve"> nombreuses années, et que l</w:t>
      </w:r>
      <w:r w:rsidR="003022FA">
        <w:rPr>
          <w:rFonts w:cstheme="minorHAnsi"/>
        </w:rPr>
        <w:t>es déclarations politiques</w:t>
      </w:r>
      <w:r>
        <w:rPr>
          <w:rFonts w:cstheme="minorHAnsi"/>
        </w:rPr>
        <w:t xml:space="preserve"> et les forces de l'ordre</w:t>
      </w:r>
      <w:r w:rsidR="00BA3A74">
        <w:rPr>
          <w:rFonts w:cstheme="minorHAnsi"/>
        </w:rPr>
        <w:t>, pourtant les premiers à connaître la loi,</w:t>
      </w:r>
      <w:r>
        <w:rPr>
          <w:rFonts w:cstheme="minorHAnsi"/>
        </w:rPr>
        <w:t xml:space="preserve"> confondent souvent </w:t>
      </w:r>
      <w:r w:rsidR="00342B1F">
        <w:rPr>
          <w:rFonts w:cstheme="minorHAnsi"/>
        </w:rPr>
        <w:t>le squat de domicile de celui de locaux vacants.</w:t>
      </w:r>
    </w:p>
    <w:p w14:paraId="668B4CA1" w14:textId="77777777" w:rsidR="00600BC5" w:rsidRPr="00AF6FC4" w:rsidRDefault="00600BC5" w:rsidP="00BC121F">
      <w:pPr>
        <w:pStyle w:val="Pardeliste"/>
        <w:spacing w:before="120" w:after="0"/>
        <w:ind w:left="0"/>
        <w:contextualSpacing w:val="0"/>
        <w:jc w:val="both"/>
        <w:rPr>
          <w:rFonts w:cstheme="minorHAnsi"/>
        </w:rPr>
      </w:pPr>
    </w:p>
    <w:p w14:paraId="0907AFE2" w14:textId="77777777" w:rsidR="003F1769" w:rsidRPr="003F1769" w:rsidRDefault="00FE0C57" w:rsidP="00AF6FC4">
      <w:pPr>
        <w:pStyle w:val="Pardeliste"/>
        <w:numPr>
          <w:ilvl w:val="0"/>
          <w:numId w:val="2"/>
        </w:numPr>
        <w:spacing w:before="120" w:after="0"/>
        <w:contextualSpacing w:val="0"/>
        <w:jc w:val="both"/>
        <w:rPr>
          <w:b/>
          <w:color w:val="4472C4" w:themeColor="accent1"/>
          <w:szCs w:val="24"/>
          <w:lang w:eastAsia="fr-FR"/>
        </w:rPr>
      </w:pPr>
      <w:r>
        <w:rPr>
          <w:b/>
          <w:color w:val="4472C4" w:themeColor="accent1"/>
          <w:szCs w:val="24"/>
          <w:lang w:eastAsia="fr-FR"/>
        </w:rPr>
        <w:t>Un r</w:t>
      </w:r>
      <w:r w:rsidR="003F1769" w:rsidRPr="003F1769">
        <w:rPr>
          <w:b/>
          <w:color w:val="4472C4" w:themeColor="accent1"/>
          <w:szCs w:val="24"/>
          <w:lang w:eastAsia="fr-FR"/>
        </w:rPr>
        <w:t>égime d’exception pour l’habitat mobile</w:t>
      </w:r>
    </w:p>
    <w:p w14:paraId="06F31A17" w14:textId="77777777" w:rsidR="00566DB0" w:rsidRDefault="00566DB0" w:rsidP="00AF6FC4">
      <w:pPr>
        <w:pStyle w:val="Corps"/>
        <w:spacing w:before="120" w:after="0" w:line="240" w:lineRule="auto"/>
        <w:jc w:val="both"/>
        <w:rPr>
          <w:color w:val="auto"/>
        </w:rPr>
      </w:pPr>
      <w:r w:rsidRPr="00566DB0">
        <w:rPr>
          <w:bCs/>
          <w:color w:val="auto"/>
        </w:rPr>
        <w:t xml:space="preserve">La Fondation Abbé Pierre et </w:t>
      </w:r>
      <w:r w:rsidRPr="00566DB0">
        <w:rPr>
          <w:color w:val="auto"/>
        </w:rPr>
        <w:t>les associations avec lesquelles elle travaille</w:t>
      </w:r>
      <w:r w:rsidRPr="00566DB0">
        <w:rPr>
          <w:bCs/>
          <w:color w:val="auto"/>
        </w:rPr>
        <w:t xml:space="preserve"> sont régulièrement témoins des difficultés</w:t>
      </w:r>
      <w:r w:rsidRPr="00566DB0">
        <w:rPr>
          <w:color w:val="auto"/>
        </w:rPr>
        <w:t xml:space="preserve"> d’habitat et de logement rencontrées par les</w:t>
      </w:r>
      <w:r w:rsidR="00D56159">
        <w:rPr>
          <w:color w:val="auto"/>
        </w:rPr>
        <w:t xml:space="preserve"> personnes dites</w:t>
      </w:r>
      <w:r w:rsidRPr="00566DB0">
        <w:rPr>
          <w:color w:val="auto"/>
        </w:rPr>
        <w:t xml:space="preserve"> </w:t>
      </w:r>
      <w:r w:rsidR="00D56159">
        <w:rPr>
          <w:color w:val="auto"/>
        </w:rPr>
        <w:t>« </w:t>
      </w:r>
      <w:r w:rsidRPr="00566DB0">
        <w:rPr>
          <w:color w:val="auto"/>
        </w:rPr>
        <w:t>Gens du Voyage</w:t>
      </w:r>
      <w:r w:rsidR="00D56159">
        <w:rPr>
          <w:color w:val="auto"/>
        </w:rPr>
        <w:t xml:space="preserve"> ». Elles </w:t>
      </w:r>
      <w:r w:rsidRPr="00566DB0">
        <w:rPr>
          <w:color w:val="auto"/>
        </w:rPr>
        <w:t>constat</w:t>
      </w:r>
      <w:r w:rsidR="00D56159">
        <w:rPr>
          <w:color w:val="auto"/>
        </w:rPr>
        <w:t>ent</w:t>
      </w:r>
      <w:r w:rsidRPr="00566DB0">
        <w:rPr>
          <w:color w:val="auto"/>
        </w:rPr>
        <w:t xml:space="preserve"> des conditions de vie très difficiles, voire totalement indignes pour une part</w:t>
      </w:r>
      <w:r w:rsidR="00BA3A74">
        <w:rPr>
          <w:color w:val="auto"/>
        </w:rPr>
        <w:t xml:space="preserve"> importante de cette population</w:t>
      </w:r>
      <w:r w:rsidR="00D56159">
        <w:rPr>
          <w:color w:val="auto"/>
        </w:rPr>
        <w:t xml:space="preserve">, dont la précarité </w:t>
      </w:r>
      <w:r w:rsidR="00D56159">
        <w:rPr>
          <w:bCs/>
          <w:color w:val="auto"/>
          <w:u w:color="365F91"/>
        </w:rPr>
        <w:t>est</w:t>
      </w:r>
      <w:r w:rsidRPr="00566DB0">
        <w:rPr>
          <w:bCs/>
          <w:color w:val="auto"/>
          <w:u w:color="365F91"/>
        </w:rPr>
        <w:t xml:space="preserve"> accentuée par un mode d’habitat </w:t>
      </w:r>
      <w:r w:rsidR="001558F2">
        <w:rPr>
          <w:color w:val="auto"/>
        </w:rPr>
        <w:t xml:space="preserve">non reconnu </w:t>
      </w:r>
      <w:r w:rsidR="00BA3A74">
        <w:rPr>
          <w:color w:val="auto"/>
        </w:rPr>
        <w:t xml:space="preserve">juridiquement </w:t>
      </w:r>
      <w:r w:rsidR="001558F2">
        <w:rPr>
          <w:color w:val="auto"/>
        </w:rPr>
        <w:t xml:space="preserve">comme un logement </w:t>
      </w:r>
      <w:r w:rsidR="001558F2">
        <w:rPr>
          <w:bCs/>
          <w:color w:val="auto"/>
          <w:u w:color="365F91"/>
        </w:rPr>
        <w:t>(</w:t>
      </w:r>
      <w:r w:rsidR="001558F2" w:rsidRPr="00566DB0">
        <w:rPr>
          <w:color w:val="auto"/>
        </w:rPr>
        <w:t>la caravane</w:t>
      </w:r>
      <w:r w:rsidR="001558F2">
        <w:rPr>
          <w:color w:val="auto"/>
        </w:rPr>
        <w:t>)</w:t>
      </w:r>
      <w:r w:rsidR="001558F2" w:rsidRPr="00566DB0">
        <w:rPr>
          <w:color w:val="auto"/>
        </w:rPr>
        <w:t xml:space="preserve"> </w:t>
      </w:r>
      <w:r w:rsidRPr="00566DB0">
        <w:rPr>
          <w:bCs/>
          <w:color w:val="auto"/>
          <w:u w:color="365F91"/>
        </w:rPr>
        <w:t>et un mode de vie st</w:t>
      </w:r>
      <w:r w:rsidR="00BA3A74">
        <w:rPr>
          <w:bCs/>
          <w:color w:val="auto"/>
          <w:u w:color="365F91"/>
        </w:rPr>
        <w:t>igmatisé</w:t>
      </w:r>
      <w:r w:rsidRPr="00566DB0">
        <w:rPr>
          <w:bCs/>
          <w:color w:val="auto"/>
          <w:u w:color="365F91"/>
        </w:rPr>
        <w:t> </w:t>
      </w:r>
      <w:r w:rsidRPr="00566DB0">
        <w:rPr>
          <w:color w:val="auto"/>
        </w:rPr>
        <w:t>(la mobilité)</w:t>
      </w:r>
      <w:r w:rsidR="001558F2">
        <w:rPr>
          <w:rStyle w:val="Appelnotedebasdep"/>
          <w:color w:val="auto"/>
        </w:rPr>
        <w:footnoteReference w:id="12"/>
      </w:r>
      <w:r w:rsidR="00D56159">
        <w:rPr>
          <w:color w:val="auto"/>
        </w:rPr>
        <w:t xml:space="preserve">. </w:t>
      </w:r>
      <w:r w:rsidR="00D56159">
        <w:rPr>
          <w:bCs/>
          <w:color w:val="auto"/>
        </w:rPr>
        <w:t>Nombreux</w:t>
      </w:r>
      <w:r w:rsidRPr="00566DB0">
        <w:rPr>
          <w:bCs/>
          <w:color w:val="auto"/>
        </w:rPr>
        <w:t xml:space="preserve"> sont dans une situation de très grande pauvreté et n’ont plus les moyens de se déplacer</w:t>
      </w:r>
      <w:r w:rsidRPr="00566DB0">
        <w:rPr>
          <w:color w:val="auto"/>
        </w:rPr>
        <w:t xml:space="preserve"> (alors qu’ils le voudraient). Cette précarité économique </w:t>
      </w:r>
      <w:r w:rsidR="001C67C3">
        <w:rPr>
          <w:color w:val="auto"/>
        </w:rPr>
        <w:t xml:space="preserve">et juridique </w:t>
      </w:r>
      <w:r w:rsidRPr="00566DB0">
        <w:rPr>
          <w:color w:val="auto"/>
        </w:rPr>
        <w:t xml:space="preserve">est </w:t>
      </w:r>
      <w:r w:rsidRPr="00566DB0">
        <w:rPr>
          <w:bCs/>
          <w:color w:val="auto"/>
        </w:rPr>
        <w:t>un</w:t>
      </w:r>
      <w:r w:rsidRPr="00566DB0">
        <w:rPr>
          <w:color w:val="auto"/>
        </w:rPr>
        <w:t xml:space="preserve"> </w:t>
      </w:r>
      <w:r w:rsidRPr="00566DB0">
        <w:rPr>
          <w:bCs/>
          <w:color w:val="auto"/>
        </w:rPr>
        <w:t>obstacle fort à l’</w:t>
      </w:r>
      <w:r w:rsidRPr="00566DB0">
        <w:rPr>
          <w:bCs/>
          <w:color w:val="auto"/>
          <w:lang w:val="it-IT"/>
        </w:rPr>
        <w:t>acc</w:t>
      </w:r>
      <w:r w:rsidRPr="00566DB0">
        <w:rPr>
          <w:bCs/>
          <w:color w:val="auto"/>
        </w:rPr>
        <w:t xml:space="preserve">ès </w:t>
      </w:r>
      <w:r w:rsidR="00251395">
        <w:rPr>
          <w:color w:val="auto"/>
        </w:rPr>
        <w:t>aux</w:t>
      </w:r>
      <w:r w:rsidRPr="00566DB0">
        <w:rPr>
          <w:color w:val="auto"/>
        </w:rPr>
        <w:t xml:space="preserve"> prêts immobiliers, à l’amélioration de l’habitat, au renouvellement </w:t>
      </w:r>
      <w:r w:rsidR="00251395">
        <w:rPr>
          <w:color w:val="auto"/>
        </w:rPr>
        <w:t>des caravanes</w:t>
      </w:r>
      <w:r w:rsidRPr="00566DB0">
        <w:rPr>
          <w:color w:val="auto"/>
        </w:rPr>
        <w:t>, aux raccordements aux réseaux</w:t>
      </w:r>
      <w:r w:rsidR="00251395">
        <w:rPr>
          <w:color w:val="auto"/>
        </w:rPr>
        <w:t xml:space="preserve"> d’eau et d’électricité</w:t>
      </w:r>
      <w:r w:rsidRPr="00566DB0">
        <w:rPr>
          <w:color w:val="auto"/>
        </w:rPr>
        <w:t>… Elle est re</w:t>
      </w:r>
      <w:r w:rsidRPr="00566DB0">
        <w:rPr>
          <w:bCs/>
          <w:color w:val="auto"/>
        </w:rPr>
        <w:t xml:space="preserve">nforcée par les difficultés </w:t>
      </w:r>
      <w:r w:rsidR="001558F2">
        <w:rPr>
          <w:bCs/>
          <w:color w:val="auto"/>
        </w:rPr>
        <w:t xml:space="preserve">concrètes </w:t>
      </w:r>
      <w:r w:rsidRPr="00566DB0">
        <w:rPr>
          <w:bCs/>
          <w:color w:val="auto"/>
        </w:rPr>
        <w:t>de stationnement et d’habitat</w:t>
      </w:r>
      <w:r w:rsidR="00537296">
        <w:rPr>
          <w:color w:val="auto"/>
        </w:rPr>
        <w:t> :</w:t>
      </w:r>
    </w:p>
    <w:p w14:paraId="373CA58B" w14:textId="77777777" w:rsidR="00A2432E" w:rsidRPr="00A2432E" w:rsidRDefault="00537296" w:rsidP="00BA3A74">
      <w:pPr>
        <w:pStyle w:val="Pardeliste"/>
        <w:numPr>
          <w:ilvl w:val="0"/>
          <w:numId w:val="4"/>
        </w:numPr>
        <w:pBdr>
          <w:top w:val="nil"/>
          <w:left w:val="nil"/>
          <w:bottom w:val="nil"/>
          <w:right w:val="nil"/>
          <w:between w:val="nil"/>
          <w:bar w:val="nil"/>
        </w:pBdr>
        <w:spacing w:before="60" w:after="0" w:line="240" w:lineRule="auto"/>
        <w:ind w:left="714" w:hanging="357"/>
        <w:contextualSpacing w:val="0"/>
        <w:jc w:val="both"/>
        <w:rPr>
          <w:sz w:val="26"/>
          <w:szCs w:val="26"/>
        </w:rPr>
      </w:pPr>
      <w:r w:rsidRPr="00F80EF0">
        <w:rPr>
          <w:bCs/>
          <w:u w:color="365F91"/>
        </w:rPr>
        <w:t>L</w:t>
      </w:r>
      <w:r>
        <w:t>e stationnement spontané n’est plus possible, urbanisation et interventions policières cantonnent les familles aux aires aménagées, en nombre insuffisant</w:t>
      </w:r>
      <w:r w:rsidR="00A2432E">
        <w:rPr>
          <w:rStyle w:val="Appelnotedebasdep"/>
        </w:rPr>
        <w:footnoteReference w:id="13"/>
      </w:r>
      <w:r>
        <w:t xml:space="preserve"> ; </w:t>
      </w:r>
    </w:p>
    <w:p w14:paraId="2CA7A063" w14:textId="77777777" w:rsidR="00537296" w:rsidRPr="00537296" w:rsidRDefault="00A2432E" w:rsidP="00BA3A74">
      <w:pPr>
        <w:pStyle w:val="Pardeliste"/>
        <w:numPr>
          <w:ilvl w:val="0"/>
          <w:numId w:val="4"/>
        </w:numPr>
        <w:pBdr>
          <w:top w:val="nil"/>
          <w:left w:val="nil"/>
          <w:bottom w:val="nil"/>
          <w:right w:val="nil"/>
          <w:between w:val="nil"/>
          <w:bar w:val="nil"/>
        </w:pBdr>
        <w:spacing w:before="60" w:after="0" w:line="240" w:lineRule="auto"/>
        <w:ind w:left="714" w:hanging="357"/>
        <w:contextualSpacing w:val="0"/>
        <w:jc w:val="both"/>
        <w:rPr>
          <w:sz w:val="26"/>
          <w:szCs w:val="26"/>
        </w:rPr>
      </w:pPr>
      <w:r>
        <w:t>Les</w:t>
      </w:r>
      <w:r w:rsidR="00537296">
        <w:t xml:space="preserve"> </w:t>
      </w:r>
      <w:r w:rsidR="00537296" w:rsidRPr="00537296">
        <w:t xml:space="preserve">ménages </w:t>
      </w:r>
      <w:r w:rsidR="00537296" w:rsidRPr="00537296">
        <w:rPr>
          <w:bCs/>
        </w:rPr>
        <w:t>restent sur les aires d’accueil</w:t>
      </w:r>
      <w:r w:rsidR="00537296" w:rsidRPr="00537296">
        <w:t>, en opposition avec la fonction temporaire de ces équipements</w:t>
      </w:r>
      <w:r w:rsidR="00537296">
        <w:t xml:space="preserve"> destinés à permettre la mobilité</w:t>
      </w:r>
      <w:r w:rsidR="00537296" w:rsidRPr="00537296">
        <w:t>,</w:t>
      </w:r>
      <w:r w:rsidR="00537296">
        <w:t xml:space="preserve"> faute d’habitat durable adapté qui doit permettre l’ancrage sur un territoire </w:t>
      </w:r>
      <w:r>
        <w:t>(</w:t>
      </w:r>
      <w:r w:rsidR="00537296">
        <w:t>en dehors des périodes de mobilité</w:t>
      </w:r>
      <w:r>
        <w:t>,</w:t>
      </w:r>
      <w:r w:rsidR="00BA3A74">
        <w:t xml:space="preserve"> lié</w:t>
      </w:r>
      <w:r w:rsidR="00537296">
        <w:t xml:space="preserve"> à la scolarisation, pour des raisons économiques, familiale, de santé ou par choix)</w:t>
      </w:r>
      <w:r>
        <w:t> ;</w:t>
      </w:r>
    </w:p>
    <w:p w14:paraId="35C0B61B" w14:textId="77777777" w:rsidR="00537296" w:rsidRPr="00537296" w:rsidRDefault="00537296" w:rsidP="00BA3A74">
      <w:pPr>
        <w:pStyle w:val="Pardeliste"/>
        <w:numPr>
          <w:ilvl w:val="0"/>
          <w:numId w:val="5"/>
        </w:numPr>
        <w:pBdr>
          <w:top w:val="nil"/>
          <w:left w:val="nil"/>
          <w:bottom w:val="nil"/>
          <w:right w:val="nil"/>
          <w:between w:val="nil"/>
          <w:bar w:val="nil"/>
        </w:pBdr>
        <w:spacing w:before="60" w:after="0" w:line="240" w:lineRule="auto"/>
        <w:ind w:left="714" w:hanging="357"/>
        <w:contextualSpacing w:val="0"/>
        <w:jc w:val="both"/>
      </w:pPr>
      <w:r w:rsidRPr="00537296">
        <w:t xml:space="preserve">Des ménages qui ont trouvé des solutions par eux-mêmes en achetant des terrains privés ont des </w:t>
      </w:r>
      <w:r w:rsidRPr="00537296">
        <w:rPr>
          <w:bCs/>
        </w:rPr>
        <w:t>difficultés liées a</w:t>
      </w:r>
      <w:r w:rsidR="00BA3A74">
        <w:rPr>
          <w:bCs/>
        </w:rPr>
        <w:t xml:space="preserve">ux règles d’urbanisme et/ou </w:t>
      </w:r>
      <w:r w:rsidRPr="00537296">
        <w:rPr>
          <w:bCs/>
        </w:rPr>
        <w:t>n’ont pas les moyens d’améliorer leur habitat</w:t>
      </w:r>
      <w:r w:rsidR="00A2432E">
        <w:rPr>
          <w:bCs/>
        </w:rPr>
        <w:t> </w:t>
      </w:r>
      <w:r w:rsidR="00A2432E">
        <w:t>;</w:t>
      </w:r>
    </w:p>
    <w:p w14:paraId="3D16EFDE" w14:textId="77777777" w:rsidR="00537296" w:rsidRPr="00537296" w:rsidRDefault="00537296" w:rsidP="00BA3A74">
      <w:pPr>
        <w:pStyle w:val="Pardeliste"/>
        <w:numPr>
          <w:ilvl w:val="0"/>
          <w:numId w:val="5"/>
        </w:numPr>
        <w:pBdr>
          <w:top w:val="nil"/>
          <w:left w:val="nil"/>
          <w:bottom w:val="nil"/>
          <w:right w:val="nil"/>
          <w:between w:val="nil"/>
          <w:bar w:val="nil"/>
        </w:pBdr>
        <w:spacing w:before="60" w:after="0" w:line="240" w:lineRule="auto"/>
        <w:ind w:left="714" w:hanging="357"/>
        <w:contextualSpacing w:val="0"/>
        <w:jc w:val="both"/>
      </w:pPr>
      <w:r w:rsidRPr="00537296">
        <w:lastRenderedPageBreak/>
        <w:t xml:space="preserve">Des ménages en situation </w:t>
      </w:r>
      <w:r w:rsidRPr="00537296">
        <w:rPr>
          <w:bCs/>
        </w:rPr>
        <w:t xml:space="preserve">d’errance contrainte ou de </w:t>
      </w:r>
      <w:r w:rsidR="00673EF6">
        <w:rPr>
          <w:bCs/>
        </w:rPr>
        <w:t>"</w:t>
      </w:r>
      <w:r w:rsidRPr="00537296">
        <w:rPr>
          <w:bCs/>
        </w:rPr>
        <w:t>squat foncier</w:t>
      </w:r>
      <w:r w:rsidR="00673EF6">
        <w:rPr>
          <w:bCs/>
        </w:rPr>
        <w:t>"</w:t>
      </w:r>
      <w:r w:rsidRPr="00537296">
        <w:t xml:space="preserve"> pour ceux qui s’arrêtent dans les seuls interstices libres : abords d’autoroute, proximité d’une voie de chemin de fer, d’une déchetterie, terrains inutilisés…</w:t>
      </w:r>
    </w:p>
    <w:p w14:paraId="33FCEB1F" w14:textId="77777777" w:rsidR="00537296" w:rsidRPr="00537296" w:rsidRDefault="00537296" w:rsidP="00AF6FC4">
      <w:pPr>
        <w:pStyle w:val="Corps"/>
        <w:spacing w:before="120" w:after="0"/>
        <w:jc w:val="both"/>
        <w:rPr>
          <w:color w:val="auto"/>
          <w:szCs w:val="26"/>
          <w:u w:color="365F91"/>
        </w:rPr>
      </w:pPr>
      <w:r w:rsidRPr="00537296">
        <w:rPr>
          <w:bCs/>
          <w:color w:val="auto"/>
          <w:szCs w:val="26"/>
          <w:u w:color="365F91"/>
        </w:rPr>
        <w:t>Ces difficultés exposent à des conditions de vie dégradées</w:t>
      </w:r>
      <w:r w:rsidR="00A2432E">
        <w:rPr>
          <w:bCs/>
          <w:color w:val="auto"/>
          <w:szCs w:val="26"/>
          <w:u w:color="365F91"/>
        </w:rPr>
        <w:t> :</w:t>
      </w:r>
    </w:p>
    <w:p w14:paraId="08D4C514" w14:textId="77777777" w:rsidR="00537296" w:rsidRPr="00537296" w:rsidRDefault="00537296" w:rsidP="00673EF6">
      <w:pPr>
        <w:pStyle w:val="Pardeliste"/>
        <w:numPr>
          <w:ilvl w:val="0"/>
          <w:numId w:val="7"/>
        </w:numPr>
        <w:pBdr>
          <w:top w:val="nil"/>
          <w:left w:val="nil"/>
          <w:bottom w:val="nil"/>
          <w:right w:val="nil"/>
          <w:between w:val="nil"/>
          <w:bar w:val="nil"/>
        </w:pBdr>
        <w:spacing w:before="60" w:after="0" w:line="276" w:lineRule="auto"/>
        <w:ind w:left="714" w:hanging="357"/>
        <w:contextualSpacing w:val="0"/>
        <w:jc w:val="both"/>
      </w:pPr>
      <w:r w:rsidRPr="00537296">
        <w:t xml:space="preserve">Des </w:t>
      </w:r>
      <w:r w:rsidRPr="00537296">
        <w:rPr>
          <w:bCs/>
        </w:rPr>
        <w:t>conditions d’habitat minimales</w:t>
      </w:r>
      <w:r w:rsidRPr="00537296">
        <w:t xml:space="preserve"> dans les </w:t>
      </w:r>
      <w:r>
        <w:t>aires d’accueil temporaire, parfois vétustes et quoiqu’il en soit inadaptées pour des séjours de longue durée</w:t>
      </w:r>
      <w:r w:rsidR="00A2432E">
        <w:t> ;</w:t>
      </w:r>
    </w:p>
    <w:p w14:paraId="6599484F" w14:textId="77777777" w:rsidR="00537296" w:rsidRPr="00537296" w:rsidRDefault="00537296" w:rsidP="00673EF6">
      <w:pPr>
        <w:pStyle w:val="Pardeliste"/>
        <w:numPr>
          <w:ilvl w:val="0"/>
          <w:numId w:val="7"/>
        </w:numPr>
        <w:pBdr>
          <w:top w:val="nil"/>
          <w:left w:val="nil"/>
          <w:bottom w:val="nil"/>
          <w:right w:val="nil"/>
          <w:between w:val="nil"/>
          <w:bar w:val="nil"/>
        </w:pBdr>
        <w:spacing w:before="60" w:after="0" w:line="276" w:lineRule="auto"/>
        <w:ind w:left="714" w:hanging="357"/>
        <w:contextualSpacing w:val="0"/>
        <w:jc w:val="both"/>
      </w:pPr>
      <w:r w:rsidRPr="00537296">
        <w:t xml:space="preserve">Des </w:t>
      </w:r>
      <w:r w:rsidRPr="00537296">
        <w:rPr>
          <w:bCs/>
        </w:rPr>
        <w:t>caravanes en mauvais état et/ou un surendettement</w:t>
      </w:r>
      <w:r w:rsidRPr="00537296">
        <w:t xml:space="preserve"> pour les renouveler</w:t>
      </w:r>
      <w:r w:rsidR="00A2432E">
        <w:t> ;</w:t>
      </w:r>
    </w:p>
    <w:p w14:paraId="4477F9CE" w14:textId="77777777" w:rsidR="00537296" w:rsidRPr="00537296" w:rsidRDefault="00537296" w:rsidP="00673EF6">
      <w:pPr>
        <w:pStyle w:val="Pardeliste"/>
        <w:numPr>
          <w:ilvl w:val="0"/>
          <w:numId w:val="7"/>
        </w:numPr>
        <w:pBdr>
          <w:top w:val="nil"/>
          <w:left w:val="nil"/>
          <w:bottom w:val="nil"/>
          <w:right w:val="nil"/>
          <w:between w:val="nil"/>
          <w:bar w:val="nil"/>
        </w:pBdr>
        <w:spacing w:before="60" w:after="0" w:line="276" w:lineRule="auto"/>
        <w:ind w:left="714" w:hanging="357"/>
        <w:contextualSpacing w:val="0"/>
        <w:jc w:val="both"/>
      </w:pPr>
      <w:r w:rsidRPr="00537296">
        <w:t xml:space="preserve">Problème de </w:t>
      </w:r>
      <w:r w:rsidRPr="00537296">
        <w:rPr>
          <w:bCs/>
        </w:rPr>
        <w:t>décence et d’insalubrité, lié à la qualité des caravanes, des terrains et à l’absence de raccordement</w:t>
      </w:r>
      <w:r w:rsidRPr="00537296">
        <w:t xml:space="preserve"> à l’eau ou à l’électricité</w:t>
      </w:r>
      <w:r w:rsidR="00A2432E">
        <w:t> ;</w:t>
      </w:r>
    </w:p>
    <w:p w14:paraId="49B73E62" w14:textId="77777777" w:rsidR="00537296" w:rsidRPr="00537296" w:rsidRDefault="00537296" w:rsidP="00673EF6">
      <w:pPr>
        <w:pStyle w:val="Pardeliste"/>
        <w:numPr>
          <w:ilvl w:val="0"/>
          <w:numId w:val="7"/>
        </w:numPr>
        <w:pBdr>
          <w:top w:val="nil"/>
          <w:left w:val="nil"/>
          <w:bottom w:val="nil"/>
          <w:right w:val="nil"/>
          <w:between w:val="nil"/>
          <w:bar w:val="nil"/>
        </w:pBdr>
        <w:spacing w:before="60" w:after="0" w:line="276" w:lineRule="auto"/>
        <w:ind w:left="714" w:hanging="357"/>
        <w:contextualSpacing w:val="0"/>
        <w:jc w:val="both"/>
      </w:pPr>
      <w:r w:rsidRPr="00537296">
        <w:rPr>
          <w:bCs/>
        </w:rPr>
        <w:t xml:space="preserve">Absence </w:t>
      </w:r>
      <w:r w:rsidR="00A2432E">
        <w:rPr>
          <w:bCs/>
        </w:rPr>
        <w:t xml:space="preserve">quasi-générale </w:t>
      </w:r>
      <w:r w:rsidRPr="00537296">
        <w:rPr>
          <w:bCs/>
        </w:rPr>
        <w:t>d’autorisation de stationnement</w:t>
      </w:r>
      <w:r w:rsidRPr="00537296">
        <w:t xml:space="preserve"> des caravanes qui rend l’occupation très précaire et expose à des risques d’évacuation continuels.</w:t>
      </w:r>
    </w:p>
    <w:p w14:paraId="15E11AAF" w14:textId="77777777" w:rsidR="00537296" w:rsidRDefault="00673EF6" w:rsidP="00AF6FC4">
      <w:pPr>
        <w:pStyle w:val="Corps"/>
        <w:spacing w:before="120" w:after="0" w:line="240" w:lineRule="auto"/>
        <w:jc w:val="both"/>
      </w:pPr>
      <w:r>
        <w:rPr>
          <w:bCs/>
        </w:rPr>
        <w:t xml:space="preserve">On estime à </w:t>
      </w:r>
      <w:r w:rsidR="00537296" w:rsidRPr="00A2432E">
        <w:rPr>
          <w:bCs/>
        </w:rPr>
        <w:t xml:space="preserve">208 </w:t>
      </w:r>
      <w:r w:rsidR="00A2432E" w:rsidRPr="00A2432E">
        <w:rPr>
          <w:bCs/>
        </w:rPr>
        <w:t>500</w:t>
      </w:r>
      <w:r w:rsidR="00537296" w:rsidRPr="00A2432E">
        <w:rPr>
          <w:bCs/>
        </w:rPr>
        <w:t xml:space="preserve"> </w:t>
      </w:r>
      <w:r>
        <w:rPr>
          <w:bCs/>
        </w:rPr>
        <w:t xml:space="preserve">le nombre de </w:t>
      </w:r>
      <w:r w:rsidR="00537296" w:rsidRPr="00A2432E">
        <w:rPr>
          <w:bCs/>
        </w:rPr>
        <w:t>personnes</w:t>
      </w:r>
      <w:r w:rsidR="00537296" w:rsidRPr="00A2432E">
        <w:t xml:space="preserve"> v</w:t>
      </w:r>
      <w:r w:rsidR="00537296">
        <w:t>ivant de</w:t>
      </w:r>
      <w:r w:rsidR="00A2432E">
        <w:t xml:space="preserve"> manière</w:t>
      </w:r>
      <w:r w:rsidR="00537296">
        <w:t xml:space="preserve"> </w:t>
      </w:r>
      <w:r w:rsidR="00537296">
        <w:rPr>
          <w:lang w:val="es-ES_tradnl"/>
        </w:rPr>
        <w:t>permanente en</w:t>
      </w:r>
      <w:r w:rsidR="00A2432E">
        <w:rPr>
          <w:lang w:val="es-ES_tradnl"/>
        </w:rPr>
        <w:t xml:space="preserve"> </w:t>
      </w:r>
      <w:proofErr w:type="spellStart"/>
      <w:r w:rsidR="00A2432E">
        <w:rPr>
          <w:lang w:val="es-ES_tradnl"/>
        </w:rPr>
        <w:t>résidence</w:t>
      </w:r>
      <w:proofErr w:type="spellEnd"/>
      <w:r w:rsidR="00537296">
        <w:rPr>
          <w:lang w:val="es-ES_tradnl"/>
        </w:rPr>
        <w:t xml:space="preserve"> </w:t>
      </w:r>
      <w:r w:rsidR="00537296">
        <w:t>mobile en difficult</w:t>
      </w:r>
      <w:r>
        <w:t>é de logement, ayant</w:t>
      </w:r>
      <w:r w:rsidR="00537296">
        <w:t xml:space="preserve"> besoin d’</w:t>
      </w:r>
      <w:proofErr w:type="spellStart"/>
      <w:r w:rsidR="00537296">
        <w:rPr>
          <w:lang w:val="it-IT"/>
        </w:rPr>
        <w:t>acc</w:t>
      </w:r>
      <w:proofErr w:type="spellEnd"/>
      <w:r w:rsidR="00537296">
        <w:t>é</w:t>
      </w:r>
      <w:r w:rsidR="00537296">
        <w:rPr>
          <w:lang w:val="de-DE"/>
        </w:rPr>
        <w:t xml:space="preserve">der </w:t>
      </w:r>
      <w:r w:rsidR="00537296">
        <w:t xml:space="preserve">à un habitat ou d’améliorer leur habitat. </w:t>
      </w:r>
    </w:p>
    <w:p w14:paraId="77C96052" w14:textId="77777777" w:rsidR="00673EF6" w:rsidRDefault="0075327E" w:rsidP="00AF6FC4">
      <w:pPr>
        <w:pStyle w:val="Corps"/>
        <w:spacing w:before="120" w:after="0" w:line="240" w:lineRule="auto"/>
        <w:jc w:val="both"/>
        <w:rPr>
          <w:shd w:val="clear" w:color="auto" w:fill="FFFFFF"/>
        </w:rPr>
      </w:pPr>
      <w:r>
        <w:rPr>
          <w:color w:val="auto"/>
        </w:rPr>
        <w:t xml:space="preserve">La loi du 5 juillet 2000 </w:t>
      </w:r>
      <w:r w:rsidRPr="0075327E">
        <w:rPr>
          <w:szCs w:val="16"/>
        </w:rPr>
        <w:t>n° 2000-614 du 5 juillet 2000 relative à l’accueil et l’habitat des gens du voyage</w:t>
      </w:r>
      <w:r>
        <w:rPr>
          <w:rStyle w:val="Appelnotedebasdep"/>
          <w:color w:val="auto"/>
        </w:rPr>
        <w:footnoteReference w:id="14"/>
      </w:r>
      <w:r w:rsidR="00537296">
        <w:rPr>
          <w:szCs w:val="16"/>
        </w:rPr>
        <w:t xml:space="preserve"> </w:t>
      </w:r>
      <w:r w:rsidR="00A042B2">
        <w:rPr>
          <w:szCs w:val="16"/>
        </w:rPr>
        <w:t xml:space="preserve">permet </w:t>
      </w:r>
      <w:r w:rsidR="00E410B2">
        <w:rPr>
          <w:szCs w:val="16"/>
        </w:rPr>
        <w:t xml:space="preserve">cependant </w:t>
      </w:r>
      <w:r w:rsidR="00A042B2">
        <w:rPr>
          <w:shd w:val="clear" w:color="auto" w:fill="FFFFFF"/>
        </w:rPr>
        <w:t xml:space="preserve">au maire d’une commune dotée d'une aire </w:t>
      </w:r>
      <w:r w:rsidR="00673EF6">
        <w:rPr>
          <w:shd w:val="clear" w:color="auto" w:fill="FFFFFF"/>
        </w:rPr>
        <w:t xml:space="preserve">d'accueil </w:t>
      </w:r>
      <w:r w:rsidR="00A042B2">
        <w:rPr>
          <w:shd w:val="clear" w:color="auto" w:fill="FFFFFF"/>
        </w:rPr>
        <w:t xml:space="preserve">ou de terrains </w:t>
      </w:r>
      <w:r w:rsidR="00673EF6">
        <w:rPr>
          <w:shd w:val="clear" w:color="auto" w:fill="FFFFFF"/>
        </w:rPr>
        <w:t xml:space="preserve">familiaux </w:t>
      </w:r>
      <w:r w:rsidR="00A042B2">
        <w:rPr>
          <w:shd w:val="clear" w:color="auto" w:fill="FFFFFF"/>
        </w:rPr>
        <w:t>d'interdire le stationnement des résidences mobiles sur le reste du territoire communal, même si l'</w:t>
      </w:r>
      <w:r w:rsidR="009D430E">
        <w:rPr>
          <w:shd w:val="clear" w:color="auto" w:fill="FFFFFF"/>
        </w:rPr>
        <w:t>établissement public de coopération communale</w:t>
      </w:r>
      <w:r w:rsidR="00612C52">
        <w:rPr>
          <w:shd w:val="clear" w:color="auto" w:fill="FFFFFF"/>
        </w:rPr>
        <w:t xml:space="preserve"> (EPCI)</w:t>
      </w:r>
      <w:r w:rsidR="009D430E">
        <w:rPr>
          <w:rStyle w:val="Appelnotedebasdep"/>
          <w:shd w:val="clear" w:color="auto" w:fill="FFFFFF"/>
        </w:rPr>
        <w:footnoteReference w:id="15"/>
      </w:r>
      <w:r w:rsidR="00A042B2">
        <w:rPr>
          <w:shd w:val="clear" w:color="auto" w:fill="FFFFFF"/>
        </w:rPr>
        <w:t xml:space="preserve"> </w:t>
      </w:r>
      <w:r w:rsidR="00AF638E">
        <w:rPr>
          <w:shd w:val="clear" w:color="auto" w:fill="FFFFFF"/>
        </w:rPr>
        <w:t xml:space="preserve">auquel elle appartient </w:t>
      </w:r>
      <w:r w:rsidR="00A042B2">
        <w:rPr>
          <w:shd w:val="clear" w:color="auto" w:fill="FFFFFF"/>
        </w:rPr>
        <w:t>n'a pas rempli l'ensemble de ses obligations</w:t>
      </w:r>
      <w:r w:rsidR="00673EF6">
        <w:rPr>
          <w:shd w:val="clear" w:color="auto" w:fill="FFFFFF"/>
        </w:rPr>
        <w:t xml:space="preserve"> (limitant donc les possibilités de trouver à s'installer dans une commune voisine)</w:t>
      </w:r>
      <w:r w:rsidR="00AF638E">
        <w:rPr>
          <w:shd w:val="clear" w:color="auto" w:fill="FFFFFF"/>
        </w:rPr>
        <w:t xml:space="preserve"> ; </w:t>
      </w:r>
      <w:r w:rsidR="00673EF6">
        <w:rPr>
          <w:shd w:val="clear" w:color="auto" w:fill="FFFFFF"/>
        </w:rPr>
        <w:t>l'interdiction est également possible</w:t>
      </w:r>
      <w:r w:rsidR="00612C52">
        <w:rPr>
          <w:shd w:val="clear" w:color="auto" w:fill="FFFFFF"/>
        </w:rPr>
        <w:t>,</w:t>
      </w:r>
      <w:r w:rsidR="00AF638E">
        <w:rPr>
          <w:shd w:val="clear" w:color="auto" w:fill="FFFFFF"/>
        </w:rPr>
        <w:t xml:space="preserve"> s</w:t>
      </w:r>
      <w:r w:rsidR="00612C52">
        <w:rPr>
          <w:shd w:val="clear" w:color="auto" w:fill="FFFFFF"/>
        </w:rPr>
        <w:t>ans condition de disposer d’aire d’accueil</w:t>
      </w:r>
      <w:r w:rsidR="00673EF6">
        <w:rPr>
          <w:shd w:val="clear" w:color="auto" w:fill="FFFFFF"/>
        </w:rPr>
        <w:t xml:space="preserve"> cette fois, si l'</w:t>
      </w:r>
      <w:r w:rsidR="00612C52">
        <w:rPr>
          <w:shd w:val="clear" w:color="auto" w:fill="FFFFFF"/>
        </w:rPr>
        <w:t>EPCI</w:t>
      </w:r>
      <w:r w:rsidR="00AF638E">
        <w:rPr>
          <w:shd w:val="clear" w:color="auto" w:fill="FFFFFF"/>
        </w:rPr>
        <w:t xml:space="preserve"> </w:t>
      </w:r>
      <w:r w:rsidR="00612C52">
        <w:rPr>
          <w:shd w:val="clear" w:color="auto" w:fill="FFFFFF"/>
        </w:rPr>
        <w:t>remplit globalement ses obligations ou s’il dispose d’un délai pour le faire</w:t>
      </w:r>
      <w:r w:rsidR="00612C52">
        <w:rPr>
          <w:rStyle w:val="Appelnotedebasdep"/>
          <w:shd w:val="clear" w:color="auto" w:fill="FFFFFF"/>
        </w:rPr>
        <w:footnoteReference w:id="16"/>
      </w:r>
      <w:r w:rsidR="00A042B2">
        <w:rPr>
          <w:shd w:val="clear" w:color="auto" w:fill="FFFFFF"/>
        </w:rPr>
        <w:t xml:space="preserve">. </w:t>
      </w:r>
    </w:p>
    <w:p w14:paraId="03812533" w14:textId="77777777" w:rsidR="00BC0EBF" w:rsidRDefault="00673EF6" w:rsidP="00AF6FC4">
      <w:pPr>
        <w:pStyle w:val="Corps"/>
        <w:spacing w:before="120" w:after="0" w:line="240" w:lineRule="auto"/>
        <w:jc w:val="both"/>
      </w:pPr>
      <w:r>
        <w:rPr>
          <w:shd w:val="clear" w:color="auto" w:fill="FFFFFF"/>
        </w:rPr>
        <w:t>Ces interdictions, de plus en plus déconnectées donc des obligations publiques en matière d'accueil et d'habitat,</w:t>
      </w:r>
      <w:r w:rsidR="00A042B2">
        <w:t xml:space="preserve"> </w:t>
      </w:r>
      <w:r>
        <w:t xml:space="preserve">ouvrent </w:t>
      </w:r>
      <w:r w:rsidR="00A042B2">
        <w:t>la faculté d’user d</w:t>
      </w:r>
      <w:r w:rsidR="003274AD">
        <w:t>’une</w:t>
      </w:r>
      <w:r w:rsidR="00A042B2">
        <w:t xml:space="preserve"> procédure d’expulsion </w:t>
      </w:r>
      <w:r w:rsidR="003274AD">
        <w:t xml:space="preserve">exceptionnelle et </w:t>
      </w:r>
      <w:r w:rsidR="00A042B2">
        <w:t>expéditive</w:t>
      </w:r>
      <w:r w:rsidR="00F879A7">
        <w:t> </w:t>
      </w:r>
      <w:r>
        <w:t>de ces habitants indésirables</w:t>
      </w:r>
      <w:r w:rsidR="007A3820">
        <w:t xml:space="preserve"> : </w:t>
      </w:r>
    </w:p>
    <w:p w14:paraId="0C7CCF4D" w14:textId="77777777" w:rsidR="00BC0EBF" w:rsidRDefault="00BC0EBF" w:rsidP="00BC0EBF">
      <w:pPr>
        <w:pStyle w:val="Corps"/>
        <w:numPr>
          <w:ilvl w:val="0"/>
          <w:numId w:val="12"/>
        </w:numPr>
        <w:spacing w:before="60" w:after="0" w:line="240" w:lineRule="auto"/>
        <w:ind w:left="714" w:hanging="357"/>
        <w:jc w:val="both"/>
      </w:pPr>
      <w:r>
        <w:t xml:space="preserve">Une </w:t>
      </w:r>
      <w:r w:rsidR="007A3820">
        <w:t xml:space="preserve">mise en demeure de quitter les lieux en 24h, qui reste valable durant 7 jours sur tout le </w:t>
      </w:r>
      <w:r w:rsidR="00D938A4">
        <w:t>territoire</w:t>
      </w:r>
      <w:r w:rsidR="007A3820">
        <w:t xml:space="preserve"> de la commune ou</w:t>
      </w:r>
      <w:r w:rsidR="00D938A4">
        <w:t xml:space="preserve"> de l’EPCI ; </w:t>
      </w:r>
    </w:p>
    <w:p w14:paraId="2B29722C" w14:textId="77777777" w:rsidR="00BC0EBF" w:rsidRDefault="00BC0EBF" w:rsidP="00BC0EBF">
      <w:pPr>
        <w:pStyle w:val="Corps"/>
        <w:numPr>
          <w:ilvl w:val="0"/>
          <w:numId w:val="12"/>
        </w:numPr>
        <w:spacing w:before="60" w:after="0" w:line="240" w:lineRule="auto"/>
        <w:ind w:left="714" w:hanging="357"/>
        <w:jc w:val="both"/>
      </w:pPr>
      <w:r>
        <w:t>Un</w:t>
      </w:r>
      <w:r w:rsidR="00D938A4">
        <w:t xml:space="preserve"> délai </w:t>
      </w:r>
      <w:r>
        <w:t xml:space="preserve">de recours </w:t>
      </w:r>
      <w:r w:rsidR="00D938A4">
        <w:t xml:space="preserve">fixé par la mise en demeure </w:t>
      </w:r>
      <w:r>
        <w:t>est nécessairement trop</w:t>
      </w:r>
      <w:r w:rsidR="00D938A4">
        <w:t xml:space="preserve"> limité</w:t>
      </w:r>
      <w:r>
        <w:t xml:space="preserve"> pour pouvoir se défendre convenablement</w:t>
      </w:r>
      <w:r w:rsidR="00D938A4">
        <w:t>,</w:t>
      </w:r>
      <w:r w:rsidR="00DF594E">
        <w:t xml:space="preserve"> le juge statuant dans un délai également extrêmement court de 48h</w:t>
      </w:r>
      <w:r>
        <w:t xml:space="preserve">, incompatible avec l'exigence d'une appréciation correcte des circonstances et de la situation des voyageurs ; </w:t>
      </w:r>
    </w:p>
    <w:p w14:paraId="700DDA79" w14:textId="77777777" w:rsidR="00BC0EBF" w:rsidRDefault="00BC0EBF" w:rsidP="00BC0EBF">
      <w:pPr>
        <w:pStyle w:val="Corps"/>
        <w:numPr>
          <w:ilvl w:val="0"/>
          <w:numId w:val="12"/>
        </w:numPr>
        <w:spacing w:before="60" w:after="0" w:line="240" w:lineRule="auto"/>
        <w:ind w:left="714" w:hanging="357"/>
        <w:jc w:val="both"/>
      </w:pPr>
      <w:r>
        <w:t xml:space="preserve">A l'issue de la mise en demeure, </w:t>
      </w:r>
      <w:r w:rsidR="00D938A4">
        <w:t>le préfet procède à l’évacuatio</w:t>
      </w:r>
      <w:r>
        <w:t>n ;</w:t>
      </w:r>
    </w:p>
    <w:p w14:paraId="5E8341A7" w14:textId="77777777" w:rsidR="003F1769" w:rsidRDefault="00BC0EBF" w:rsidP="00AF6FC4">
      <w:pPr>
        <w:pStyle w:val="Corps"/>
        <w:spacing w:before="120" w:after="0" w:line="240" w:lineRule="auto"/>
        <w:jc w:val="both"/>
      </w:pPr>
      <w:r>
        <w:t>L</w:t>
      </w:r>
      <w:r w:rsidR="00DF594E">
        <w:t>e fait de ne pas se conformer à l’interdiction de stationnement est</w:t>
      </w:r>
      <w:r>
        <w:t>, en outre,</w:t>
      </w:r>
      <w:r w:rsidR="00673EF6">
        <w:t xml:space="preserve"> puni de 3 750 euros d’amende.</w:t>
      </w:r>
    </w:p>
    <w:p w14:paraId="6C7A7A82" w14:textId="77777777" w:rsidR="003274AD" w:rsidRPr="00F879A7" w:rsidRDefault="003274AD" w:rsidP="00AF6FC4">
      <w:pPr>
        <w:pStyle w:val="Corps"/>
        <w:spacing w:before="120" w:after="0" w:line="240" w:lineRule="auto"/>
        <w:jc w:val="both"/>
        <w:rPr>
          <w:color w:val="auto"/>
        </w:rPr>
      </w:pPr>
      <w:r>
        <w:rPr>
          <w:color w:val="auto"/>
        </w:rPr>
        <w:t>Cette procédure peut encore être mise en œuvre dans les communes qui n’ont pas d’obligation d’accueil.</w:t>
      </w:r>
    </w:p>
    <w:p w14:paraId="31BABB13" w14:textId="77777777" w:rsidR="003274AD" w:rsidRPr="00AF6FC4" w:rsidRDefault="003274AD" w:rsidP="00AF6FC4">
      <w:pPr>
        <w:pStyle w:val="Normalweb"/>
        <w:spacing w:before="120" w:beforeAutospacing="0" w:after="0" w:afterAutospacing="0"/>
        <w:jc w:val="both"/>
        <w:rPr>
          <w:rFonts w:asciiTheme="minorHAnsi" w:hAnsiTheme="minorHAnsi" w:cstheme="minorHAnsi"/>
          <w:spacing w:val="-2"/>
          <w:sz w:val="22"/>
        </w:rPr>
      </w:pPr>
      <w:r w:rsidRPr="00AF6FC4">
        <w:rPr>
          <w:rFonts w:asciiTheme="minorHAnsi" w:hAnsiTheme="minorHAnsi" w:cstheme="minorHAnsi"/>
          <w:bCs/>
          <w:spacing w:val="-2"/>
          <w:sz w:val="22"/>
        </w:rPr>
        <w:t>L</w:t>
      </w:r>
      <w:r w:rsidR="00BC121F">
        <w:rPr>
          <w:rFonts w:asciiTheme="minorHAnsi" w:hAnsiTheme="minorHAnsi" w:cstheme="minorHAnsi"/>
          <w:bCs/>
          <w:spacing w:val="-2"/>
          <w:sz w:val="22"/>
        </w:rPr>
        <w:t>'article 322-4-1 du</w:t>
      </w:r>
      <w:r w:rsidRPr="00AF6FC4">
        <w:rPr>
          <w:rFonts w:asciiTheme="minorHAnsi" w:hAnsiTheme="minorHAnsi" w:cstheme="minorHAnsi"/>
          <w:bCs/>
          <w:spacing w:val="-2"/>
          <w:sz w:val="22"/>
        </w:rPr>
        <w:t xml:space="preserve"> code pénal prévoit que </w:t>
      </w:r>
      <w:r w:rsidRPr="00AF6FC4">
        <w:rPr>
          <w:rFonts w:asciiTheme="minorHAnsi" w:hAnsiTheme="minorHAnsi" w:cstheme="minorHAnsi"/>
          <w:spacing w:val="-2"/>
          <w:sz w:val="22"/>
        </w:rPr>
        <w:t xml:space="preserve">le fait de </w:t>
      </w:r>
      <w:r w:rsidR="00B40E62" w:rsidRPr="00B40E62">
        <w:rPr>
          <w:rFonts w:asciiTheme="minorHAnsi" w:hAnsiTheme="minorHAnsi" w:cstheme="minorHAnsi"/>
          <w:i/>
          <w:spacing w:val="-2"/>
          <w:sz w:val="22"/>
        </w:rPr>
        <w:t>"</w:t>
      </w:r>
      <w:r w:rsidRPr="00B40E62">
        <w:rPr>
          <w:rFonts w:asciiTheme="minorHAnsi" w:hAnsiTheme="minorHAnsi" w:cstheme="minorHAnsi"/>
          <w:i/>
          <w:spacing w:val="-2"/>
          <w:sz w:val="22"/>
        </w:rPr>
        <w:t xml:space="preserve">s'installer en réunion et sans autorisation, en vue d'y établir une habitation, même temporaire, sur un terrain appartenant à une commune qui s'est </w:t>
      </w:r>
      <w:r w:rsidRPr="00B40E62">
        <w:rPr>
          <w:rFonts w:asciiTheme="minorHAnsi" w:hAnsiTheme="minorHAnsi" w:cstheme="minorHAnsi"/>
          <w:i/>
          <w:spacing w:val="-2"/>
          <w:sz w:val="22"/>
        </w:rPr>
        <w:lastRenderedPageBreak/>
        <w:t>conformée aux obligations lui incombant en vertu du schéma départemental d'accueil et d'habitat des gens du voyage ou qui n'est pas inscrite à ce schéma, soit à tout autre propriétaire autre qu'une commune, est puni d'un an d'emprisonnement et de 7 500 € d'amende</w:t>
      </w:r>
      <w:r w:rsidR="00B40E62" w:rsidRPr="00B40E62">
        <w:rPr>
          <w:rFonts w:asciiTheme="minorHAnsi" w:hAnsiTheme="minorHAnsi" w:cstheme="minorHAnsi"/>
          <w:i/>
          <w:spacing w:val="-2"/>
          <w:sz w:val="22"/>
        </w:rPr>
        <w:t>"</w:t>
      </w:r>
      <w:r w:rsidR="005A3428" w:rsidRPr="00AF6FC4">
        <w:rPr>
          <w:rFonts w:asciiTheme="minorHAnsi" w:hAnsiTheme="minorHAnsi" w:cstheme="minorHAnsi"/>
          <w:spacing w:val="-2"/>
          <w:sz w:val="22"/>
        </w:rPr>
        <w:t xml:space="preserve"> (peine doublée en 2018)</w:t>
      </w:r>
      <w:r w:rsidRPr="00AF6FC4">
        <w:rPr>
          <w:rFonts w:asciiTheme="minorHAnsi" w:hAnsiTheme="minorHAnsi" w:cstheme="minorHAnsi"/>
          <w:spacing w:val="-2"/>
          <w:sz w:val="22"/>
        </w:rPr>
        <w:t xml:space="preserve">. </w:t>
      </w:r>
    </w:p>
    <w:p w14:paraId="63A78677" w14:textId="77777777" w:rsidR="00F93053" w:rsidRDefault="005A3428" w:rsidP="00AF6FC4">
      <w:pPr>
        <w:spacing w:before="120" w:after="0"/>
        <w:jc w:val="both"/>
      </w:pPr>
      <w:r w:rsidRPr="00AF6FC4">
        <w:t>La procédure d’</w:t>
      </w:r>
      <w:bookmarkStart w:id="1" w:name="mot3317"/>
      <w:r w:rsidRPr="00AF6FC4">
        <w:rPr>
          <w:bCs/>
        </w:rPr>
        <w:t>amende</w:t>
      </w:r>
      <w:bookmarkEnd w:id="1"/>
      <w:r w:rsidRPr="00AF6FC4">
        <w:rPr>
          <w:bCs/>
        </w:rPr>
        <w:t xml:space="preserve"> forfaitaire</w:t>
      </w:r>
      <w:r w:rsidR="00A55CCE" w:rsidRPr="00AF6FC4">
        <w:rPr>
          <w:rStyle w:val="Appelnotedebasdep"/>
          <w:rFonts w:cstheme="minorHAnsi"/>
          <w:bCs/>
          <w:spacing w:val="-2"/>
        </w:rPr>
        <w:footnoteReference w:id="17"/>
      </w:r>
      <w:r w:rsidRPr="00AF6FC4">
        <w:t xml:space="preserve"> appliquée à cette infraction, dont le </w:t>
      </w:r>
      <w:r w:rsidR="003274AD" w:rsidRPr="00AF6FC4">
        <w:t xml:space="preserve">montant </w:t>
      </w:r>
      <w:r w:rsidRPr="00AF6FC4">
        <w:t xml:space="preserve">est </w:t>
      </w:r>
      <w:r w:rsidR="00401AE9" w:rsidRPr="00AF6FC4">
        <w:t>important au regard du niveau de vie moyen des « gens du voyage » (</w:t>
      </w:r>
      <w:r w:rsidR="003274AD" w:rsidRPr="00AF6FC4">
        <w:t>500 €</w:t>
      </w:r>
      <w:r w:rsidRPr="00AF6FC4">
        <w:t>, pouvant être</w:t>
      </w:r>
      <w:r w:rsidR="003274AD" w:rsidRPr="00AF6FC4">
        <w:t xml:space="preserve"> minorée </w:t>
      </w:r>
      <w:r w:rsidRPr="00AF6FC4">
        <w:t>à</w:t>
      </w:r>
      <w:r w:rsidR="003274AD" w:rsidRPr="00AF6FC4">
        <w:t xml:space="preserve"> 400 € et majorée </w:t>
      </w:r>
      <w:r w:rsidRPr="00AF6FC4">
        <w:t>à</w:t>
      </w:r>
      <w:r w:rsidR="003274AD" w:rsidRPr="00AF6FC4">
        <w:t xml:space="preserve"> 1 000 €</w:t>
      </w:r>
      <w:r w:rsidR="00B40E62">
        <w:t>)</w:t>
      </w:r>
      <w:r w:rsidR="003274AD" w:rsidRPr="00AF6FC4">
        <w:t xml:space="preserve">. </w:t>
      </w:r>
      <w:r w:rsidR="00384D4E" w:rsidRPr="00AF6FC4">
        <w:t xml:space="preserve">Cette mesure </w:t>
      </w:r>
      <w:r w:rsidR="00B40E62">
        <w:t xml:space="preserve">est </w:t>
      </w:r>
      <w:r w:rsidR="00384D4E" w:rsidRPr="00AF6FC4">
        <w:t xml:space="preserve">particulièrement est révélatrice de la persistance </w:t>
      </w:r>
      <w:r w:rsidR="00B95C48" w:rsidRPr="00AF6FC4">
        <w:t xml:space="preserve">d’une stigmatisation des personnes dites « Gens du voyage » et </w:t>
      </w:r>
      <w:r w:rsidR="00384D4E" w:rsidRPr="00AF6FC4">
        <w:t xml:space="preserve">d’un état d’esprit hostile à l’égard </w:t>
      </w:r>
      <w:r w:rsidR="00B95C48" w:rsidRPr="00AF6FC4">
        <w:t>et de leur mode de vie</w:t>
      </w:r>
      <w:r w:rsidR="00B40E62">
        <w:t>. Elle</w:t>
      </w:r>
      <w:r w:rsidR="00384D4E" w:rsidRPr="00AF6FC4">
        <w:t xml:space="preserve"> </w:t>
      </w:r>
      <w:r w:rsidR="00B95C48" w:rsidRPr="00AF6FC4">
        <w:t>renforce</w:t>
      </w:r>
      <w:r w:rsidR="00384D4E" w:rsidRPr="00AF6FC4">
        <w:t xml:space="preserve"> </w:t>
      </w:r>
      <w:r w:rsidR="00904256" w:rsidRPr="00AF6FC4">
        <w:t xml:space="preserve">les pratiques </w:t>
      </w:r>
      <w:r w:rsidR="00E36B9D" w:rsidRPr="00AF6FC4">
        <w:t xml:space="preserve">discrétionnaires et les moyens de pression sur les familles précaires, </w:t>
      </w:r>
      <w:r w:rsidR="00B95C48" w:rsidRPr="00AF6FC4">
        <w:t>tout en</w:t>
      </w:r>
      <w:r w:rsidR="00E36B9D" w:rsidRPr="00AF6FC4">
        <w:t xml:space="preserve"> permettant aux autorités de se dispenser des procédures</w:t>
      </w:r>
      <w:r w:rsidR="005B0D34" w:rsidRPr="00AF6FC4">
        <w:t xml:space="preserve"> d’évacuation et d’expulsion de droit commun</w:t>
      </w:r>
      <w:r w:rsidR="00B40E62">
        <w:t xml:space="preserve">, comme l'affirme en personne </w:t>
      </w:r>
      <w:r w:rsidR="0007753E" w:rsidRPr="00AF6FC4">
        <w:t xml:space="preserve">Emmanuel Macron dans son discours du 14 septembre 2021 : </w:t>
      </w:r>
      <w:r w:rsidR="0007753E" w:rsidRPr="00AF6FC4">
        <w:rPr>
          <w:i/>
        </w:rPr>
        <w:t>« Dès ce mois d'octobre, nous procéderons à la même transformation pour répondre à deux phénomènes très concrets que nos élus connaissent bien : d'abord, l'occupation illicite par les gens du voyage de certains terrains. Il suffit de lire la presse quotidienne régionale pour savoir que nos procédures sont trop longues, que quand on arrive avec la procédure, requérir le concours de la force publique c'est parfois déjà trop tard. Mais qu’on ne fait pas mal là où ça fait vraiment mal, c'est le porte-monnaie, pardon d'être trivial et direct. Et donc on va faire gagner du temps à beaucoup de monde, on va alléger la procédure</w:t>
      </w:r>
      <w:r w:rsidR="000D76F7" w:rsidRPr="00AF6FC4">
        <w:rPr>
          <w:i/>
        </w:rPr>
        <w:t>…</w:t>
      </w:r>
      <w:r w:rsidR="0007753E" w:rsidRPr="00AF6FC4">
        <w:rPr>
          <w:i/>
        </w:rPr>
        <w:t> »</w:t>
      </w:r>
      <w:r w:rsidR="0007753E" w:rsidRPr="00AF6FC4">
        <w:rPr>
          <w:rStyle w:val="Appelnotedebasdep"/>
          <w:spacing w:val="-2"/>
        </w:rPr>
        <w:footnoteReference w:id="18"/>
      </w:r>
      <w:r w:rsidR="0007753E" w:rsidRPr="00AF6FC4">
        <w:t>.</w:t>
      </w:r>
    </w:p>
    <w:p w14:paraId="2CDE76C5" w14:textId="77777777" w:rsidR="00600BC5" w:rsidRPr="00AF6FC4" w:rsidRDefault="00600BC5" w:rsidP="00AF6FC4">
      <w:pPr>
        <w:spacing w:before="120" w:after="0"/>
        <w:jc w:val="both"/>
      </w:pPr>
    </w:p>
    <w:p w14:paraId="6D7F40DA" w14:textId="77777777" w:rsidR="003F1769" w:rsidRDefault="003F1769" w:rsidP="00AF6FC4">
      <w:pPr>
        <w:pStyle w:val="Pardeliste"/>
        <w:numPr>
          <w:ilvl w:val="0"/>
          <w:numId w:val="2"/>
        </w:numPr>
        <w:spacing w:before="120" w:after="0"/>
        <w:contextualSpacing w:val="0"/>
        <w:jc w:val="both"/>
        <w:rPr>
          <w:b/>
          <w:color w:val="4472C4" w:themeColor="accent1"/>
          <w:szCs w:val="24"/>
          <w:lang w:eastAsia="fr-FR"/>
        </w:rPr>
      </w:pPr>
      <w:r w:rsidRPr="003F1769">
        <w:rPr>
          <w:b/>
          <w:color w:val="4472C4" w:themeColor="accent1"/>
          <w:szCs w:val="24"/>
          <w:lang w:eastAsia="fr-FR"/>
        </w:rPr>
        <w:t xml:space="preserve">La persécution </w:t>
      </w:r>
      <w:r w:rsidR="00FE0C57">
        <w:rPr>
          <w:b/>
          <w:color w:val="4472C4" w:themeColor="accent1"/>
          <w:szCs w:val="24"/>
          <w:lang w:eastAsia="fr-FR"/>
        </w:rPr>
        <w:t xml:space="preserve">policière </w:t>
      </w:r>
      <w:r w:rsidRPr="003F1769">
        <w:rPr>
          <w:b/>
          <w:color w:val="4472C4" w:themeColor="accent1"/>
          <w:szCs w:val="24"/>
          <w:lang w:eastAsia="fr-FR"/>
        </w:rPr>
        <w:t xml:space="preserve">des personnes </w:t>
      </w:r>
      <w:r w:rsidR="00B40E62">
        <w:rPr>
          <w:b/>
          <w:color w:val="4472C4" w:themeColor="accent1"/>
          <w:szCs w:val="24"/>
          <w:lang w:eastAsia="fr-FR"/>
        </w:rPr>
        <w:t>habitant en bidonville et des exilés partout en France</w:t>
      </w:r>
    </w:p>
    <w:p w14:paraId="45E7CA81" w14:textId="77777777" w:rsidR="00AE252B" w:rsidRPr="00AF6FC4" w:rsidRDefault="00633DF2" w:rsidP="00AF6FC4">
      <w:pPr>
        <w:pStyle w:val="Pardeliste"/>
        <w:spacing w:before="120" w:after="0"/>
        <w:ind w:left="0"/>
        <w:contextualSpacing w:val="0"/>
        <w:jc w:val="both"/>
        <w:rPr>
          <w:rFonts w:cstheme="minorHAnsi"/>
        </w:rPr>
      </w:pPr>
      <w:r w:rsidRPr="00AF6FC4">
        <w:rPr>
          <w:rFonts w:cstheme="minorHAnsi"/>
        </w:rPr>
        <w:t xml:space="preserve">Les évacuations </w:t>
      </w:r>
      <w:r w:rsidR="00B40E62">
        <w:rPr>
          <w:rFonts w:cstheme="minorHAnsi"/>
        </w:rPr>
        <w:t>des personnes exilées,</w:t>
      </w:r>
      <w:r w:rsidR="00C41A94" w:rsidRPr="00AF6FC4">
        <w:rPr>
          <w:rFonts w:cstheme="minorHAnsi"/>
        </w:rPr>
        <w:t xml:space="preserve"> mal accueillies en France</w:t>
      </w:r>
      <w:r w:rsidR="00B40E62">
        <w:rPr>
          <w:rFonts w:cstheme="minorHAnsi"/>
        </w:rPr>
        <w:t>,</w:t>
      </w:r>
      <w:r w:rsidR="00C41A94" w:rsidRPr="00AF6FC4">
        <w:rPr>
          <w:rFonts w:cstheme="minorHAnsi"/>
        </w:rPr>
        <w:t xml:space="preserve"> </w:t>
      </w:r>
      <w:r w:rsidRPr="00AF6FC4">
        <w:rPr>
          <w:rFonts w:cstheme="minorHAnsi"/>
        </w:rPr>
        <w:t>et de</w:t>
      </w:r>
      <w:r w:rsidR="00B40E62">
        <w:rPr>
          <w:rFonts w:cstheme="minorHAnsi"/>
        </w:rPr>
        <w:t>s occupants de</w:t>
      </w:r>
      <w:r w:rsidRPr="00AF6FC4">
        <w:rPr>
          <w:rFonts w:cstheme="minorHAnsi"/>
        </w:rPr>
        <w:t xml:space="preserve"> </w:t>
      </w:r>
      <w:r w:rsidRPr="00AF6FC4">
        <w:rPr>
          <w:rStyle w:val="highlight"/>
          <w:rFonts w:cstheme="minorHAnsi"/>
        </w:rPr>
        <w:t>bidonville</w:t>
      </w:r>
      <w:r w:rsidRPr="00AF6FC4">
        <w:rPr>
          <w:rFonts w:cstheme="minorHAnsi"/>
        </w:rPr>
        <w:t>s</w:t>
      </w:r>
      <w:r w:rsidR="00B40E62">
        <w:rPr>
          <w:rFonts w:cstheme="minorHAnsi"/>
        </w:rPr>
        <w:t>, qu'elles soient migrantes ou non,</w:t>
      </w:r>
      <w:r w:rsidRPr="00AF6FC4">
        <w:rPr>
          <w:rFonts w:cstheme="minorHAnsi"/>
        </w:rPr>
        <w:t xml:space="preserve"> se déroulent dans des conditions </w:t>
      </w:r>
      <w:r w:rsidR="00C41A94" w:rsidRPr="00AF6FC4">
        <w:rPr>
          <w:rFonts w:cstheme="minorHAnsi"/>
        </w:rPr>
        <w:t xml:space="preserve">souvent </w:t>
      </w:r>
      <w:r w:rsidRPr="00AF6FC4">
        <w:rPr>
          <w:rFonts w:cstheme="minorHAnsi"/>
        </w:rPr>
        <w:t>effroyables</w:t>
      </w:r>
      <w:r w:rsidR="00C41A94" w:rsidRPr="00AF6FC4">
        <w:rPr>
          <w:rFonts w:cstheme="minorHAnsi"/>
        </w:rPr>
        <w:t>.</w:t>
      </w:r>
    </w:p>
    <w:p w14:paraId="68509280" w14:textId="77777777" w:rsidR="00726F84" w:rsidRPr="00AF6FC4" w:rsidRDefault="00726F84" w:rsidP="00AF6FC4">
      <w:pPr>
        <w:pStyle w:val="Pardeliste"/>
        <w:spacing w:before="120" w:after="0"/>
        <w:ind w:left="0"/>
        <w:contextualSpacing w:val="0"/>
        <w:jc w:val="both"/>
        <w:rPr>
          <w:rFonts w:cstheme="minorHAnsi"/>
        </w:rPr>
      </w:pPr>
      <w:r w:rsidRPr="00AF6FC4">
        <w:rPr>
          <w:rFonts w:cstheme="minorHAnsi"/>
        </w:rPr>
        <w:t>Le 25 janvier 2018, le gouvernement a publié une instruction destinée à organiser l’accompagnement des personnes le plus en amont possible en visant un objectif de résorption globale des bidonvilles. Faute de moyens et bien souvent de volonté politique, la logique d’expulsion et d’évacuation</w:t>
      </w:r>
      <w:r w:rsidR="00B33F43">
        <w:rPr>
          <w:rFonts w:cstheme="minorHAnsi"/>
        </w:rPr>
        <w:t>,</w:t>
      </w:r>
      <w:r w:rsidR="00B33F43" w:rsidRPr="00AF6FC4">
        <w:rPr>
          <w:rFonts w:cstheme="minorHAnsi"/>
        </w:rPr>
        <w:t xml:space="preserve"> sans solution d’hébergement</w:t>
      </w:r>
      <w:r w:rsidR="00B33F43">
        <w:rPr>
          <w:rFonts w:cstheme="minorHAnsi"/>
        </w:rPr>
        <w:t xml:space="preserve"> - ou très temporaire -</w:t>
      </w:r>
      <w:r w:rsidR="00B33F43" w:rsidRPr="00AF6FC4">
        <w:rPr>
          <w:rFonts w:cstheme="minorHAnsi"/>
        </w:rPr>
        <w:t xml:space="preserve"> </w:t>
      </w:r>
      <w:r w:rsidR="00B33F43">
        <w:rPr>
          <w:rFonts w:cstheme="minorHAnsi"/>
        </w:rPr>
        <w:t>et encore moins de</w:t>
      </w:r>
      <w:r w:rsidR="00B33F43" w:rsidRPr="00AF6FC4">
        <w:rPr>
          <w:rFonts w:cstheme="minorHAnsi"/>
        </w:rPr>
        <w:t xml:space="preserve"> r</w:t>
      </w:r>
      <w:r w:rsidR="00B33F43">
        <w:rPr>
          <w:rFonts w:cstheme="minorHAnsi"/>
        </w:rPr>
        <w:t xml:space="preserve">elogement, </w:t>
      </w:r>
      <w:r w:rsidR="00D71425">
        <w:rPr>
          <w:rFonts w:cstheme="minorHAnsi"/>
        </w:rPr>
        <w:t>prévaut toujours</w:t>
      </w:r>
      <w:r w:rsidRPr="00AF6FC4">
        <w:rPr>
          <w:rFonts w:cstheme="minorHAnsi"/>
        </w:rPr>
        <w:t>.</w:t>
      </w:r>
    </w:p>
    <w:p w14:paraId="761117F5" w14:textId="77777777" w:rsidR="00B231F5" w:rsidRPr="00AF6FC4" w:rsidRDefault="00D71425" w:rsidP="00AF6FC4">
      <w:pPr>
        <w:spacing w:before="120" w:after="0"/>
        <w:jc w:val="both"/>
        <w:rPr>
          <w:rFonts w:cstheme="minorHAnsi"/>
        </w:rPr>
      </w:pPr>
      <w:r>
        <w:rPr>
          <w:rFonts w:cstheme="minorHAnsi"/>
        </w:rPr>
        <w:t>Entre le 1er</w:t>
      </w:r>
      <w:r w:rsidR="00B231F5" w:rsidRPr="00AF6FC4">
        <w:rPr>
          <w:rFonts w:cstheme="minorHAnsi"/>
        </w:rPr>
        <w:t xml:space="preserve"> novembre 2019 et le 31 octobre 2020, </w:t>
      </w:r>
      <w:r w:rsidRPr="00AF6FC4">
        <w:rPr>
          <w:rFonts w:cstheme="minorHAnsi"/>
        </w:rPr>
        <w:t xml:space="preserve">l’Observatoire des expulsions des lieux de vie informels </w:t>
      </w:r>
      <w:r>
        <w:rPr>
          <w:rFonts w:cstheme="minorHAnsi"/>
        </w:rPr>
        <w:t>recensait</w:t>
      </w:r>
      <w:r w:rsidR="00B231F5" w:rsidRPr="00AF6FC4">
        <w:rPr>
          <w:rFonts w:cstheme="minorHAnsi"/>
        </w:rPr>
        <w:t xml:space="preserve"> 1 079 expulsions (contre 1 159 l’an passé)</w:t>
      </w:r>
      <w:r w:rsidR="005C3FDF" w:rsidRPr="00AF6FC4">
        <w:rPr>
          <w:rFonts w:cstheme="minorHAnsi"/>
        </w:rPr>
        <w:t>,</w:t>
      </w:r>
      <w:r w:rsidR="00B231F5" w:rsidRPr="00AF6FC4">
        <w:rPr>
          <w:rFonts w:cstheme="minorHAnsi"/>
        </w:rPr>
        <w:t xml:space="preserve"> affectant en moyenne 388 personnes par jour, pour certaines plusieurs fois dans l’année. Les territoires du Calaisis et de la ville de Grande-Synthe représentent à eux seuls 88</w:t>
      </w:r>
      <w:r w:rsidR="00B231F5" w:rsidRPr="00AF6FC4">
        <w:rPr>
          <w:rStyle w:val="markedcontent"/>
          <w:rFonts w:cstheme="minorHAnsi"/>
        </w:rPr>
        <w:t xml:space="preserve"> </w:t>
      </w:r>
      <w:r w:rsidR="00B231F5" w:rsidRPr="00AF6FC4">
        <w:rPr>
          <w:rFonts w:cstheme="minorHAnsi"/>
        </w:rPr>
        <w:t xml:space="preserve">% des expulsions signalées. La période du confinement </w:t>
      </w:r>
      <w:r w:rsidR="00B33F43">
        <w:rPr>
          <w:rFonts w:cstheme="minorHAnsi"/>
        </w:rPr>
        <w:t>(</w:t>
      </w:r>
      <w:r w:rsidR="00B231F5" w:rsidRPr="00AF6FC4">
        <w:rPr>
          <w:rFonts w:cstheme="minorHAnsi"/>
        </w:rPr>
        <w:t>17 mars au 11</w:t>
      </w:r>
      <w:r w:rsidR="00B231F5" w:rsidRPr="00AF6FC4">
        <w:rPr>
          <w:rStyle w:val="markedcontent"/>
          <w:rFonts w:cstheme="minorHAnsi"/>
        </w:rPr>
        <w:t xml:space="preserve"> </w:t>
      </w:r>
      <w:r w:rsidR="00B231F5" w:rsidRPr="00AF6FC4">
        <w:rPr>
          <w:rFonts w:cstheme="minorHAnsi"/>
        </w:rPr>
        <w:t>mai 2020</w:t>
      </w:r>
      <w:r w:rsidR="00B33F43">
        <w:rPr>
          <w:rFonts w:cstheme="minorHAnsi"/>
        </w:rPr>
        <w:t>)</w:t>
      </w:r>
      <w:r w:rsidR="00B231F5" w:rsidRPr="00AF6FC4">
        <w:rPr>
          <w:rFonts w:cstheme="minorHAnsi"/>
        </w:rPr>
        <w:t xml:space="preserve"> </w:t>
      </w:r>
      <w:r w:rsidR="00B33F43">
        <w:rPr>
          <w:rFonts w:cstheme="minorHAnsi"/>
        </w:rPr>
        <w:t>a vu</w:t>
      </w:r>
      <w:r w:rsidR="00B231F5" w:rsidRPr="00AF6FC4">
        <w:rPr>
          <w:rFonts w:cstheme="minorHAnsi"/>
        </w:rPr>
        <w:t xml:space="preserve"> l’expulsion de 182 lieux de vie, majoritairement à Calais. Généralement, l’expulsion n’est fondé</w:t>
      </w:r>
      <w:r w:rsidR="00B33F43">
        <w:rPr>
          <w:rFonts w:cstheme="minorHAnsi"/>
        </w:rPr>
        <w:t>e sur aucune base légale connue</w:t>
      </w:r>
      <w:r w:rsidR="00B231F5" w:rsidRPr="00AF6FC4">
        <w:rPr>
          <w:rFonts w:cstheme="minorHAnsi"/>
        </w:rPr>
        <w:t xml:space="preserve">. </w:t>
      </w:r>
      <w:r w:rsidR="00B33F43">
        <w:rPr>
          <w:rFonts w:cstheme="minorHAnsi"/>
        </w:rPr>
        <w:t>D</w:t>
      </w:r>
      <w:r w:rsidR="00B231F5" w:rsidRPr="00AF6FC4">
        <w:rPr>
          <w:rFonts w:cstheme="minorHAnsi"/>
        </w:rPr>
        <w:t>ans 87 % des cas, aucune proposition d’hébergement ou de relogement n’a été formulée. Dans 9 % des cas, la totalité ou une partie des personnes expulsées ont été mises à l’abri temporairement (école, gymnase, hôtel, CAES</w:t>
      </w:r>
      <w:r w:rsidR="00B33F43">
        <w:rPr>
          <w:rStyle w:val="Appelnotedebasdep"/>
          <w:rFonts w:cstheme="minorHAnsi"/>
        </w:rPr>
        <w:footnoteReference w:id="19"/>
      </w:r>
      <w:r w:rsidR="00B231F5" w:rsidRPr="00AF6FC4">
        <w:rPr>
          <w:rFonts w:cstheme="minorHAnsi"/>
        </w:rPr>
        <w:t>, HUDA</w:t>
      </w:r>
      <w:r w:rsidR="00B33F43">
        <w:rPr>
          <w:rStyle w:val="Appelnotedebasdep"/>
          <w:rFonts w:cstheme="minorHAnsi"/>
        </w:rPr>
        <w:footnoteReference w:id="20"/>
      </w:r>
      <w:r w:rsidR="00B231F5" w:rsidRPr="00AF6FC4">
        <w:rPr>
          <w:rFonts w:cstheme="minorHAnsi"/>
        </w:rPr>
        <w:t>...)</w:t>
      </w:r>
      <w:r w:rsidR="0099489E" w:rsidRPr="00AF6FC4">
        <w:rPr>
          <w:rFonts w:cstheme="minorHAnsi"/>
        </w:rPr>
        <w:t>.</w:t>
      </w:r>
    </w:p>
    <w:p w14:paraId="08D0FB95" w14:textId="77777777" w:rsidR="0099489E" w:rsidRPr="00AF6FC4" w:rsidRDefault="00040596" w:rsidP="00AF6FC4">
      <w:pPr>
        <w:pStyle w:val="Default"/>
        <w:spacing w:before="120"/>
        <w:jc w:val="both"/>
        <w:rPr>
          <w:rFonts w:asciiTheme="minorHAnsi" w:hAnsiTheme="minorHAnsi" w:cstheme="minorHAnsi"/>
          <w:sz w:val="22"/>
          <w:szCs w:val="22"/>
        </w:rPr>
      </w:pPr>
      <w:r>
        <w:rPr>
          <w:rFonts w:asciiTheme="minorHAnsi" w:hAnsiTheme="minorHAnsi" w:cstheme="minorHAnsi"/>
          <w:sz w:val="22"/>
          <w:szCs w:val="22"/>
        </w:rPr>
        <w:t xml:space="preserve">Entre le </w:t>
      </w:r>
      <w:r w:rsidRPr="00AF6FC4">
        <w:rPr>
          <w:rFonts w:asciiTheme="minorHAnsi" w:hAnsiTheme="minorHAnsi" w:cstheme="minorHAnsi"/>
          <w:sz w:val="22"/>
          <w:szCs w:val="22"/>
        </w:rPr>
        <w:t>1er novembre 2020 au 31 octobre 2021</w:t>
      </w:r>
      <w:r>
        <w:rPr>
          <w:rFonts w:asciiTheme="minorHAnsi" w:hAnsiTheme="minorHAnsi" w:cstheme="minorHAnsi"/>
          <w:sz w:val="22"/>
          <w:szCs w:val="22"/>
        </w:rPr>
        <w:t>,</w:t>
      </w:r>
      <w:r w:rsidRPr="00AF6FC4">
        <w:rPr>
          <w:rFonts w:asciiTheme="minorHAnsi" w:hAnsiTheme="minorHAnsi" w:cstheme="minorHAnsi"/>
          <w:sz w:val="22"/>
          <w:szCs w:val="22"/>
        </w:rPr>
        <w:t xml:space="preserve"> </w:t>
      </w:r>
      <w:r w:rsidR="0099489E" w:rsidRPr="00AF6FC4">
        <w:rPr>
          <w:rFonts w:asciiTheme="minorHAnsi" w:hAnsiTheme="minorHAnsi" w:cstheme="minorHAnsi"/>
          <w:sz w:val="22"/>
          <w:szCs w:val="22"/>
        </w:rPr>
        <w:t>1</w:t>
      </w:r>
      <w:r>
        <w:rPr>
          <w:rFonts w:asciiTheme="minorHAnsi" w:hAnsiTheme="minorHAnsi" w:cstheme="minorHAnsi"/>
          <w:sz w:val="22"/>
          <w:szCs w:val="22"/>
        </w:rPr>
        <w:t xml:space="preserve"> </w:t>
      </w:r>
      <w:r w:rsidR="0099489E" w:rsidRPr="00AF6FC4">
        <w:rPr>
          <w:rFonts w:asciiTheme="minorHAnsi" w:hAnsiTheme="minorHAnsi" w:cstheme="minorHAnsi"/>
          <w:sz w:val="22"/>
          <w:szCs w:val="22"/>
        </w:rPr>
        <w:t>330 lieux de vie informels ont été expulsés.</w:t>
      </w:r>
      <w:r w:rsidR="00FD6550" w:rsidRPr="00AF6FC4">
        <w:rPr>
          <w:rFonts w:asciiTheme="minorHAnsi" w:hAnsiTheme="minorHAnsi" w:cstheme="minorHAnsi"/>
          <w:sz w:val="22"/>
          <w:szCs w:val="22"/>
        </w:rPr>
        <w:t xml:space="preserve"> </w:t>
      </w:r>
      <w:r w:rsidR="00E01338" w:rsidRPr="00AF6FC4">
        <w:rPr>
          <w:rFonts w:asciiTheme="minorHAnsi" w:hAnsiTheme="minorHAnsi" w:cstheme="minorHAnsi"/>
          <w:sz w:val="22"/>
          <w:szCs w:val="22"/>
        </w:rPr>
        <w:t xml:space="preserve">En dehors des villes du </w:t>
      </w:r>
      <w:proofErr w:type="spellStart"/>
      <w:r w:rsidR="00E01338" w:rsidRPr="00AF6FC4">
        <w:rPr>
          <w:rFonts w:asciiTheme="minorHAnsi" w:hAnsiTheme="minorHAnsi" w:cstheme="minorHAnsi"/>
          <w:sz w:val="22"/>
          <w:szCs w:val="22"/>
        </w:rPr>
        <w:t>Calaisis</w:t>
      </w:r>
      <w:proofErr w:type="spellEnd"/>
      <w:r w:rsidR="00E01338" w:rsidRPr="00AF6FC4">
        <w:rPr>
          <w:rFonts w:asciiTheme="minorHAnsi" w:hAnsiTheme="minorHAnsi" w:cstheme="minorHAnsi"/>
          <w:sz w:val="22"/>
          <w:szCs w:val="22"/>
        </w:rPr>
        <w:t xml:space="preserve"> et de Grande-Synthe, la Gironde et l’Ile-de-France représentent respectivement 31</w:t>
      </w:r>
      <w:r>
        <w:rPr>
          <w:rFonts w:asciiTheme="minorHAnsi" w:hAnsiTheme="minorHAnsi" w:cstheme="minorHAnsi"/>
          <w:sz w:val="22"/>
          <w:szCs w:val="22"/>
        </w:rPr>
        <w:t xml:space="preserve"> </w:t>
      </w:r>
      <w:r w:rsidR="00E01338" w:rsidRPr="00AF6FC4">
        <w:rPr>
          <w:rFonts w:asciiTheme="minorHAnsi" w:hAnsiTheme="minorHAnsi" w:cstheme="minorHAnsi"/>
          <w:sz w:val="22"/>
          <w:szCs w:val="22"/>
        </w:rPr>
        <w:t>% et 28</w:t>
      </w:r>
      <w:r>
        <w:rPr>
          <w:rFonts w:asciiTheme="minorHAnsi" w:hAnsiTheme="minorHAnsi" w:cstheme="minorHAnsi"/>
          <w:sz w:val="22"/>
          <w:szCs w:val="22"/>
        </w:rPr>
        <w:t xml:space="preserve"> </w:t>
      </w:r>
      <w:r w:rsidR="00E01338" w:rsidRPr="00AF6FC4">
        <w:rPr>
          <w:rFonts w:asciiTheme="minorHAnsi" w:hAnsiTheme="minorHAnsi" w:cstheme="minorHAnsi"/>
          <w:sz w:val="22"/>
          <w:szCs w:val="22"/>
        </w:rPr>
        <w:t xml:space="preserve">% des expulsions. </w:t>
      </w:r>
      <w:r w:rsidR="00FD6550" w:rsidRPr="00AF6FC4">
        <w:rPr>
          <w:rFonts w:asciiTheme="minorHAnsi" w:hAnsiTheme="minorHAnsi" w:cstheme="minorHAnsi"/>
          <w:sz w:val="22"/>
          <w:szCs w:val="22"/>
        </w:rPr>
        <w:t xml:space="preserve">A Montpellier, Toulouse, </w:t>
      </w:r>
      <w:r w:rsidR="00E01338" w:rsidRPr="00AF6FC4">
        <w:rPr>
          <w:rFonts w:asciiTheme="minorHAnsi" w:hAnsiTheme="minorHAnsi" w:cstheme="minorHAnsi"/>
          <w:sz w:val="22"/>
          <w:szCs w:val="22"/>
        </w:rPr>
        <w:t xml:space="preserve">Lyon, Mayotte, dans la Métropole Lilloise… </w:t>
      </w:r>
      <w:r w:rsidR="00FD6550" w:rsidRPr="00AF6FC4">
        <w:rPr>
          <w:rFonts w:asciiTheme="minorHAnsi" w:hAnsiTheme="minorHAnsi" w:cstheme="minorHAnsi"/>
          <w:sz w:val="22"/>
          <w:szCs w:val="22"/>
        </w:rPr>
        <w:t xml:space="preserve">de nombreuses expulsions ont eu </w:t>
      </w:r>
      <w:r>
        <w:rPr>
          <w:rFonts w:asciiTheme="minorHAnsi" w:hAnsiTheme="minorHAnsi" w:cstheme="minorHAnsi"/>
          <w:sz w:val="22"/>
          <w:szCs w:val="22"/>
        </w:rPr>
        <w:t xml:space="preserve">jusqu'à fin 2021 sans aucune concertation avec </w:t>
      </w:r>
      <w:r>
        <w:rPr>
          <w:rFonts w:asciiTheme="minorHAnsi" w:hAnsiTheme="minorHAnsi" w:cstheme="minorHAnsi"/>
          <w:sz w:val="22"/>
          <w:szCs w:val="22"/>
        </w:rPr>
        <w:lastRenderedPageBreak/>
        <w:t>les</w:t>
      </w:r>
      <w:r w:rsidR="00FD6550" w:rsidRPr="00AF6FC4">
        <w:rPr>
          <w:rFonts w:asciiTheme="minorHAnsi" w:hAnsiTheme="minorHAnsi" w:cstheme="minorHAnsi"/>
          <w:sz w:val="22"/>
          <w:szCs w:val="22"/>
        </w:rPr>
        <w:t xml:space="preserve"> acteurs présents sur le territoire (associations, communes) ou même des habitants</w:t>
      </w:r>
      <w:r>
        <w:rPr>
          <w:rFonts w:asciiTheme="minorHAnsi" w:hAnsiTheme="minorHAnsi" w:cstheme="minorHAnsi"/>
          <w:sz w:val="22"/>
          <w:szCs w:val="22"/>
        </w:rPr>
        <w:t>, rompant parfois avec des interventions associatives, des démarches sociales, des scolarisations, des prises en charge de santé... engagées depuis des mois</w:t>
      </w:r>
      <w:r w:rsidR="00FD6550" w:rsidRPr="00AF6FC4">
        <w:rPr>
          <w:rFonts w:asciiTheme="minorHAnsi" w:hAnsiTheme="minorHAnsi" w:cstheme="minorHAnsi"/>
          <w:sz w:val="22"/>
          <w:szCs w:val="22"/>
        </w:rPr>
        <w:t xml:space="preserve">. </w:t>
      </w:r>
    </w:p>
    <w:p w14:paraId="5450340E" w14:textId="77777777" w:rsidR="00AF6FC4" w:rsidRDefault="009A4C83" w:rsidP="00AF6FC4">
      <w:pPr>
        <w:pStyle w:val="Default"/>
        <w:spacing w:before="120"/>
        <w:jc w:val="both"/>
        <w:rPr>
          <w:rFonts w:asciiTheme="minorHAnsi" w:hAnsiTheme="minorHAnsi" w:cstheme="minorHAnsi"/>
          <w:sz w:val="22"/>
          <w:szCs w:val="22"/>
        </w:rPr>
      </w:pPr>
      <w:r w:rsidRPr="009A4C83">
        <w:rPr>
          <w:rFonts w:asciiTheme="minorHAnsi" w:hAnsiTheme="minorHAnsi" w:cstheme="minorHAnsi"/>
          <w:sz w:val="22"/>
          <w:szCs w:val="22"/>
        </w:rPr>
        <w:t xml:space="preserve">Le délit précédemment évoqué d’occupation illicite du terrain d’autrui s’applique </w:t>
      </w:r>
      <w:r>
        <w:rPr>
          <w:rFonts w:asciiTheme="minorHAnsi" w:hAnsiTheme="minorHAnsi" w:cstheme="minorHAnsi"/>
          <w:sz w:val="22"/>
          <w:szCs w:val="22"/>
        </w:rPr>
        <w:t>à ces situations, tout comme la procédure de flagrance et l'on retrouve ici toutes les irrégularités relevées plus haut, au sujet des "squats".</w:t>
      </w:r>
    </w:p>
    <w:p w14:paraId="23E9EE61" w14:textId="77777777" w:rsidR="00AE252B" w:rsidRPr="00AF6FC4" w:rsidRDefault="00AE252B" w:rsidP="00AF6FC4">
      <w:pPr>
        <w:pStyle w:val="Default"/>
        <w:spacing w:before="120"/>
        <w:jc w:val="both"/>
        <w:rPr>
          <w:rFonts w:asciiTheme="minorHAnsi" w:hAnsiTheme="minorHAnsi" w:cstheme="minorHAnsi"/>
          <w:sz w:val="22"/>
          <w:szCs w:val="22"/>
        </w:rPr>
      </w:pPr>
      <w:r w:rsidRPr="00AF6FC4">
        <w:rPr>
          <w:rFonts w:asciiTheme="minorHAnsi" w:hAnsiTheme="minorHAnsi" w:cstheme="minorHAnsi"/>
          <w:sz w:val="22"/>
          <w:szCs w:val="22"/>
        </w:rPr>
        <w:t xml:space="preserve">Les atteintes aux droits et à la dignité </w:t>
      </w:r>
      <w:r w:rsidR="00EB7A4F">
        <w:rPr>
          <w:rFonts w:asciiTheme="minorHAnsi" w:hAnsiTheme="minorHAnsi" w:cstheme="minorHAnsi"/>
          <w:sz w:val="22"/>
          <w:szCs w:val="22"/>
        </w:rPr>
        <w:t xml:space="preserve">lors des évacuations sont toujours </w:t>
      </w:r>
      <w:r w:rsidRPr="00AF6FC4">
        <w:rPr>
          <w:rFonts w:asciiTheme="minorHAnsi" w:hAnsiTheme="minorHAnsi" w:cstheme="minorHAnsi"/>
          <w:sz w:val="22"/>
          <w:szCs w:val="22"/>
        </w:rPr>
        <w:t>plus flagrante</w:t>
      </w:r>
      <w:r w:rsidR="00EB7A4F">
        <w:rPr>
          <w:rFonts w:asciiTheme="minorHAnsi" w:hAnsiTheme="minorHAnsi" w:cstheme="minorHAnsi"/>
          <w:sz w:val="22"/>
          <w:szCs w:val="22"/>
        </w:rPr>
        <w:t xml:space="preserve">s. La violence des évacuations </w:t>
      </w:r>
      <w:r w:rsidRPr="00AF6FC4">
        <w:rPr>
          <w:rFonts w:asciiTheme="minorHAnsi" w:hAnsiTheme="minorHAnsi" w:cstheme="minorHAnsi"/>
          <w:sz w:val="22"/>
          <w:szCs w:val="22"/>
        </w:rPr>
        <w:t xml:space="preserve"> par la police </w:t>
      </w:r>
      <w:r w:rsidR="00EB7A4F">
        <w:rPr>
          <w:rFonts w:asciiTheme="minorHAnsi" w:hAnsiTheme="minorHAnsi" w:cstheme="minorHAnsi"/>
          <w:sz w:val="22"/>
          <w:szCs w:val="22"/>
        </w:rPr>
        <w:t>à</w:t>
      </w:r>
      <w:r w:rsidRPr="00AF6FC4">
        <w:rPr>
          <w:rFonts w:asciiTheme="minorHAnsi" w:hAnsiTheme="minorHAnsi" w:cstheme="minorHAnsi"/>
          <w:sz w:val="22"/>
          <w:szCs w:val="22"/>
        </w:rPr>
        <w:t xml:space="preserve"> Saint-Denis</w:t>
      </w:r>
      <w:r w:rsidR="00967532" w:rsidRPr="00AF6FC4">
        <w:rPr>
          <w:rStyle w:val="Appelnotedebasdep"/>
          <w:rFonts w:asciiTheme="minorHAnsi" w:hAnsiTheme="minorHAnsi" w:cstheme="minorHAnsi"/>
          <w:sz w:val="22"/>
          <w:szCs w:val="22"/>
        </w:rPr>
        <w:footnoteReference w:id="21"/>
      </w:r>
      <w:r w:rsidRPr="00AF6FC4">
        <w:rPr>
          <w:rFonts w:asciiTheme="minorHAnsi" w:hAnsiTheme="minorHAnsi" w:cstheme="minorHAnsi"/>
          <w:sz w:val="22"/>
          <w:szCs w:val="22"/>
        </w:rPr>
        <w:t xml:space="preserve"> ou place de la République à Paris, en novembre 2020, ont légitimement choqué l’opinion. En réalité, elles ne font que </w:t>
      </w:r>
      <w:r w:rsidR="00EB7A4F">
        <w:rPr>
          <w:rFonts w:asciiTheme="minorHAnsi" w:hAnsiTheme="minorHAnsi" w:cstheme="minorHAnsi"/>
          <w:sz w:val="22"/>
          <w:szCs w:val="22"/>
        </w:rPr>
        <w:t>représenter</w:t>
      </w:r>
      <w:r w:rsidRPr="00AF6FC4">
        <w:rPr>
          <w:rFonts w:asciiTheme="minorHAnsi" w:hAnsiTheme="minorHAnsi" w:cstheme="minorHAnsi"/>
          <w:sz w:val="22"/>
          <w:szCs w:val="22"/>
        </w:rPr>
        <w:t xml:space="preserve"> la violence ordinaire réservée à des mi</w:t>
      </w:r>
      <w:r w:rsidR="00EB7A4F">
        <w:rPr>
          <w:rFonts w:asciiTheme="minorHAnsi" w:hAnsiTheme="minorHAnsi" w:cstheme="minorHAnsi"/>
          <w:sz w:val="22"/>
          <w:szCs w:val="22"/>
        </w:rPr>
        <w:t>lliers de personnes chaque jour.</w:t>
      </w:r>
    </w:p>
    <w:p w14:paraId="606ACB4A" w14:textId="77777777" w:rsidR="00E03387" w:rsidRDefault="00AE252B" w:rsidP="00216A7C">
      <w:pPr>
        <w:spacing w:before="120" w:after="0"/>
        <w:jc w:val="both"/>
        <w:rPr>
          <w:rFonts w:cstheme="minorHAnsi"/>
        </w:rPr>
      </w:pPr>
      <w:r w:rsidRPr="00AF6FC4">
        <w:rPr>
          <w:rFonts w:cstheme="minorHAnsi"/>
        </w:rPr>
        <w:t xml:space="preserve">Dans le </w:t>
      </w:r>
      <w:proofErr w:type="spellStart"/>
      <w:r w:rsidRPr="00AF6FC4">
        <w:rPr>
          <w:rStyle w:val="highlight"/>
          <w:rFonts w:cstheme="minorHAnsi"/>
        </w:rPr>
        <w:t>Calais</w:t>
      </w:r>
      <w:r w:rsidR="00216A7C">
        <w:rPr>
          <w:rFonts w:cstheme="minorHAnsi"/>
        </w:rPr>
        <w:t>is</w:t>
      </w:r>
      <w:proofErr w:type="spellEnd"/>
      <w:r w:rsidR="00216A7C">
        <w:rPr>
          <w:rFonts w:cstheme="minorHAnsi"/>
        </w:rPr>
        <w:t>, à Grande-Synthe, et autour</w:t>
      </w:r>
      <w:r w:rsidRPr="00AF6FC4">
        <w:rPr>
          <w:rFonts w:cstheme="minorHAnsi"/>
        </w:rPr>
        <w:t xml:space="preserve">, </w:t>
      </w:r>
      <w:r w:rsidR="0099489E" w:rsidRPr="00AF6FC4">
        <w:rPr>
          <w:rFonts w:cstheme="minorHAnsi"/>
          <w:i/>
        </w:rPr>
        <w:t>« les lieux de vie sont expulsés et réoccupés de manière cyclique, certains lieux ont ainsi été expulsés des centaines de fois au cours de cette année. Cette stratégie des pouvoirs publics constitue un véritable harcèlement des personnes vivant dans ces lieux de vie, celles-ci ayant pu connaître des dizaines d’expulsions dans la même année »</w:t>
      </w:r>
      <w:r w:rsidR="0099489E" w:rsidRPr="00AF6FC4">
        <w:rPr>
          <w:rStyle w:val="Appelnotedebasdep"/>
          <w:rFonts w:cstheme="minorHAnsi"/>
          <w:i/>
        </w:rPr>
        <w:footnoteReference w:id="22"/>
      </w:r>
      <w:r w:rsidR="0099489E" w:rsidRPr="00AF6FC4">
        <w:rPr>
          <w:rFonts w:cstheme="minorHAnsi"/>
        </w:rPr>
        <w:t xml:space="preserve"> (l’Observatoire des expulsions des lieux de vie informels). Les</w:t>
      </w:r>
      <w:r w:rsidRPr="00AF6FC4">
        <w:rPr>
          <w:rFonts w:cstheme="minorHAnsi"/>
        </w:rPr>
        <w:t xml:space="preserve"> personnes épuisées et affamées tentent de survivre. </w:t>
      </w:r>
    </w:p>
    <w:p w14:paraId="7C05BDBB" w14:textId="77777777" w:rsidR="00E03387" w:rsidRDefault="00AE252B" w:rsidP="00216A7C">
      <w:pPr>
        <w:spacing w:before="120" w:after="0"/>
        <w:jc w:val="both"/>
        <w:rPr>
          <w:rFonts w:cstheme="minorHAnsi"/>
        </w:rPr>
      </w:pPr>
      <w:r w:rsidRPr="00AF6FC4">
        <w:rPr>
          <w:rFonts w:cstheme="minorHAnsi"/>
        </w:rPr>
        <w:t xml:space="preserve">Leurs effets personnels (tentes, couvertures, papiers administratifs, téléphone...) sont confisqués et régulièrement détruits. </w:t>
      </w:r>
    </w:p>
    <w:p w14:paraId="034CA5B3" w14:textId="77777777" w:rsidR="00AE252B" w:rsidRDefault="00AE252B" w:rsidP="00216A7C">
      <w:pPr>
        <w:spacing w:before="120" w:after="0"/>
        <w:jc w:val="both"/>
        <w:rPr>
          <w:rFonts w:cstheme="minorHAnsi"/>
        </w:rPr>
      </w:pPr>
      <w:r w:rsidRPr="00AF6FC4">
        <w:rPr>
          <w:rFonts w:cstheme="minorHAnsi"/>
        </w:rPr>
        <w:t>Les arrêtés préfectoraux empêchant les distributions de nourriture dans le centre de Calais, par les associations mais aussi par de simples particuliers, se succèdent depuis le 10 septembre 2020</w:t>
      </w:r>
      <w:r w:rsidR="0012320D">
        <w:rPr>
          <w:rStyle w:val="Appelnotedebasdep"/>
          <w:rFonts w:cstheme="minorHAnsi"/>
        </w:rPr>
        <w:footnoteReference w:id="23"/>
      </w:r>
      <w:r w:rsidRPr="00AF6FC4">
        <w:rPr>
          <w:rFonts w:cstheme="minorHAnsi"/>
        </w:rPr>
        <w:t xml:space="preserve">. </w:t>
      </w:r>
    </w:p>
    <w:p w14:paraId="66FBB296" w14:textId="77777777" w:rsidR="00B07085" w:rsidRDefault="00B07085" w:rsidP="00216A7C">
      <w:pPr>
        <w:spacing w:before="120" w:after="0"/>
        <w:jc w:val="both"/>
        <w:rPr>
          <w:rFonts w:cstheme="minorHAnsi"/>
        </w:rPr>
      </w:pPr>
    </w:p>
    <w:p w14:paraId="4103D163" w14:textId="77777777" w:rsidR="00B07085" w:rsidRDefault="00B07085" w:rsidP="00216A7C">
      <w:pPr>
        <w:spacing w:before="120" w:after="0"/>
        <w:jc w:val="both"/>
        <w:rPr>
          <w:rFonts w:cstheme="minorHAnsi"/>
        </w:rPr>
      </w:pPr>
    </w:p>
    <w:p w14:paraId="4A84A366" w14:textId="20B91F1D" w:rsidR="00B07085" w:rsidRPr="00B07085" w:rsidRDefault="00B07085" w:rsidP="00B07085">
      <w:pPr>
        <w:spacing w:before="120" w:after="0"/>
        <w:rPr>
          <w:rFonts w:cstheme="minorHAnsi"/>
          <w:b/>
        </w:rPr>
      </w:pPr>
      <w:r w:rsidRPr="00B07085">
        <w:rPr>
          <w:rFonts w:cstheme="minorHAnsi"/>
          <w:b/>
        </w:rPr>
        <w:t xml:space="preserve">Contact </w:t>
      </w:r>
      <w:r>
        <w:rPr>
          <w:rFonts w:cstheme="minorHAnsi"/>
          <w:b/>
        </w:rPr>
        <w:t>:</w:t>
      </w:r>
    </w:p>
    <w:p w14:paraId="2C06C275" w14:textId="526C5301" w:rsidR="00B07085" w:rsidRPr="00B07085" w:rsidRDefault="00B07085" w:rsidP="00B07085">
      <w:pPr>
        <w:pStyle w:val="Normalweb"/>
        <w:shd w:val="clear" w:color="auto" w:fill="FFFFFF"/>
        <w:spacing w:before="0" w:beforeAutospacing="0" w:after="0" w:afterAutospacing="0"/>
        <w:rPr>
          <w:rFonts w:ascii="Calibri" w:hAnsi="Calibri"/>
          <w:color w:val="000000"/>
          <w:sz w:val="22"/>
          <w:szCs w:val="22"/>
        </w:rPr>
      </w:pPr>
      <w:r w:rsidRPr="00B07085">
        <w:rPr>
          <w:rFonts w:ascii="Calibri" w:hAnsi="Calibri"/>
          <w:bCs/>
          <w:color w:val="000000"/>
          <w:sz w:val="22"/>
          <w:szCs w:val="22"/>
          <w:bdr w:val="none" w:sz="0" w:space="0" w:color="auto" w:frame="1"/>
        </w:rPr>
        <w:t xml:space="preserve">Sarah </w:t>
      </w:r>
      <w:proofErr w:type="spellStart"/>
      <w:r w:rsidRPr="00B07085">
        <w:rPr>
          <w:rFonts w:ascii="Calibri" w:hAnsi="Calibri"/>
          <w:bCs/>
          <w:color w:val="000000"/>
          <w:sz w:val="22"/>
          <w:szCs w:val="22"/>
          <w:bdr w:val="none" w:sz="0" w:space="0" w:color="auto" w:frame="1"/>
        </w:rPr>
        <w:t>C</w:t>
      </w:r>
      <w:r>
        <w:rPr>
          <w:rFonts w:ascii="Calibri" w:hAnsi="Calibri"/>
          <w:bCs/>
          <w:color w:val="000000"/>
          <w:sz w:val="22"/>
          <w:szCs w:val="22"/>
          <w:bdr w:val="none" w:sz="0" w:space="0" w:color="auto" w:frame="1"/>
        </w:rPr>
        <w:t>oupechoux</w:t>
      </w:r>
      <w:proofErr w:type="spellEnd"/>
    </w:p>
    <w:p w14:paraId="1A5ECB90" w14:textId="77777777" w:rsidR="00B07085" w:rsidRDefault="00B07085" w:rsidP="00B07085">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bdr w:val="none" w:sz="0" w:space="0" w:color="auto" w:frame="1"/>
        </w:rPr>
        <w:t>Chargée d’étude Europe</w:t>
      </w:r>
    </w:p>
    <w:p w14:paraId="41B40A9C" w14:textId="77777777" w:rsidR="00B07085" w:rsidRDefault="00B07085" w:rsidP="00B07085">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bdr w:val="none" w:sz="0" w:space="0" w:color="auto" w:frame="1"/>
        </w:rPr>
        <w:t>01 55 56 37 20 / 06 09 75 05 46</w:t>
      </w:r>
    </w:p>
    <w:p w14:paraId="3307DE76" w14:textId="77777777" w:rsidR="00B07085" w:rsidRDefault="004B76E7" w:rsidP="00B07085">
      <w:pPr>
        <w:pStyle w:val="Normalweb"/>
        <w:shd w:val="clear" w:color="auto" w:fill="FFFFFF"/>
        <w:spacing w:before="0" w:beforeAutospacing="0" w:after="0" w:afterAutospacing="0"/>
        <w:rPr>
          <w:rFonts w:ascii="Calibri" w:hAnsi="Calibri"/>
          <w:color w:val="000000"/>
          <w:sz w:val="22"/>
          <w:szCs w:val="22"/>
        </w:rPr>
      </w:pPr>
      <w:hyperlink r:id="rId11" w:tgtFrame="_blank" w:history="1">
        <w:r w:rsidR="00B07085">
          <w:rPr>
            <w:rStyle w:val="Lienhypertexte"/>
            <w:rFonts w:ascii="Calibri" w:hAnsi="Calibri"/>
            <w:sz w:val="22"/>
            <w:szCs w:val="22"/>
            <w:bdr w:val="none" w:sz="0" w:space="0" w:color="auto" w:frame="1"/>
          </w:rPr>
          <w:t>scoupechoux@fap.fr</w:t>
        </w:r>
      </w:hyperlink>
    </w:p>
    <w:p w14:paraId="69B93D59" w14:textId="77777777" w:rsidR="00B07085" w:rsidRPr="00216A7C" w:rsidRDefault="00B07085" w:rsidP="00B07085">
      <w:pPr>
        <w:spacing w:before="120" w:after="0"/>
        <w:jc w:val="center"/>
        <w:rPr>
          <w:rFonts w:cstheme="minorHAnsi"/>
        </w:rPr>
      </w:pPr>
    </w:p>
    <w:sectPr w:rsidR="00B07085" w:rsidRPr="00216A7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3BF33" w14:textId="77777777" w:rsidR="004B76E7" w:rsidRDefault="004B76E7" w:rsidP="003B1C56">
      <w:pPr>
        <w:spacing w:after="0" w:line="240" w:lineRule="auto"/>
      </w:pPr>
      <w:r>
        <w:separator/>
      </w:r>
    </w:p>
  </w:endnote>
  <w:endnote w:type="continuationSeparator" w:id="0">
    <w:p w14:paraId="748914DB" w14:textId="77777777" w:rsidR="004B76E7" w:rsidRDefault="004B76E7" w:rsidP="003B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Meta">
    <w:altName w:val="Cambria"/>
    <w:panose1 w:val="00000000000000000000"/>
    <w:charset w:val="00"/>
    <w:family w:val="swiss"/>
    <w:notTrueType/>
    <w:pitch w:val="default"/>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Meta-Normal">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988FF" w14:textId="77777777" w:rsidR="004B76E7" w:rsidRDefault="004B76E7" w:rsidP="003B1C56">
      <w:pPr>
        <w:spacing w:after="0" w:line="240" w:lineRule="auto"/>
      </w:pPr>
      <w:r>
        <w:separator/>
      </w:r>
    </w:p>
  </w:footnote>
  <w:footnote w:type="continuationSeparator" w:id="0">
    <w:p w14:paraId="14907917" w14:textId="77777777" w:rsidR="004B76E7" w:rsidRDefault="004B76E7" w:rsidP="003B1C56">
      <w:pPr>
        <w:spacing w:after="0" w:line="240" w:lineRule="auto"/>
      </w:pPr>
      <w:r>
        <w:continuationSeparator/>
      </w:r>
    </w:p>
  </w:footnote>
  <w:footnote w:id="1">
    <w:p w14:paraId="2FFAFD3B" w14:textId="77777777" w:rsidR="004D2B36" w:rsidRPr="004D2B36" w:rsidRDefault="004D2B36">
      <w:pPr>
        <w:pStyle w:val="Notedebasdepage"/>
        <w:rPr>
          <w:sz w:val="16"/>
        </w:rPr>
      </w:pPr>
      <w:r w:rsidRPr="004D2B36">
        <w:rPr>
          <w:rStyle w:val="Appelnotedebasdep"/>
          <w:sz w:val="16"/>
        </w:rPr>
        <w:footnoteRef/>
      </w:r>
      <w:r w:rsidRPr="004D2B36">
        <w:rPr>
          <w:sz w:val="16"/>
        </w:rPr>
        <w:t xml:space="preserve"> </w:t>
      </w:r>
      <w:hyperlink r:id="rId1" w:history="1">
        <w:r w:rsidRPr="004D2B36">
          <w:rPr>
            <w:rStyle w:val="Lienhypertexte"/>
            <w:sz w:val="16"/>
          </w:rPr>
          <w:t>https://www.fondation-abbe-pierre.fr/actualites/au-plus-pres-des-besoins-de-380-000-personnes</w:t>
        </w:r>
      </w:hyperlink>
      <w:r w:rsidRPr="004D2B36">
        <w:rPr>
          <w:sz w:val="16"/>
        </w:rPr>
        <w:t xml:space="preserve"> </w:t>
      </w:r>
    </w:p>
  </w:footnote>
  <w:footnote w:id="2">
    <w:p w14:paraId="4AD18105" w14:textId="77777777" w:rsidR="009A78DE" w:rsidRPr="009A78DE" w:rsidRDefault="009A78DE">
      <w:pPr>
        <w:pStyle w:val="Notedebasdepage"/>
        <w:rPr>
          <w:sz w:val="16"/>
        </w:rPr>
      </w:pPr>
      <w:r w:rsidRPr="009A78DE">
        <w:rPr>
          <w:rStyle w:val="Appelnotedebasdep"/>
          <w:sz w:val="16"/>
        </w:rPr>
        <w:footnoteRef/>
      </w:r>
      <w:r w:rsidRPr="009A78DE">
        <w:rPr>
          <w:sz w:val="16"/>
        </w:rPr>
        <w:t xml:space="preserve"> </w:t>
      </w:r>
      <w:hyperlink r:id="rId2" w:history="1">
        <w:r w:rsidRPr="009A78DE">
          <w:rPr>
            <w:rStyle w:val="Lienhypertexte"/>
            <w:sz w:val="16"/>
          </w:rPr>
          <w:t>https://www.fondation-abbe-pierre.fr/actualites/26e-rapport-sur-letat-du-mal-logement-en-france-2021</w:t>
        </w:r>
      </w:hyperlink>
      <w:r w:rsidRPr="009A78DE">
        <w:rPr>
          <w:sz w:val="16"/>
        </w:rPr>
        <w:t xml:space="preserve"> </w:t>
      </w:r>
    </w:p>
  </w:footnote>
  <w:footnote w:id="3">
    <w:p w14:paraId="624F8CAF" w14:textId="77777777" w:rsidR="004D2B36" w:rsidRPr="004D2B36" w:rsidRDefault="004D2B36">
      <w:pPr>
        <w:pStyle w:val="Notedebasdepage"/>
        <w:rPr>
          <w:sz w:val="16"/>
        </w:rPr>
      </w:pPr>
      <w:r w:rsidRPr="004D2B36">
        <w:rPr>
          <w:rStyle w:val="Appelnotedebasdep"/>
          <w:sz w:val="16"/>
        </w:rPr>
        <w:footnoteRef/>
      </w:r>
      <w:r w:rsidRPr="004D2B36">
        <w:rPr>
          <w:sz w:val="16"/>
        </w:rPr>
        <w:t xml:space="preserve"> </w:t>
      </w:r>
      <w:hyperlink r:id="rId3" w:history="1">
        <w:r w:rsidRPr="004D2B36">
          <w:rPr>
            <w:rStyle w:val="Lienhypertexte"/>
            <w:sz w:val="16"/>
          </w:rPr>
          <w:t>https://www.feantsa.org/fr/report/2021/05/12/the-6th-overview-of-housing-exclusion-in-europe-2021</w:t>
        </w:r>
      </w:hyperlink>
      <w:r w:rsidRPr="004D2B36">
        <w:rPr>
          <w:sz w:val="16"/>
        </w:rPr>
        <w:t xml:space="preserve"> </w:t>
      </w:r>
    </w:p>
  </w:footnote>
  <w:footnote w:id="4">
    <w:p w14:paraId="20D4F6AF" w14:textId="77777777" w:rsidR="000207B2" w:rsidRPr="000207B2" w:rsidRDefault="000207B2">
      <w:pPr>
        <w:pStyle w:val="Notedebasdepage"/>
        <w:rPr>
          <w:sz w:val="16"/>
        </w:rPr>
      </w:pPr>
      <w:r w:rsidRPr="000207B2">
        <w:rPr>
          <w:rStyle w:val="Appelnotedebasdep"/>
          <w:sz w:val="16"/>
        </w:rPr>
        <w:footnoteRef/>
      </w:r>
      <w:r w:rsidRPr="000207B2">
        <w:rPr>
          <w:sz w:val="16"/>
        </w:rPr>
        <w:t xml:space="preserve"> </w:t>
      </w:r>
      <w:hyperlink r:id="rId4" w:history="1">
        <w:r w:rsidRPr="000207B2">
          <w:rPr>
            <w:rStyle w:val="Lienhypertexte"/>
            <w:sz w:val="16"/>
          </w:rPr>
          <w:t>https://www.fondation-abbe-pierre.fr/nos-publications/communiques-de-presse/2e-edition-de-la-ceremonie-des-pics-dor</w:t>
        </w:r>
      </w:hyperlink>
      <w:r w:rsidRPr="000207B2">
        <w:rPr>
          <w:sz w:val="16"/>
        </w:rPr>
        <w:t xml:space="preserve"> </w:t>
      </w:r>
    </w:p>
  </w:footnote>
  <w:footnote w:id="5">
    <w:p w14:paraId="25085AA3" w14:textId="77777777" w:rsidR="00B313CF" w:rsidRPr="00B313CF" w:rsidRDefault="00B313CF">
      <w:pPr>
        <w:pStyle w:val="Notedebasdepage"/>
        <w:rPr>
          <w:sz w:val="16"/>
        </w:rPr>
      </w:pPr>
      <w:r w:rsidRPr="00B313CF">
        <w:rPr>
          <w:rStyle w:val="Appelnotedebasdep"/>
          <w:sz w:val="16"/>
        </w:rPr>
        <w:footnoteRef/>
      </w:r>
      <w:r w:rsidRPr="00B313CF">
        <w:rPr>
          <w:sz w:val="16"/>
        </w:rPr>
        <w:t xml:space="preserve"> https://www.fondation-abbe-pierre.fr/actualites/26e-rapport-sur-letat-du-mal-logement-en-france-2021. </w:t>
      </w:r>
    </w:p>
  </w:footnote>
  <w:footnote w:id="6">
    <w:p w14:paraId="4C89E87F" w14:textId="77777777" w:rsidR="007B5368" w:rsidRDefault="007B5368" w:rsidP="005470B5">
      <w:pPr>
        <w:pStyle w:val="Notedebasdepage"/>
        <w:jc w:val="both"/>
      </w:pPr>
      <w:r w:rsidRPr="005470B5">
        <w:rPr>
          <w:rStyle w:val="Appelnotedebasdep"/>
          <w:sz w:val="16"/>
        </w:rPr>
        <w:footnoteRef/>
      </w:r>
      <w:r w:rsidRPr="005470B5">
        <w:rPr>
          <w:sz w:val="16"/>
        </w:rPr>
        <w:t xml:space="preserve"> </w:t>
      </w:r>
      <w:r w:rsidR="005470B5" w:rsidRPr="005470B5">
        <w:rPr>
          <w:rFonts w:ascii="Calibri" w:hAnsi="Calibri" w:cs="Calibri"/>
          <w:color w:val="000000" w:themeColor="text1"/>
          <w:sz w:val="16"/>
        </w:rPr>
        <w:t>Principalement, la mendicité, l'occupation abusive et prolongée du domaine public, la "station assise et prolongée", le regroupement de personnes et de chiens (même tenus en laisse et accompagnés de leurs maîtres), la consommation d’alcool, l'entreposage ou l'installation de matériel, les activités de nature personnelle (entreposage de linge, réchauffage de denrées alimentaires, dépôt de nourriture pour animaux de compagnie ou abreuvage de canidés), la diffusion de musique amplifiée ou non, l'utilisation des équipements collectifs de nature à empêcher ou troubler un usage partagé, l'usage anormal du mobilier urbain caractérisé notamment par le fait de s'asseoir sur les cheminements prévus pour le passage des piétons, les bacs prévus pour les plantations, sur les murs et murets ou sur les chaines décoratives et y attacher un animal, la récupération et chiffonnage, le bivouac, etc.</w:t>
      </w:r>
    </w:p>
  </w:footnote>
  <w:footnote w:id="7">
    <w:p w14:paraId="61A91C56" w14:textId="77777777" w:rsidR="00723A0D" w:rsidRPr="00723A0D" w:rsidRDefault="00723A0D" w:rsidP="00723A0D">
      <w:pPr>
        <w:pStyle w:val="Notedebasdepage"/>
        <w:jc w:val="both"/>
        <w:rPr>
          <w:sz w:val="16"/>
          <w:szCs w:val="16"/>
        </w:rPr>
      </w:pPr>
      <w:r w:rsidRPr="00723A0D">
        <w:rPr>
          <w:rStyle w:val="Appelnotedebasdep"/>
          <w:sz w:val="16"/>
          <w:szCs w:val="16"/>
        </w:rPr>
        <w:footnoteRef/>
      </w:r>
      <w:r w:rsidRPr="00723A0D">
        <w:rPr>
          <w:sz w:val="16"/>
          <w:szCs w:val="16"/>
        </w:rPr>
        <w:t xml:space="preserve"> </w:t>
      </w:r>
      <w:r w:rsidRPr="00723A0D">
        <w:rPr>
          <w:rFonts w:cstheme="minorHAnsi"/>
          <w:sz w:val="16"/>
          <w:szCs w:val="16"/>
        </w:rPr>
        <w:t>Les pièces produites par les communes à l'occasion des recours auprès des tribunaux administratifs engagés par la Fondation Abbé Pierre et la Ligue des droits de l'Homme</w:t>
      </w:r>
      <w:r w:rsidRPr="00723A0D">
        <w:rPr>
          <w:rFonts w:cs="Calibri"/>
          <w:sz w:val="16"/>
          <w:szCs w:val="16"/>
        </w:rPr>
        <w:t xml:space="preserve"> </w:t>
      </w:r>
      <w:r w:rsidRPr="00723A0D">
        <w:rPr>
          <w:rFonts w:cstheme="minorHAnsi"/>
          <w:sz w:val="16"/>
          <w:szCs w:val="16"/>
        </w:rPr>
        <w:t>montrent que la police n'intervient qu'auprès des personnes en situation de précarité puisque seules ces dernières sont systématiquement déplacées, et parfois verbalisées (amende de 38 euros)</w:t>
      </w:r>
      <w:r w:rsidRPr="00723A0D">
        <w:rPr>
          <w:rStyle w:val="Appelnotedebasdep"/>
          <w:rFonts w:cstheme="minorHAnsi"/>
          <w:sz w:val="16"/>
          <w:szCs w:val="16"/>
        </w:rPr>
        <w:footnoteRef/>
      </w:r>
      <w:r>
        <w:rPr>
          <w:rFonts w:cstheme="minorHAnsi"/>
          <w:sz w:val="16"/>
          <w:szCs w:val="16"/>
        </w:rPr>
        <w:t>.</w:t>
      </w:r>
    </w:p>
  </w:footnote>
  <w:footnote w:id="8">
    <w:p w14:paraId="2FB10508" w14:textId="77777777" w:rsidR="00B66A5A" w:rsidRPr="00B66A5A" w:rsidRDefault="00B66A5A" w:rsidP="00B66A5A">
      <w:pPr>
        <w:pStyle w:val="Titre1"/>
        <w:shd w:val="clear" w:color="auto" w:fill="FFFFFF"/>
        <w:spacing w:before="0" w:beforeAutospacing="0" w:after="0" w:afterAutospacing="0"/>
        <w:jc w:val="both"/>
        <w:rPr>
          <w:rFonts w:asciiTheme="minorHAnsi" w:eastAsia="Times New Roman" w:hAnsiTheme="minorHAnsi" w:cs="Arial"/>
          <w:b w:val="0"/>
          <w:bCs w:val="0"/>
          <w:color w:val="000000" w:themeColor="text1"/>
          <w:sz w:val="16"/>
          <w:szCs w:val="16"/>
        </w:rPr>
      </w:pPr>
      <w:r w:rsidRPr="00B66A5A">
        <w:rPr>
          <w:rStyle w:val="Appelnotedebasdep"/>
          <w:rFonts w:asciiTheme="minorHAnsi" w:hAnsiTheme="minorHAnsi"/>
          <w:color w:val="000000" w:themeColor="text1"/>
          <w:sz w:val="16"/>
          <w:szCs w:val="16"/>
        </w:rPr>
        <w:footnoteRef/>
      </w:r>
      <w:r w:rsidRPr="00B66A5A">
        <w:rPr>
          <w:rFonts w:asciiTheme="minorHAnsi" w:hAnsiTheme="minorHAnsi"/>
          <w:color w:val="000000" w:themeColor="text1"/>
          <w:sz w:val="16"/>
          <w:szCs w:val="16"/>
        </w:rPr>
        <w:t xml:space="preserve"> </w:t>
      </w:r>
      <w:r w:rsidRPr="00B66A5A">
        <w:rPr>
          <w:rFonts w:asciiTheme="minorHAnsi" w:eastAsia="Times New Roman" w:hAnsiTheme="minorHAnsi" w:cs="Arial"/>
          <w:b w:val="0"/>
          <w:bCs w:val="0"/>
          <w:color w:val="000000" w:themeColor="text1"/>
          <w:sz w:val="16"/>
          <w:szCs w:val="16"/>
        </w:rPr>
        <w:t>Loi n° 2007-290 du 5 mars 2007 instituant le droit au logement opposable et portant diverses mesures en faveur de la cohésion sociale</w:t>
      </w:r>
      <w:r w:rsidR="00960EF3">
        <w:rPr>
          <w:rFonts w:asciiTheme="minorHAnsi" w:eastAsia="Times New Roman" w:hAnsiTheme="minorHAnsi" w:cs="Arial"/>
          <w:b w:val="0"/>
          <w:bCs w:val="0"/>
          <w:color w:val="000000" w:themeColor="text1"/>
          <w:sz w:val="16"/>
          <w:szCs w:val="16"/>
        </w:rPr>
        <w:t>, article 38</w:t>
      </w:r>
      <w:r>
        <w:rPr>
          <w:rFonts w:asciiTheme="minorHAnsi" w:eastAsia="Times New Roman" w:hAnsiTheme="minorHAnsi" w:cs="Arial"/>
          <w:b w:val="0"/>
          <w:bCs w:val="0"/>
          <w:color w:val="000000" w:themeColor="text1"/>
          <w:sz w:val="16"/>
          <w:szCs w:val="16"/>
        </w:rPr>
        <w:t>.</w:t>
      </w:r>
    </w:p>
  </w:footnote>
  <w:footnote w:id="9">
    <w:p w14:paraId="351ACC10" w14:textId="77777777" w:rsidR="00151260" w:rsidRPr="00151260" w:rsidRDefault="00151260" w:rsidP="00151260">
      <w:pPr>
        <w:pStyle w:val="Titre1"/>
        <w:shd w:val="clear" w:color="auto" w:fill="FFFFFF"/>
        <w:spacing w:before="0" w:beforeAutospacing="0" w:after="0" w:afterAutospacing="0"/>
        <w:jc w:val="both"/>
        <w:rPr>
          <w:rFonts w:asciiTheme="minorHAnsi" w:eastAsia="Times New Roman" w:hAnsiTheme="minorHAnsi" w:cs="Arial"/>
          <w:b w:val="0"/>
          <w:bCs w:val="0"/>
          <w:color w:val="000000" w:themeColor="text1"/>
          <w:sz w:val="16"/>
          <w:szCs w:val="16"/>
        </w:rPr>
      </w:pPr>
      <w:r w:rsidRPr="00151260">
        <w:rPr>
          <w:rStyle w:val="Appelnotedebasdep"/>
          <w:rFonts w:asciiTheme="minorHAnsi" w:hAnsiTheme="minorHAnsi"/>
          <w:color w:val="000000" w:themeColor="text1"/>
          <w:sz w:val="16"/>
          <w:szCs w:val="16"/>
        </w:rPr>
        <w:footnoteRef/>
      </w:r>
      <w:r w:rsidRPr="00151260">
        <w:rPr>
          <w:rFonts w:asciiTheme="minorHAnsi" w:hAnsiTheme="minorHAnsi"/>
          <w:color w:val="000000" w:themeColor="text1"/>
          <w:sz w:val="16"/>
          <w:szCs w:val="16"/>
        </w:rPr>
        <w:t xml:space="preserve"> </w:t>
      </w:r>
      <w:r w:rsidR="00BA3A74">
        <w:rPr>
          <w:rFonts w:asciiTheme="minorHAnsi" w:eastAsia="Times New Roman" w:hAnsiTheme="minorHAnsi" w:cs="Arial"/>
          <w:b w:val="0"/>
          <w:bCs w:val="0"/>
          <w:color w:val="000000" w:themeColor="text1"/>
          <w:sz w:val="16"/>
          <w:szCs w:val="16"/>
        </w:rPr>
        <w:t>Loi</w:t>
      </w:r>
      <w:r w:rsidRPr="00151260">
        <w:rPr>
          <w:rFonts w:asciiTheme="minorHAnsi" w:eastAsia="Times New Roman" w:hAnsiTheme="minorHAnsi" w:cs="Arial"/>
          <w:b w:val="0"/>
          <w:bCs w:val="0"/>
          <w:color w:val="000000" w:themeColor="text1"/>
          <w:sz w:val="16"/>
          <w:szCs w:val="16"/>
        </w:rPr>
        <w:t xml:space="preserve"> n° 2020-1525 du 7 décembre 2020 d'accélération et de simplification de l'action publique</w:t>
      </w:r>
      <w:r>
        <w:rPr>
          <w:rFonts w:asciiTheme="minorHAnsi" w:eastAsia="Times New Roman" w:hAnsiTheme="minorHAnsi" w:cs="Arial"/>
          <w:b w:val="0"/>
          <w:bCs w:val="0"/>
          <w:color w:val="000000" w:themeColor="text1"/>
          <w:sz w:val="16"/>
          <w:szCs w:val="16"/>
        </w:rPr>
        <w:t>.</w:t>
      </w:r>
    </w:p>
  </w:footnote>
  <w:footnote w:id="10">
    <w:p w14:paraId="60135894" w14:textId="77777777" w:rsidR="00BC121F" w:rsidRPr="002F5E83" w:rsidRDefault="00BC121F" w:rsidP="00BC121F">
      <w:pPr>
        <w:pStyle w:val="Normalweb"/>
        <w:shd w:val="clear" w:color="auto" w:fill="FFFFFF"/>
        <w:spacing w:before="0" w:beforeAutospacing="0" w:after="0" w:afterAutospacing="0"/>
        <w:jc w:val="both"/>
        <w:rPr>
          <w:rFonts w:asciiTheme="minorHAnsi" w:eastAsiaTheme="minorHAnsi" w:hAnsiTheme="minorHAnsi" w:cs="Arial"/>
          <w:i/>
          <w:color w:val="000000"/>
          <w:sz w:val="16"/>
          <w:szCs w:val="16"/>
        </w:rPr>
      </w:pPr>
      <w:r w:rsidRPr="00A22031">
        <w:rPr>
          <w:rStyle w:val="Appelnotedebasdep"/>
          <w:rFonts w:asciiTheme="minorHAnsi" w:hAnsiTheme="minorHAnsi"/>
          <w:sz w:val="16"/>
          <w:szCs w:val="16"/>
        </w:rPr>
        <w:footnoteRef/>
      </w:r>
      <w:r w:rsidRPr="00A22031">
        <w:rPr>
          <w:rFonts w:asciiTheme="minorHAnsi" w:hAnsiTheme="minorHAnsi"/>
          <w:sz w:val="16"/>
          <w:szCs w:val="16"/>
        </w:rPr>
        <w:t xml:space="preserve"> </w:t>
      </w:r>
      <w:r w:rsidRPr="002F5E83">
        <w:rPr>
          <w:rFonts w:asciiTheme="minorHAnsi" w:hAnsiTheme="minorHAnsi"/>
          <w:i/>
          <w:sz w:val="16"/>
          <w:szCs w:val="16"/>
        </w:rPr>
        <w:t>"</w:t>
      </w:r>
      <w:r w:rsidRPr="002F5E83">
        <w:rPr>
          <w:rFonts w:asciiTheme="minorHAnsi" w:eastAsiaTheme="minorHAnsi" w:hAnsiTheme="minorHAnsi" w:cs="Arial"/>
          <w:i/>
          <w:color w:val="000000"/>
          <w:sz w:val="16"/>
          <w:szCs w:val="16"/>
        </w:rPr>
        <w:t>L'introduction dans le domicile d'autrui à l'aide de manœuvres, menaces, voies de fait ou contrainte, hors les cas où la loi le permet, est puni d'un an d'emprisonnement et de 15 000 euros d'amende.</w:t>
      </w:r>
    </w:p>
    <w:p w14:paraId="613A0CA4" w14:textId="77777777" w:rsidR="00BC121F" w:rsidRPr="00A22031" w:rsidRDefault="00BC121F" w:rsidP="00BC121F">
      <w:pPr>
        <w:shd w:val="clear" w:color="auto" w:fill="FFFFFF"/>
        <w:spacing w:after="0" w:line="240" w:lineRule="auto"/>
        <w:jc w:val="both"/>
        <w:rPr>
          <w:rFonts w:cs="Arial"/>
          <w:color w:val="000000"/>
          <w:sz w:val="16"/>
          <w:szCs w:val="16"/>
          <w:lang w:eastAsia="fr-FR"/>
        </w:rPr>
      </w:pPr>
      <w:r w:rsidRPr="002F5E83">
        <w:rPr>
          <w:rFonts w:cs="Arial"/>
          <w:i/>
          <w:color w:val="000000"/>
          <w:sz w:val="16"/>
          <w:szCs w:val="16"/>
          <w:lang w:eastAsia="fr-FR"/>
        </w:rPr>
        <w:t>"</w:t>
      </w:r>
      <w:r w:rsidRPr="00A22031">
        <w:rPr>
          <w:rFonts w:cs="Arial"/>
          <w:i/>
          <w:color w:val="000000"/>
          <w:sz w:val="16"/>
          <w:szCs w:val="16"/>
          <w:lang w:eastAsia="fr-FR"/>
        </w:rPr>
        <w:t>Le maintien dans le domicile d'autrui à la suite de l'introduction mentionnée au premier alinéa, hors les cas où la loi le pe</w:t>
      </w:r>
      <w:r w:rsidRPr="002F5E83">
        <w:rPr>
          <w:rFonts w:cs="Arial"/>
          <w:i/>
          <w:color w:val="000000"/>
          <w:sz w:val="16"/>
          <w:szCs w:val="16"/>
          <w:lang w:eastAsia="fr-FR"/>
        </w:rPr>
        <w:t>rmet, est puni des mêmes peines."</w:t>
      </w:r>
    </w:p>
  </w:footnote>
  <w:footnote w:id="11">
    <w:p w14:paraId="0B03D87B" w14:textId="77777777" w:rsidR="00BC121F" w:rsidRPr="00A22031" w:rsidRDefault="00BC121F" w:rsidP="00BC121F">
      <w:pPr>
        <w:pStyle w:val="Notedebasdepage"/>
        <w:jc w:val="both"/>
        <w:rPr>
          <w:sz w:val="16"/>
          <w:szCs w:val="16"/>
        </w:rPr>
      </w:pPr>
      <w:r w:rsidRPr="00A22031">
        <w:rPr>
          <w:rStyle w:val="Appelnotedebasdep"/>
          <w:sz w:val="16"/>
          <w:szCs w:val="16"/>
        </w:rPr>
        <w:footnoteRef/>
      </w:r>
      <w:r w:rsidRPr="00A22031">
        <w:rPr>
          <w:sz w:val="16"/>
          <w:szCs w:val="16"/>
        </w:rPr>
        <w:t xml:space="preserve"> Le maintien des témoins sur place, la perquisition, la réquisition, la convocation de témoins, la garde à vue, l'interpellation.</w:t>
      </w:r>
    </w:p>
  </w:footnote>
  <w:footnote w:id="12">
    <w:p w14:paraId="2D94A58D" w14:textId="77777777" w:rsidR="001558F2" w:rsidRPr="001558F2" w:rsidRDefault="001558F2" w:rsidP="001558F2">
      <w:pPr>
        <w:pStyle w:val="Notedebasdepage"/>
        <w:jc w:val="both"/>
        <w:rPr>
          <w:rFonts w:cstheme="minorHAnsi"/>
          <w:sz w:val="16"/>
          <w:szCs w:val="16"/>
        </w:rPr>
      </w:pPr>
      <w:r w:rsidRPr="001558F2">
        <w:rPr>
          <w:rStyle w:val="Appelnotedebasdep"/>
          <w:rFonts w:cstheme="minorHAnsi"/>
          <w:sz w:val="16"/>
          <w:szCs w:val="16"/>
        </w:rPr>
        <w:footnoteRef/>
      </w:r>
      <w:r w:rsidRPr="001558F2">
        <w:rPr>
          <w:rFonts w:cstheme="minorHAnsi"/>
          <w:sz w:val="16"/>
          <w:szCs w:val="16"/>
        </w:rPr>
        <w:t xml:space="preserve"> L'</w:t>
      </w:r>
      <w:r>
        <w:rPr>
          <w:rFonts w:cstheme="minorHAnsi"/>
          <w:sz w:val="16"/>
          <w:szCs w:val="16"/>
        </w:rPr>
        <w:t>exclusion sans fin : la réalité du droit au logement des « gens du voyage » en France</w:t>
      </w:r>
      <w:r w:rsidRPr="001558F2">
        <w:rPr>
          <w:rFonts w:cstheme="minorHAnsi"/>
          <w:sz w:val="16"/>
          <w:szCs w:val="16"/>
        </w:rPr>
        <w:t>, rapport de l’Observatoire pour le droit des citoyens itinérants, septembre 2021</w:t>
      </w:r>
      <w:r>
        <w:rPr>
          <w:rFonts w:cstheme="minorHAnsi"/>
          <w:sz w:val="16"/>
          <w:szCs w:val="16"/>
        </w:rPr>
        <w:t xml:space="preserve"> : </w:t>
      </w:r>
      <w:hyperlink r:id="rId5" w:history="1">
        <w:r w:rsidRPr="00CB5625">
          <w:rPr>
            <w:rStyle w:val="Lienhypertexte"/>
            <w:rFonts w:cstheme="minorHAnsi"/>
            <w:sz w:val="16"/>
            <w:szCs w:val="16"/>
          </w:rPr>
          <w:t>http://odci.fr/knowledge-base/lexclusion-sans-fin-droit-au-logement-des-voyageurs/</w:t>
        </w:r>
      </w:hyperlink>
      <w:r>
        <w:rPr>
          <w:rFonts w:cstheme="minorHAnsi"/>
          <w:sz w:val="16"/>
          <w:szCs w:val="16"/>
        </w:rPr>
        <w:t xml:space="preserve"> </w:t>
      </w:r>
    </w:p>
  </w:footnote>
  <w:footnote w:id="13">
    <w:p w14:paraId="3A9FD4E9" w14:textId="77777777" w:rsidR="00A2432E" w:rsidRPr="00A2432E" w:rsidRDefault="00A2432E" w:rsidP="00A2432E">
      <w:pPr>
        <w:pBdr>
          <w:top w:val="nil"/>
          <w:left w:val="nil"/>
          <w:bottom w:val="nil"/>
          <w:right w:val="nil"/>
          <w:between w:val="nil"/>
          <w:bar w:val="nil"/>
        </w:pBdr>
        <w:spacing w:after="0" w:line="240" w:lineRule="auto"/>
        <w:jc w:val="both"/>
        <w:rPr>
          <w:sz w:val="16"/>
        </w:rPr>
      </w:pPr>
      <w:r w:rsidRPr="00A2432E">
        <w:rPr>
          <w:rStyle w:val="Appelnotedebasdep"/>
          <w:sz w:val="16"/>
        </w:rPr>
        <w:footnoteRef/>
      </w:r>
      <w:r w:rsidRPr="00A2432E">
        <w:rPr>
          <w:sz w:val="16"/>
        </w:rPr>
        <w:t xml:space="preserve"> Le </w:t>
      </w:r>
      <w:r w:rsidRPr="00A2432E">
        <w:rPr>
          <w:bCs/>
          <w:sz w:val="16"/>
        </w:rPr>
        <w:t>nombre de places disponibles en aire d’accueil</w:t>
      </w:r>
      <w:r w:rsidRPr="00A2432E">
        <w:rPr>
          <w:sz w:val="16"/>
        </w:rPr>
        <w:t xml:space="preserve"> fin 2019 s’élève à 27 322 soit 79,3 % des objectifs nationaux ; 100% dans 26 départements, mais le taux de réalisation reste particulièrement faible en Ile-de-France, en PACA et</w:t>
      </w:r>
      <w:r w:rsidR="00BA3A74">
        <w:rPr>
          <w:sz w:val="16"/>
        </w:rPr>
        <w:t xml:space="preserve"> dans le NPDC, constatait la Cour </w:t>
      </w:r>
      <w:r w:rsidR="00BA3A74" w:rsidRPr="00A2432E">
        <w:rPr>
          <w:sz w:val="16"/>
        </w:rPr>
        <w:t>des comptes</w:t>
      </w:r>
      <w:r w:rsidR="00BA3A74">
        <w:rPr>
          <w:sz w:val="16"/>
        </w:rPr>
        <w:t xml:space="preserve"> en 2017</w:t>
      </w:r>
      <w:r>
        <w:rPr>
          <w:sz w:val="16"/>
        </w:rPr>
        <w:t>.</w:t>
      </w:r>
    </w:p>
  </w:footnote>
  <w:footnote w:id="14">
    <w:p w14:paraId="20B7BB73" w14:textId="77777777" w:rsidR="0075327E" w:rsidRPr="0075327E" w:rsidRDefault="0075327E" w:rsidP="0075327E">
      <w:pPr>
        <w:pStyle w:val="Notedebasdepage"/>
        <w:jc w:val="both"/>
        <w:rPr>
          <w:sz w:val="16"/>
          <w:szCs w:val="16"/>
        </w:rPr>
      </w:pPr>
      <w:r w:rsidRPr="0075327E">
        <w:rPr>
          <w:rStyle w:val="Appelnotedebasdep"/>
          <w:sz w:val="16"/>
          <w:szCs w:val="16"/>
        </w:rPr>
        <w:footnoteRef/>
      </w:r>
      <w:r w:rsidRPr="0075327E">
        <w:rPr>
          <w:sz w:val="16"/>
          <w:szCs w:val="16"/>
        </w:rPr>
        <w:t xml:space="preserve"> </w:t>
      </w:r>
      <w:r w:rsidR="00A42C48">
        <w:rPr>
          <w:sz w:val="16"/>
          <w:szCs w:val="16"/>
        </w:rPr>
        <w:t>Cette loi a pour objectif de créer et de répartir</w:t>
      </w:r>
      <w:r w:rsidRPr="0075327E">
        <w:rPr>
          <w:sz w:val="16"/>
          <w:szCs w:val="16"/>
        </w:rPr>
        <w:t xml:space="preserve"> les capacités d’accueil des gens du voyage. </w:t>
      </w:r>
      <w:r w:rsidR="00A42C48">
        <w:rPr>
          <w:sz w:val="16"/>
          <w:szCs w:val="16"/>
        </w:rPr>
        <w:t>L</w:t>
      </w:r>
      <w:r w:rsidRPr="0075327E">
        <w:rPr>
          <w:sz w:val="16"/>
          <w:szCs w:val="16"/>
        </w:rPr>
        <w:t>e préfet de département et le président du conseil départemental élaborent un schéma d’accueil des gens du voyage. En fonction des besoins constatés, ce schéma prévoit le nombre, la localisation et la capacité des aires permanentes d’accueil, aires de grand passage et terrains familiaux locatifs</w:t>
      </w:r>
      <w:r w:rsidR="00A42C48">
        <w:rPr>
          <w:sz w:val="16"/>
          <w:szCs w:val="16"/>
        </w:rPr>
        <w:t xml:space="preserve"> que doivent créer l</w:t>
      </w:r>
      <w:r w:rsidRPr="0075327E">
        <w:rPr>
          <w:sz w:val="16"/>
          <w:szCs w:val="16"/>
        </w:rPr>
        <w:t>es communes de plus de 5 000 habitants.</w:t>
      </w:r>
    </w:p>
  </w:footnote>
  <w:footnote w:id="15">
    <w:p w14:paraId="439EE539" w14:textId="77777777" w:rsidR="009D430E" w:rsidRPr="009D430E" w:rsidRDefault="009D430E" w:rsidP="009B16F4">
      <w:pPr>
        <w:pStyle w:val="Notedebasdepage"/>
        <w:jc w:val="both"/>
        <w:rPr>
          <w:sz w:val="16"/>
        </w:rPr>
      </w:pPr>
      <w:r w:rsidRPr="009D430E">
        <w:rPr>
          <w:rStyle w:val="Appelnotedebasdep"/>
          <w:sz w:val="16"/>
        </w:rPr>
        <w:footnoteRef/>
      </w:r>
      <w:r w:rsidRPr="009D430E">
        <w:rPr>
          <w:sz w:val="16"/>
        </w:rPr>
        <w:t xml:space="preserve"> </w:t>
      </w:r>
      <w:hyperlink r:id="rId6" w:history="1">
        <w:r w:rsidRPr="009D430E">
          <w:rPr>
            <w:rStyle w:val="Lienhypertexte"/>
            <w:sz w:val="16"/>
          </w:rPr>
          <w:t>https://www.vie-publique.fr/fiches/20118-la-cooperation-intercommunale-et-les-epci</w:t>
        </w:r>
      </w:hyperlink>
      <w:r w:rsidR="009B16F4">
        <w:rPr>
          <w:sz w:val="16"/>
        </w:rPr>
        <w:t xml:space="preserve">. </w:t>
      </w:r>
      <w:r w:rsidR="009B16F4" w:rsidRPr="009B16F4">
        <w:rPr>
          <w:sz w:val="16"/>
        </w:rPr>
        <w:t>L'</w:t>
      </w:r>
      <w:r w:rsidR="009B16F4">
        <w:rPr>
          <w:sz w:val="16"/>
        </w:rPr>
        <w:t xml:space="preserve">EPCI </w:t>
      </w:r>
      <w:r w:rsidR="009B16F4" w:rsidRPr="009B16F4">
        <w:rPr>
          <w:sz w:val="16"/>
        </w:rPr>
        <w:t>compétent remplit ses obligations en créant, en aménageant, en entretenant et en assurant la gestion des aires et terrains dont le schéma départemental a prévu la réalisation sur son territoire.</w:t>
      </w:r>
      <w:r w:rsidR="009B16F4">
        <w:rPr>
          <w:sz w:val="16"/>
        </w:rPr>
        <w:t xml:space="preserve"> Il</w:t>
      </w:r>
      <w:r w:rsidR="009B16F4" w:rsidRPr="009B16F4">
        <w:rPr>
          <w:sz w:val="16"/>
        </w:rPr>
        <w:t xml:space="preserve"> peut également remplir ses obligations en contribuant au financement de la création, de l'aménagement, de l'entretien et de la gestion d'aires ou de terrains situés hors de son territoire.</w:t>
      </w:r>
    </w:p>
  </w:footnote>
  <w:footnote w:id="16">
    <w:p w14:paraId="41CC8942" w14:textId="77777777" w:rsidR="00612C52" w:rsidRPr="00612C52" w:rsidRDefault="00612C52">
      <w:pPr>
        <w:pStyle w:val="Notedebasdepage"/>
        <w:rPr>
          <w:sz w:val="16"/>
        </w:rPr>
      </w:pPr>
      <w:r w:rsidRPr="00612C52">
        <w:rPr>
          <w:rStyle w:val="Appelnotedebasdep"/>
          <w:sz w:val="16"/>
        </w:rPr>
        <w:footnoteRef/>
      </w:r>
      <w:r w:rsidRPr="00612C52">
        <w:rPr>
          <w:sz w:val="16"/>
        </w:rPr>
        <w:t xml:space="preserve"> </w:t>
      </w:r>
      <w:r>
        <w:rPr>
          <w:sz w:val="16"/>
        </w:rPr>
        <w:t>Pour une information exacte, v</w:t>
      </w:r>
      <w:r w:rsidRPr="00612C52">
        <w:rPr>
          <w:sz w:val="16"/>
        </w:rPr>
        <w:t>oir l</w:t>
      </w:r>
      <w:r w:rsidR="003274AD">
        <w:rPr>
          <w:sz w:val="16"/>
        </w:rPr>
        <w:t xml:space="preserve">es </w:t>
      </w:r>
      <w:r w:rsidRPr="00612C52">
        <w:rPr>
          <w:sz w:val="16"/>
        </w:rPr>
        <w:t>art</w:t>
      </w:r>
      <w:r w:rsidR="003274AD">
        <w:rPr>
          <w:sz w:val="16"/>
        </w:rPr>
        <w:t>icles</w:t>
      </w:r>
      <w:r w:rsidRPr="00612C52">
        <w:rPr>
          <w:sz w:val="16"/>
        </w:rPr>
        <w:t xml:space="preserve"> 9</w:t>
      </w:r>
      <w:r w:rsidR="003274AD">
        <w:rPr>
          <w:sz w:val="16"/>
        </w:rPr>
        <w:t xml:space="preserve"> et 9-1</w:t>
      </w:r>
      <w:r w:rsidRPr="00612C52">
        <w:rPr>
          <w:sz w:val="16"/>
        </w:rPr>
        <w:t xml:space="preserve"> de la loi</w:t>
      </w:r>
      <w:r>
        <w:rPr>
          <w:sz w:val="16"/>
        </w:rPr>
        <w:t xml:space="preserve"> </w:t>
      </w:r>
      <w:r w:rsidRPr="00612C52">
        <w:rPr>
          <w:sz w:val="16"/>
        </w:rPr>
        <w:t xml:space="preserve">: </w:t>
      </w:r>
      <w:hyperlink r:id="rId7" w:history="1">
        <w:r w:rsidRPr="00612C52">
          <w:rPr>
            <w:rStyle w:val="Lienhypertexte"/>
            <w:sz w:val="16"/>
          </w:rPr>
          <w:t>https://www.legifrance.gouv.fr/loda/article_lc/LEGIARTI000042328207</w:t>
        </w:r>
      </w:hyperlink>
      <w:r w:rsidR="00B40E62">
        <w:rPr>
          <w:rStyle w:val="Lienhypertexte"/>
          <w:sz w:val="16"/>
        </w:rPr>
        <w:t>.</w:t>
      </w:r>
      <w:r w:rsidRPr="00612C52">
        <w:rPr>
          <w:sz w:val="16"/>
        </w:rPr>
        <w:t xml:space="preserve"> </w:t>
      </w:r>
    </w:p>
  </w:footnote>
  <w:footnote w:id="17">
    <w:p w14:paraId="5EBA82BD" w14:textId="77777777" w:rsidR="00A55CCE" w:rsidRPr="00A55CCE" w:rsidRDefault="00A55CCE" w:rsidP="00A55CCE">
      <w:pPr>
        <w:pStyle w:val="Notedebasdepage"/>
        <w:jc w:val="both"/>
        <w:rPr>
          <w:sz w:val="16"/>
          <w:szCs w:val="16"/>
        </w:rPr>
      </w:pPr>
      <w:r w:rsidRPr="00A55CCE">
        <w:rPr>
          <w:rStyle w:val="Appelnotedebasdep"/>
          <w:sz w:val="16"/>
        </w:rPr>
        <w:footnoteRef/>
      </w:r>
      <w:r w:rsidRPr="00A55CCE">
        <w:rPr>
          <w:sz w:val="16"/>
        </w:rPr>
        <w:t xml:space="preserve"> </w:t>
      </w:r>
      <w:r w:rsidRPr="00A55CCE">
        <w:rPr>
          <w:rStyle w:val="hgkelc"/>
          <w:sz w:val="16"/>
        </w:rPr>
        <w:t>L'</w:t>
      </w:r>
      <w:r w:rsidRPr="00A55CCE">
        <w:rPr>
          <w:rStyle w:val="hgkelc"/>
          <w:bCs/>
          <w:sz w:val="16"/>
        </w:rPr>
        <w:t>amende forfaitaire</w:t>
      </w:r>
      <w:r w:rsidRPr="00A55CCE">
        <w:rPr>
          <w:rStyle w:val="hgkelc"/>
          <w:sz w:val="16"/>
        </w:rPr>
        <w:t xml:space="preserve"> est une sanction pénale qui est prononcée en dehors d'un procès. La décision est prise par un policier, un gendarme ou un agent public habilité qui constate une infraction : Acte interdit par la loi et puni d'une sanction pénale. La sanction consiste à verser une somme d'argent au Trésor public</w:t>
      </w:r>
      <w:r w:rsidRPr="00A55CCE">
        <w:rPr>
          <w:rStyle w:val="hgkelc"/>
          <w:sz w:val="16"/>
          <w:szCs w:val="16"/>
        </w:rPr>
        <w:t xml:space="preserve">. </w:t>
      </w:r>
      <w:r w:rsidRPr="00A55CCE">
        <w:rPr>
          <w:sz w:val="16"/>
          <w:szCs w:val="16"/>
        </w:rPr>
        <w:t xml:space="preserve">Si le paiement n'est pas effectué dans les 45 jours (60 jours en cas de paiement par télé-procédure), le montant de l'amende est </w:t>
      </w:r>
      <w:r w:rsidRPr="00A55CCE">
        <w:rPr>
          <w:rStyle w:val="tool-tip"/>
          <w:sz w:val="16"/>
          <w:szCs w:val="16"/>
        </w:rPr>
        <w:t xml:space="preserve">majoré. </w:t>
      </w:r>
      <w:r w:rsidRPr="00A55CCE">
        <w:rPr>
          <w:sz w:val="16"/>
          <w:szCs w:val="16"/>
        </w:rPr>
        <w:t>En cas de non-paiement de l'amende forfaitaire majorée, le Trésor public peut engager une procédure de recouvrement forcé</w:t>
      </w:r>
      <w:r w:rsidRPr="004146B0">
        <w:rPr>
          <w:sz w:val="16"/>
          <w:szCs w:val="16"/>
        </w:rPr>
        <w:t>.</w:t>
      </w:r>
      <w:r w:rsidR="004146B0" w:rsidRPr="004146B0">
        <w:rPr>
          <w:sz w:val="16"/>
          <w:szCs w:val="16"/>
        </w:rPr>
        <w:t xml:space="preserve"> L’amende forfaitaire délictuelle équivaut, si elle n’est pas contestée, à une reconnaissance de culpabilité et est inscrite au casier judiciaire.</w:t>
      </w:r>
    </w:p>
  </w:footnote>
  <w:footnote w:id="18">
    <w:p w14:paraId="34367DBA" w14:textId="77777777" w:rsidR="0007753E" w:rsidRPr="0007753E" w:rsidRDefault="0007753E">
      <w:pPr>
        <w:pStyle w:val="Notedebasdepage"/>
        <w:rPr>
          <w:sz w:val="16"/>
          <w:szCs w:val="16"/>
        </w:rPr>
      </w:pPr>
      <w:r w:rsidRPr="0007753E">
        <w:rPr>
          <w:rStyle w:val="Appelnotedebasdep"/>
          <w:sz w:val="16"/>
          <w:szCs w:val="16"/>
        </w:rPr>
        <w:footnoteRef/>
      </w:r>
      <w:r w:rsidRPr="0007753E">
        <w:rPr>
          <w:sz w:val="16"/>
          <w:szCs w:val="16"/>
        </w:rPr>
        <w:t xml:space="preserve"> </w:t>
      </w:r>
      <w:hyperlink r:id="rId8" w:history="1">
        <w:r w:rsidRPr="0007753E">
          <w:rPr>
            <w:rStyle w:val="Lienhypertexte"/>
            <w:sz w:val="16"/>
            <w:szCs w:val="16"/>
          </w:rPr>
          <w:t>https://www.elysee.fr/emmanuel-macron/2021/09/13/cloture-du-beauvau-de-la-securite-par-le-president-emmanuel-macron</w:t>
        </w:r>
      </w:hyperlink>
      <w:r w:rsidRPr="0007753E">
        <w:rPr>
          <w:sz w:val="16"/>
          <w:szCs w:val="16"/>
        </w:rPr>
        <w:t xml:space="preserve"> </w:t>
      </w:r>
    </w:p>
  </w:footnote>
  <w:footnote w:id="19">
    <w:p w14:paraId="29822615" w14:textId="77777777" w:rsidR="00B33F43" w:rsidRPr="00B33F43" w:rsidRDefault="00B33F43" w:rsidP="00B33F43">
      <w:pPr>
        <w:spacing w:after="0"/>
        <w:rPr>
          <w:rFonts w:eastAsia="Times New Roman" w:cs="Times New Roman"/>
          <w:color w:val="000000" w:themeColor="text1"/>
          <w:sz w:val="16"/>
          <w:szCs w:val="16"/>
          <w:lang w:eastAsia="fr-FR"/>
        </w:rPr>
      </w:pPr>
      <w:r w:rsidRPr="00B33F43">
        <w:rPr>
          <w:rStyle w:val="Appelnotedebasdep"/>
          <w:color w:val="000000" w:themeColor="text1"/>
          <w:sz w:val="16"/>
          <w:szCs w:val="16"/>
        </w:rPr>
        <w:footnoteRef/>
      </w:r>
      <w:r w:rsidRPr="00B33F43">
        <w:rPr>
          <w:color w:val="000000" w:themeColor="text1"/>
          <w:sz w:val="16"/>
          <w:szCs w:val="16"/>
        </w:rPr>
        <w:t xml:space="preserve"> </w:t>
      </w:r>
      <w:r w:rsidRPr="00B33F43">
        <w:rPr>
          <w:rFonts w:eastAsia="Times New Roman" w:cs="Arial"/>
          <w:bCs/>
          <w:color w:val="000000" w:themeColor="text1"/>
          <w:sz w:val="16"/>
          <w:szCs w:val="16"/>
          <w:shd w:val="clear" w:color="auto" w:fill="FFFFFF"/>
          <w:lang w:eastAsia="fr-FR"/>
        </w:rPr>
        <w:t>Centre</w:t>
      </w:r>
      <w:r w:rsidRPr="00B33F43">
        <w:rPr>
          <w:rFonts w:eastAsia="Times New Roman" w:cs="Arial"/>
          <w:color w:val="000000" w:themeColor="text1"/>
          <w:sz w:val="16"/>
          <w:szCs w:val="16"/>
          <w:shd w:val="clear" w:color="auto" w:fill="FFFFFF"/>
          <w:lang w:eastAsia="fr-FR"/>
        </w:rPr>
        <w:t> d'</w:t>
      </w:r>
      <w:r w:rsidRPr="00B33F43">
        <w:rPr>
          <w:rFonts w:eastAsia="Times New Roman" w:cs="Arial"/>
          <w:bCs/>
          <w:color w:val="000000" w:themeColor="text1"/>
          <w:sz w:val="16"/>
          <w:szCs w:val="16"/>
          <w:shd w:val="clear" w:color="auto" w:fill="FFFFFF"/>
          <w:lang w:eastAsia="fr-FR"/>
        </w:rPr>
        <w:t>Accueil</w:t>
      </w:r>
      <w:r w:rsidRPr="00B33F43">
        <w:rPr>
          <w:rFonts w:eastAsia="Times New Roman" w:cs="Arial"/>
          <w:color w:val="000000" w:themeColor="text1"/>
          <w:sz w:val="16"/>
          <w:szCs w:val="16"/>
          <w:shd w:val="clear" w:color="auto" w:fill="FFFFFF"/>
          <w:lang w:eastAsia="fr-FR"/>
        </w:rPr>
        <w:t> et d'Examen des Situations administratives.</w:t>
      </w:r>
    </w:p>
  </w:footnote>
  <w:footnote w:id="20">
    <w:p w14:paraId="00FBC17C" w14:textId="77777777" w:rsidR="00B33F43" w:rsidRPr="00B33F43" w:rsidRDefault="00B33F43">
      <w:pPr>
        <w:pStyle w:val="Notedebasdepage"/>
        <w:rPr>
          <w:sz w:val="16"/>
          <w:szCs w:val="16"/>
        </w:rPr>
      </w:pPr>
      <w:r w:rsidRPr="00B33F43">
        <w:rPr>
          <w:rStyle w:val="Appelnotedebasdep"/>
          <w:sz w:val="16"/>
          <w:szCs w:val="16"/>
        </w:rPr>
        <w:footnoteRef/>
      </w:r>
      <w:r w:rsidRPr="00B33F43">
        <w:rPr>
          <w:sz w:val="16"/>
          <w:szCs w:val="16"/>
        </w:rPr>
        <w:t xml:space="preserve"> Hébergement d'urgence des demandeurs d'asile.</w:t>
      </w:r>
    </w:p>
  </w:footnote>
  <w:footnote w:id="21">
    <w:p w14:paraId="553A5AF5" w14:textId="77777777" w:rsidR="00967532" w:rsidRPr="0099489E" w:rsidRDefault="00967532" w:rsidP="0099489E">
      <w:pPr>
        <w:pStyle w:val="Notedebasdepage"/>
        <w:rPr>
          <w:sz w:val="16"/>
        </w:rPr>
      </w:pPr>
      <w:r w:rsidRPr="0099489E">
        <w:rPr>
          <w:rStyle w:val="Appelnotedebasdep"/>
          <w:sz w:val="16"/>
        </w:rPr>
        <w:footnoteRef/>
      </w:r>
      <w:r w:rsidRPr="0099489E">
        <w:rPr>
          <w:sz w:val="16"/>
        </w:rPr>
        <w:t xml:space="preserve"> </w:t>
      </w:r>
      <w:hyperlink r:id="rId9" w:history="1">
        <w:r w:rsidRPr="0099489E">
          <w:rPr>
            <w:rStyle w:val="Lienhypertexte"/>
            <w:sz w:val="16"/>
          </w:rPr>
          <w:t>https://information.tv5monde.com/video/france-evacuation-du-camp-de-migrants-de-saint-denis</w:t>
        </w:r>
      </w:hyperlink>
      <w:r w:rsidR="0099489E">
        <w:rPr>
          <w:sz w:val="16"/>
        </w:rPr>
        <w:t xml:space="preserve"> </w:t>
      </w:r>
      <w:r w:rsidRPr="0099489E">
        <w:rPr>
          <w:sz w:val="16"/>
        </w:rPr>
        <w:t xml:space="preserve">; </w:t>
      </w:r>
      <w:hyperlink r:id="rId10" w:history="1">
        <w:r w:rsidRPr="0099489E">
          <w:rPr>
            <w:rStyle w:val="Lienhypertexte"/>
            <w:sz w:val="16"/>
          </w:rPr>
          <w:t>https://www.youtube.com/watch?v=tCzUNo3j4UM</w:t>
        </w:r>
      </w:hyperlink>
      <w:r w:rsidRPr="0099489E">
        <w:rPr>
          <w:sz w:val="16"/>
        </w:rPr>
        <w:t xml:space="preserve"> ; </w:t>
      </w:r>
      <w:hyperlink r:id="rId11" w:history="1">
        <w:r w:rsidRPr="0099489E">
          <w:rPr>
            <w:rStyle w:val="Lienhypertexte"/>
            <w:sz w:val="16"/>
          </w:rPr>
          <w:t>https://www.francetvinfo.fr/faits-divers/police/violences-policieres/paris-evacuation-d-un-rassemblement-de-migrants-place-de-la-republique_4193571.html</w:t>
        </w:r>
      </w:hyperlink>
      <w:r w:rsidR="00216A7C">
        <w:rPr>
          <w:sz w:val="16"/>
        </w:rPr>
        <w:t>.</w:t>
      </w:r>
    </w:p>
  </w:footnote>
  <w:footnote w:id="22">
    <w:p w14:paraId="3AC04997" w14:textId="77777777" w:rsidR="0099489E" w:rsidRPr="0099489E" w:rsidRDefault="0099489E" w:rsidP="0099489E">
      <w:pPr>
        <w:pStyle w:val="Notedebasdepage"/>
        <w:jc w:val="both"/>
        <w:rPr>
          <w:sz w:val="16"/>
        </w:rPr>
      </w:pPr>
      <w:r w:rsidRPr="0099489E">
        <w:rPr>
          <w:rStyle w:val="Appelnotedebasdep"/>
          <w:sz w:val="16"/>
        </w:rPr>
        <w:footnoteRef/>
      </w:r>
      <w:r w:rsidRPr="0099489E">
        <w:rPr>
          <w:sz w:val="16"/>
        </w:rPr>
        <w:t xml:space="preserve"> </w:t>
      </w:r>
      <w:hyperlink r:id="rId12" w:history="1">
        <w:r w:rsidRPr="0099489E">
          <w:rPr>
            <w:rStyle w:val="Lienhypertexte"/>
            <w:sz w:val="16"/>
          </w:rPr>
          <w:t>https://www.observatoiredesexpulsions.org/storage/wsm_publication/FxalkGJadLHDm8bes20CWLs4N3FQVHMQ211aMmIH.pdf</w:t>
        </w:r>
      </w:hyperlink>
      <w:r w:rsidR="00216A7C">
        <w:rPr>
          <w:sz w:val="16"/>
        </w:rPr>
        <w:t>.</w:t>
      </w:r>
    </w:p>
  </w:footnote>
  <w:footnote w:id="23">
    <w:p w14:paraId="7DD3E9F6" w14:textId="77777777" w:rsidR="0012320D" w:rsidRPr="008D3551" w:rsidRDefault="0012320D" w:rsidP="008D3551">
      <w:pPr>
        <w:pStyle w:val="Notedebasdepage"/>
        <w:jc w:val="both"/>
        <w:rPr>
          <w:sz w:val="16"/>
        </w:rPr>
      </w:pPr>
      <w:r w:rsidRPr="008D3551">
        <w:rPr>
          <w:rStyle w:val="Appelnotedebasdep"/>
          <w:sz w:val="16"/>
        </w:rPr>
        <w:footnoteRef/>
      </w:r>
      <w:r w:rsidRPr="008D3551">
        <w:rPr>
          <w:sz w:val="16"/>
        </w:rPr>
        <w:t xml:space="preserve"> </w:t>
      </w:r>
      <w:r w:rsidR="008D3551" w:rsidRPr="008D3551">
        <w:rPr>
          <w:sz w:val="16"/>
        </w:rPr>
        <w:t>https://www.liberation.fr/societe/a-calais-linterdiction-de-distribution-de-nourriture-en-vigueur-depuis-pres-dun-an-a-nouveau-prolongee-20210823_GL7ZJQMS5ZH5TGWJV2FZ4PTZ3Y/</w:t>
      </w:r>
      <w:r w:rsidR="008D3551">
        <w:rPr>
          <w:sz w:val="16"/>
        </w:rPr>
        <w:t>.</w:t>
      </w:r>
      <w:r w:rsidR="008D3551" w:rsidRPr="008D3551">
        <w:rPr>
          <w:sz w:val="16"/>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6DE9B" w14:textId="77777777" w:rsidR="003B1C56" w:rsidRDefault="003B1C56">
    <w:pPr>
      <w:pStyle w:val="En-tte"/>
    </w:pPr>
    <w:r>
      <w:rPr>
        <w:noProof/>
        <w:lang w:eastAsia="fr-FR"/>
      </w:rPr>
      <w:drawing>
        <wp:inline distT="0" distB="0" distL="0" distR="0" wp14:anchorId="5B366CF3" wp14:editId="51FE9DDD">
          <wp:extent cx="422437" cy="520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087" cy="553549"/>
                  </a:xfrm>
                  <a:prstGeom prst="rect">
                    <a:avLst/>
                  </a:prstGeom>
                  <a:noFill/>
                  <a:ln>
                    <a:noFill/>
                  </a:ln>
                </pic:spPr>
              </pic:pic>
            </a:graphicData>
          </a:graphic>
        </wp:inline>
      </w:drawing>
    </w:r>
  </w:p>
  <w:p w14:paraId="5AE6CDA1" w14:textId="77777777" w:rsidR="003B1C56" w:rsidRDefault="003B1C5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3725"/>
    <w:multiLevelType w:val="hybridMultilevel"/>
    <w:tmpl w:val="897A7EDE"/>
    <w:numStyleLink w:val="Style4import"/>
  </w:abstractNum>
  <w:abstractNum w:abstractNumId="1">
    <w:nsid w:val="230479EE"/>
    <w:multiLevelType w:val="hybridMultilevel"/>
    <w:tmpl w:val="F03CCC3C"/>
    <w:numStyleLink w:val="Style3import"/>
  </w:abstractNum>
  <w:abstractNum w:abstractNumId="2">
    <w:nsid w:val="403205E5"/>
    <w:multiLevelType w:val="hybridMultilevel"/>
    <w:tmpl w:val="C712A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3207B9"/>
    <w:multiLevelType w:val="hybridMultilevel"/>
    <w:tmpl w:val="4CF0F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787239"/>
    <w:multiLevelType w:val="hybridMultilevel"/>
    <w:tmpl w:val="7826DD44"/>
    <w:styleLink w:val="Style1import"/>
    <w:lvl w:ilvl="0" w:tplc="171262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64930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2257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3697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6A14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CEB4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A8BE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70AC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2492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2D76443"/>
    <w:multiLevelType w:val="hybridMultilevel"/>
    <w:tmpl w:val="3E6C39E4"/>
    <w:styleLink w:val="Style2import"/>
    <w:lvl w:ilvl="0" w:tplc="29CE19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944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2C68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0237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087E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8A80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F8A3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04FD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4254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4CE505C"/>
    <w:multiLevelType w:val="hybridMultilevel"/>
    <w:tmpl w:val="3E6C39E4"/>
    <w:numStyleLink w:val="Style2import"/>
  </w:abstractNum>
  <w:abstractNum w:abstractNumId="7">
    <w:nsid w:val="58987DE2"/>
    <w:multiLevelType w:val="hybridMultilevel"/>
    <w:tmpl w:val="91EA2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6936430"/>
    <w:multiLevelType w:val="hybridMultilevel"/>
    <w:tmpl w:val="897A7EDE"/>
    <w:styleLink w:val="Style4import"/>
    <w:lvl w:ilvl="0" w:tplc="90744F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982B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C4D6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1EC7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5616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048C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0027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66EC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5269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BA602A1"/>
    <w:multiLevelType w:val="hybridMultilevel"/>
    <w:tmpl w:val="F03CCC3C"/>
    <w:styleLink w:val="Style3import"/>
    <w:lvl w:ilvl="0" w:tplc="A4F6E0C6">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E45B4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EFE687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E78513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2742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E2AAD2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894BCE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BC369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B2829B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79568AB"/>
    <w:multiLevelType w:val="hybridMultilevel"/>
    <w:tmpl w:val="7826DD44"/>
    <w:numStyleLink w:val="Style1import"/>
  </w:abstractNum>
  <w:num w:numId="1">
    <w:abstractNumId w:val="7"/>
  </w:num>
  <w:num w:numId="2">
    <w:abstractNumId w:val="3"/>
  </w:num>
  <w:num w:numId="3">
    <w:abstractNumId w:val="4"/>
  </w:num>
  <w:num w:numId="4">
    <w:abstractNumId w:val="10"/>
  </w:num>
  <w:num w:numId="5">
    <w:abstractNumId w:val="10"/>
    <w:lvlOverride w:ilvl="0">
      <w:lvl w:ilvl="0" w:tplc="4A1A57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1EC88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79287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69E45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D4011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9CEC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C272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701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8A28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6"/>
  </w:num>
  <w:num w:numId="8">
    <w:abstractNumId w:val="8"/>
  </w:num>
  <w:num w:numId="9">
    <w:abstractNumId w:val="0"/>
  </w:num>
  <w:num w:numId="10">
    <w:abstractNumId w:val="9"/>
  </w:num>
  <w:num w:numId="11">
    <w:abstractNumId w:val="1"/>
    <w:lvlOverride w:ilvl="0">
      <w:lvl w:ilvl="0" w:tplc="722EAE14">
        <w:start w:val="1"/>
        <w:numFmt w:val="bullet"/>
        <w:lvlText w:val="·"/>
        <w:lvlJc w:val="left"/>
        <w:pPr>
          <w:ind w:left="70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A4EFC5A">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8401FC">
        <w:start w:val="1"/>
        <w:numFmt w:val="bullet"/>
        <w:lvlText w:val="·"/>
        <w:lvlJc w:val="left"/>
        <w:pPr>
          <w:ind w:left="17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1803ECA">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AAE8A2">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0FCC0E2">
        <w:start w:val="1"/>
        <w:numFmt w:val="bullet"/>
        <w:lvlText w:val="·"/>
        <w:lvlJc w:val="left"/>
        <w:pPr>
          <w:ind w:left="39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FC386E">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5268BCA">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8CFB72">
        <w:start w:val="1"/>
        <w:numFmt w:val="bullet"/>
        <w:lvlText w:val="·"/>
        <w:lvlJc w:val="left"/>
        <w:pPr>
          <w:ind w:left="61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56"/>
    <w:rsid w:val="000207B2"/>
    <w:rsid w:val="00033E5C"/>
    <w:rsid w:val="00040596"/>
    <w:rsid w:val="0007753E"/>
    <w:rsid w:val="00082282"/>
    <w:rsid w:val="000B209A"/>
    <w:rsid w:val="000D76F7"/>
    <w:rsid w:val="000F1F0C"/>
    <w:rsid w:val="0012320D"/>
    <w:rsid w:val="00134599"/>
    <w:rsid w:val="00151260"/>
    <w:rsid w:val="00152B74"/>
    <w:rsid w:val="00154981"/>
    <w:rsid w:val="001558F2"/>
    <w:rsid w:val="001C67C3"/>
    <w:rsid w:val="00216A7C"/>
    <w:rsid w:val="00251395"/>
    <w:rsid w:val="002F3652"/>
    <w:rsid w:val="002F5E83"/>
    <w:rsid w:val="003022FA"/>
    <w:rsid w:val="003274AD"/>
    <w:rsid w:val="00342B1F"/>
    <w:rsid w:val="003536D2"/>
    <w:rsid w:val="00384D4E"/>
    <w:rsid w:val="00386754"/>
    <w:rsid w:val="003B1C56"/>
    <w:rsid w:val="003F1769"/>
    <w:rsid w:val="003F594D"/>
    <w:rsid w:val="00401AE9"/>
    <w:rsid w:val="004146B0"/>
    <w:rsid w:val="004B76E7"/>
    <w:rsid w:val="004D2B36"/>
    <w:rsid w:val="004D502A"/>
    <w:rsid w:val="00537296"/>
    <w:rsid w:val="00546967"/>
    <w:rsid w:val="005470B5"/>
    <w:rsid w:val="00566DB0"/>
    <w:rsid w:val="005A3428"/>
    <w:rsid w:val="005B0D34"/>
    <w:rsid w:val="005B63AA"/>
    <w:rsid w:val="005C3FDF"/>
    <w:rsid w:val="006004E5"/>
    <w:rsid w:val="00600BC5"/>
    <w:rsid w:val="00612C52"/>
    <w:rsid w:val="00633DF2"/>
    <w:rsid w:val="00673EF6"/>
    <w:rsid w:val="00713128"/>
    <w:rsid w:val="00723A0D"/>
    <w:rsid w:val="00726F84"/>
    <w:rsid w:val="00750F26"/>
    <w:rsid w:val="0075327E"/>
    <w:rsid w:val="00792C71"/>
    <w:rsid w:val="007A3820"/>
    <w:rsid w:val="007B5368"/>
    <w:rsid w:val="007B546E"/>
    <w:rsid w:val="00820702"/>
    <w:rsid w:val="008262D2"/>
    <w:rsid w:val="00883F34"/>
    <w:rsid w:val="008D3551"/>
    <w:rsid w:val="00904256"/>
    <w:rsid w:val="00960EF3"/>
    <w:rsid w:val="00967532"/>
    <w:rsid w:val="0099489E"/>
    <w:rsid w:val="009A4C83"/>
    <w:rsid w:val="009A6D04"/>
    <w:rsid w:val="009A78DE"/>
    <w:rsid w:val="009B16F4"/>
    <w:rsid w:val="009D430E"/>
    <w:rsid w:val="009F6269"/>
    <w:rsid w:val="00A042B2"/>
    <w:rsid w:val="00A22031"/>
    <w:rsid w:val="00A2432E"/>
    <w:rsid w:val="00A32A56"/>
    <w:rsid w:val="00A42C48"/>
    <w:rsid w:val="00A55CCE"/>
    <w:rsid w:val="00A815E5"/>
    <w:rsid w:val="00A96168"/>
    <w:rsid w:val="00AC3082"/>
    <w:rsid w:val="00AE252B"/>
    <w:rsid w:val="00AF638E"/>
    <w:rsid w:val="00AF6FC4"/>
    <w:rsid w:val="00B07085"/>
    <w:rsid w:val="00B231F5"/>
    <w:rsid w:val="00B313CF"/>
    <w:rsid w:val="00B339A6"/>
    <w:rsid w:val="00B33F43"/>
    <w:rsid w:val="00B40E62"/>
    <w:rsid w:val="00B66A5A"/>
    <w:rsid w:val="00B8173C"/>
    <w:rsid w:val="00B95C48"/>
    <w:rsid w:val="00BA3A74"/>
    <w:rsid w:val="00BC0EBF"/>
    <w:rsid w:val="00BC121F"/>
    <w:rsid w:val="00C27565"/>
    <w:rsid w:val="00C41A94"/>
    <w:rsid w:val="00C42A99"/>
    <w:rsid w:val="00C437E2"/>
    <w:rsid w:val="00C56452"/>
    <w:rsid w:val="00D56159"/>
    <w:rsid w:val="00D71425"/>
    <w:rsid w:val="00D938A4"/>
    <w:rsid w:val="00DB1FDD"/>
    <w:rsid w:val="00DC7336"/>
    <w:rsid w:val="00DD72B1"/>
    <w:rsid w:val="00DE3CF2"/>
    <w:rsid w:val="00DF10FC"/>
    <w:rsid w:val="00DF594E"/>
    <w:rsid w:val="00E01338"/>
    <w:rsid w:val="00E03387"/>
    <w:rsid w:val="00E36B9D"/>
    <w:rsid w:val="00E410B2"/>
    <w:rsid w:val="00E73A16"/>
    <w:rsid w:val="00EB6FFB"/>
    <w:rsid w:val="00EB7A4F"/>
    <w:rsid w:val="00F0465A"/>
    <w:rsid w:val="00F657D9"/>
    <w:rsid w:val="00F879A7"/>
    <w:rsid w:val="00F93053"/>
    <w:rsid w:val="00FD184C"/>
    <w:rsid w:val="00FD6550"/>
    <w:rsid w:val="00FE0C57"/>
    <w:rsid w:val="00FF1C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59AC"/>
  <w15:chartTrackingRefBased/>
  <w15:docId w15:val="{9B9C950B-B833-45AE-9092-2B1FE62B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66A5A"/>
    <w:pPr>
      <w:spacing w:before="100" w:beforeAutospacing="1" w:after="100" w:afterAutospacing="1" w:line="240" w:lineRule="auto"/>
      <w:outlineLvl w:val="0"/>
    </w:pPr>
    <w:rPr>
      <w:rFonts w:ascii="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C56"/>
    <w:pPr>
      <w:tabs>
        <w:tab w:val="center" w:pos="4536"/>
        <w:tab w:val="right" w:pos="9072"/>
      </w:tabs>
      <w:spacing w:after="0" w:line="240" w:lineRule="auto"/>
    </w:pPr>
  </w:style>
  <w:style w:type="character" w:customStyle="1" w:styleId="En-tteCar">
    <w:name w:val="En-tête Car"/>
    <w:basedOn w:val="Policepardfaut"/>
    <w:link w:val="En-tte"/>
    <w:uiPriority w:val="99"/>
    <w:rsid w:val="003B1C56"/>
  </w:style>
  <w:style w:type="paragraph" w:styleId="Pieddepage">
    <w:name w:val="footer"/>
    <w:basedOn w:val="Normal"/>
    <w:link w:val="PieddepageCar"/>
    <w:uiPriority w:val="99"/>
    <w:unhideWhenUsed/>
    <w:rsid w:val="003B1C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C56"/>
  </w:style>
  <w:style w:type="paragraph" w:customStyle="1" w:styleId="Pa3">
    <w:name w:val="Pa3"/>
    <w:basedOn w:val="Normal"/>
    <w:next w:val="Normal"/>
    <w:uiPriority w:val="99"/>
    <w:rsid w:val="009A78DE"/>
    <w:pPr>
      <w:widowControl w:val="0"/>
      <w:autoSpaceDE w:val="0"/>
      <w:autoSpaceDN w:val="0"/>
      <w:adjustRightInd w:val="0"/>
      <w:spacing w:after="0" w:line="241" w:lineRule="atLeast"/>
    </w:pPr>
    <w:rPr>
      <w:rFonts w:ascii="Meta" w:eastAsia="Calibri" w:hAnsi="Meta" w:cs="Times New Roman"/>
      <w:sz w:val="24"/>
      <w:szCs w:val="24"/>
      <w:lang w:eastAsia="fr-FR"/>
    </w:rPr>
  </w:style>
  <w:style w:type="paragraph" w:styleId="Notedebasdepage">
    <w:name w:val="footnote text"/>
    <w:basedOn w:val="Normal"/>
    <w:link w:val="NotedebasdepageCar"/>
    <w:unhideWhenUsed/>
    <w:rsid w:val="009A78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78DE"/>
    <w:rPr>
      <w:sz w:val="20"/>
      <w:szCs w:val="20"/>
    </w:rPr>
  </w:style>
  <w:style w:type="character" w:styleId="Appelnotedebasdep">
    <w:name w:val="footnote reference"/>
    <w:basedOn w:val="Policepardfaut"/>
    <w:uiPriority w:val="99"/>
    <w:unhideWhenUsed/>
    <w:rsid w:val="009A78DE"/>
    <w:rPr>
      <w:vertAlign w:val="superscript"/>
    </w:rPr>
  </w:style>
  <w:style w:type="character" w:styleId="Lienhypertexte">
    <w:name w:val="Hyperlink"/>
    <w:basedOn w:val="Policepardfaut"/>
    <w:uiPriority w:val="99"/>
    <w:unhideWhenUsed/>
    <w:rsid w:val="009A78DE"/>
    <w:rPr>
      <w:color w:val="0563C1" w:themeColor="hyperlink"/>
      <w:u w:val="single"/>
    </w:rPr>
  </w:style>
  <w:style w:type="character" w:customStyle="1" w:styleId="UnresolvedMention">
    <w:name w:val="Unresolved Mention"/>
    <w:basedOn w:val="Policepardfaut"/>
    <w:uiPriority w:val="99"/>
    <w:semiHidden/>
    <w:unhideWhenUsed/>
    <w:rsid w:val="009A78DE"/>
    <w:rPr>
      <w:color w:val="605E5C"/>
      <w:shd w:val="clear" w:color="auto" w:fill="E1DFDD"/>
    </w:rPr>
  </w:style>
  <w:style w:type="paragraph" w:styleId="Pardeliste">
    <w:name w:val="List Paragraph"/>
    <w:basedOn w:val="Normal"/>
    <w:qFormat/>
    <w:rsid w:val="004D2B36"/>
    <w:pPr>
      <w:ind w:left="720"/>
      <w:contextualSpacing/>
    </w:pPr>
  </w:style>
  <w:style w:type="paragraph" w:customStyle="1" w:styleId="Corps">
    <w:name w:val="Corps"/>
    <w:rsid w:val="00566DB0"/>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fr-FR"/>
    </w:rPr>
  </w:style>
  <w:style w:type="numbering" w:customStyle="1" w:styleId="Style1import">
    <w:name w:val="Style 1 importé"/>
    <w:rsid w:val="00537296"/>
    <w:pPr>
      <w:numPr>
        <w:numId w:val="3"/>
      </w:numPr>
    </w:pPr>
  </w:style>
  <w:style w:type="numbering" w:customStyle="1" w:styleId="Style2import">
    <w:name w:val="Style 2 importé"/>
    <w:rsid w:val="00537296"/>
    <w:pPr>
      <w:numPr>
        <w:numId w:val="6"/>
      </w:numPr>
    </w:pPr>
  </w:style>
  <w:style w:type="numbering" w:customStyle="1" w:styleId="Style4import">
    <w:name w:val="Style 4 importé"/>
    <w:rsid w:val="00A2432E"/>
    <w:pPr>
      <w:numPr>
        <w:numId w:val="8"/>
      </w:numPr>
    </w:pPr>
  </w:style>
  <w:style w:type="numbering" w:customStyle="1" w:styleId="Style3import">
    <w:name w:val="Style 3 importé"/>
    <w:rsid w:val="004D502A"/>
    <w:pPr>
      <w:numPr>
        <w:numId w:val="10"/>
      </w:numPr>
    </w:pPr>
  </w:style>
  <w:style w:type="paragraph" w:styleId="Normalweb">
    <w:name w:val="Normal (Web)"/>
    <w:basedOn w:val="Normal"/>
    <w:uiPriority w:val="99"/>
    <w:semiHidden/>
    <w:unhideWhenUsed/>
    <w:rsid w:val="003274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gkelc">
    <w:name w:val="hgkelc"/>
    <w:basedOn w:val="Policepardfaut"/>
    <w:rsid w:val="00A55CCE"/>
  </w:style>
  <w:style w:type="character" w:customStyle="1" w:styleId="tool-tip">
    <w:name w:val="tool-tip"/>
    <w:basedOn w:val="Policepardfaut"/>
    <w:rsid w:val="00A55CCE"/>
  </w:style>
  <w:style w:type="character" w:customStyle="1" w:styleId="sr-only">
    <w:name w:val="sr-only"/>
    <w:basedOn w:val="Policepardfaut"/>
    <w:rsid w:val="00A55CCE"/>
  </w:style>
  <w:style w:type="character" w:customStyle="1" w:styleId="highlight">
    <w:name w:val="highlight"/>
    <w:basedOn w:val="Policepardfaut"/>
    <w:rsid w:val="00AE252B"/>
  </w:style>
  <w:style w:type="character" w:customStyle="1" w:styleId="markedcontent">
    <w:name w:val="markedcontent"/>
    <w:basedOn w:val="Policepardfaut"/>
    <w:rsid w:val="00B231F5"/>
  </w:style>
  <w:style w:type="paragraph" w:customStyle="1" w:styleId="Default">
    <w:name w:val="Default"/>
    <w:rsid w:val="0099489E"/>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B66A5A"/>
    <w:rPr>
      <w:rFonts w:ascii="Times New Roman" w:hAnsi="Times New Roman" w:cs="Times New Roman"/>
      <w:b/>
      <w:bCs/>
      <w:kern w:val="36"/>
      <w:sz w:val="48"/>
      <w:szCs w:val="48"/>
      <w:lang w:eastAsia="fr-FR"/>
    </w:rPr>
  </w:style>
  <w:style w:type="character" w:styleId="Emphase">
    <w:name w:val="Emphasis"/>
    <w:basedOn w:val="Policepardfaut"/>
    <w:uiPriority w:val="20"/>
    <w:qFormat/>
    <w:rsid w:val="00B33F43"/>
    <w:rPr>
      <w:i/>
      <w:iCs/>
    </w:rPr>
  </w:style>
  <w:style w:type="character" w:styleId="Marquedecommentaire">
    <w:name w:val="annotation reference"/>
    <w:basedOn w:val="Policepardfaut"/>
    <w:uiPriority w:val="99"/>
    <w:semiHidden/>
    <w:unhideWhenUsed/>
    <w:rsid w:val="00A815E5"/>
    <w:rPr>
      <w:sz w:val="16"/>
      <w:szCs w:val="16"/>
    </w:rPr>
  </w:style>
  <w:style w:type="paragraph" w:styleId="Commentaire">
    <w:name w:val="annotation text"/>
    <w:basedOn w:val="Normal"/>
    <w:link w:val="CommentaireCar"/>
    <w:uiPriority w:val="99"/>
    <w:semiHidden/>
    <w:unhideWhenUsed/>
    <w:rsid w:val="00A815E5"/>
    <w:pPr>
      <w:spacing w:line="240" w:lineRule="auto"/>
    </w:pPr>
    <w:rPr>
      <w:sz w:val="20"/>
      <w:szCs w:val="20"/>
    </w:rPr>
  </w:style>
  <w:style w:type="character" w:customStyle="1" w:styleId="CommentaireCar">
    <w:name w:val="Commentaire Car"/>
    <w:basedOn w:val="Policepardfaut"/>
    <w:link w:val="Commentaire"/>
    <w:uiPriority w:val="99"/>
    <w:semiHidden/>
    <w:rsid w:val="00A815E5"/>
    <w:rPr>
      <w:sz w:val="20"/>
      <w:szCs w:val="20"/>
    </w:rPr>
  </w:style>
  <w:style w:type="paragraph" w:styleId="Objetducommentaire">
    <w:name w:val="annotation subject"/>
    <w:basedOn w:val="Commentaire"/>
    <w:next w:val="Commentaire"/>
    <w:link w:val="ObjetducommentaireCar"/>
    <w:uiPriority w:val="99"/>
    <w:semiHidden/>
    <w:unhideWhenUsed/>
    <w:rsid w:val="00A815E5"/>
    <w:rPr>
      <w:b/>
      <w:bCs/>
    </w:rPr>
  </w:style>
  <w:style w:type="character" w:customStyle="1" w:styleId="ObjetducommentaireCar">
    <w:name w:val="Objet du commentaire Car"/>
    <w:basedOn w:val="CommentaireCar"/>
    <w:link w:val="Objetducommentaire"/>
    <w:uiPriority w:val="99"/>
    <w:semiHidden/>
    <w:rsid w:val="00A815E5"/>
    <w:rPr>
      <w:b/>
      <w:bCs/>
      <w:sz w:val="20"/>
      <w:szCs w:val="20"/>
    </w:rPr>
  </w:style>
  <w:style w:type="paragraph" w:styleId="Textedebulles">
    <w:name w:val="Balloon Text"/>
    <w:basedOn w:val="Normal"/>
    <w:link w:val="TextedebullesCar"/>
    <w:uiPriority w:val="99"/>
    <w:semiHidden/>
    <w:unhideWhenUsed/>
    <w:rsid w:val="00A815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1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841">
      <w:bodyDiv w:val="1"/>
      <w:marLeft w:val="0"/>
      <w:marRight w:val="0"/>
      <w:marTop w:val="0"/>
      <w:marBottom w:val="0"/>
      <w:divBdr>
        <w:top w:val="none" w:sz="0" w:space="0" w:color="auto"/>
        <w:left w:val="none" w:sz="0" w:space="0" w:color="auto"/>
        <w:bottom w:val="none" w:sz="0" w:space="0" w:color="auto"/>
        <w:right w:val="none" w:sz="0" w:space="0" w:color="auto"/>
      </w:divBdr>
    </w:div>
    <w:div w:id="402988144">
      <w:bodyDiv w:val="1"/>
      <w:marLeft w:val="0"/>
      <w:marRight w:val="0"/>
      <w:marTop w:val="0"/>
      <w:marBottom w:val="0"/>
      <w:divBdr>
        <w:top w:val="none" w:sz="0" w:space="0" w:color="auto"/>
        <w:left w:val="none" w:sz="0" w:space="0" w:color="auto"/>
        <w:bottom w:val="none" w:sz="0" w:space="0" w:color="auto"/>
        <w:right w:val="none" w:sz="0" w:space="0" w:color="auto"/>
      </w:divBdr>
      <w:divsChild>
        <w:div w:id="2100056604">
          <w:marLeft w:val="0"/>
          <w:marRight w:val="0"/>
          <w:marTop w:val="0"/>
          <w:marBottom w:val="0"/>
          <w:divBdr>
            <w:top w:val="none" w:sz="0" w:space="0" w:color="auto"/>
            <w:left w:val="none" w:sz="0" w:space="0" w:color="auto"/>
            <w:bottom w:val="none" w:sz="0" w:space="0" w:color="auto"/>
            <w:right w:val="none" w:sz="0" w:space="0" w:color="auto"/>
          </w:divBdr>
        </w:div>
      </w:divsChild>
    </w:div>
    <w:div w:id="780539150">
      <w:bodyDiv w:val="1"/>
      <w:marLeft w:val="0"/>
      <w:marRight w:val="0"/>
      <w:marTop w:val="0"/>
      <w:marBottom w:val="0"/>
      <w:divBdr>
        <w:top w:val="none" w:sz="0" w:space="0" w:color="auto"/>
        <w:left w:val="none" w:sz="0" w:space="0" w:color="auto"/>
        <w:bottom w:val="none" w:sz="0" w:space="0" w:color="auto"/>
        <w:right w:val="none" w:sz="0" w:space="0" w:color="auto"/>
      </w:divBdr>
    </w:div>
    <w:div w:id="780880115">
      <w:bodyDiv w:val="1"/>
      <w:marLeft w:val="0"/>
      <w:marRight w:val="0"/>
      <w:marTop w:val="0"/>
      <w:marBottom w:val="0"/>
      <w:divBdr>
        <w:top w:val="none" w:sz="0" w:space="0" w:color="auto"/>
        <w:left w:val="none" w:sz="0" w:space="0" w:color="auto"/>
        <w:bottom w:val="none" w:sz="0" w:space="0" w:color="auto"/>
        <w:right w:val="none" w:sz="0" w:space="0" w:color="auto"/>
      </w:divBdr>
    </w:div>
    <w:div w:id="807278833">
      <w:bodyDiv w:val="1"/>
      <w:marLeft w:val="0"/>
      <w:marRight w:val="0"/>
      <w:marTop w:val="0"/>
      <w:marBottom w:val="0"/>
      <w:divBdr>
        <w:top w:val="none" w:sz="0" w:space="0" w:color="auto"/>
        <w:left w:val="none" w:sz="0" w:space="0" w:color="auto"/>
        <w:bottom w:val="none" w:sz="0" w:space="0" w:color="auto"/>
        <w:right w:val="none" w:sz="0" w:space="0" w:color="auto"/>
      </w:divBdr>
    </w:div>
    <w:div w:id="1543976257">
      <w:bodyDiv w:val="1"/>
      <w:marLeft w:val="0"/>
      <w:marRight w:val="0"/>
      <w:marTop w:val="0"/>
      <w:marBottom w:val="0"/>
      <w:divBdr>
        <w:top w:val="none" w:sz="0" w:space="0" w:color="auto"/>
        <w:left w:val="none" w:sz="0" w:space="0" w:color="auto"/>
        <w:bottom w:val="none" w:sz="0" w:space="0" w:color="auto"/>
        <w:right w:val="none" w:sz="0" w:space="0" w:color="auto"/>
      </w:divBdr>
    </w:div>
    <w:div w:id="19954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coupechoux@fap.fr"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s://www.francetvinfo.fr/faits-divers/police/violences-policieres/paris-evacuation-d-un-rassemblement-de-migrants-place-de-la-republique_4193571.html" TargetMode="External"/><Relationship Id="rId12" Type="http://schemas.openxmlformats.org/officeDocument/2006/relationships/hyperlink" Target="https://www.observatoiredesexpulsions.org/storage/wsm_publication/FxalkGJadLHDm8bes20CWLs4N3FQVHMQ211aMmIH.pdf" TargetMode="External"/><Relationship Id="rId1" Type="http://schemas.openxmlformats.org/officeDocument/2006/relationships/hyperlink" Target="https://www.fondation-abbe-pierre.fr/actualites/au-plus-pres-des-besoins-de-380-000-personnes" TargetMode="External"/><Relationship Id="rId2" Type="http://schemas.openxmlformats.org/officeDocument/2006/relationships/hyperlink" Target="https://www.fondation-abbe-pierre.fr/actualites/26e-rapport-sur-letat-du-mal-logement-en-france-2021" TargetMode="External"/><Relationship Id="rId3" Type="http://schemas.openxmlformats.org/officeDocument/2006/relationships/hyperlink" Target="https://www.feantsa.org/fr/report/2021/05/12/the-6th-overview-of-housing-exclusion-in-europe-2021" TargetMode="External"/><Relationship Id="rId4" Type="http://schemas.openxmlformats.org/officeDocument/2006/relationships/hyperlink" Target="https://www.fondation-abbe-pierre.fr/nos-publications/communiques-de-presse/2e-edition-de-la-ceremonie-des-pics-dor" TargetMode="External"/><Relationship Id="rId5" Type="http://schemas.openxmlformats.org/officeDocument/2006/relationships/hyperlink" Target="http://odci.fr/knowledge-base/lexclusion-sans-fin-droit-au-logement-des-voyageurs/" TargetMode="External"/><Relationship Id="rId6" Type="http://schemas.openxmlformats.org/officeDocument/2006/relationships/hyperlink" Target="https://www.vie-publique.fr/fiches/20118-la-cooperation-intercommunale-et-les-epci" TargetMode="External"/><Relationship Id="rId7" Type="http://schemas.openxmlformats.org/officeDocument/2006/relationships/hyperlink" Target="https://www.legifrance.gouv.fr/loda/article_lc/LEGIARTI000042328207" TargetMode="External"/><Relationship Id="rId8" Type="http://schemas.openxmlformats.org/officeDocument/2006/relationships/hyperlink" Target="https://www.elysee.fr/emmanuel-macron/2021/09/13/cloture-du-beauvau-de-la-securite-par-le-president-emmanuel-macron" TargetMode="External"/><Relationship Id="rId9" Type="http://schemas.openxmlformats.org/officeDocument/2006/relationships/hyperlink" Target="https://information.tv5monde.com/video/france-evacuation-du-camp-de-migrants-de-saint-denis" TargetMode="External"/><Relationship Id="rId10" Type="http://schemas.openxmlformats.org/officeDocument/2006/relationships/hyperlink" Target="https://www.youtube.com/watch?v=tCzUNo3j4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2848-8199-4448-B42B-C83547DD4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09DFC1-BD0D-401F-A86D-655A1EEBFB8E}"/>
</file>

<file path=customXml/itemProps3.xml><?xml version="1.0" encoding="utf-8"?>
<ds:datastoreItem xmlns:ds="http://schemas.openxmlformats.org/officeDocument/2006/customXml" ds:itemID="{046C5EF7-A696-41E2-88FA-133CE6D1C481}">
  <ds:schemaRefs>
    <ds:schemaRef ds:uri="http://schemas.microsoft.com/sharepoint/v3/contenttype/forms"/>
  </ds:schemaRefs>
</ds:datastoreItem>
</file>

<file path=customXml/itemProps4.xml><?xml version="1.0" encoding="utf-8"?>
<ds:datastoreItem xmlns:ds="http://schemas.openxmlformats.org/officeDocument/2006/customXml" ds:itemID="{BE41692D-131C-A644-9F14-F8EAF1B7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2683</Words>
  <Characters>14762</Characters>
  <Application>Microsoft Macintosh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Noria DERDEK</dc:creator>
  <cp:keywords/>
  <dc:description/>
  <cp:lastModifiedBy>Utilisateur de Microsoft Office</cp:lastModifiedBy>
  <cp:revision>2</cp:revision>
  <cp:lastPrinted>2021-11-22T22:12:00Z</cp:lastPrinted>
  <dcterms:created xsi:type="dcterms:W3CDTF">2021-11-22T22:33:00Z</dcterms:created>
  <dcterms:modified xsi:type="dcterms:W3CDTF">2021-11-22T22:33:00Z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