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02FBE" w14:textId="77777777" w:rsidR="006D3ED8" w:rsidRDefault="006D3ED8" w:rsidP="006D3ED8">
      <w:pPr>
        <w:spacing w:after="0" w:line="240" w:lineRule="auto"/>
        <w:jc w:val="center"/>
        <w:rPr>
          <w:rFonts w:ascii="Cambria" w:hAnsi="Cambria"/>
          <w:b/>
          <w:sz w:val="32"/>
          <w:szCs w:val="32"/>
        </w:rPr>
      </w:pPr>
    </w:p>
    <w:p w14:paraId="1A167785" w14:textId="77777777" w:rsidR="006D3ED8" w:rsidRDefault="006D3ED8" w:rsidP="006D3ED8">
      <w:pPr>
        <w:spacing w:after="0" w:line="240" w:lineRule="auto"/>
        <w:jc w:val="center"/>
        <w:rPr>
          <w:rFonts w:ascii="Cambria" w:hAnsi="Cambria"/>
          <w:b/>
          <w:sz w:val="32"/>
          <w:szCs w:val="32"/>
        </w:rPr>
      </w:pPr>
    </w:p>
    <w:p w14:paraId="2941BFB8" w14:textId="77777777" w:rsidR="006D3ED8" w:rsidRDefault="006D3ED8" w:rsidP="006D3ED8">
      <w:pPr>
        <w:spacing w:after="0" w:line="240" w:lineRule="auto"/>
        <w:jc w:val="center"/>
        <w:rPr>
          <w:rFonts w:ascii="Cambria" w:hAnsi="Cambria"/>
          <w:b/>
          <w:sz w:val="32"/>
          <w:szCs w:val="32"/>
        </w:rPr>
      </w:pPr>
    </w:p>
    <w:p w14:paraId="681E82A4" w14:textId="77777777" w:rsidR="006D3ED8" w:rsidRDefault="006D3ED8" w:rsidP="006D3ED8">
      <w:pPr>
        <w:spacing w:after="0" w:line="240" w:lineRule="auto"/>
        <w:jc w:val="center"/>
        <w:rPr>
          <w:rFonts w:ascii="Cambria" w:hAnsi="Cambria"/>
          <w:b/>
          <w:sz w:val="32"/>
          <w:szCs w:val="32"/>
        </w:rPr>
      </w:pPr>
    </w:p>
    <w:p w14:paraId="4D805B20" w14:textId="77777777" w:rsidR="006D3ED8" w:rsidRDefault="006D3ED8" w:rsidP="006D3ED8">
      <w:pPr>
        <w:spacing w:after="0" w:line="240" w:lineRule="auto"/>
        <w:jc w:val="center"/>
        <w:rPr>
          <w:rFonts w:ascii="Cambria" w:hAnsi="Cambria"/>
          <w:b/>
          <w:sz w:val="32"/>
          <w:szCs w:val="32"/>
        </w:rPr>
      </w:pPr>
    </w:p>
    <w:p w14:paraId="0F979AF1" w14:textId="77777777" w:rsidR="006D3ED8" w:rsidRDefault="006D3ED8" w:rsidP="006D3ED8">
      <w:pPr>
        <w:spacing w:after="0" w:line="240" w:lineRule="auto"/>
        <w:jc w:val="center"/>
        <w:rPr>
          <w:rFonts w:ascii="Cambria" w:hAnsi="Cambria"/>
          <w:b/>
          <w:sz w:val="32"/>
          <w:szCs w:val="32"/>
        </w:rPr>
      </w:pPr>
    </w:p>
    <w:p w14:paraId="4D4FE0C8" w14:textId="77777777" w:rsidR="006D3ED8" w:rsidRDefault="006D3ED8" w:rsidP="006D3ED8">
      <w:pPr>
        <w:spacing w:after="0" w:line="240" w:lineRule="auto"/>
        <w:jc w:val="center"/>
        <w:rPr>
          <w:rFonts w:ascii="Cambria" w:hAnsi="Cambria"/>
          <w:b/>
          <w:sz w:val="32"/>
          <w:szCs w:val="32"/>
        </w:rPr>
      </w:pPr>
    </w:p>
    <w:p w14:paraId="12550EC3" w14:textId="461FCEDD" w:rsidR="006D3ED8" w:rsidRPr="006D3ED8" w:rsidRDefault="006D3ED8" w:rsidP="006D3ED8">
      <w:pPr>
        <w:spacing w:after="0" w:line="240" w:lineRule="auto"/>
        <w:jc w:val="center"/>
        <w:rPr>
          <w:rFonts w:ascii="Cambria" w:hAnsi="Cambria"/>
          <w:b/>
          <w:sz w:val="32"/>
          <w:szCs w:val="32"/>
        </w:rPr>
      </w:pPr>
      <w:r w:rsidRPr="006D3ED8">
        <w:rPr>
          <w:rFonts w:ascii="Cambria" w:hAnsi="Cambria"/>
          <w:b/>
          <w:sz w:val="32"/>
          <w:szCs w:val="32"/>
        </w:rPr>
        <w:t>Call for Input: Decriminalization of Homelessness and Extreme Poverty</w:t>
      </w:r>
    </w:p>
    <w:p w14:paraId="202C4EAD" w14:textId="64240E87" w:rsidR="006D3ED8" w:rsidRPr="006D3ED8" w:rsidRDefault="006D3ED8" w:rsidP="006D3ED8">
      <w:pPr>
        <w:jc w:val="center"/>
        <w:rPr>
          <w:rFonts w:ascii="Cambria" w:hAnsi="Cambria"/>
          <w:b/>
          <w:sz w:val="32"/>
          <w:szCs w:val="32"/>
        </w:rPr>
      </w:pPr>
    </w:p>
    <w:p w14:paraId="4B5F44B7" w14:textId="30D45C56" w:rsidR="006D3ED8" w:rsidRPr="00EA6C36" w:rsidRDefault="006D3ED8" w:rsidP="006D3ED8">
      <w:pPr>
        <w:spacing w:after="0" w:line="240" w:lineRule="auto"/>
        <w:jc w:val="center"/>
        <w:rPr>
          <w:rFonts w:ascii="Cambria" w:hAnsi="Cambria"/>
          <w:i/>
          <w:sz w:val="24"/>
          <w:szCs w:val="24"/>
        </w:rPr>
      </w:pPr>
      <w:r w:rsidRPr="00EA6C36">
        <w:rPr>
          <w:rFonts w:ascii="Cambria" w:hAnsi="Cambria"/>
          <w:i/>
          <w:sz w:val="24"/>
          <w:szCs w:val="24"/>
        </w:rPr>
        <w:t>Special Rapporteur on the right to adequate housing, Balakrishnan Rajagopal</w:t>
      </w:r>
    </w:p>
    <w:p w14:paraId="62934E08" w14:textId="39999A5F" w:rsidR="006D3ED8" w:rsidRDefault="006D3ED8" w:rsidP="006D3ED8">
      <w:pPr>
        <w:jc w:val="center"/>
        <w:rPr>
          <w:rFonts w:ascii="Cambria" w:hAnsi="Cambria"/>
          <w:i/>
          <w:sz w:val="24"/>
          <w:szCs w:val="24"/>
        </w:rPr>
      </w:pPr>
      <w:r w:rsidRPr="00EA6C36">
        <w:rPr>
          <w:rFonts w:ascii="Cambria" w:hAnsi="Cambria"/>
          <w:i/>
          <w:sz w:val="24"/>
          <w:szCs w:val="24"/>
        </w:rPr>
        <w:t xml:space="preserve">Special Rapporteur on extreme poverty and human rights, Olivier de </w:t>
      </w:r>
      <w:proofErr w:type="spellStart"/>
      <w:r w:rsidRPr="00EA6C36">
        <w:rPr>
          <w:rFonts w:ascii="Cambria" w:hAnsi="Cambria"/>
          <w:i/>
          <w:sz w:val="24"/>
          <w:szCs w:val="24"/>
        </w:rPr>
        <w:t>Schutter</w:t>
      </w:r>
      <w:proofErr w:type="spellEnd"/>
    </w:p>
    <w:p w14:paraId="54C3F88A" w14:textId="7D22B1A7" w:rsidR="006D3ED8" w:rsidRDefault="006D3ED8" w:rsidP="006D3ED8">
      <w:pPr>
        <w:jc w:val="center"/>
        <w:rPr>
          <w:rFonts w:ascii="Cambria" w:hAnsi="Cambria"/>
          <w:i/>
          <w:sz w:val="24"/>
          <w:szCs w:val="24"/>
        </w:rPr>
      </w:pPr>
    </w:p>
    <w:p w14:paraId="3706469C" w14:textId="76E255F3" w:rsidR="006D3ED8" w:rsidRDefault="006D3ED8" w:rsidP="006D3ED8">
      <w:pPr>
        <w:jc w:val="center"/>
        <w:rPr>
          <w:rFonts w:ascii="Cambria" w:hAnsi="Cambria"/>
          <w:b/>
          <w:bCs/>
          <w:i/>
          <w:sz w:val="24"/>
          <w:szCs w:val="24"/>
        </w:rPr>
      </w:pPr>
      <w:r>
        <w:rPr>
          <w:rFonts w:ascii="Cambria" w:hAnsi="Cambria"/>
          <w:b/>
          <w:bCs/>
          <w:i/>
          <w:sz w:val="24"/>
          <w:szCs w:val="24"/>
        </w:rPr>
        <w:t xml:space="preserve">Submission by </w:t>
      </w:r>
    </w:p>
    <w:p w14:paraId="64084509" w14:textId="193691D6" w:rsidR="006D3ED8" w:rsidRDefault="006D3ED8" w:rsidP="006D3ED8">
      <w:pPr>
        <w:jc w:val="center"/>
        <w:rPr>
          <w:rFonts w:ascii="Cambria" w:hAnsi="Cambria"/>
          <w:b/>
          <w:bCs/>
          <w:i/>
          <w:sz w:val="24"/>
          <w:szCs w:val="24"/>
        </w:rPr>
      </w:pPr>
      <w:proofErr w:type="spellStart"/>
      <w:r>
        <w:rPr>
          <w:rFonts w:ascii="Cambria" w:hAnsi="Cambria"/>
          <w:b/>
          <w:bCs/>
          <w:i/>
          <w:sz w:val="24"/>
          <w:szCs w:val="24"/>
        </w:rPr>
        <w:t>Ambika</w:t>
      </w:r>
      <w:proofErr w:type="spellEnd"/>
      <w:r>
        <w:rPr>
          <w:rFonts w:ascii="Cambria" w:hAnsi="Cambria"/>
          <w:b/>
          <w:bCs/>
          <w:i/>
          <w:sz w:val="24"/>
          <w:szCs w:val="24"/>
        </w:rPr>
        <w:t xml:space="preserve"> </w:t>
      </w:r>
      <w:proofErr w:type="spellStart"/>
      <w:r>
        <w:rPr>
          <w:rFonts w:ascii="Cambria" w:hAnsi="Cambria"/>
          <w:b/>
          <w:bCs/>
          <w:i/>
          <w:sz w:val="24"/>
          <w:szCs w:val="24"/>
        </w:rPr>
        <w:t>Satkunanathan</w:t>
      </w:r>
      <w:proofErr w:type="spellEnd"/>
    </w:p>
    <w:p w14:paraId="5D859103" w14:textId="6CF796AE" w:rsidR="006D3ED8" w:rsidRDefault="006D3ED8" w:rsidP="006D3ED8">
      <w:pPr>
        <w:jc w:val="center"/>
        <w:rPr>
          <w:rFonts w:ascii="Cambria" w:hAnsi="Cambria"/>
          <w:b/>
          <w:bCs/>
          <w:i/>
          <w:sz w:val="24"/>
          <w:szCs w:val="24"/>
        </w:rPr>
      </w:pPr>
      <w:r>
        <w:rPr>
          <w:rFonts w:ascii="Cambria" w:hAnsi="Cambria"/>
          <w:b/>
          <w:bCs/>
          <w:i/>
          <w:sz w:val="24"/>
          <w:szCs w:val="24"/>
        </w:rPr>
        <w:t>29 November 2021</w:t>
      </w:r>
    </w:p>
    <w:p w14:paraId="23C293E8" w14:textId="7AB0FA07" w:rsidR="006D3ED8" w:rsidRDefault="006D3ED8" w:rsidP="006D3ED8">
      <w:pPr>
        <w:jc w:val="center"/>
        <w:rPr>
          <w:rFonts w:ascii="Cambria" w:hAnsi="Cambria"/>
          <w:b/>
          <w:bCs/>
          <w:i/>
          <w:sz w:val="24"/>
          <w:szCs w:val="24"/>
        </w:rPr>
      </w:pPr>
    </w:p>
    <w:p w14:paraId="7274DB12" w14:textId="08053D8D" w:rsidR="006D3ED8" w:rsidRDefault="006D3ED8" w:rsidP="006D3ED8">
      <w:pPr>
        <w:jc w:val="center"/>
        <w:rPr>
          <w:rFonts w:ascii="Cambria" w:hAnsi="Cambria"/>
          <w:b/>
          <w:bCs/>
          <w:i/>
          <w:sz w:val="24"/>
          <w:szCs w:val="24"/>
        </w:rPr>
      </w:pPr>
    </w:p>
    <w:p w14:paraId="4C16EF03" w14:textId="26DC270D" w:rsidR="006D3ED8" w:rsidRDefault="006D3ED8" w:rsidP="006D3ED8">
      <w:pPr>
        <w:jc w:val="center"/>
        <w:rPr>
          <w:rFonts w:ascii="Cambria" w:hAnsi="Cambria"/>
          <w:b/>
          <w:bCs/>
          <w:i/>
          <w:sz w:val="24"/>
          <w:szCs w:val="24"/>
        </w:rPr>
      </w:pPr>
    </w:p>
    <w:p w14:paraId="66D2D2D8" w14:textId="40EFA05B" w:rsidR="006D3ED8" w:rsidRDefault="006D3ED8" w:rsidP="006D3ED8">
      <w:pPr>
        <w:jc w:val="center"/>
        <w:rPr>
          <w:rFonts w:ascii="Cambria" w:hAnsi="Cambria"/>
          <w:b/>
          <w:bCs/>
          <w:i/>
          <w:sz w:val="24"/>
          <w:szCs w:val="24"/>
        </w:rPr>
      </w:pPr>
    </w:p>
    <w:p w14:paraId="43E78E83" w14:textId="25530E0F" w:rsidR="006D3ED8" w:rsidRDefault="006D3ED8" w:rsidP="006D3ED8">
      <w:pPr>
        <w:jc w:val="center"/>
        <w:rPr>
          <w:rFonts w:ascii="Cambria" w:hAnsi="Cambria"/>
          <w:b/>
          <w:bCs/>
          <w:i/>
          <w:sz w:val="24"/>
          <w:szCs w:val="24"/>
        </w:rPr>
      </w:pPr>
    </w:p>
    <w:p w14:paraId="7E4F2073" w14:textId="77777777" w:rsidR="006D3ED8" w:rsidRPr="006D3ED8" w:rsidRDefault="006D3ED8" w:rsidP="006D3ED8">
      <w:pPr>
        <w:jc w:val="center"/>
        <w:rPr>
          <w:rFonts w:ascii="Cambria" w:hAnsi="Cambria"/>
          <w:b/>
          <w:bCs/>
          <w:sz w:val="28"/>
          <w:szCs w:val="24"/>
        </w:rPr>
      </w:pPr>
    </w:p>
    <w:p w14:paraId="3B0AA03C" w14:textId="77777777" w:rsidR="006D3ED8" w:rsidRDefault="006D3ED8">
      <w:pPr>
        <w:rPr>
          <w:rFonts w:ascii="Cambria" w:hAnsi="Cambria"/>
          <w:b/>
          <w:sz w:val="28"/>
          <w:szCs w:val="24"/>
        </w:rPr>
      </w:pPr>
    </w:p>
    <w:p w14:paraId="60EA8149" w14:textId="5DE70FD4" w:rsidR="006D3ED8" w:rsidRDefault="006D3ED8">
      <w:pPr>
        <w:rPr>
          <w:rFonts w:ascii="Cambria" w:hAnsi="Cambria"/>
          <w:b/>
          <w:sz w:val="28"/>
          <w:szCs w:val="24"/>
        </w:rPr>
      </w:pPr>
    </w:p>
    <w:p w14:paraId="045727E3" w14:textId="1EA1EA36" w:rsidR="006D3ED8" w:rsidRDefault="006D3ED8">
      <w:pPr>
        <w:rPr>
          <w:rFonts w:ascii="Cambria" w:hAnsi="Cambria"/>
          <w:b/>
          <w:sz w:val="28"/>
          <w:szCs w:val="24"/>
        </w:rPr>
      </w:pPr>
    </w:p>
    <w:p w14:paraId="44A2DCAE" w14:textId="36F8C87E" w:rsidR="006D3ED8" w:rsidRDefault="006D3ED8">
      <w:pPr>
        <w:rPr>
          <w:rFonts w:ascii="Cambria" w:hAnsi="Cambria"/>
          <w:b/>
          <w:sz w:val="28"/>
          <w:szCs w:val="24"/>
        </w:rPr>
      </w:pPr>
    </w:p>
    <w:p w14:paraId="18BDB775" w14:textId="4133B0D6" w:rsidR="006D3ED8" w:rsidRDefault="006D3ED8">
      <w:pPr>
        <w:rPr>
          <w:rFonts w:ascii="Cambria" w:hAnsi="Cambria"/>
          <w:b/>
          <w:sz w:val="28"/>
          <w:szCs w:val="24"/>
        </w:rPr>
      </w:pPr>
    </w:p>
    <w:p w14:paraId="7713D775" w14:textId="4F3D9BEA" w:rsidR="006D3ED8" w:rsidRDefault="006D3ED8">
      <w:pPr>
        <w:rPr>
          <w:rFonts w:ascii="Cambria" w:hAnsi="Cambria"/>
          <w:b/>
          <w:sz w:val="28"/>
          <w:szCs w:val="24"/>
        </w:rPr>
      </w:pPr>
    </w:p>
    <w:p w14:paraId="74C392D2" w14:textId="77777777" w:rsidR="006D3ED8" w:rsidRDefault="006D3ED8">
      <w:pPr>
        <w:rPr>
          <w:rFonts w:ascii="Cambria" w:hAnsi="Cambria"/>
          <w:b/>
          <w:sz w:val="28"/>
          <w:szCs w:val="24"/>
        </w:rPr>
      </w:pPr>
    </w:p>
    <w:p w14:paraId="5C64EC8E" w14:textId="281A9E01" w:rsidR="00821FDF" w:rsidRPr="00EA6C36" w:rsidRDefault="00EA6C36" w:rsidP="00943264">
      <w:pPr>
        <w:spacing w:after="0" w:line="240" w:lineRule="auto"/>
        <w:jc w:val="center"/>
        <w:rPr>
          <w:rFonts w:ascii="Cambria" w:hAnsi="Cambria"/>
          <w:b/>
          <w:sz w:val="28"/>
          <w:szCs w:val="24"/>
        </w:rPr>
      </w:pPr>
      <w:r w:rsidRPr="00EA6C36">
        <w:rPr>
          <w:rFonts w:ascii="Cambria" w:hAnsi="Cambria"/>
          <w:b/>
          <w:sz w:val="28"/>
          <w:szCs w:val="24"/>
        </w:rPr>
        <w:lastRenderedPageBreak/>
        <w:t xml:space="preserve">Call for Input: Decriminalization of </w:t>
      </w:r>
      <w:r w:rsidR="00943264">
        <w:rPr>
          <w:rFonts w:ascii="Cambria" w:hAnsi="Cambria"/>
          <w:b/>
          <w:sz w:val="28"/>
          <w:szCs w:val="24"/>
        </w:rPr>
        <w:t>H</w:t>
      </w:r>
      <w:r w:rsidRPr="00EA6C36">
        <w:rPr>
          <w:rFonts w:ascii="Cambria" w:hAnsi="Cambria"/>
          <w:b/>
          <w:sz w:val="28"/>
          <w:szCs w:val="24"/>
        </w:rPr>
        <w:t xml:space="preserve">omelessness and </w:t>
      </w:r>
      <w:r w:rsidR="00943264">
        <w:rPr>
          <w:rFonts w:ascii="Cambria" w:hAnsi="Cambria"/>
          <w:b/>
          <w:sz w:val="28"/>
          <w:szCs w:val="24"/>
        </w:rPr>
        <w:t>E</w:t>
      </w:r>
      <w:r w:rsidRPr="00EA6C36">
        <w:rPr>
          <w:rFonts w:ascii="Cambria" w:hAnsi="Cambria"/>
          <w:b/>
          <w:sz w:val="28"/>
          <w:szCs w:val="24"/>
        </w:rPr>
        <w:t xml:space="preserve">xtreme </w:t>
      </w:r>
      <w:r w:rsidR="00943264">
        <w:rPr>
          <w:rFonts w:ascii="Cambria" w:hAnsi="Cambria"/>
          <w:b/>
          <w:sz w:val="28"/>
          <w:szCs w:val="24"/>
        </w:rPr>
        <w:t>P</w:t>
      </w:r>
      <w:r w:rsidRPr="00EA6C36">
        <w:rPr>
          <w:rFonts w:ascii="Cambria" w:hAnsi="Cambria"/>
          <w:b/>
          <w:sz w:val="28"/>
          <w:szCs w:val="24"/>
        </w:rPr>
        <w:t>overty</w:t>
      </w:r>
    </w:p>
    <w:p w14:paraId="03CC9524" w14:textId="77777777" w:rsidR="002C49F1" w:rsidRDefault="002C49F1" w:rsidP="002C49F1">
      <w:pPr>
        <w:spacing w:after="0" w:line="240" w:lineRule="auto"/>
        <w:jc w:val="both"/>
        <w:rPr>
          <w:rFonts w:ascii="Cambria" w:hAnsi="Cambria"/>
          <w:i/>
          <w:sz w:val="24"/>
          <w:szCs w:val="24"/>
        </w:rPr>
      </w:pPr>
    </w:p>
    <w:p w14:paraId="26D3EEE3" w14:textId="5EA890EC" w:rsidR="00EA6C36" w:rsidRPr="00EA6C36" w:rsidRDefault="00EA6C36" w:rsidP="002C49F1">
      <w:pPr>
        <w:spacing w:after="0" w:line="240" w:lineRule="auto"/>
        <w:jc w:val="both"/>
        <w:rPr>
          <w:rFonts w:ascii="Cambria" w:hAnsi="Cambria"/>
          <w:i/>
          <w:sz w:val="24"/>
          <w:szCs w:val="24"/>
        </w:rPr>
      </w:pPr>
      <w:r w:rsidRPr="00EA6C36">
        <w:rPr>
          <w:rFonts w:ascii="Cambria" w:hAnsi="Cambria"/>
          <w:i/>
          <w:sz w:val="24"/>
          <w:szCs w:val="24"/>
        </w:rPr>
        <w:t>Special Rapporteur on the right to adequate housing, Balakrishnan Rajagopal</w:t>
      </w:r>
    </w:p>
    <w:p w14:paraId="2B803223" w14:textId="77777777" w:rsidR="00EA6C36" w:rsidRDefault="00EA6C36" w:rsidP="002C49F1">
      <w:pPr>
        <w:spacing w:after="0" w:line="240" w:lineRule="auto"/>
        <w:jc w:val="both"/>
        <w:rPr>
          <w:rFonts w:ascii="Cambria" w:hAnsi="Cambria"/>
          <w:i/>
          <w:sz w:val="24"/>
          <w:szCs w:val="24"/>
        </w:rPr>
      </w:pPr>
      <w:r w:rsidRPr="00EA6C36">
        <w:rPr>
          <w:rFonts w:ascii="Cambria" w:hAnsi="Cambria"/>
          <w:i/>
          <w:sz w:val="24"/>
          <w:szCs w:val="24"/>
        </w:rPr>
        <w:t xml:space="preserve">Special Rapporteur on extreme poverty and human rights, Olivier de </w:t>
      </w:r>
      <w:proofErr w:type="spellStart"/>
      <w:r w:rsidRPr="00EA6C36">
        <w:rPr>
          <w:rFonts w:ascii="Cambria" w:hAnsi="Cambria"/>
          <w:i/>
          <w:sz w:val="24"/>
          <w:szCs w:val="24"/>
        </w:rPr>
        <w:t>Schutter</w:t>
      </w:r>
      <w:proofErr w:type="spellEnd"/>
    </w:p>
    <w:p w14:paraId="701040FA" w14:textId="77777777" w:rsidR="00827DC9" w:rsidRPr="00EA6C36" w:rsidRDefault="00827DC9" w:rsidP="002C49F1">
      <w:pPr>
        <w:spacing w:after="0" w:line="240" w:lineRule="auto"/>
        <w:jc w:val="both"/>
        <w:rPr>
          <w:rFonts w:ascii="Cambria" w:hAnsi="Cambria"/>
          <w:sz w:val="24"/>
          <w:szCs w:val="24"/>
        </w:rPr>
      </w:pPr>
    </w:p>
    <w:p w14:paraId="3A99B5F9" w14:textId="77777777" w:rsidR="005E3C47" w:rsidRDefault="005E3C47" w:rsidP="002C49F1">
      <w:pPr>
        <w:pStyle w:val="ListParagraph"/>
        <w:numPr>
          <w:ilvl w:val="0"/>
          <w:numId w:val="1"/>
        </w:numPr>
        <w:spacing w:after="0" w:line="240" w:lineRule="auto"/>
        <w:jc w:val="both"/>
        <w:rPr>
          <w:rFonts w:ascii="Cambria" w:hAnsi="Cambria"/>
          <w:b/>
          <w:sz w:val="24"/>
          <w:szCs w:val="24"/>
        </w:rPr>
      </w:pPr>
      <w:r w:rsidRPr="00821FDF">
        <w:rPr>
          <w:rFonts w:ascii="Cambria" w:hAnsi="Cambria"/>
          <w:b/>
          <w:sz w:val="24"/>
          <w:szCs w:val="24"/>
        </w:rPr>
        <w:t>Laws or regulations that prohibit begging, eating, sleeping, or performing personal hygienic activities in all or</w:t>
      </w:r>
      <w:r w:rsidR="00821FDF" w:rsidRPr="00821FDF">
        <w:rPr>
          <w:rFonts w:ascii="Cambria" w:hAnsi="Cambria"/>
          <w:b/>
          <w:sz w:val="24"/>
          <w:szCs w:val="24"/>
        </w:rPr>
        <w:t xml:space="preserve"> </w:t>
      </w:r>
      <w:r w:rsidRPr="00821FDF">
        <w:rPr>
          <w:rFonts w:ascii="Cambria" w:hAnsi="Cambria"/>
          <w:b/>
          <w:sz w:val="24"/>
          <w:szCs w:val="24"/>
        </w:rPr>
        <w:t>certain public places, including their texts and whether they are still in force and enforced.</w:t>
      </w:r>
    </w:p>
    <w:p w14:paraId="35E6F4BD" w14:textId="77777777" w:rsidR="00FA5CAF" w:rsidRDefault="00FA5CAF" w:rsidP="002C49F1">
      <w:pPr>
        <w:pStyle w:val="ListParagraph"/>
        <w:numPr>
          <w:ilvl w:val="0"/>
          <w:numId w:val="1"/>
        </w:numPr>
        <w:spacing w:after="0" w:line="240" w:lineRule="auto"/>
        <w:jc w:val="both"/>
        <w:rPr>
          <w:rFonts w:ascii="Cambria" w:hAnsi="Cambria"/>
          <w:b/>
          <w:sz w:val="24"/>
          <w:szCs w:val="24"/>
        </w:rPr>
      </w:pPr>
      <w:r w:rsidRPr="00821FDF">
        <w:rPr>
          <w:rFonts w:ascii="Cambria" w:hAnsi="Cambria"/>
          <w:b/>
          <w:sz w:val="24"/>
          <w:szCs w:val="24"/>
        </w:rPr>
        <w:t>Laws or regulations that allow for petty offences the detention or imprisonment of individuals who are unable to pay the respective fine.</w:t>
      </w:r>
    </w:p>
    <w:p w14:paraId="7847C3FC" w14:textId="77777777" w:rsidR="00FA5CAF" w:rsidRDefault="00FA5CAF" w:rsidP="002C49F1">
      <w:pPr>
        <w:pStyle w:val="ListParagraph"/>
        <w:numPr>
          <w:ilvl w:val="0"/>
          <w:numId w:val="1"/>
        </w:numPr>
        <w:spacing w:after="0" w:line="240" w:lineRule="auto"/>
        <w:jc w:val="both"/>
        <w:rPr>
          <w:rFonts w:ascii="Cambria" w:hAnsi="Cambria"/>
          <w:b/>
          <w:sz w:val="24"/>
          <w:szCs w:val="24"/>
        </w:rPr>
      </w:pPr>
      <w:r w:rsidRPr="00821FDF">
        <w:rPr>
          <w:rFonts w:ascii="Cambria" w:hAnsi="Cambria"/>
          <w:b/>
          <w:sz w:val="24"/>
          <w:szCs w:val="24"/>
        </w:rPr>
        <w:t>Comments whether any of these laws and regulations may violate international human rights law.</w:t>
      </w:r>
    </w:p>
    <w:p w14:paraId="743685C4" w14:textId="5A822CAA" w:rsidR="00827DC9" w:rsidRDefault="00827DC9" w:rsidP="002C49F1">
      <w:pPr>
        <w:spacing w:after="0" w:line="240" w:lineRule="auto"/>
        <w:jc w:val="both"/>
        <w:rPr>
          <w:rFonts w:ascii="Cambria" w:hAnsi="Cambria"/>
          <w:b/>
          <w:sz w:val="24"/>
          <w:szCs w:val="24"/>
        </w:rPr>
      </w:pPr>
    </w:p>
    <w:p w14:paraId="4EF86480" w14:textId="77777777" w:rsidR="002C49F1" w:rsidRDefault="002C49F1" w:rsidP="002C49F1">
      <w:pPr>
        <w:spacing w:after="0" w:line="240" w:lineRule="auto"/>
        <w:jc w:val="both"/>
        <w:rPr>
          <w:rFonts w:ascii="Cambria" w:hAnsi="Cambria"/>
          <w:b/>
          <w:sz w:val="24"/>
          <w:szCs w:val="24"/>
        </w:rPr>
      </w:pPr>
    </w:p>
    <w:p w14:paraId="6AB6ADB5" w14:textId="77777777" w:rsidR="00FA5CAF" w:rsidRDefault="00F739EF" w:rsidP="002C49F1">
      <w:pPr>
        <w:pStyle w:val="ListParagraph"/>
        <w:numPr>
          <w:ilvl w:val="0"/>
          <w:numId w:val="10"/>
        </w:numPr>
        <w:spacing w:after="0" w:line="240" w:lineRule="auto"/>
        <w:jc w:val="both"/>
        <w:rPr>
          <w:rFonts w:ascii="Cambria" w:hAnsi="Cambria"/>
          <w:b/>
          <w:sz w:val="24"/>
          <w:szCs w:val="24"/>
        </w:rPr>
      </w:pPr>
      <w:r>
        <w:rPr>
          <w:rFonts w:ascii="Cambria" w:hAnsi="Cambria"/>
          <w:b/>
          <w:sz w:val="24"/>
          <w:szCs w:val="24"/>
        </w:rPr>
        <w:t xml:space="preserve">Arbitrary arrest and detention </w:t>
      </w:r>
      <w:r w:rsidR="00FA5CAF">
        <w:rPr>
          <w:rFonts w:ascii="Cambria" w:hAnsi="Cambria"/>
          <w:b/>
          <w:sz w:val="24"/>
          <w:szCs w:val="24"/>
        </w:rPr>
        <w:t>under the Vagrants Ordinance and House of Detention Act</w:t>
      </w:r>
    </w:p>
    <w:p w14:paraId="7DDF5301" w14:textId="77777777" w:rsidR="002C49F1" w:rsidRDefault="002C49F1" w:rsidP="002C49F1">
      <w:pPr>
        <w:spacing w:after="0" w:line="240" w:lineRule="auto"/>
        <w:jc w:val="both"/>
        <w:rPr>
          <w:rFonts w:ascii="Cambria" w:hAnsi="Cambria"/>
          <w:bCs/>
          <w:i/>
          <w:iCs/>
          <w:sz w:val="24"/>
          <w:szCs w:val="24"/>
        </w:rPr>
      </w:pPr>
    </w:p>
    <w:p w14:paraId="7D32DC2E" w14:textId="7B805847" w:rsidR="00FA5CAF" w:rsidRPr="002C49F1" w:rsidRDefault="002C49F1" w:rsidP="002C49F1">
      <w:pPr>
        <w:spacing w:after="0" w:line="240" w:lineRule="auto"/>
        <w:jc w:val="both"/>
        <w:rPr>
          <w:rFonts w:ascii="Cambria" w:hAnsi="Cambria"/>
          <w:b/>
          <w:i/>
          <w:iCs/>
          <w:sz w:val="24"/>
          <w:szCs w:val="24"/>
        </w:rPr>
      </w:pPr>
      <w:r w:rsidRPr="002C49F1">
        <w:rPr>
          <w:rFonts w:ascii="Cambria" w:hAnsi="Cambria"/>
          <w:b/>
          <w:i/>
          <w:iCs/>
          <w:sz w:val="24"/>
          <w:szCs w:val="24"/>
        </w:rPr>
        <w:t>Legal Provisions</w:t>
      </w:r>
    </w:p>
    <w:p w14:paraId="05C79302" w14:textId="77777777" w:rsidR="002C49F1" w:rsidRPr="002C49F1" w:rsidRDefault="002C49F1" w:rsidP="002C49F1">
      <w:pPr>
        <w:spacing w:after="0" w:line="240" w:lineRule="auto"/>
        <w:jc w:val="both"/>
        <w:rPr>
          <w:rFonts w:ascii="Cambria" w:hAnsi="Cambria"/>
          <w:bCs/>
          <w:i/>
          <w:iCs/>
          <w:sz w:val="24"/>
          <w:szCs w:val="24"/>
        </w:rPr>
      </w:pPr>
    </w:p>
    <w:p w14:paraId="2335D257" w14:textId="77777777" w:rsidR="00C1369E" w:rsidRPr="00202B87" w:rsidRDefault="00C1369E" w:rsidP="002C49F1">
      <w:pPr>
        <w:pStyle w:val="ListParagraph"/>
        <w:numPr>
          <w:ilvl w:val="0"/>
          <w:numId w:val="25"/>
        </w:numPr>
        <w:spacing w:after="0" w:line="240" w:lineRule="auto"/>
        <w:jc w:val="both"/>
        <w:rPr>
          <w:rFonts w:ascii="Cambria" w:hAnsi="Cambria"/>
          <w:b/>
          <w:i/>
          <w:sz w:val="24"/>
          <w:szCs w:val="24"/>
        </w:rPr>
      </w:pPr>
      <w:r w:rsidRPr="00202B87">
        <w:rPr>
          <w:rFonts w:ascii="Cambria" w:hAnsi="Cambria"/>
          <w:sz w:val="24"/>
          <w:szCs w:val="24"/>
        </w:rPr>
        <w:t>Section 3 of the Vagrants Ordinance</w:t>
      </w:r>
      <w:r w:rsidR="00782633" w:rsidRPr="00202B87">
        <w:rPr>
          <w:rFonts w:ascii="Cambria" w:hAnsi="Cambria"/>
          <w:sz w:val="24"/>
          <w:szCs w:val="24"/>
        </w:rPr>
        <w:t xml:space="preserve"> </w:t>
      </w:r>
      <w:r w:rsidR="00202B87" w:rsidRPr="00202B87">
        <w:rPr>
          <w:rFonts w:ascii="Cambria" w:hAnsi="Cambria"/>
          <w:sz w:val="24"/>
          <w:szCs w:val="24"/>
        </w:rPr>
        <w:t>(No 4. of 1841)</w:t>
      </w:r>
      <w:r w:rsidR="00202B87" w:rsidRPr="00202B87">
        <w:rPr>
          <w:rFonts w:ascii="Cambria" w:hAnsi="Cambria"/>
          <w:b/>
          <w:i/>
          <w:sz w:val="24"/>
          <w:szCs w:val="24"/>
        </w:rPr>
        <w:t xml:space="preserve"> </w:t>
      </w:r>
      <w:r w:rsidR="0084068E" w:rsidRPr="00202B87">
        <w:rPr>
          <w:rFonts w:ascii="Cambria" w:hAnsi="Cambria"/>
          <w:sz w:val="24"/>
          <w:szCs w:val="24"/>
        </w:rPr>
        <w:t>states that</w:t>
      </w:r>
      <w:r w:rsidRPr="00202B87">
        <w:rPr>
          <w:rFonts w:ascii="Cambria" w:hAnsi="Cambria"/>
          <w:sz w:val="24"/>
          <w:szCs w:val="24"/>
        </w:rPr>
        <w:t>:</w:t>
      </w:r>
    </w:p>
    <w:p w14:paraId="7EFED458" w14:textId="77777777" w:rsidR="002C49F1" w:rsidRDefault="002C49F1" w:rsidP="002C49F1">
      <w:pPr>
        <w:spacing w:after="0" w:line="240" w:lineRule="auto"/>
        <w:jc w:val="both"/>
        <w:rPr>
          <w:rFonts w:ascii="Cambria" w:hAnsi="Cambria"/>
          <w:sz w:val="24"/>
          <w:szCs w:val="24"/>
        </w:rPr>
      </w:pPr>
    </w:p>
    <w:p w14:paraId="5A9A873F" w14:textId="77777777" w:rsidR="002C49F1" w:rsidRDefault="00C1369E" w:rsidP="002C49F1">
      <w:pPr>
        <w:pStyle w:val="ListParagraph"/>
        <w:numPr>
          <w:ilvl w:val="0"/>
          <w:numId w:val="26"/>
        </w:numPr>
        <w:spacing w:after="0" w:line="240" w:lineRule="auto"/>
        <w:jc w:val="both"/>
        <w:rPr>
          <w:rFonts w:ascii="Cambria" w:hAnsi="Cambria"/>
          <w:sz w:val="24"/>
          <w:szCs w:val="24"/>
        </w:rPr>
      </w:pPr>
      <w:r w:rsidRPr="002C49F1">
        <w:rPr>
          <w:rFonts w:ascii="Cambria" w:hAnsi="Cambria"/>
          <w:sz w:val="24"/>
          <w:szCs w:val="24"/>
        </w:rPr>
        <w:t>(a) Every person being able to maintain himself by work or other means, but who shall willfully refuse or neglect so to do, and shall wander abroad or place himself in any public place, street, highway, court, or passage to beg or gather alms, or cause, or procure, or encourage any of his family to do so, excepting priests and pilgrims in performance of their religious vows, not being mendicants of the description mentioned in the paragraph (d) of the next succeeding section</w:t>
      </w:r>
      <w:r w:rsidR="002C49F1" w:rsidRPr="002C49F1">
        <w:rPr>
          <w:rFonts w:ascii="Cambria" w:hAnsi="Cambria"/>
          <w:sz w:val="24"/>
          <w:szCs w:val="24"/>
        </w:rPr>
        <w:t>.</w:t>
      </w:r>
    </w:p>
    <w:p w14:paraId="329E795B" w14:textId="77777777" w:rsidR="002C49F1" w:rsidRDefault="002C49F1" w:rsidP="002C49F1">
      <w:pPr>
        <w:pStyle w:val="ListParagraph"/>
        <w:spacing w:after="0" w:line="240" w:lineRule="auto"/>
        <w:ind w:left="740"/>
        <w:jc w:val="both"/>
        <w:rPr>
          <w:rFonts w:ascii="Cambria" w:hAnsi="Cambria"/>
          <w:sz w:val="24"/>
          <w:szCs w:val="24"/>
        </w:rPr>
      </w:pPr>
    </w:p>
    <w:p w14:paraId="79C34624" w14:textId="77777777" w:rsidR="002C49F1" w:rsidRDefault="00C1369E" w:rsidP="002C49F1">
      <w:pPr>
        <w:pStyle w:val="ListParagraph"/>
        <w:spacing w:after="0" w:line="240" w:lineRule="auto"/>
        <w:ind w:left="740"/>
        <w:jc w:val="both"/>
        <w:rPr>
          <w:rFonts w:ascii="Cambria" w:hAnsi="Cambria"/>
          <w:sz w:val="24"/>
          <w:szCs w:val="24"/>
        </w:rPr>
      </w:pPr>
      <w:r w:rsidRPr="002C49F1">
        <w:rPr>
          <w:rFonts w:ascii="Cambria" w:hAnsi="Cambria"/>
          <w:sz w:val="24"/>
          <w:szCs w:val="24"/>
        </w:rPr>
        <w:t xml:space="preserve">(b) every common prostitute wandering in the public street or </w:t>
      </w:r>
      <w:r w:rsidR="0084068E" w:rsidRPr="002C49F1">
        <w:rPr>
          <w:rFonts w:ascii="Cambria" w:hAnsi="Cambria"/>
          <w:sz w:val="24"/>
          <w:szCs w:val="24"/>
        </w:rPr>
        <w:t>h</w:t>
      </w:r>
      <w:r w:rsidRPr="002C49F1">
        <w:rPr>
          <w:rFonts w:ascii="Cambria" w:hAnsi="Cambria"/>
          <w:sz w:val="24"/>
          <w:szCs w:val="24"/>
        </w:rPr>
        <w:t>ighway, or in any place of public resort, and behaving in a riotous or indecent manner;</w:t>
      </w:r>
    </w:p>
    <w:p w14:paraId="2BDB1649" w14:textId="77777777" w:rsidR="002C49F1" w:rsidRDefault="002C49F1" w:rsidP="002C49F1">
      <w:pPr>
        <w:pStyle w:val="ListParagraph"/>
        <w:spacing w:after="0" w:line="240" w:lineRule="auto"/>
        <w:ind w:left="740"/>
        <w:jc w:val="both"/>
        <w:rPr>
          <w:rFonts w:ascii="Cambria" w:hAnsi="Cambria"/>
          <w:sz w:val="24"/>
          <w:szCs w:val="24"/>
        </w:rPr>
      </w:pPr>
    </w:p>
    <w:p w14:paraId="663A5F45" w14:textId="77777777" w:rsidR="002C49F1" w:rsidRDefault="00C1369E" w:rsidP="002C49F1">
      <w:pPr>
        <w:pStyle w:val="ListParagraph"/>
        <w:spacing w:after="0" w:line="240" w:lineRule="auto"/>
        <w:ind w:left="740"/>
        <w:jc w:val="both"/>
        <w:rPr>
          <w:rFonts w:ascii="Cambria" w:hAnsi="Cambria"/>
          <w:sz w:val="24"/>
          <w:szCs w:val="24"/>
        </w:rPr>
      </w:pPr>
      <w:r w:rsidRPr="00C1369E">
        <w:rPr>
          <w:rFonts w:ascii="Cambria" w:hAnsi="Cambria"/>
          <w:sz w:val="24"/>
          <w:szCs w:val="24"/>
        </w:rPr>
        <w:t>(c) every person wandering abroad or lodging in any verandah,</w:t>
      </w:r>
      <w:r>
        <w:rPr>
          <w:rFonts w:ascii="Cambria" w:hAnsi="Cambria"/>
          <w:sz w:val="24"/>
          <w:szCs w:val="24"/>
        </w:rPr>
        <w:t xml:space="preserve"> </w:t>
      </w:r>
      <w:r w:rsidRPr="00C1369E">
        <w:rPr>
          <w:rFonts w:ascii="Cambria" w:hAnsi="Cambria"/>
          <w:sz w:val="24"/>
          <w:szCs w:val="24"/>
        </w:rPr>
        <w:t>outhouse, shed, or unoccupied building, or in any cart, vehicle,</w:t>
      </w:r>
      <w:r>
        <w:rPr>
          <w:rFonts w:ascii="Cambria" w:hAnsi="Cambria"/>
          <w:sz w:val="24"/>
          <w:szCs w:val="24"/>
        </w:rPr>
        <w:t xml:space="preserve"> </w:t>
      </w:r>
      <w:r w:rsidRPr="00C1369E">
        <w:rPr>
          <w:rFonts w:ascii="Cambria" w:hAnsi="Cambria"/>
          <w:sz w:val="24"/>
          <w:szCs w:val="24"/>
        </w:rPr>
        <w:t>or other receptacle, without leave of the owner thereof, and not</w:t>
      </w:r>
      <w:r>
        <w:rPr>
          <w:rFonts w:ascii="Cambria" w:hAnsi="Cambria"/>
          <w:sz w:val="24"/>
          <w:szCs w:val="24"/>
        </w:rPr>
        <w:t xml:space="preserve"> </w:t>
      </w:r>
      <w:r w:rsidRPr="00C1369E">
        <w:rPr>
          <w:rFonts w:ascii="Cambria" w:hAnsi="Cambria"/>
          <w:sz w:val="24"/>
          <w:szCs w:val="24"/>
        </w:rPr>
        <w:t>having any visible means of subsistence, and not giving a good</w:t>
      </w:r>
      <w:r>
        <w:rPr>
          <w:rFonts w:ascii="Cambria" w:hAnsi="Cambria"/>
          <w:sz w:val="24"/>
          <w:szCs w:val="24"/>
        </w:rPr>
        <w:t xml:space="preserve"> </w:t>
      </w:r>
      <w:r w:rsidRPr="00C1369E">
        <w:rPr>
          <w:rFonts w:ascii="Cambria" w:hAnsi="Cambria"/>
          <w:sz w:val="24"/>
          <w:szCs w:val="24"/>
        </w:rPr>
        <w:t>account of himself;</w:t>
      </w:r>
    </w:p>
    <w:p w14:paraId="23CCF943" w14:textId="77777777" w:rsidR="002C49F1" w:rsidRDefault="002C49F1" w:rsidP="002C49F1">
      <w:pPr>
        <w:pStyle w:val="ListParagraph"/>
        <w:spacing w:after="0" w:line="240" w:lineRule="auto"/>
        <w:ind w:left="740"/>
        <w:jc w:val="both"/>
        <w:rPr>
          <w:rFonts w:ascii="Cambria" w:hAnsi="Cambria"/>
          <w:sz w:val="24"/>
          <w:szCs w:val="24"/>
        </w:rPr>
      </w:pPr>
    </w:p>
    <w:p w14:paraId="1D26B8F3" w14:textId="77777777" w:rsidR="002C49F1" w:rsidRDefault="00C1369E" w:rsidP="002C49F1">
      <w:pPr>
        <w:pStyle w:val="ListParagraph"/>
        <w:spacing w:after="0" w:line="240" w:lineRule="auto"/>
        <w:ind w:left="740"/>
        <w:jc w:val="both"/>
        <w:rPr>
          <w:rFonts w:ascii="Cambria" w:hAnsi="Cambria"/>
          <w:sz w:val="24"/>
          <w:szCs w:val="24"/>
        </w:rPr>
      </w:pPr>
      <w:r w:rsidRPr="00C1369E">
        <w:rPr>
          <w:rFonts w:ascii="Cambria" w:hAnsi="Cambria"/>
          <w:sz w:val="24"/>
          <w:szCs w:val="24"/>
        </w:rPr>
        <w:t>(d) every person, without leave of the owner, defacing the side of</w:t>
      </w:r>
      <w:r>
        <w:rPr>
          <w:rFonts w:ascii="Cambria" w:hAnsi="Cambria"/>
          <w:sz w:val="24"/>
          <w:szCs w:val="24"/>
        </w:rPr>
        <w:t xml:space="preserve"> </w:t>
      </w:r>
      <w:r w:rsidRPr="00C1369E">
        <w:rPr>
          <w:rFonts w:ascii="Cambria" w:hAnsi="Cambria"/>
          <w:sz w:val="24"/>
          <w:szCs w:val="24"/>
        </w:rPr>
        <w:t>any house or building or wall by fixing any placard or notice, or</w:t>
      </w:r>
      <w:r>
        <w:rPr>
          <w:rFonts w:ascii="Cambria" w:hAnsi="Cambria"/>
          <w:sz w:val="24"/>
          <w:szCs w:val="24"/>
        </w:rPr>
        <w:t xml:space="preserve"> </w:t>
      </w:r>
      <w:r w:rsidRPr="00C1369E">
        <w:rPr>
          <w:rFonts w:ascii="Cambria" w:hAnsi="Cambria"/>
          <w:sz w:val="24"/>
          <w:szCs w:val="24"/>
        </w:rPr>
        <w:t>y any indecent or insulting writing or drawing thereon;</w:t>
      </w:r>
    </w:p>
    <w:p w14:paraId="09D54489" w14:textId="77777777" w:rsidR="002C49F1" w:rsidRDefault="002C49F1" w:rsidP="002C49F1">
      <w:pPr>
        <w:pStyle w:val="ListParagraph"/>
        <w:spacing w:after="0" w:line="240" w:lineRule="auto"/>
        <w:ind w:left="740"/>
        <w:jc w:val="both"/>
        <w:rPr>
          <w:rFonts w:ascii="Cambria" w:hAnsi="Cambria"/>
          <w:sz w:val="24"/>
          <w:szCs w:val="24"/>
        </w:rPr>
      </w:pPr>
    </w:p>
    <w:p w14:paraId="517EDB99" w14:textId="719204F6" w:rsidR="00C1369E" w:rsidRPr="00C1369E" w:rsidRDefault="004D1396" w:rsidP="002C49F1">
      <w:pPr>
        <w:pStyle w:val="ListParagraph"/>
        <w:spacing w:after="0" w:line="240" w:lineRule="auto"/>
        <w:ind w:left="740"/>
        <w:jc w:val="both"/>
        <w:rPr>
          <w:rFonts w:ascii="Cambria" w:hAnsi="Cambria"/>
          <w:sz w:val="24"/>
          <w:szCs w:val="24"/>
        </w:rPr>
      </w:pPr>
      <w:r>
        <w:rPr>
          <w:rFonts w:ascii="Cambria" w:hAnsi="Cambria"/>
          <w:sz w:val="24"/>
          <w:szCs w:val="24"/>
        </w:rPr>
        <w:t>(</w:t>
      </w:r>
      <w:r w:rsidR="00C1369E" w:rsidRPr="00C1369E">
        <w:rPr>
          <w:rFonts w:ascii="Cambria" w:hAnsi="Cambria"/>
          <w:sz w:val="24"/>
          <w:szCs w:val="24"/>
        </w:rPr>
        <w:t xml:space="preserve">e) every person who in or upon </w:t>
      </w:r>
      <w:r w:rsidR="00C1369E">
        <w:rPr>
          <w:rFonts w:ascii="Cambria" w:hAnsi="Cambria"/>
          <w:sz w:val="24"/>
          <w:szCs w:val="24"/>
        </w:rPr>
        <w:t xml:space="preserve">any wharf, jetty, street, road, </w:t>
      </w:r>
      <w:r w:rsidR="00C1369E" w:rsidRPr="00C1369E">
        <w:rPr>
          <w:rFonts w:ascii="Cambria" w:hAnsi="Cambria"/>
          <w:sz w:val="24"/>
          <w:szCs w:val="24"/>
        </w:rPr>
        <w:t xml:space="preserve">walk, passage, verandah, or </w:t>
      </w:r>
      <w:r w:rsidR="00C1369E">
        <w:rPr>
          <w:rFonts w:ascii="Cambria" w:hAnsi="Cambria"/>
          <w:sz w:val="24"/>
          <w:szCs w:val="24"/>
        </w:rPr>
        <w:t xml:space="preserve">other place situated within any </w:t>
      </w:r>
      <w:r w:rsidR="00C1369E" w:rsidRPr="00C1369E">
        <w:rPr>
          <w:rFonts w:ascii="Cambria" w:hAnsi="Cambria"/>
          <w:sz w:val="24"/>
          <w:szCs w:val="24"/>
        </w:rPr>
        <w:t xml:space="preserve">proclaimed area and used </w:t>
      </w:r>
      <w:r w:rsidR="00C1369E">
        <w:rPr>
          <w:rFonts w:ascii="Cambria" w:hAnsi="Cambria"/>
          <w:sz w:val="24"/>
          <w:szCs w:val="24"/>
        </w:rPr>
        <w:t xml:space="preserve">by or accessible to the public, </w:t>
      </w:r>
      <w:r w:rsidR="00C1369E" w:rsidRPr="00C1369E">
        <w:rPr>
          <w:rFonts w:ascii="Cambria" w:hAnsi="Cambria"/>
          <w:sz w:val="24"/>
          <w:szCs w:val="24"/>
        </w:rPr>
        <w:t>persistently and without law</w:t>
      </w:r>
      <w:r w:rsidR="00C1369E">
        <w:rPr>
          <w:rFonts w:ascii="Cambria" w:hAnsi="Cambria"/>
          <w:sz w:val="24"/>
          <w:szCs w:val="24"/>
        </w:rPr>
        <w:t xml:space="preserve">ful excuse follows, accosts, or </w:t>
      </w:r>
      <w:r w:rsidR="00C1369E" w:rsidRPr="00C1369E">
        <w:rPr>
          <w:rFonts w:ascii="Cambria" w:hAnsi="Cambria"/>
          <w:sz w:val="24"/>
          <w:szCs w:val="24"/>
        </w:rPr>
        <w:t>addresses by words or signs any</w:t>
      </w:r>
      <w:r w:rsidR="00C1369E">
        <w:rPr>
          <w:rFonts w:ascii="Cambria" w:hAnsi="Cambria"/>
          <w:sz w:val="24"/>
          <w:szCs w:val="24"/>
        </w:rPr>
        <w:t xml:space="preserve"> person against his will and to </w:t>
      </w:r>
      <w:r w:rsidR="00C1369E" w:rsidRPr="00C1369E">
        <w:rPr>
          <w:rFonts w:ascii="Cambria" w:hAnsi="Cambria"/>
          <w:sz w:val="24"/>
          <w:szCs w:val="24"/>
        </w:rPr>
        <w:t>his annoyance, shall be deeme</w:t>
      </w:r>
      <w:r w:rsidR="00C1369E">
        <w:rPr>
          <w:rFonts w:ascii="Cambria" w:hAnsi="Cambria"/>
          <w:sz w:val="24"/>
          <w:szCs w:val="24"/>
        </w:rPr>
        <w:t xml:space="preserve">d an idle and disorderly person </w:t>
      </w:r>
      <w:r w:rsidR="00C1369E" w:rsidRPr="00C1369E">
        <w:rPr>
          <w:rFonts w:ascii="Cambria" w:hAnsi="Cambria"/>
          <w:sz w:val="24"/>
          <w:szCs w:val="24"/>
        </w:rPr>
        <w:t>within the true intent and meani</w:t>
      </w:r>
      <w:r w:rsidR="00C1369E">
        <w:rPr>
          <w:rFonts w:ascii="Cambria" w:hAnsi="Cambria"/>
          <w:sz w:val="24"/>
          <w:szCs w:val="24"/>
        </w:rPr>
        <w:t xml:space="preserve">ng of this </w:t>
      </w:r>
      <w:r w:rsidR="00C1369E">
        <w:rPr>
          <w:rFonts w:ascii="Cambria" w:hAnsi="Cambria"/>
          <w:sz w:val="24"/>
          <w:szCs w:val="24"/>
        </w:rPr>
        <w:lastRenderedPageBreak/>
        <w:t xml:space="preserve">Ordinance, and shall </w:t>
      </w:r>
      <w:r w:rsidR="00C1369E" w:rsidRPr="00C1369E">
        <w:rPr>
          <w:rFonts w:ascii="Cambria" w:hAnsi="Cambria"/>
          <w:sz w:val="24"/>
          <w:szCs w:val="24"/>
        </w:rPr>
        <w:t>be liable upon the first convi</w:t>
      </w:r>
      <w:r w:rsidR="00C1369E">
        <w:rPr>
          <w:rFonts w:ascii="Cambria" w:hAnsi="Cambria"/>
          <w:sz w:val="24"/>
          <w:szCs w:val="24"/>
        </w:rPr>
        <w:t xml:space="preserve">ction to be imprisoned, with or </w:t>
      </w:r>
      <w:r w:rsidR="00C1369E" w:rsidRPr="00C1369E">
        <w:rPr>
          <w:rFonts w:ascii="Cambria" w:hAnsi="Cambria"/>
          <w:sz w:val="24"/>
          <w:szCs w:val="24"/>
        </w:rPr>
        <w:t>without hard labour, for any term not exceeding fourteen days,</w:t>
      </w:r>
      <w:r w:rsidR="00C1369E">
        <w:rPr>
          <w:rFonts w:ascii="Cambria" w:hAnsi="Cambria"/>
          <w:sz w:val="24"/>
          <w:szCs w:val="24"/>
        </w:rPr>
        <w:t xml:space="preserve"> </w:t>
      </w:r>
      <w:r w:rsidR="00C1369E" w:rsidRPr="00C1369E">
        <w:rPr>
          <w:rFonts w:ascii="Cambria" w:hAnsi="Cambria"/>
          <w:sz w:val="24"/>
          <w:szCs w:val="24"/>
        </w:rPr>
        <w:t>or to a fine not exceeding ten rupees.</w:t>
      </w:r>
    </w:p>
    <w:p w14:paraId="4D9F4967" w14:textId="77777777" w:rsidR="002C49F1" w:rsidRDefault="002C49F1" w:rsidP="002C49F1">
      <w:pPr>
        <w:spacing w:after="0" w:line="240" w:lineRule="auto"/>
        <w:jc w:val="both"/>
        <w:rPr>
          <w:rFonts w:ascii="Cambria" w:hAnsi="Cambria"/>
          <w:sz w:val="24"/>
          <w:szCs w:val="24"/>
        </w:rPr>
      </w:pPr>
    </w:p>
    <w:p w14:paraId="0ABB57D9" w14:textId="55B2F64A" w:rsidR="00C1369E" w:rsidRPr="00C1369E" w:rsidRDefault="00C1369E" w:rsidP="002C49F1">
      <w:pPr>
        <w:spacing w:after="0" w:line="240" w:lineRule="auto"/>
        <w:jc w:val="both"/>
        <w:rPr>
          <w:rFonts w:ascii="Cambria" w:hAnsi="Cambria"/>
          <w:sz w:val="24"/>
          <w:szCs w:val="24"/>
        </w:rPr>
      </w:pPr>
      <w:r w:rsidRPr="00C1369E">
        <w:rPr>
          <w:rFonts w:ascii="Cambria" w:hAnsi="Cambria"/>
          <w:sz w:val="24"/>
          <w:szCs w:val="24"/>
        </w:rPr>
        <w:t>(2) A police officer may arrest without a warrant every person deemed</w:t>
      </w:r>
      <w:r>
        <w:rPr>
          <w:rFonts w:ascii="Cambria" w:hAnsi="Cambria"/>
          <w:sz w:val="24"/>
          <w:szCs w:val="24"/>
        </w:rPr>
        <w:t xml:space="preserve"> </w:t>
      </w:r>
      <w:r w:rsidRPr="00C1369E">
        <w:rPr>
          <w:rFonts w:ascii="Cambria" w:hAnsi="Cambria"/>
          <w:sz w:val="24"/>
          <w:szCs w:val="24"/>
        </w:rPr>
        <w:t>to be an idle and disorderly person.</w:t>
      </w:r>
    </w:p>
    <w:p w14:paraId="5025DC73" w14:textId="674B7FCE" w:rsidR="00FA5CAF" w:rsidRDefault="00FA5CAF" w:rsidP="002C49F1">
      <w:pPr>
        <w:pStyle w:val="ListParagraph"/>
        <w:spacing w:after="0" w:line="240" w:lineRule="auto"/>
        <w:jc w:val="both"/>
        <w:rPr>
          <w:rFonts w:ascii="Cambria" w:hAnsi="Cambria"/>
          <w:sz w:val="24"/>
          <w:szCs w:val="24"/>
        </w:rPr>
      </w:pPr>
    </w:p>
    <w:p w14:paraId="5672EF74" w14:textId="77777777" w:rsidR="00943264" w:rsidRDefault="00943264" w:rsidP="002C49F1">
      <w:pPr>
        <w:pStyle w:val="ListParagraph"/>
        <w:spacing w:after="0" w:line="240" w:lineRule="auto"/>
        <w:jc w:val="both"/>
        <w:rPr>
          <w:rFonts w:ascii="Cambria" w:hAnsi="Cambria"/>
          <w:sz w:val="24"/>
          <w:szCs w:val="24"/>
        </w:rPr>
      </w:pPr>
    </w:p>
    <w:p w14:paraId="5786FF98" w14:textId="77777777" w:rsidR="00EA6C36" w:rsidRPr="00202B87" w:rsidRDefault="00951904" w:rsidP="002C49F1">
      <w:pPr>
        <w:pStyle w:val="ListParagraph"/>
        <w:numPr>
          <w:ilvl w:val="0"/>
          <w:numId w:val="24"/>
        </w:numPr>
        <w:spacing w:after="0" w:line="240" w:lineRule="auto"/>
        <w:jc w:val="both"/>
        <w:rPr>
          <w:rFonts w:ascii="Cambria" w:hAnsi="Cambria"/>
          <w:b/>
          <w:i/>
          <w:sz w:val="24"/>
          <w:szCs w:val="24"/>
        </w:rPr>
      </w:pPr>
      <w:r w:rsidRPr="00202B87">
        <w:rPr>
          <w:rFonts w:ascii="Cambria" w:hAnsi="Cambria"/>
          <w:sz w:val="24"/>
          <w:szCs w:val="24"/>
        </w:rPr>
        <w:t>Section 2 of the Houses of Detention Ordinance</w:t>
      </w:r>
      <w:r w:rsidR="00202B87" w:rsidRPr="00202B87">
        <w:rPr>
          <w:rFonts w:ascii="Cambria" w:hAnsi="Cambria"/>
          <w:sz w:val="24"/>
          <w:szCs w:val="24"/>
        </w:rPr>
        <w:t xml:space="preserve"> (No. 26 of 1955)</w:t>
      </w:r>
      <w:r w:rsidR="00EA6C36" w:rsidRPr="00202B87">
        <w:rPr>
          <w:rFonts w:ascii="Cambria" w:hAnsi="Cambria"/>
          <w:sz w:val="24"/>
          <w:szCs w:val="24"/>
        </w:rPr>
        <w:t xml:space="preserve"> states</w:t>
      </w:r>
      <w:r w:rsidRPr="00202B87">
        <w:rPr>
          <w:rFonts w:ascii="Cambria" w:hAnsi="Cambria"/>
          <w:sz w:val="24"/>
          <w:szCs w:val="24"/>
        </w:rPr>
        <w:t xml:space="preserve">: </w:t>
      </w:r>
    </w:p>
    <w:p w14:paraId="288792E4" w14:textId="77777777" w:rsidR="002C49F1" w:rsidRDefault="002C49F1" w:rsidP="002C49F1">
      <w:pPr>
        <w:spacing w:after="0" w:line="240" w:lineRule="auto"/>
        <w:jc w:val="both"/>
        <w:rPr>
          <w:rFonts w:ascii="Cambria" w:hAnsi="Cambria"/>
          <w:sz w:val="24"/>
          <w:szCs w:val="24"/>
        </w:rPr>
      </w:pPr>
    </w:p>
    <w:p w14:paraId="71083F8F" w14:textId="72CFCA0F" w:rsidR="00951904" w:rsidRPr="00951904" w:rsidRDefault="00FA5CAF" w:rsidP="002C49F1">
      <w:pPr>
        <w:spacing w:after="0" w:line="240" w:lineRule="auto"/>
        <w:jc w:val="both"/>
        <w:rPr>
          <w:rFonts w:ascii="Cambria" w:hAnsi="Cambria"/>
          <w:sz w:val="24"/>
          <w:szCs w:val="24"/>
        </w:rPr>
      </w:pPr>
      <w:r>
        <w:rPr>
          <w:rFonts w:ascii="Cambria" w:hAnsi="Cambria"/>
          <w:sz w:val="24"/>
          <w:szCs w:val="24"/>
        </w:rPr>
        <w:t>‘</w:t>
      </w:r>
      <w:r w:rsidR="00951904" w:rsidRPr="00951904">
        <w:rPr>
          <w:rFonts w:ascii="Cambria" w:hAnsi="Cambria"/>
          <w:sz w:val="24"/>
          <w:szCs w:val="24"/>
        </w:rPr>
        <w:t>In this Ordi</w:t>
      </w:r>
      <w:r w:rsidR="00EA6C36">
        <w:rPr>
          <w:rFonts w:ascii="Cambria" w:hAnsi="Cambria"/>
          <w:sz w:val="24"/>
          <w:szCs w:val="24"/>
        </w:rPr>
        <w:t>nance the word “vagrant” means:</w:t>
      </w:r>
    </w:p>
    <w:p w14:paraId="4D1A0746" w14:textId="77777777" w:rsidR="002C49F1" w:rsidRDefault="002C49F1" w:rsidP="002C49F1">
      <w:pPr>
        <w:spacing w:after="0" w:line="240" w:lineRule="auto"/>
        <w:jc w:val="both"/>
        <w:rPr>
          <w:rFonts w:ascii="Cambria" w:hAnsi="Cambria"/>
          <w:sz w:val="24"/>
          <w:szCs w:val="24"/>
        </w:rPr>
      </w:pPr>
    </w:p>
    <w:p w14:paraId="647B4CE1" w14:textId="741B0EF7" w:rsidR="00951904" w:rsidRDefault="00951904" w:rsidP="002C49F1">
      <w:pPr>
        <w:spacing w:after="0" w:line="240" w:lineRule="auto"/>
        <w:jc w:val="both"/>
        <w:rPr>
          <w:rFonts w:ascii="Cambria" w:hAnsi="Cambria"/>
          <w:sz w:val="24"/>
          <w:szCs w:val="24"/>
        </w:rPr>
      </w:pPr>
      <w:r w:rsidRPr="00951904">
        <w:rPr>
          <w:rFonts w:ascii="Cambria" w:hAnsi="Cambria"/>
          <w:sz w:val="24"/>
          <w:szCs w:val="24"/>
        </w:rPr>
        <w:t>(a) an</w:t>
      </w:r>
      <w:r>
        <w:rPr>
          <w:rFonts w:ascii="Cambria" w:hAnsi="Cambria"/>
          <w:sz w:val="24"/>
          <w:szCs w:val="24"/>
        </w:rPr>
        <w:t>y person found asking for alms;</w:t>
      </w:r>
    </w:p>
    <w:p w14:paraId="66521D7E" w14:textId="77777777" w:rsidR="002C49F1" w:rsidRDefault="002C49F1" w:rsidP="002C49F1">
      <w:pPr>
        <w:spacing w:after="0" w:line="240" w:lineRule="auto"/>
        <w:jc w:val="both"/>
        <w:rPr>
          <w:rFonts w:ascii="Cambria" w:hAnsi="Cambria"/>
          <w:sz w:val="24"/>
          <w:szCs w:val="24"/>
        </w:rPr>
      </w:pPr>
    </w:p>
    <w:p w14:paraId="69413E5C" w14:textId="7A95F7D8" w:rsidR="00951904" w:rsidRPr="00951904" w:rsidRDefault="00951904" w:rsidP="002C49F1">
      <w:pPr>
        <w:spacing w:after="0" w:line="240" w:lineRule="auto"/>
        <w:jc w:val="both"/>
        <w:rPr>
          <w:rFonts w:ascii="Cambria" w:hAnsi="Cambria"/>
          <w:sz w:val="24"/>
          <w:szCs w:val="24"/>
        </w:rPr>
      </w:pPr>
      <w:r w:rsidRPr="00951904">
        <w:rPr>
          <w:rFonts w:ascii="Cambria" w:hAnsi="Cambria"/>
          <w:sz w:val="24"/>
          <w:szCs w:val="24"/>
        </w:rPr>
        <w:t xml:space="preserve">(b) any person not being physically able to earn, or being unwilling to work for, his own livelihood and having </w:t>
      </w:r>
      <w:r w:rsidR="00FA5CAF">
        <w:rPr>
          <w:rFonts w:ascii="Cambria" w:hAnsi="Cambria"/>
          <w:sz w:val="24"/>
          <w:szCs w:val="24"/>
        </w:rPr>
        <w:t>no visible means of subsistence’</w:t>
      </w:r>
    </w:p>
    <w:p w14:paraId="449F8916" w14:textId="12592B61" w:rsidR="002C49F1" w:rsidRDefault="002C49F1" w:rsidP="002C49F1">
      <w:pPr>
        <w:spacing w:after="0" w:line="240" w:lineRule="auto"/>
        <w:jc w:val="both"/>
        <w:rPr>
          <w:rFonts w:ascii="Cambria" w:hAnsi="Cambria"/>
          <w:sz w:val="24"/>
          <w:szCs w:val="24"/>
        </w:rPr>
      </w:pPr>
    </w:p>
    <w:p w14:paraId="01E1F3D8" w14:textId="77777777" w:rsidR="00943264" w:rsidRPr="002C49F1" w:rsidRDefault="00943264" w:rsidP="002C49F1">
      <w:pPr>
        <w:spacing w:after="0" w:line="240" w:lineRule="auto"/>
        <w:jc w:val="both"/>
        <w:rPr>
          <w:rFonts w:ascii="Cambria" w:hAnsi="Cambria"/>
          <w:sz w:val="24"/>
          <w:szCs w:val="24"/>
        </w:rPr>
      </w:pPr>
    </w:p>
    <w:p w14:paraId="7BB04195" w14:textId="77777777" w:rsidR="00EA6C36" w:rsidRPr="00FA5CAF" w:rsidRDefault="00EA6C36" w:rsidP="002C49F1">
      <w:pPr>
        <w:pStyle w:val="ListParagraph"/>
        <w:numPr>
          <w:ilvl w:val="0"/>
          <w:numId w:val="20"/>
        </w:numPr>
        <w:spacing w:after="0" w:line="240" w:lineRule="auto"/>
        <w:jc w:val="both"/>
        <w:rPr>
          <w:rFonts w:ascii="Cambria" w:hAnsi="Cambria"/>
          <w:sz w:val="24"/>
          <w:szCs w:val="24"/>
        </w:rPr>
      </w:pPr>
      <w:r w:rsidRPr="00FA5CAF">
        <w:rPr>
          <w:rFonts w:ascii="Cambria" w:hAnsi="Cambria"/>
          <w:sz w:val="24"/>
          <w:szCs w:val="24"/>
        </w:rPr>
        <w:t>Section 4 Houses of Detention Ordinance states:</w:t>
      </w:r>
    </w:p>
    <w:p w14:paraId="35D8C016" w14:textId="77777777" w:rsidR="002C49F1" w:rsidRDefault="002C49F1" w:rsidP="002C49F1">
      <w:pPr>
        <w:spacing w:after="0" w:line="240" w:lineRule="auto"/>
        <w:jc w:val="both"/>
        <w:rPr>
          <w:rFonts w:ascii="Cambria" w:hAnsi="Cambria"/>
          <w:sz w:val="24"/>
          <w:szCs w:val="24"/>
        </w:rPr>
      </w:pPr>
    </w:p>
    <w:p w14:paraId="33D0ECE9" w14:textId="574DDFFC" w:rsidR="00951904" w:rsidRDefault="004D1396" w:rsidP="002C49F1">
      <w:pPr>
        <w:spacing w:after="0" w:line="240" w:lineRule="auto"/>
        <w:jc w:val="both"/>
        <w:rPr>
          <w:rFonts w:ascii="Cambria" w:hAnsi="Cambria"/>
          <w:sz w:val="24"/>
          <w:szCs w:val="24"/>
        </w:rPr>
      </w:pPr>
      <w:r>
        <w:rPr>
          <w:rFonts w:ascii="Cambria" w:hAnsi="Cambria"/>
          <w:sz w:val="24"/>
          <w:szCs w:val="24"/>
        </w:rPr>
        <w:t>‘</w:t>
      </w:r>
      <w:r w:rsidR="00951904" w:rsidRPr="00951904">
        <w:rPr>
          <w:rFonts w:ascii="Cambria" w:hAnsi="Cambria"/>
          <w:sz w:val="24"/>
          <w:szCs w:val="24"/>
        </w:rPr>
        <w:t>(1) When any person has been convicted of any offence by a Magistrate’s Court under its summary jurisdiction, or when any person appears or is brought before such court under the provisions of section 10, if after due inquiry the Magistrate is of opinion that the person so convicted or appearing or brought before the court is a vagrant within the meaning of this Ordinance, he may, in addition to or in substitution for any punishment which he has power to inflict, order such person to be detained in a house of detention. Any such order shall declare that the person against whom it is made is a vagrant, and shall also, if practicable, state any prior date from which, in the opinion of the Magistrate, such person has been in Ceylon a vagrant as defined by this Ordinance. Such order shall be a sufficient authority to the police for keeping in custody such person on the way to the house of detention and to the superintendent for receiving and detaining him there.</w:t>
      </w:r>
    </w:p>
    <w:p w14:paraId="6196B823" w14:textId="77777777" w:rsidR="002C49F1" w:rsidRPr="00951904" w:rsidRDefault="002C49F1" w:rsidP="002C49F1">
      <w:pPr>
        <w:spacing w:after="0" w:line="240" w:lineRule="auto"/>
        <w:jc w:val="both"/>
        <w:rPr>
          <w:rFonts w:ascii="Cambria" w:hAnsi="Cambria"/>
          <w:sz w:val="24"/>
          <w:szCs w:val="24"/>
        </w:rPr>
      </w:pPr>
    </w:p>
    <w:p w14:paraId="711D832E" w14:textId="77777777" w:rsidR="00951904" w:rsidRPr="00951904" w:rsidRDefault="00951904" w:rsidP="002C49F1">
      <w:pPr>
        <w:spacing w:after="0" w:line="240" w:lineRule="auto"/>
        <w:jc w:val="both"/>
        <w:rPr>
          <w:rFonts w:ascii="Cambria" w:hAnsi="Cambria"/>
          <w:sz w:val="24"/>
          <w:szCs w:val="24"/>
        </w:rPr>
      </w:pPr>
      <w:r w:rsidRPr="00951904">
        <w:rPr>
          <w:rFonts w:ascii="Cambria" w:hAnsi="Cambria"/>
          <w:sz w:val="24"/>
          <w:szCs w:val="24"/>
        </w:rPr>
        <w:t>(2) Every person detained in a house of detention under this section shall be detained until he avails himself of suitable employment found for him, or until he is removed or discharged as hereinafter mentioned.</w:t>
      </w:r>
    </w:p>
    <w:p w14:paraId="143E6211" w14:textId="6E22FEA3" w:rsidR="00FA5CAF" w:rsidRDefault="00FA5CAF" w:rsidP="002C49F1">
      <w:pPr>
        <w:spacing w:after="0" w:line="240" w:lineRule="auto"/>
        <w:jc w:val="both"/>
        <w:rPr>
          <w:rFonts w:ascii="Cambria" w:hAnsi="Cambria"/>
          <w:sz w:val="24"/>
          <w:szCs w:val="24"/>
        </w:rPr>
      </w:pPr>
    </w:p>
    <w:p w14:paraId="4F8FB0F2" w14:textId="32875C66" w:rsidR="002C49F1" w:rsidRPr="002C49F1" w:rsidRDefault="002C49F1" w:rsidP="002C49F1">
      <w:pPr>
        <w:spacing w:after="0" w:line="240" w:lineRule="auto"/>
        <w:jc w:val="both"/>
        <w:rPr>
          <w:rFonts w:ascii="Cambria" w:hAnsi="Cambria"/>
          <w:b/>
          <w:bCs/>
          <w:i/>
          <w:iCs/>
          <w:sz w:val="24"/>
          <w:szCs w:val="24"/>
        </w:rPr>
      </w:pPr>
      <w:r w:rsidRPr="002C49F1">
        <w:rPr>
          <w:rFonts w:ascii="Cambria" w:hAnsi="Cambria"/>
          <w:b/>
          <w:bCs/>
          <w:i/>
          <w:iCs/>
          <w:sz w:val="24"/>
          <w:szCs w:val="24"/>
        </w:rPr>
        <w:t>Analysis</w:t>
      </w:r>
    </w:p>
    <w:p w14:paraId="0DF08E4C" w14:textId="77777777" w:rsidR="002C49F1" w:rsidRPr="002C49F1" w:rsidRDefault="002C49F1" w:rsidP="002C49F1">
      <w:pPr>
        <w:spacing w:after="0" w:line="240" w:lineRule="auto"/>
        <w:jc w:val="both"/>
        <w:rPr>
          <w:rFonts w:ascii="Cambria" w:hAnsi="Cambria"/>
          <w:i/>
          <w:iCs/>
          <w:sz w:val="24"/>
          <w:szCs w:val="24"/>
        </w:rPr>
      </w:pPr>
    </w:p>
    <w:p w14:paraId="3844DE73" w14:textId="5CC0EB3E" w:rsidR="00FA5CAF" w:rsidRDefault="00FA5CAF" w:rsidP="002C49F1">
      <w:pPr>
        <w:spacing w:after="0" w:line="240" w:lineRule="auto"/>
        <w:jc w:val="both"/>
        <w:rPr>
          <w:rFonts w:ascii="Cambria" w:hAnsi="Cambria"/>
          <w:sz w:val="24"/>
          <w:szCs w:val="24"/>
        </w:rPr>
      </w:pPr>
      <w:r>
        <w:rPr>
          <w:rFonts w:ascii="Cambria" w:hAnsi="Cambria"/>
          <w:sz w:val="24"/>
          <w:szCs w:val="24"/>
        </w:rPr>
        <w:t xml:space="preserve">The Vagrants Ordinance and Houses of Detention Ordinance are archaic and discriminatory </w:t>
      </w:r>
      <w:r w:rsidR="008978FA">
        <w:rPr>
          <w:rFonts w:ascii="Cambria" w:hAnsi="Cambria"/>
          <w:sz w:val="24"/>
          <w:szCs w:val="24"/>
        </w:rPr>
        <w:t xml:space="preserve">colonial era </w:t>
      </w:r>
      <w:r>
        <w:rPr>
          <w:rFonts w:ascii="Cambria" w:hAnsi="Cambria"/>
          <w:sz w:val="24"/>
          <w:szCs w:val="24"/>
        </w:rPr>
        <w:t>statutes that</w:t>
      </w:r>
      <w:r w:rsidR="00827DC9">
        <w:rPr>
          <w:rFonts w:ascii="Cambria" w:hAnsi="Cambria"/>
          <w:sz w:val="24"/>
          <w:szCs w:val="24"/>
        </w:rPr>
        <w:t xml:space="preserve">, </w:t>
      </w:r>
      <w:r w:rsidR="00827DC9" w:rsidRPr="00827DC9">
        <w:rPr>
          <w:rFonts w:ascii="Cambria" w:hAnsi="Cambria"/>
          <w:i/>
          <w:sz w:val="24"/>
          <w:szCs w:val="24"/>
        </w:rPr>
        <w:t>inter alia</w:t>
      </w:r>
      <w:r>
        <w:rPr>
          <w:rFonts w:ascii="Cambria" w:hAnsi="Cambria"/>
          <w:sz w:val="24"/>
          <w:szCs w:val="24"/>
        </w:rPr>
        <w:t>, criminalize persons suffering extreme poverty and homelessness by empowering police officers to arrest persons who are ‘’</w:t>
      </w:r>
      <w:r w:rsidRPr="00C1369E">
        <w:rPr>
          <w:rFonts w:ascii="Cambria" w:hAnsi="Cambria"/>
          <w:sz w:val="24"/>
          <w:szCs w:val="24"/>
        </w:rPr>
        <w:t>deeme</w:t>
      </w:r>
      <w:r>
        <w:rPr>
          <w:rFonts w:ascii="Cambria" w:hAnsi="Cambria"/>
          <w:sz w:val="24"/>
          <w:szCs w:val="24"/>
        </w:rPr>
        <w:t>d an idle and disorderly’’ and allow courts to imprison</w:t>
      </w:r>
      <w:r w:rsidR="008978FA">
        <w:rPr>
          <w:rFonts w:ascii="Cambria" w:hAnsi="Cambria"/>
          <w:sz w:val="24"/>
          <w:szCs w:val="24"/>
        </w:rPr>
        <w:t xml:space="preserve"> such persons or impose</w:t>
      </w:r>
      <w:r>
        <w:rPr>
          <w:rFonts w:ascii="Cambria" w:hAnsi="Cambria"/>
          <w:sz w:val="24"/>
          <w:szCs w:val="24"/>
        </w:rPr>
        <w:t xml:space="preserve"> financial sanctions</w:t>
      </w:r>
      <w:r w:rsidR="008978FA">
        <w:rPr>
          <w:rFonts w:ascii="Cambria" w:hAnsi="Cambria"/>
          <w:sz w:val="24"/>
          <w:szCs w:val="24"/>
        </w:rPr>
        <w:t xml:space="preserve"> on them</w:t>
      </w:r>
      <w:r>
        <w:rPr>
          <w:rFonts w:ascii="Cambria" w:hAnsi="Cambria"/>
          <w:sz w:val="24"/>
          <w:szCs w:val="24"/>
        </w:rPr>
        <w:t xml:space="preserve">. </w:t>
      </w:r>
      <w:r w:rsidRPr="00233B6E">
        <w:rPr>
          <w:rFonts w:ascii="Cambria" w:hAnsi="Cambria"/>
          <w:sz w:val="24"/>
          <w:szCs w:val="24"/>
        </w:rPr>
        <w:t>1140</w:t>
      </w:r>
      <w:r>
        <w:rPr>
          <w:rFonts w:ascii="Cambria" w:hAnsi="Cambria"/>
          <w:sz w:val="24"/>
          <w:szCs w:val="24"/>
        </w:rPr>
        <w:t xml:space="preserve"> offences of vagrancy were reported to the police in 2018 as outlined in the Department of Police Performance Report (updated statistics were not available).</w:t>
      </w:r>
      <w:r>
        <w:rPr>
          <w:rStyle w:val="FootnoteReference"/>
          <w:rFonts w:ascii="Cambria" w:hAnsi="Cambria"/>
          <w:sz w:val="24"/>
          <w:szCs w:val="24"/>
        </w:rPr>
        <w:footnoteReference w:id="1"/>
      </w:r>
      <w:r>
        <w:rPr>
          <w:rFonts w:ascii="Cambria" w:hAnsi="Cambria"/>
          <w:sz w:val="24"/>
          <w:szCs w:val="24"/>
        </w:rPr>
        <w:t xml:space="preserve"> While </w:t>
      </w:r>
      <w:r>
        <w:rPr>
          <w:rFonts w:ascii="Cambria" w:hAnsi="Cambria"/>
          <w:sz w:val="24"/>
          <w:szCs w:val="24"/>
        </w:rPr>
        <w:lastRenderedPageBreak/>
        <w:t xml:space="preserve">data on the number of such </w:t>
      </w:r>
      <w:r w:rsidR="008978FA">
        <w:rPr>
          <w:rFonts w:ascii="Cambria" w:hAnsi="Cambria"/>
          <w:sz w:val="24"/>
          <w:szCs w:val="24"/>
        </w:rPr>
        <w:t>arrests</w:t>
      </w:r>
      <w:r>
        <w:rPr>
          <w:rFonts w:ascii="Cambria" w:hAnsi="Cambria"/>
          <w:sz w:val="24"/>
          <w:szCs w:val="24"/>
        </w:rPr>
        <w:t xml:space="preserve"> resulting in prosecutions is not available, the Vagrants Ordinance has been </w:t>
      </w:r>
      <w:r w:rsidR="008978FA">
        <w:rPr>
          <w:rFonts w:ascii="Cambria" w:hAnsi="Cambria"/>
          <w:sz w:val="24"/>
          <w:szCs w:val="24"/>
        </w:rPr>
        <w:t xml:space="preserve">enabled </w:t>
      </w:r>
      <w:r>
        <w:rPr>
          <w:rFonts w:ascii="Cambria" w:hAnsi="Cambria"/>
          <w:sz w:val="24"/>
          <w:szCs w:val="24"/>
        </w:rPr>
        <w:t>arbitrary arrests, particularly against homeless persons and LGBTQI persons, further marginalizing already vulnerable groups</w:t>
      </w:r>
      <w:r w:rsidR="008978FA">
        <w:rPr>
          <w:rFonts w:ascii="Cambria" w:hAnsi="Cambria"/>
          <w:sz w:val="24"/>
          <w:szCs w:val="24"/>
        </w:rPr>
        <w:t>, such as sex workers</w:t>
      </w:r>
      <w:r>
        <w:rPr>
          <w:rFonts w:ascii="Cambria" w:hAnsi="Cambria"/>
          <w:sz w:val="24"/>
          <w:szCs w:val="24"/>
        </w:rPr>
        <w:t>.</w:t>
      </w:r>
      <w:r>
        <w:rPr>
          <w:rStyle w:val="FootnoteReference"/>
          <w:rFonts w:ascii="Cambria" w:hAnsi="Cambria"/>
          <w:sz w:val="24"/>
          <w:szCs w:val="24"/>
        </w:rPr>
        <w:footnoteReference w:id="2"/>
      </w:r>
      <w:r>
        <w:rPr>
          <w:rFonts w:ascii="Cambria" w:hAnsi="Cambria"/>
          <w:sz w:val="24"/>
          <w:szCs w:val="24"/>
        </w:rPr>
        <w:t xml:space="preserve"> </w:t>
      </w:r>
    </w:p>
    <w:p w14:paraId="700D93D8" w14:textId="77777777" w:rsidR="002C49F1" w:rsidRDefault="002C49F1" w:rsidP="002C49F1">
      <w:pPr>
        <w:spacing w:after="0" w:line="240" w:lineRule="auto"/>
        <w:jc w:val="both"/>
        <w:rPr>
          <w:rFonts w:ascii="Cambria" w:hAnsi="Cambria"/>
          <w:sz w:val="24"/>
          <w:szCs w:val="24"/>
        </w:rPr>
      </w:pPr>
    </w:p>
    <w:p w14:paraId="4516A510" w14:textId="75CF12F0" w:rsidR="00FA5CAF" w:rsidRDefault="00FA5CAF" w:rsidP="002C49F1">
      <w:pPr>
        <w:spacing w:after="0" w:line="240" w:lineRule="auto"/>
        <w:jc w:val="both"/>
        <w:rPr>
          <w:rFonts w:ascii="Cambria" w:hAnsi="Cambria"/>
          <w:sz w:val="24"/>
          <w:szCs w:val="24"/>
        </w:rPr>
      </w:pPr>
      <w:r>
        <w:rPr>
          <w:rFonts w:ascii="Cambria" w:hAnsi="Cambria"/>
          <w:sz w:val="24"/>
          <w:szCs w:val="24"/>
        </w:rPr>
        <w:t xml:space="preserve">Detention under the Vagrants Ordinance and House of Detention Act has been documented in the findings of the Working Group of Arbitrary Detention (WGAD), </w:t>
      </w:r>
      <w:r w:rsidR="00F740E2">
        <w:rPr>
          <w:rFonts w:ascii="Cambria" w:hAnsi="Cambria"/>
          <w:sz w:val="24"/>
          <w:szCs w:val="24"/>
        </w:rPr>
        <w:t>during</w:t>
      </w:r>
      <w:r>
        <w:rPr>
          <w:rFonts w:ascii="Cambria" w:hAnsi="Cambria"/>
          <w:sz w:val="24"/>
          <w:szCs w:val="24"/>
        </w:rPr>
        <w:t xml:space="preserve"> its visit to Sri Lanka in 2017. The WGAD report notes that women are detained at the </w:t>
      </w:r>
      <w:r w:rsidR="004645C0">
        <w:rPr>
          <w:rFonts w:ascii="Cambria" w:hAnsi="Cambria"/>
          <w:sz w:val="24"/>
          <w:szCs w:val="24"/>
        </w:rPr>
        <w:t xml:space="preserve">state detention </w:t>
      </w:r>
      <w:proofErr w:type="spellStart"/>
      <w:r w:rsidR="004645C0">
        <w:rPr>
          <w:rFonts w:ascii="Cambria" w:hAnsi="Cambria"/>
          <w:sz w:val="24"/>
          <w:szCs w:val="24"/>
        </w:rPr>
        <w:t>centre</w:t>
      </w:r>
      <w:proofErr w:type="spellEnd"/>
      <w:r w:rsidR="004645C0">
        <w:rPr>
          <w:rFonts w:ascii="Cambria" w:hAnsi="Cambria"/>
          <w:sz w:val="24"/>
          <w:szCs w:val="24"/>
        </w:rPr>
        <w:t xml:space="preserve">, </w:t>
      </w:r>
      <w:r>
        <w:rPr>
          <w:rFonts w:ascii="Cambria" w:hAnsi="Cambria"/>
          <w:sz w:val="24"/>
          <w:szCs w:val="24"/>
        </w:rPr>
        <w:t xml:space="preserve">Meth </w:t>
      </w:r>
      <w:proofErr w:type="spellStart"/>
      <w:r>
        <w:rPr>
          <w:rFonts w:ascii="Cambria" w:hAnsi="Cambria"/>
          <w:sz w:val="24"/>
          <w:szCs w:val="24"/>
        </w:rPr>
        <w:t>Sevana</w:t>
      </w:r>
      <w:proofErr w:type="spellEnd"/>
      <w:r>
        <w:rPr>
          <w:rFonts w:ascii="Cambria" w:hAnsi="Cambria"/>
          <w:sz w:val="24"/>
          <w:szCs w:val="24"/>
        </w:rPr>
        <w:t xml:space="preserve"> under the provisions of the Vagrants Ordinance and House of Detention Act. The report states that ‘</w:t>
      </w:r>
      <w:r w:rsidRPr="00C24EC9">
        <w:rPr>
          <w:rFonts w:ascii="Cambria" w:hAnsi="Cambria"/>
          <w:sz w:val="24"/>
          <w:szCs w:val="24"/>
        </w:rPr>
        <w:t>if a woman pleads guilty to acts of vagrancy, she can be released upon payment of a fine of 100 rupees.  However, most women who are found to have engaged in acts of vagrancy cannot afford to make such a payment, and would likely be detained again when found by the police to be loitering or committing other acts under the Vagrants Ordinance.  Women who are unable to pay the fine or do not wish to plead guilty are placed in Meth</w:t>
      </w:r>
      <w:r w:rsidR="00912307">
        <w:rPr>
          <w:rFonts w:ascii="Cambria" w:hAnsi="Cambria"/>
          <w:sz w:val="24"/>
          <w:szCs w:val="24"/>
        </w:rPr>
        <w:t xml:space="preserve"> </w:t>
      </w:r>
      <w:proofErr w:type="spellStart"/>
      <w:r w:rsidR="00912307">
        <w:rPr>
          <w:rFonts w:ascii="Cambria" w:hAnsi="Cambria"/>
          <w:sz w:val="24"/>
          <w:szCs w:val="24"/>
        </w:rPr>
        <w:t>S</w:t>
      </w:r>
      <w:r w:rsidRPr="00C24EC9">
        <w:rPr>
          <w:rFonts w:ascii="Cambria" w:hAnsi="Cambria"/>
          <w:sz w:val="24"/>
          <w:szCs w:val="24"/>
        </w:rPr>
        <w:t>evana</w:t>
      </w:r>
      <w:proofErr w:type="spellEnd"/>
      <w:r w:rsidRPr="00C24EC9">
        <w:rPr>
          <w:rFonts w:ascii="Cambria" w:hAnsi="Cambria"/>
          <w:sz w:val="24"/>
          <w:szCs w:val="24"/>
        </w:rPr>
        <w:t xml:space="preserve"> by an order of the Magistrates’ Court.  According to the testimony received, the women cannot afford a lawyer and have no access to legal assistance before or during their court hearing.</w:t>
      </w:r>
      <w:r>
        <w:rPr>
          <w:rFonts w:ascii="Cambria" w:hAnsi="Cambria"/>
          <w:sz w:val="24"/>
          <w:szCs w:val="24"/>
        </w:rPr>
        <w:t>’</w:t>
      </w:r>
      <w:r>
        <w:rPr>
          <w:rStyle w:val="FootnoteReference"/>
          <w:rFonts w:ascii="Cambria" w:hAnsi="Cambria"/>
          <w:sz w:val="24"/>
          <w:szCs w:val="24"/>
        </w:rPr>
        <w:footnoteReference w:id="3"/>
      </w:r>
    </w:p>
    <w:p w14:paraId="625259FD" w14:textId="77777777" w:rsidR="002C49F1" w:rsidRDefault="002C49F1" w:rsidP="002C49F1">
      <w:pPr>
        <w:spacing w:after="0" w:line="240" w:lineRule="auto"/>
        <w:jc w:val="both"/>
        <w:rPr>
          <w:rFonts w:ascii="Cambria" w:hAnsi="Cambria"/>
          <w:sz w:val="24"/>
          <w:szCs w:val="24"/>
        </w:rPr>
      </w:pPr>
    </w:p>
    <w:p w14:paraId="10C73500" w14:textId="6AB2AE72" w:rsidR="00FA5CAF" w:rsidRDefault="00F740E2" w:rsidP="002C49F1">
      <w:pPr>
        <w:spacing w:after="0" w:line="240" w:lineRule="auto"/>
        <w:jc w:val="both"/>
        <w:rPr>
          <w:rFonts w:ascii="Cambria" w:hAnsi="Cambria"/>
          <w:sz w:val="24"/>
          <w:szCs w:val="24"/>
        </w:rPr>
      </w:pPr>
      <w:r>
        <w:rPr>
          <w:rFonts w:ascii="Cambria" w:hAnsi="Cambria"/>
          <w:sz w:val="24"/>
          <w:szCs w:val="24"/>
        </w:rPr>
        <w:t xml:space="preserve">The WGAD findings published in 2018 echo the findings of </w:t>
      </w:r>
      <w:r w:rsidR="004645C0">
        <w:rPr>
          <w:rFonts w:ascii="Cambria" w:hAnsi="Cambria"/>
          <w:sz w:val="24"/>
          <w:szCs w:val="24"/>
        </w:rPr>
        <w:t xml:space="preserve">the </w:t>
      </w:r>
      <w:r>
        <w:rPr>
          <w:rFonts w:ascii="Cambria" w:hAnsi="Cambria"/>
          <w:sz w:val="24"/>
          <w:szCs w:val="24"/>
        </w:rPr>
        <w:t xml:space="preserve">Human Rights Commission of Sri Lanka’s published in </w:t>
      </w:r>
      <w:r w:rsidR="00FA5CAF">
        <w:rPr>
          <w:rFonts w:ascii="Cambria" w:hAnsi="Cambria"/>
          <w:sz w:val="24"/>
          <w:szCs w:val="24"/>
        </w:rPr>
        <w:t>2004</w:t>
      </w:r>
      <w:r w:rsidR="00FA5CAF">
        <w:rPr>
          <w:rStyle w:val="FootnoteReference"/>
          <w:rFonts w:ascii="Cambria" w:hAnsi="Cambria"/>
          <w:sz w:val="24"/>
          <w:szCs w:val="24"/>
        </w:rPr>
        <w:footnoteReference w:id="4"/>
      </w:r>
      <w:r>
        <w:rPr>
          <w:rFonts w:ascii="Cambria" w:hAnsi="Cambria"/>
          <w:sz w:val="24"/>
          <w:szCs w:val="24"/>
        </w:rPr>
        <w:t>, illustrating the lack of any state action or progress in addressing the issues raised</w:t>
      </w:r>
      <w:r w:rsidR="004645C0">
        <w:rPr>
          <w:rFonts w:ascii="Cambria" w:hAnsi="Cambria"/>
          <w:sz w:val="24"/>
          <w:szCs w:val="24"/>
        </w:rPr>
        <w:t xml:space="preserve"> in fourteen years</w:t>
      </w:r>
      <w:r w:rsidR="00FA5CAF">
        <w:rPr>
          <w:rFonts w:ascii="Cambria" w:hAnsi="Cambria"/>
          <w:sz w:val="24"/>
          <w:szCs w:val="24"/>
        </w:rPr>
        <w:t xml:space="preserve">. The report referred to ‘’no-date’’ cases which referred to women who had been sent by </w:t>
      </w:r>
      <w:r w:rsidR="00FA5CAF" w:rsidRPr="000353AF">
        <w:rPr>
          <w:rFonts w:ascii="Cambria" w:hAnsi="Cambria"/>
          <w:sz w:val="24"/>
          <w:szCs w:val="24"/>
        </w:rPr>
        <w:t>magistrates for detention</w:t>
      </w:r>
      <w:r w:rsidR="00FA5CAF">
        <w:rPr>
          <w:rFonts w:ascii="Cambria" w:hAnsi="Cambria"/>
          <w:sz w:val="24"/>
          <w:szCs w:val="24"/>
        </w:rPr>
        <w:t xml:space="preserve"> at Meth </w:t>
      </w:r>
      <w:proofErr w:type="spellStart"/>
      <w:r w:rsidR="00FA5CAF">
        <w:rPr>
          <w:rFonts w:ascii="Cambria" w:hAnsi="Cambria"/>
          <w:sz w:val="24"/>
          <w:szCs w:val="24"/>
        </w:rPr>
        <w:t>Sevana</w:t>
      </w:r>
      <w:proofErr w:type="spellEnd"/>
      <w:r w:rsidR="00FA5CAF">
        <w:rPr>
          <w:rFonts w:ascii="Cambria" w:hAnsi="Cambria"/>
          <w:sz w:val="24"/>
          <w:szCs w:val="24"/>
        </w:rPr>
        <w:t xml:space="preserve"> without specifying </w:t>
      </w:r>
      <w:r>
        <w:rPr>
          <w:rFonts w:ascii="Cambria" w:hAnsi="Cambria"/>
          <w:sz w:val="24"/>
          <w:szCs w:val="24"/>
        </w:rPr>
        <w:t xml:space="preserve">the next case </w:t>
      </w:r>
      <w:r w:rsidR="00FA5CAF" w:rsidRPr="000353AF">
        <w:rPr>
          <w:rFonts w:ascii="Cambria" w:hAnsi="Cambria"/>
          <w:sz w:val="24"/>
          <w:szCs w:val="24"/>
        </w:rPr>
        <w:t>dates</w:t>
      </w:r>
      <w:r w:rsidR="00FA5CAF">
        <w:rPr>
          <w:rFonts w:ascii="Cambria" w:hAnsi="Cambria"/>
          <w:sz w:val="24"/>
          <w:szCs w:val="24"/>
        </w:rPr>
        <w:t xml:space="preserve">, </w:t>
      </w:r>
      <w:r>
        <w:rPr>
          <w:rFonts w:ascii="Cambria" w:hAnsi="Cambria"/>
          <w:sz w:val="24"/>
          <w:szCs w:val="24"/>
        </w:rPr>
        <w:t>thereby resulting in women being at the centre indefinitely. The</w:t>
      </w:r>
      <w:r w:rsidR="00FA5CAF">
        <w:rPr>
          <w:rFonts w:ascii="Cambria" w:hAnsi="Cambria"/>
          <w:sz w:val="24"/>
          <w:szCs w:val="24"/>
        </w:rPr>
        <w:t xml:space="preserve"> majority of women with ‘’no-date’’ cases were detained for offences of vagrancy. The WGAD report which was released in 201</w:t>
      </w:r>
      <w:r>
        <w:rPr>
          <w:rFonts w:ascii="Cambria" w:hAnsi="Cambria"/>
          <w:sz w:val="24"/>
          <w:szCs w:val="24"/>
        </w:rPr>
        <w:t>8</w:t>
      </w:r>
      <w:r w:rsidR="00FA5CAF">
        <w:rPr>
          <w:rFonts w:ascii="Cambria" w:hAnsi="Cambria"/>
          <w:sz w:val="24"/>
          <w:szCs w:val="24"/>
        </w:rPr>
        <w:t xml:space="preserve"> also mentions the phenomenon of ‘’no-date’’ cases and women being detained for indeterminate periods. </w:t>
      </w:r>
      <w:r w:rsidR="004D1396">
        <w:rPr>
          <w:rFonts w:ascii="Cambria" w:hAnsi="Cambria"/>
          <w:sz w:val="24"/>
          <w:szCs w:val="24"/>
        </w:rPr>
        <w:t>According to the General Comment on Article 9 of the ICCPR, ‘a</w:t>
      </w:r>
      <w:r w:rsidR="004D1396" w:rsidRPr="004D1396">
        <w:rPr>
          <w:rFonts w:ascii="Cambria" w:hAnsi="Cambria"/>
          <w:sz w:val="24"/>
          <w:szCs w:val="24"/>
        </w:rPr>
        <w:t>side from judicially imposed sentences for a fixed period of time, the decision to keep a person in any form of detention is arbitrary if it is not subject to periodic re-evaluation of the justification for continuing the detention.</w:t>
      </w:r>
      <w:r w:rsidR="004D1396">
        <w:rPr>
          <w:rFonts w:ascii="Cambria" w:hAnsi="Cambria"/>
          <w:sz w:val="24"/>
          <w:szCs w:val="24"/>
        </w:rPr>
        <w:t>’</w:t>
      </w:r>
      <w:r w:rsidR="004D1396">
        <w:rPr>
          <w:rStyle w:val="FootnoteReference"/>
          <w:rFonts w:ascii="Cambria" w:hAnsi="Cambria"/>
          <w:sz w:val="24"/>
          <w:szCs w:val="24"/>
        </w:rPr>
        <w:footnoteReference w:id="5"/>
      </w:r>
    </w:p>
    <w:p w14:paraId="6C1CE195" w14:textId="77777777" w:rsidR="002C49F1" w:rsidRDefault="002C49F1" w:rsidP="002C49F1">
      <w:pPr>
        <w:spacing w:after="0" w:line="240" w:lineRule="auto"/>
        <w:jc w:val="both"/>
        <w:rPr>
          <w:rFonts w:ascii="Cambria" w:hAnsi="Cambria"/>
          <w:sz w:val="24"/>
          <w:szCs w:val="24"/>
        </w:rPr>
      </w:pPr>
    </w:p>
    <w:p w14:paraId="454900D7" w14:textId="74D8CA6C" w:rsidR="00FA5CAF" w:rsidRDefault="00FA5CAF" w:rsidP="002C49F1">
      <w:pPr>
        <w:spacing w:after="0" w:line="240" w:lineRule="auto"/>
        <w:jc w:val="both"/>
        <w:rPr>
          <w:rFonts w:ascii="Cambria" w:hAnsi="Cambria"/>
          <w:sz w:val="24"/>
          <w:szCs w:val="24"/>
        </w:rPr>
      </w:pPr>
      <w:r>
        <w:rPr>
          <w:rFonts w:ascii="Cambria" w:hAnsi="Cambria"/>
          <w:sz w:val="24"/>
          <w:szCs w:val="24"/>
        </w:rPr>
        <w:t xml:space="preserve">The HRCSL report further mentioned that many women detained for </w:t>
      </w:r>
      <w:r w:rsidR="006975EA">
        <w:rPr>
          <w:rFonts w:ascii="Cambria" w:hAnsi="Cambria"/>
          <w:sz w:val="24"/>
          <w:szCs w:val="24"/>
        </w:rPr>
        <w:t xml:space="preserve">vagrancy </w:t>
      </w:r>
      <w:r>
        <w:rPr>
          <w:rFonts w:ascii="Cambria" w:hAnsi="Cambria"/>
          <w:sz w:val="24"/>
          <w:szCs w:val="24"/>
        </w:rPr>
        <w:t>offences were forced to resort to begging and engag</w:t>
      </w:r>
      <w:r w:rsidR="00F740E2">
        <w:rPr>
          <w:rFonts w:ascii="Cambria" w:hAnsi="Cambria"/>
          <w:sz w:val="24"/>
          <w:szCs w:val="24"/>
        </w:rPr>
        <w:t>e</w:t>
      </w:r>
      <w:r>
        <w:rPr>
          <w:rFonts w:ascii="Cambria" w:hAnsi="Cambria"/>
          <w:sz w:val="24"/>
          <w:szCs w:val="24"/>
        </w:rPr>
        <w:t xml:space="preserve"> in sex work upon being released from detention, and </w:t>
      </w:r>
      <w:r w:rsidR="00F740E2">
        <w:rPr>
          <w:rFonts w:ascii="Cambria" w:hAnsi="Cambria"/>
          <w:sz w:val="24"/>
          <w:szCs w:val="24"/>
        </w:rPr>
        <w:t>remained</w:t>
      </w:r>
      <w:r>
        <w:rPr>
          <w:rFonts w:ascii="Cambria" w:hAnsi="Cambria"/>
          <w:sz w:val="24"/>
          <w:szCs w:val="24"/>
        </w:rPr>
        <w:t xml:space="preserve"> trapped in a cycle of poverty and persistent risk of further arrest and detention. </w:t>
      </w:r>
      <w:r w:rsidR="00827DC9">
        <w:rPr>
          <w:rFonts w:ascii="Cambria" w:hAnsi="Cambria"/>
          <w:sz w:val="24"/>
          <w:szCs w:val="24"/>
        </w:rPr>
        <w:t xml:space="preserve">Furthermore, </w:t>
      </w:r>
      <w:r w:rsidR="00F740E2">
        <w:rPr>
          <w:rFonts w:ascii="Cambria" w:hAnsi="Cambria"/>
          <w:sz w:val="24"/>
          <w:szCs w:val="24"/>
        </w:rPr>
        <w:t xml:space="preserve">according to </w:t>
      </w:r>
      <w:r w:rsidR="00827DC9">
        <w:rPr>
          <w:rFonts w:ascii="Cambria" w:hAnsi="Cambria"/>
          <w:sz w:val="24"/>
          <w:szCs w:val="24"/>
        </w:rPr>
        <w:t>the report</w:t>
      </w:r>
      <w:r w:rsidR="00F740E2">
        <w:rPr>
          <w:rFonts w:ascii="Cambria" w:hAnsi="Cambria"/>
          <w:sz w:val="24"/>
          <w:szCs w:val="24"/>
        </w:rPr>
        <w:t>,</w:t>
      </w:r>
      <w:r w:rsidR="00827DC9">
        <w:rPr>
          <w:rFonts w:ascii="Cambria" w:hAnsi="Cambria"/>
          <w:sz w:val="24"/>
          <w:szCs w:val="24"/>
        </w:rPr>
        <w:t xml:space="preserve"> a number of women detained at Meth </w:t>
      </w:r>
      <w:proofErr w:type="spellStart"/>
      <w:r w:rsidR="00827DC9">
        <w:rPr>
          <w:rFonts w:ascii="Cambria" w:hAnsi="Cambria"/>
          <w:sz w:val="24"/>
          <w:szCs w:val="24"/>
        </w:rPr>
        <w:t>Sevana</w:t>
      </w:r>
      <w:proofErr w:type="spellEnd"/>
      <w:r w:rsidR="00827DC9">
        <w:rPr>
          <w:rFonts w:ascii="Cambria" w:hAnsi="Cambria"/>
          <w:sz w:val="24"/>
          <w:szCs w:val="24"/>
        </w:rPr>
        <w:t xml:space="preserve"> were suffering mental health illnesses and were held in poor conditions of detention without being provided access to the treatment and care they required. This is in contravention of the right </w:t>
      </w:r>
      <w:r w:rsidR="00827DC9">
        <w:rPr>
          <w:rFonts w:ascii="Cambria" w:hAnsi="Cambria"/>
          <w:sz w:val="24"/>
          <w:szCs w:val="24"/>
        </w:rPr>
        <w:lastRenderedPageBreak/>
        <w:t xml:space="preserve">of all persons to </w:t>
      </w:r>
      <w:r w:rsidR="00827DC9" w:rsidRPr="00827DC9">
        <w:rPr>
          <w:rFonts w:ascii="Cambria" w:hAnsi="Cambria"/>
          <w:sz w:val="24"/>
          <w:szCs w:val="24"/>
        </w:rPr>
        <w:t>the enjoyment of the highest attainable standar</w:t>
      </w:r>
      <w:r w:rsidR="00827DC9">
        <w:rPr>
          <w:rFonts w:ascii="Cambria" w:hAnsi="Cambria"/>
          <w:sz w:val="24"/>
          <w:szCs w:val="24"/>
        </w:rPr>
        <w:t xml:space="preserve">d of physical and mental health as affirmed by Article 12 of the </w:t>
      </w:r>
      <w:r w:rsidR="00827DC9" w:rsidRPr="00827DC9">
        <w:rPr>
          <w:rFonts w:ascii="Cambria" w:hAnsi="Cambria"/>
          <w:sz w:val="24"/>
          <w:szCs w:val="24"/>
        </w:rPr>
        <w:t>International Covenant on Economic, Social and Cultural Rights</w:t>
      </w:r>
      <w:r w:rsidR="00827DC9">
        <w:rPr>
          <w:rFonts w:ascii="Cambria" w:hAnsi="Cambria"/>
          <w:sz w:val="24"/>
          <w:szCs w:val="24"/>
        </w:rPr>
        <w:t>.</w:t>
      </w:r>
    </w:p>
    <w:p w14:paraId="2044D864" w14:textId="77777777" w:rsidR="006975EA" w:rsidRDefault="006975EA" w:rsidP="002C49F1">
      <w:pPr>
        <w:spacing w:after="0" w:line="240" w:lineRule="auto"/>
        <w:jc w:val="both"/>
        <w:rPr>
          <w:rFonts w:ascii="Cambria" w:hAnsi="Cambria"/>
          <w:sz w:val="24"/>
          <w:szCs w:val="24"/>
        </w:rPr>
      </w:pPr>
    </w:p>
    <w:p w14:paraId="1CB208A8" w14:textId="2B06FDED" w:rsidR="00FA5CAF" w:rsidRDefault="00FA5CAF" w:rsidP="002C49F1">
      <w:pPr>
        <w:spacing w:after="0" w:line="240" w:lineRule="auto"/>
        <w:jc w:val="both"/>
        <w:rPr>
          <w:rFonts w:ascii="Cambria" w:hAnsi="Cambria"/>
          <w:sz w:val="24"/>
          <w:szCs w:val="24"/>
        </w:rPr>
      </w:pPr>
      <w:r>
        <w:rPr>
          <w:rFonts w:ascii="Cambria" w:hAnsi="Cambria"/>
          <w:sz w:val="24"/>
          <w:szCs w:val="24"/>
        </w:rPr>
        <w:t>The WGAD report notes that ‘p</w:t>
      </w:r>
      <w:r w:rsidRPr="002735E0">
        <w:rPr>
          <w:rFonts w:ascii="Cambria" w:hAnsi="Cambria"/>
          <w:sz w:val="24"/>
          <w:szCs w:val="24"/>
        </w:rPr>
        <w:t>overty appears to be a major determinant of whether a person will be taken into custody throughout Sri Lanka, and how long he or she will be deprived of liberty</w:t>
      </w:r>
      <w:r>
        <w:rPr>
          <w:rFonts w:ascii="Cambria" w:hAnsi="Cambria"/>
          <w:sz w:val="24"/>
          <w:szCs w:val="24"/>
        </w:rPr>
        <w:t>’ and that ‘</w:t>
      </w:r>
      <w:r w:rsidRPr="002735E0">
        <w:rPr>
          <w:rFonts w:ascii="Cambria" w:hAnsi="Cambria"/>
          <w:sz w:val="24"/>
          <w:szCs w:val="24"/>
        </w:rPr>
        <w:t xml:space="preserve">between 25 to 30 beggars, homeless and street people are reportedly being detained at </w:t>
      </w:r>
      <w:proofErr w:type="spellStart"/>
      <w:r w:rsidRPr="002735E0">
        <w:rPr>
          <w:rFonts w:ascii="Cambria" w:hAnsi="Cambria"/>
          <w:sz w:val="24"/>
          <w:szCs w:val="24"/>
        </w:rPr>
        <w:t>Ridiyagama</w:t>
      </w:r>
      <w:proofErr w:type="spellEnd"/>
      <w:r w:rsidRPr="002735E0">
        <w:rPr>
          <w:rFonts w:ascii="Cambria" w:hAnsi="Cambria"/>
          <w:sz w:val="24"/>
          <w:szCs w:val="24"/>
        </w:rPr>
        <w:t xml:space="preserve"> Detention Centre in </w:t>
      </w:r>
      <w:proofErr w:type="spellStart"/>
      <w:r w:rsidRPr="002735E0">
        <w:rPr>
          <w:rFonts w:ascii="Cambria" w:hAnsi="Cambria"/>
          <w:sz w:val="24"/>
          <w:szCs w:val="24"/>
        </w:rPr>
        <w:t>Ambalantota</w:t>
      </w:r>
      <w:proofErr w:type="spellEnd"/>
      <w:r w:rsidRPr="002735E0">
        <w:rPr>
          <w:rFonts w:ascii="Cambria" w:hAnsi="Cambria"/>
          <w:sz w:val="24"/>
          <w:szCs w:val="24"/>
        </w:rPr>
        <w:t xml:space="preserve"> each month.  The Centre, which is maintained by the Social Affairs Division of the Southern Provincial Council, also houses anybody sent by court order who is defined as a vagrant under the Vagrants Ordinance.  This includes female prostitutes, elderly people, and individuals who have psychosocial impairments or alcohol addiction.  The Working Group was informed that a similar detention centre is located at </w:t>
      </w:r>
      <w:proofErr w:type="spellStart"/>
      <w:r w:rsidRPr="002735E0">
        <w:rPr>
          <w:rFonts w:ascii="Cambria" w:hAnsi="Cambria"/>
          <w:sz w:val="24"/>
          <w:szCs w:val="24"/>
        </w:rPr>
        <w:t>Weerawila</w:t>
      </w:r>
      <w:proofErr w:type="spellEnd"/>
      <w:r w:rsidRPr="002735E0">
        <w:rPr>
          <w:rFonts w:ascii="Cambria" w:hAnsi="Cambria"/>
          <w:sz w:val="24"/>
          <w:szCs w:val="24"/>
        </w:rPr>
        <w:t>.</w:t>
      </w:r>
      <w:r>
        <w:rPr>
          <w:rFonts w:ascii="Cambria" w:hAnsi="Cambria"/>
          <w:sz w:val="24"/>
          <w:szCs w:val="24"/>
        </w:rPr>
        <w:t>’</w:t>
      </w:r>
      <w:r>
        <w:rPr>
          <w:rStyle w:val="FootnoteReference"/>
          <w:rFonts w:ascii="Cambria" w:hAnsi="Cambria"/>
          <w:sz w:val="24"/>
          <w:szCs w:val="24"/>
        </w:rPr>
        <w:footnoteReference w:id="6"/>
      </w:r>
      <w:r>
        <w:rPr>
          <w:rFonts w:ascii="Cambria" w:hAnsi="Cambria"/>
          <w:sz w:val="24"/>
          <w:szCs w:val="24"/>
        </w:rPr>
        <w:t xml:space="preserve"> The WGAD report recommended </w:t>
      </w:r>
      <w:r w:rsidR="0038223F">
        <w:rPr>
          <w:rFonts w:ascii="Cambria" w:hAnsi="Cambria"/>
          <w:sz w:val="24"/>
          <w:szCs w:val="24"/>
        </w:rPr>
        <w:t xml:space="preserve">the repeal of </w:t>
      </w:r>
      <w:r>
        <w:rPr>
          <w:rFonts w:ascii="Cambria" w:hAnsi="Cambria"/>
          <w:sz w:val="24"/>
          <w:szCs w:val="24"/>
        </w:rPr>
        <w:t>both the Vagrants Ordinance and House of Detention Act are because ‘</w:t>
      </w:r>
      <w:r w:rsidRPr="002735E0">
        <w:rPr>
          <w:rFonts w:ascii="Cambria" w:hAnsi="Cambria"/>
          <w:sz w:val="24"/>
          <w:szCs w:val="24"/>
        </w:rPr>
        <w:t>acts of vagrancy are strongly associated with poverty, which is a social problem best addressed through the provision of support services that allow impoverished women to live with dignity and self-sufficiency</w:t>
      </w:r>
      <w:r>
        <w:rPr>
          <w:rFonts w:ascii="Cambria" w:hAnsi="Cambria"/>
          <w:sz w:val="24"/>
          <w:szCs w:val="24"/>
        </w:rPr>
        <w:t>’.</w:t>
      </w:r>
    </w:p>
    <w:p w14:paraId="46483D0C" w14:textId="77777777" w:rsidR="002C49F1" w:rsidRDefault="002C49F1" w:rsidP="002C49F1">
      <w:pPr>
        <w:spacing w:after="0" w:line="240" w:lineRule="auto"/>
        <w:jc w:val="both"/>
        <w:rPr>
          <w:rFonts w:ascii="Cambria" w:hAnsi="Cambria"/>
          <w:sz w:val="24"/>
          <w:szCs w:val="24"/>
        </w:rPr>
      </w:pPr>
    </w:p>
    <w:p w14:paraId="0D64C55E" w14:textId="77777777" w:rsidR="0038223F" w:rsidRDefault="00FA5CAF" w:rsidP="002C49F1">
      <w:pPr>
        <w:spacing w:after="0" w:line="240" w:lineRule="auto"/>
        <w:jc w:val="both"/>
        <w:rPr>
          <w:rFonts w:ascii="Cambria" w:hAnsi="Cambria"/>
          <w:sz w:val="24"/>
          <w:szCs w:val="24"/>
        </w:rPr>
      </w:pPr>
      <w:r>
        <w:rPr>
          <w:rFonts w:ascii="Cambria" w:hAnsi="Cambria"/>
          <w:sz w:val="24"/>
          <w:szCs w:val="24"/>
        </w:rPr>
        <w:t>Article 9 of the International Coven</w:t>
      </w:r>
      <w:r w:rsidR="00827DC9">
        <w:rPr>
          <w:rFonts w:ascii="Cambria" w:hAnsi="Cambria"/>
          <w:sz w:val="24"/>
          <w:szCs w:val="24"/>
        </w:rPr>
        <w:t>ant on</w:t>
      </w:r>
      <w:r>
        <w:rPr>
          <w:rFonts w:ascii="Cambria" w:hAnsi="Cambria"/>
          <w:sz w:val="24"/>
          <w:szCs w:val="24"/>
        </w:rPr>
        <w:t xml:space="preserve"> Civil and Political Rights</w:t>
      </w:r>
      <w:r w:rsidR="00827DC9">
        <w:rPr>
          <w:rFonts w:ascii="Cambria" w:hAnsi="Cambria"/>
          <w:sz w:val="24"/>
          <w:szCs w:val="24"/>
        </w:rPr>
        <w:t xml:space="preserve"> (ICCPR)</w:t>
      </w:r>
      <w:r>
        <w:rPr>
          <w:rFonts w:ascii="Cambria" w:hAnsi="Cambria"/>
          <w:sz w:val="24"/>
          <w:szCs w:val="24"/>
        </w:rPr>
        <w:t xml:space="preserve"> protects the right against arbitrary and unlawful deprivation of liberty. The</w:t>
      </w:r>
      <w:r w:rsidR="0038223F">
        <w:rPr>
          <w:rFonts w:ascii="Cambria" w:hAnsi="Cambria"/>
          <w:sz w:val="24"/>
          <w:szCs w:val="24"/>
        </w:rPr>
        <w:t xml:space="preserve"> </w:t>
      </w:r>
      <w:r>
        <w:rPr>
          <w:rFonts w:ascii="Cambria" w:hAnsi="Cambria"/>
          <w:sz w:val="24"/>
          <w:szCs w:val="24"/>
        </w:rPr>
        <w:t>General Comment on Article 9 further elaborates that ‘a</w:t>
      </w:r>
      <w:r w:rsidRPr="00EA6C36">
        <w:rPr>
          <w:rFonts w:ascii="Cambria" w:hAnsi="Cambria"/>
          <w:sz w:val="24"/>
          <w:szCs w:val="24"/>
        </w:rPr>
        <w:t>n arrest or detention may be authorized by domestic law and nonetheless be arbitrary. The notion of “arbitrariness” is not to be equated with “against the law, but must be interpreted more broadly to include elements of inappropriateness, injustice, lack of predictability and due process of law, as well as elements of</w:t>
      </w:r>
      <w:r>
        <w:rPr>
          <w:rFonts w:ascii="Cambria" w:hAnsi="Cambria"/>
          <w:sz w:val="24"/>
          <w:szCs w:val="24"/>
        </w:rPr>
        <w:t xml:space="preserve"> </w:t>
      </w:r>
      <w:r w:rsidRPr="00EA6C36">
        <w:rPr>
          <w:rFonts w:ascii="Cambria" w:hAnsi="Cambria"/>
          <w:sz w:val="24"/>
          <w:szCs w:val="24"/>
        </w:rPr>
        <w:t>reasonableness, necessity and proportionality.</w:t>
      </w:r>
      <w:r>
        <w:rPr>
          <w:rFonts w:ascii="Cambria" w:hAnsi="Cambria"/>
          <w:sz w:val="24"/>
          <w:szCs w:val="24"/>
        </w:rPr>
        <w:t>”</w:t>
      </w:r>
      <w:r>
        <w:rPr>
          <w:rStyle w:val="FootnoteReference"/>
          <w:rFonts w:ascii="Cambria" w:hAnsi="Cambria"/>
          <w:sz w:val="24"/>
          <w:szCs w:val="24"/>
        </w:rPr>
        <w:footnoteReference w:id="7"/>
      </w:r>
      <w:r>
        <w:rPr>
          <w:rFonts w:ascii="Cambria" w:hAnsi="Cambria"/>
          <w:sz w:val="24"/>
          <w:szCs w:val="24"/>
        </w:rPr>
        <w:t xml:space="preserve"> </w:t>
      </w:r>
    </w:p>
    <w:p w14:paraId="21B4D5BF" w14:textId="77777777" w:rsidR="002C49F1" w:rsidRDefault="002C49F1" w:rsidP="002C49F1">
      <w:pPr>
        <w:spacing w:after="0" w:line="240" w:lineRule="auto"/>
        <w:jc w:val="both"/>
        <w:rPr>
          <w:rFonts w:ascii="Cambria" w:hAnsi="Cambria"/>
          <w:sz w:val="24"/>
          <w:szCs w:val="24"/>
        </w:rPr>
      </w:pPr>
    </w:p>
    <w:p w14:paraId="7502D29F" w14:textId="5C5AC7EE" w:rsidR="00FA5CAF" w:rsidRDefault="00FA5CAF" w:rsidP="002C49F1">
      <w:pPr>
        <w:spacing w:after="0" w:line="240" w:lineRule="auto"/>
        <w:jc w:val="both"/>
        <w:rPr>
          <w:rFonts w:ascii="Cambria" w:hAnsi="Cambria"/>
          <w:sz w:val="24"/>
          <w:szCs w:val="24"/>
        </w:rPr>
      </w:pPr>
      <w:r>
        <w:rPr>
          <w:rFonts w:ascii="Cambria" w:hAnsi="Cambria"/>
          <w:sz w:val="24"/>
          <w:szCs w:val="24"/>
        </w:rPr>
        <w:t xml:space="preserve">By providing for the arrest and sanction of persons who are underprivileged, marginalized and </w:t>
      </w:r>
      <w:r w:rsidR="004979D1">
        <w:rPr>
          <w:rFonts w:ascii="Cambria" w:hAnsi="Cambria"/>
          <w:sz w:val="24"/>
          <w:szCs w:val="24"/>
        </w:rPr>
        <w:t>living in</w:t>
      </w:r>
      <w:r>
        <w:rPr>
          <w:rFonts w:ascii="Cambria" w:hAnsi="Cambria"/>
          <w:sz w:val="24"/>
          <w:szCs w:val="24"/>
        </w:rPr>
        <w:t xml:space="preserve"> extreme poverty and homelessness, the </w:t>
      </w:r>
      <w:r w:rsidR="006A2066">
        <w:rPr>
          <w:rFonts w:ascii="Cambria" w:hAnsi="Cambria"/>
          <w:sz w:val="24"/>
          <w:szCs w:val="24"/>
        </w:rPr>
        <w:t xml:space="preserve">aforementioned </w:t>
      </w:r>
      <w:r>
        <w:rPr>
          <w:rFonts w:ascii="Cambria" w:hAnsi="Cambria"/>
          <w:sz w:val="24"/>
          <w:szCs w:val="24"/>
        </w:rPr>
        <w:t xml:space="preserve">statutes provide for the </w:t>
      </w:r>
      <w:r w:rsidR="004979D1">
        <w:rPr>
          <w:rFonts w:ascii="Cambria" w:hAnsi="Cambria"/>
          <w:sz w:val="24"/>
          <w:szCs w:val="24"/>
        </w:rPr>
        <w:t xml:space="preserve">further </w:t>
      </w:r>
      <w:r>
        <w:rPr>
          <w:rFonts w:ascii="Cambria" w:hAnsi="Cambria"/>
          <w:sz w:val="24"/>
          <w:szCs w:val="24"/>
        </w:rPr>
        <w:t xml:space="preserve">violation of the rights </w:t>
      </w:r>
      <w:r w:rsidR="004979D1">
        <w:rPr>
          <w:rFonts w:ascii="Cambria" w:hAnsi="Cambria"/>
          <w:sz w:val="24"/>
          <w:szCs w:val="24"/>
        </w:rPr>
        <w:t xml:space="preserve">of these people and denies them </w:t>
      </w:r>
      <w:r>
        <w:rPr>
          <w:rFonts w:ascii="Cambria" w:hAnsi="Cambria"/>
          <w:sz w:val="24"/>
          <w:szCs w:val="24"/>
        </w:rPr>
        <w:t>dignity and security</w:t>
      </w:r>
      <w:r w:rsidR="004979D1">
        <w:rPr>
          <w:rFonts w:ascii="Cambria" w:hAnsi="Cambria"/>
          <w:sz w:val="24"/>
          <w:szCs w:val="24"/>
        </w:rPr>
        <w:t xml:space="preserve">. </w:t>
      </w:r>
    </w:p>
    <w:p w14:paraId="08570371" w14:textId="3178C386" w:rsidR="00EA6C36" w:rsidRDefault="00EA6C36" w:rsidP="002C49F1">
      <w:pPr>
        <w:spacing w:after="0" w:line="240" w:lineRule="auto"/>
        <w:jc w:val="both"/>
        <w:rPr>
          <w:rFonts w:ascii="Cambria" w:hAnsi="Cambria"/>
          <w:b/>
          <w:sz w:val="24"/>
          <w:szCs w:val="24"/>
        </w:rPr>
      </w:pPr>
    </w:p>
    <w:p w14:paraId="00F1BBEF" w14:textId="77777777" w:rsidR="002C49F1" w:rsidRPr="00202B87" w:rsidRDefault="002C49F1" w:rsidP="002C49F1">
      <w:pPr>
        <w:spacing w:after="0" w:line="240" w:lineRule="auto"/>
        <w:jc w:val="both"/>
        <w:rPr>
          <w:rFonts w:ascii="Cambria" w:hAnsi="Cambria"/>
          <w:b/>
          <w:sz w:val="24"/>
          <w:szCs w:val="24"/>
        </w:rPr>
      </w:pPr>
    </w:p>
    <w:p w14:paraId="0D2BCC43" w14:textId="77777777" w:rsidR="00202B87" w:rsidRDefault="00202B87" w:rsidP="002C49F1">
      <w:pPr>
        <w:pStyle w:val="ListParagraph"/>
        <w:numPr>
          <w:ilvl w:val="0"/>
          <w:numId w:val="10"/>
        </w:numPr>
        <w:spacing w:after="0" w:line="240" w:lineRule="auto"/>
        <w:jc w:val="both"/>
        <w:rPr>
          <w:rFonts w:ascii="Cambria" w:hAnsi="Cambria"/>
          <w:b/>
          <w:sz w:val="24"/>
          <w:szCs w:val="24"/>
        </w:rPr>
      </w:pPr>
      <w:r>
        <w:rPr>
          <w:rFonts w:ascii="Cambria" w:hAnsi="Cambria"/>
          <w:b/>
          <w:sz w:val="24"/>
          <w:szCs w:val="24"/>
        </w:rPr>
        <w:t>Imprisonment for inability to pay fines</w:t>
      </w:r>
    </w:p>
    <w:p w14:paraId="51F68E9C" w14:textId="77777777" w:rsidR="002C49F1" w:rsidRDefault="002C49F1" w:rsidP="002C49F1">
      <w:pPr>
        <w:spacing w:after="0" w:line="240" w:lineRule="auto"/>
        <w:jc w:val="both"/>
        <w:rPr>
          <w:rFonts w:ascii="Cambria" w:hAnsi="Cambria"/>
          <w:i/>
          <w:iCs/>
          <w:sz w:val="24"/>
          <w:szCs w:val="24"/>
        </w:rPr>
      </w:pPr>
    </w:p>
    <w:p w14:paraId="6447E162" w14:textId="54C3618A" w:rsidR="00202B87" w:rsidRDefault="002C49F1" w:rsidP="002C49F1">
      <w:pPr>
        <w:spacing w:after="0" w:line="240" w:lineRule="auto"/>
        <w:jc w:val="both"/>
        <w:rPr>
          <w:rFonts w:ascii="Cambria" w:hAnsi="Cambria"/>
          <w:b/>
          <w:bCs/>
          <w:i/>
          <w:iCs/>
          <w:sz w:val="24"/>
          <w:szCs w:val="24"/>
        </w:rPr>
      </w:pPr>
      <w:r w:rsidRPr="002C49F1">
        <w:rPr>
          <w:rFonts w:ascii="Cambria" w:hAnsi="Cambria"/>
          <w:b/>
          <w:bCs/>
          <w:i/>
          <w:iCs/>
          <w:sz w:val="24"/>
          <w:szCs w:val="24"/>
        </w:rPr>
        <w:t>Legal provisions</w:t>
      </w:r>
    </w:p>
    <w:p w14:paraId="6681E14B" w14:textId="77777777" w:rsidR="002C49F1" w:rsidRPr="002C49F1" w:rsidRDefault="002C49F1" w:rsidP="002C49F1">
      <w:pPr>
        <w:spacing w:after="0" w:line="240" w:lineRule="auto"/>
        <w:jc w:val="both"/>
        <w:rPr>
          <w:rFonts w:ascii="Cambria" w:hAnsi="Cambria"/>
          <w:b/>
          <w:bCs/>
          <w:i/>
          <w:iCs/>
          <w:sz w:val="24"/>
          <w:szCs w:val="24"/>
        </w:rPr>
      </w:pPr>
    </w:p>
    <w:p w14:paraId="349E4B89" w14:textId="77777777" w:rsidR="00202B87" w:rsidRPr="00202B87" w:rsidRDefault="00EA6C36" w:rsidP="002C49F1">
      <w:pPr>
        <w:pStyle w:val="ListParagraph"/>
        <w:numPr>
          <w:ilvl w:val="0"/>
          <w:numId w:val="20"/>
        </w:numPr>
        <w:spacing w:after="0" w:line="240" w:lineRule="auto"/>
        <w:jc w:val="both"/>
        <w:rPr>
          <w:rFonts w:ascii="Cambria" w:hAnsi="Cambria"/>
          <w:sz w:val="24"/>
          <w:szCs w:val="24"/>
        </w:rPr>
      </w:pPr>
      <w:r w:rsidRPr="00202B87">
        <w:rPr>
          <w:rFonts w:ascii="Cambria" w:hAnsi="Cambria"/>
          <w:sz w:val="24"/>
          <w:szCs w:val="24"/>
        </w:rPr>
        <w:t>Section 291</w:t>
      </w:r>
      <w:r w:rsidR="00202B87" w:rsidRPr="00202B87">
        <w:rPr>
          <w:rFonts w:ascii="Cambria" w:hAnsi="Cambria"/>
          <w:sz w:val="24"/>
          <w:szCs w:val="24"/>
        </w:rPr>
        <w:t xml:space="preserve"> of the Code of Criminal Procedure Act (No. 15 of 1979) states:</w:t>
      </w:r>
    </w:p>
    <w:p w14:paraId="489B3043" w14:textId="77777777" w:rsidR="002C49F1" w:rsidRDefault="002C49F1" w:rsidP="002C49F1">
      <w:pPr>
        <w:spacing w:after="0" w:line="240" w:lineRule="auto"/>
        <w:jc w:val="both"/>
        <w:rPr>
          <w:rFonts w:ascii="Cambria" w:hAnsi="Cambria"/>
          <w:sz w:val="24"/>
          <w:szCs w:val="24"/>
        </w:rPr>
      </w:pPr>
    </w:p>
    <w:p w14:paraId="37C4A5EE" w14:textId="1FACF0B6" w:rsidR="00F3744A" w:rsidRPr="00F3744A" w:rsidRDefault="004D1396" w:rsidP="002C49F1">
      <w:pPr>
        <w:spacing w:after="0" w:line="240" w:lineRule="auto"/>
        <w:jc w:val="both"/>
        <w:rPr>
          <w:rFonts w:ascii="Cambria" w:hAnsi="Cambria"/>
          <w:sz w:val="24"/>
          <w:szCs w:val="24"/>
        </w:rPr>
      </w:pPr>
      <w:r>
        <w:rPr>
          <w:rFonts w:ascii="Cambria" w:hAnsi="Cambria"/>
          <w:sz w:val="24"/>
          <w:szCs w:val="24"/>
        </w:rPr>
        <w:t>‘</w:t>
      </w:r>
      <w:r w:rsidR="00F3744A" w:rsidRPr="00F3744A">
        <w:rPr>
          <w:rFonts w:ascii="Cambria" w:hAnsi="Cambria"/>
          <w:sz w:val="24"/>
          <w:szCs w:val="24"/>
        </w:rPr>
        <w:t>(1) Where any fine is imposed under the authority of any law for the time being in force, then in the absence of any express provision relating to such fine in such law contained the provisions follow</w:t>
      </w:r>
      <w:r w:rsidR="00F3744A">
        <w:rPr>
          <w:rFonts w:ascii="Cambria" w:hAnsi="Cambria"/>
          <w:sz w:val="24"/>
          <w:szCs w:val="24"/>
        </w:rPr>
        <w:t>ing shall apply, that is to say</w:t>
      </w:r>
      <w:r w:rsidR="00F3744A" w:rsidRPr="00F3744A">
        <w:rPr>
          <w:rFonts w:ascii="Cambria" w:hAnsi="Cambria"/>
          <w:sz w:val="24"/>
          <w:szCs w:val="24"/>
        </w:rPr>
        <w:t>:-</w:t>
      </w:r>
    </w:p>
    <w:p w14:paraId="3C403D7D" w14:textId="77777777" w:rsidR="002C49F1" w:rsidRDefault="002C49F1" w:rsidP="002C49F1">
      <w:pPr>
        <w:pStyle w:val="ListParagraph"/>
        <w:spacing w:after="0" w:line="240" w:lineRule="auto"/>
        <w:ind w:left="1080"/>
        <w:jc w:val="both"/>
        <w:rPr>
          <w:rFonts w:ascii="Cambria" w:hAnsi="Cambria"/>
          <w:sz w:val="24"/>
          <w:szCs w:val="24"/>
        </w:rPr>
      </w:pPr>
    </w:p>
    <w:p w14:paraId="0E1E692A" w14:textId="04975262" w:rsidR="00EA6C36" w:rsidRDefault="00F3744A" w:rsidP="002C49F1">
      <w:pPr>
        <w:pStyle w:val="ListParagraph"/>
        <w:numPr>
          <w:ilvl w:val="0"/>
          <w:numId w:val="19"/>
        </w:numPr>
        <w:spacing w:after="0" w:line="240" w:lineRule="auto"/>
        <w:jc w:val="both"/>
        <w:rPr>
          <w:rFonts w:ascii="Cambria" w:hAnsi="Cambria"/>
          <w:sz w:val="24"/>
          <w:szCs w:val="24"/>
        </w:rPr>
      </w:pPr>
      <w:r w:rsidRPr="00EA6C36">
        <w:rPr>
          <w:rFonts w:ascii="Cambria" w:hAnsi="Cambria"/>
          <w:sz w:val="24"/>
          <w:szCs w:val="24"/>
        </w:rPr>
        <w:lastRenderedPageBreak/>
        <w:t>where a sum is not expressed to which the fine may extend the amount to which the offender is liable is unlimited but shall not be excessive;</w:t>
      </w:r>
    </w:p>
    <w:p w14:paraId="3FB53198" w14:textId="77777777" w:rsidR="00EA6C36" w:rsidRDefault="00EA6C36" w:rsidP="002C49F1">
      <w:pPr>
        <w:pStyle w:val="ListParagraph"/>
        <w:spacing w:after="0" w:line="240" w:lineRule="auto"/>
        <w:ind w:left="1080"/>
        <w:jc w:val="both"/>
        <w:rPr>
          <w:rFonts w:ascii="Cambria" w:hAnsi="Cambria"/>
          <w:sz w:val="24"/>
          <w:szCs w:val="24"/>
        </w:rPr>
      </w:pPr>
    </w:p>
    <w:p w14:paraId="253C7D0C" w14:textId="77777777" w:rsidR="00EA6C36" w:rsidRDefault="00F3744A" w:rsidP="002C49F1">
      <w:pPr>
        <w:pStyle w:val="ListParagraph"/>
        <w:numPr>
          <w:ilvl w:val="0"/>
          <w:numId w:val="19"/>
        </w:numPr>
        <w:spacing w:after="0" w:line="240" w:lineRule="auto"/>
        <w:jc w:val="both"/>
        <w:rPr>
          <w:rFonts w:ascii="Cambria" w:hAnsi="Cambria"/>
          <w:sz w:val="24"/>
          <w:szCs w:val="24"/>
        </w:rPr>
      </w:pPr>
      <w:r w:rsidRPr="00EA6C36">
        <w:rPr>
          <w:rFonts w:ascii="Cambria" w:hAnsi="Cambria"/>
          <w:sz w:val="24"/>
          <w:szCs w:val="24"/>
        </w:rPr>
        <w:t>in every case of an offence punishable with imprisonment as well as fine in which the offender is sentenced to a fine, whether with or without imprisonment, and in every case of an offence punishable with fine only in which the offender is sentenced to a fine, the court passing the sentence may in its discretion direct by the sentence that in default of payment of the fine the offender shall suffer imprisonment for a certain term, which imprisonment shall be in excess of any other imprisonment to which he may have been sentenced or to which he may be liable under a commutation of a sentence :</w:t>
      </w:r>
    </w:p>
    <w:p w14:paraId="1C95ED42" w14:textId="77777777" w:rsidR="00EA6C36" w:rsidRPr="00EA6C36" w:rsidRDefault="00EA6C36" w:rsidP="002C49F1">
      <w:pPr>
        <w:pStyle w:val="ListParagraph"/>
        <w:spacing w:after="0" w:line="240" w:lineRule="auto"/>
        <w:jc w:val="both"/>
        <w:rPr>
          <w:rFonts w:ascii="Cambria" w:hAnsi="Cambria"/>
          <w:sz w:val="24"/>
          <w:szCs w:val="24"/>
        </w:rPr>
      </w:pPr>
    </w:p>
    <w:p w14:paraId="3EBBC3C9" w14:textId="77777777" w:rsidR="00EA6C36" w:rsidRDefault="00F3744A" w:rsidP="002C49F1">
      <w:pPr>
        <w:pStyle w:val="ListParagraph"/>
        <w:numPr>
          <w:ilvl w:val="0"/>
          <w:numId w:val="19"/>
        </w:numPr>
        <w:spacing w:after="0" w:line="240" w:lineRule="auto"/>
        <w:jc w:val="both"/>
        <w:rPr>
          <w:rFonts w:ascii="Cambria" w:hAnsi="Cambria"/>
          <w:sz w:val="24"/>
          <w:szCs w:val="24"/>
        </w:rPr>
      </w:pPr>
      <w:r w:rsidRPr="00EA6C36">
        <w:rPr>
          <w:rFonts w:ascii="Cambria" w:hAnsi="Cambria"/>
          <w:sz w:val="24"/>
          <w:szCs w:val="24"/>
        </w:rPr>
        <w:t>notwithstanding the provisions of paragraph (b), where the fine to which the offender is sentenced does not exceed ten rupees, the court shall not impose a term of imprisonment in default of payment of the fine, but may make order as provided in section 15 (2);</w:t>
      </w:r>
    </w:p>
    <w:p w14:paraId="4452C272" w14:textId="77777777" w:rsidR="00EA6C36" w:rsidRPr="00EA6C36" w:rsidRDefault="00EA6C36" w:rsidP="002C49F1">
      <w:pPr>
        <w:pStyle w:val="ListParagraph"/>
        <w:spacing w:after="0" w:line="240" w:lineRule="auto"/>
        <w:jc w:val="both"/>
        <w:rPr>
          <w:rFonts w:ascii="Cambria" w:hAnsi="Cambria"/>
          <w:sz w:val="24"/>
          <w:szCs w:val="24"/>
        </w:rPr>
      </w:pPr>
    </w:p>
    <w:p w14:paraId="35FA73BE" w14:textId="77777777" w:rsidR="00EA6C36" w:rsidRDefault="00F3744A" w:rsidP="002C49F1">
      <w:pPr>
        <w:pStyle w:val="ListParagraph"/>
        <w:numPr>
          <w:ilvl w:val="0"/>
          <w:numId w:val="19"/>
        </w:numPr>
        <w:spacing w:after="0" w:line="240" w:lineRule="auto"/>
        <w:jc w:val="both"/>
        <w:rPr>
          <w:rFonts w:ascii="Cambria" w:hAnsi="Cambria"/>
          <w:sz w:val="24"/>
          <w:szCs w:val="24"/>
        </w:rPr>
      </w:pPr>
      <w:r w:rsidRPr="00EA6C36">
        <w:rPr>
          <w:rFonts w:ascii="Cambria" w:hAnsi="Cambria"/>
          <w:sz w:val="24"/>
          <w:szCs w:val="24"/>
        </w:rPr>
        <w:t>the term for which the court directs the offender to be imprisoned in default of payment of a fine shall not exceed one-fourth of the term of imprisonment which is the maximum fixed for the offence if the offence be punishable with imprisonment as well as fine;</w:t>
      </w:r>
    </w:p>
    <w:p w14:paraId="6437222D" w14:textId="77777777" w:rsidR="00EA6C36" w:rsidRPr="00EA6C36" w:rsidRDefault="00EA6C36" w:rsidP="002C49F1">
      <w:pPr>
        <w:pStyle w:val="ListParagraph"/>
        <w:spacing w:after="0" w:line="240" w:lineRule="auto"/>
        <w:jc w:val="both"/>
        <w:rPr>
          <w:rFonts w:ascii="Cambria" w:hAnsi="Cambria"/>
          <w:sz w:val="24"/>
          <w:szCs w:val="24"/>
        </w:rPr>
      </w:pPr>
    </w:p>
    <w:p w14:paraId="3227169A" w14:textId="77777777" w:rsidR="00EA6C36" w:rsidRDefault="00F3744A" w:rsidP="002C49F1">
      <w:pPr>
        <w:pStyle w:val="ListParagraph"/>
        <w:numPr>
          <w:ilvl w:val="0"/>
          <w:numId w:val="19"/>
        </w:numPr>
        <w:spacing w:after="0" w:line="240" w:lineRule="auto"/>
        <w:jc w:val="both"/>
        <w:rPr>
          <w:rFonts w:ascii="Cambria" w:hAnsi="Cambria"/>
          <w:sz w:val="24"/>
          <w:szCs w:val="24"/>
        </w:rPr>
      </w:pPr>
      <w:r w:rsidRPr="00EA6C36">
        <w:rPr>
          <w:rFonts w:ascii="Cambria" w:hAnsi="Cambria"/>
          <w:sz w:val="24"/>
          <w:szCs w:val="24"/>
        </w:rPr>
        <w:t>the imprisonment which the court imposes in default of payment of a fine may be of any description to which the offender might have been sentenced for the offence; if the offence be punishable with fine only, the imprisonment shall be simple;</w:t>
      </w:r>
    </w:p>
    <w:p w14:paraId="209AEE42" w14:textId="77777777" w:rsidR="00EA6C36" w:rsidRPr="00EA6C36" w:rsidRDefault="00EA6C36" w:rsidP="002C49F1">
      <w:pPr>
        <w:pStyle w:val="ListParagraph"/>
        <w:spacing w:after="0" w:line="240" w:lineRule="auto"/>
        <w:jc w:val="both"/>
        <w:rPr>
          <w:rFonts w:ascii="Cambria" w:hAnsi="Cambria"/>
          <w:sz w:val="24"/>
          <w:szCs w:val="24"/>
        </w:rPr>
      </w:pPr>
    </w:p>
    <w:p w14:paraId="72B32B6C" w14:textId="77777777" w:rsidR="00F3744A" w:rsidRDefault="00F3744A" w:rsidP="002C49F1">
      <w:pPr>
        <w:pStyle w:val="ListParagraph"/>
        <w:numPr>
          <w:ilvl w:val="0"/>
          <w:numId w:val="19"/>
        </w:numPr>
        <w:spacing w:after="0" w:line="240" w:lineRule="auto"/>
        <w:jc w:val="both"/>
        <w:rPr>
          <w:rFonts w:ascii="Cambria" w:hAnsi="Cambria"/>
          <w:sz w:val="24"/>
          <w:szCs w:val="24"/>
        </w:rPr>
      </w:pPr>
      <w:r w:rsidRPr="00EA6C36">
        <w:rPr>
          <w:rFonts w:ascii="Cambria" w:hAnsi="Cambria"/>
          <w:sz w:val="24"/>
          <w:szCs w:val="24"/>
        </w:rPr>
        <w:t>if the offence is not punishable with imprisonment the term for which the court directs the offender to be imprisoned in default of payment of fine shall not exceed the following scale, that is to say:-</w:t>
      </w:r>
    </w:p>
    <w:p w14:paraId="5E95B915" w14:textId="77777777" w:rsidR="00EA6C36" w:rsidRPr="00EA6C36" w:rsidRDefault="00EA6C36" w:rsidP="002C49F1">
      <w:pPr>
        <w:pStyle w:val="ListParagraph"/>
        <w:spacing w:after="0" w:line="240" w:lineRule="auto"/>
        <w:jc w:val="both"/>
        <w:rPr>
          <w:rFonts w:ascii="Cambria" w:hAnsi="Cambria"/>
          <w:sz w:val="24"/>
          <w:szCs w:val="24"/>
        </w:rPr>
      </w:pPr>
    </w:p>
    <w:p w14:paraId="30EA355E" w14:textId="77777777" w:rsidR="00F3744A" w:rsidRPr="00F3744A" w:rsidRDefault="00F3744A" w:rsidP="002C49F1">
      <w:pPr>
        <w:pStyle w:val="ListParagraph"/>
        <w:numPr>
          <w:ilvl w:val="0"/>
          <w:numId w:val="3"/>
        </w:numPr>
        <w:spacing w:after="0" w:line="240" w:lineRule="auto"/>
        <w:jc w:val="both"/>
        <w:rPr>
          <w:rFonts w:ascii="Cambria" w:hAnsi="Cambria"/>
          <w:sz w:val="24"/>
          <w:szCs w:val="24"/>
        </w:rPr>
      </w:pPr>
      <w:r w:rsidRPr="00F3744A">
        <w:rPr>
          <w:rFonts w:ascii="Cambria" w:hAnsi="Cambria"/>
          <w:sz w:val="24"/>
          <w:szCs w:val="24"/>
        </w:rPr>
        <w:t>for a term of seven days where the amount of the fine exceeds ten rupees but doe</w:t>
      </w:r>
      <w:r w:rsidR="00202B87">
        <w:rPr>
          <w:rFonts w:ascii="Cambria" w:hAnsi="Cambria"/>
          <w:sz w:val="24"/>
          <w:szCs w:val="24"/>
        </w:rPr>
        <w:t>s not exceed twenty-five rupees</w:t>
      </w:r>
      <w:r w:rsidRPr="00F3744A">
        <w:rPr>
          <w:rFonts w:ascii="Cambria" w:hAnsi="Cambria"/>
          <w:sz w:val="24"/>
          <w:szCs w:val="24"/>
        </w:rPr>
        <w:t>;</w:t>
      </w:r>
    </w:p>
    <w:p w14:paraId="240E2FB7" w14:textId="77777777" w:rsidR="00F3744A" w:rsidRPr="00F3744A" w:rsidRDefault="00F3744A" w:rsidP="002C49F1">
      <w:pPr>
        <w:pStyle w:val="ListParagraph"/>
        <w:numPr>
          <w:ilvl w:val="0"/>
          <w:numId w:val="3"/>
        </w:numPr>
        <w:spacing w:after="0" w:line="240" w:lineRule="auto"/>
        <w:jc w:val="both"/>
        <w:rPr>
          <w:rFonts w:ascii="Cambria" w:hAnsi="Cambria"/>
          <w:sz w:val="24"/>
          <w:szCs w:val="24"/>
        </w:rPr>
      </w:pPr>
      <w:r w:rsidRPr="00F3744A">
        <w:rPr>
          <w:rFonts w:ascii="Cambria" w:hAnsi="Cambria"/>
          <w:sz w:val="24"/>
          <w:szCs w:val="24"/>
        </w:rPr>
        <w:t>for any term not exceeding fourteen days where the amount of the fine exceeds twenty-five rupees but does not exceed fifty rupees;</w:t>
      </w:r>
    </w:p>
    <w:p w14:paraId="4F494DC8" w14:textId="77777777" w:rsidR="00F3744A" w:rsidRPr="00F3744A" w:rsidRDefault="00F3744A" w:rsidP="002C49F1">
      <w:pPr>
        <w:pStyle w:val="ListParagraph"/>
        <w:numPr>
          <w:ilvl w:val="0"/>
          <w:numId w:val="3"/>
        </w:numPr>
        <w:spacing w:after="0" w:line="240" w:lineRule="auto"/>
        <w:jc w:val="both"/>
        <w:rPr>
          <w:rFonts w:ascii="Cambria" w:hAnsi="Cambria"/>
          <w:sz w:val="24"/>
          <w:szCs w:val="24"/>
        </w:rPr>
      </w:pPr>
      <w:r w:rsidRPr="00F3744A">
        <w:rPr>
          <w:rFonts w:ascii="Cambria" w:hAnsi="Cambria"/>
          <w:sz w:val="24"/>
          <w:szCs w:val="24"/>
        </w:rPr>
        <w:t>for any term not exceeding three months where the amount of the fine exceeds fifty rupees but does not exceed one hundred rupees;</w:t>
      </w:r>
    </w:p>
    <w:p w14:paraId="4A39C460" w14:textId="77777777" w:rsidR="00F3744A" w:rsidRDefault="00F3744A" w:rsidP="002C49F1">
      <w:pPr>
        <w:pStyle w:val="ListParagraph"/>
        <w:numPr>
          <w:ilvl w:val="0"/>
          <w:numId w:val="3"/>
        </w:numPr>
        <w:spacing w:after="0" w:line="240" w:lineRule="auto"/>
        <w:jc w:val="both"/>
        <w:rPr>
          <w:rFonts w:ascii="Cambria" w:hAnsi="Cambria"/>
          <w:sz w:val="24"/>
          <w:szCs w:val="24"/>
        </w:rPr>
      </w:pPr>
      <w:r w:rsidRPr="00F3744A">
        <w:rPr>
          <w:rFonts w:ascii="Cambria" w:hAnsi="Cambria"/>
          <w:sz w:val="24"/>
          <w:szCs w:val="24"/>
        </w:rPr>
        <w:t>for any term not exceeding six months where the amount of the fine exceeds one hundred rupees;</w:t>
      </w:r>
    </w:p>
    <w:p w14:paraId="252F8519" w14:textId="77777777" w:rsidR="00EA6C36" w:rsidRDefault="00EA6C36" w:rsidP="002C49F1">
      <w:pPr>
        <w:pStyle w:val="ListParagraph"/>
        <w:spacing w:after="0" w:line="240" w:lineRule="auto"/>
        <w:ind w:left="1440"/>
        <w:jc w:val="both"/>
        <w:rPr>
          <w:rFonts w:ascii="Cambria" w:hAnsi="Cambria"/>
          <w:sz w:val="24"/>
          <w:szCs w:val="24"/>
        </w:rPr>
      </w:pPr>
    </w:p>
    <w:p w14:paraId="2B11CAFA" w14:textId="77777777" w:rsidR="00F3744A" w:rsidRDefault="00F3744A" w:rsidP="002C49F1">
      <w:pPr>
        <w:pStyle w:val="ListParagraph"/>
        <w:numPr>
          <w:ilvl w:val="0"/>
          <w:numId w:val="4"/>
        </w:numPr>
        <w:spacing w:after="0" w:line="240" w:lineRule="auto"/>
        <w:jc w:val="both"/>
        <w:rPr>
          <w:rFonts w:ascii="Cambria" w:hAnsi="Cambria"/>
          <w:sz w:val="24"/>
          <w:szCs w:val="24"/>
        </w:rPr>
      </w:pPr>
      <w:r w:rsidRPr="00EA6C36">
        <w:rPr>
          <w:rFonts w:ascii="Cambria" w:hAnsi="Cambria"/>
          <w:sz w:val="24"/>
          <w:szCs w:val="24"/>
        </w:rPr>
        <w:t>the imprisonment which is imposed in default of payment of a fine shall terminate whenever that fine is either paid or by process of law levied;</w:t>
      </w:r>
    </w:p>
    <w:p w14:paraId="64A4A9D1" w14:textId="77777777" w:rsidR="00EA6C36" w:rsidRPr="00EA6C36" w:rsidRDefault="00EA6C36" w:rsidP="002C49F1">
      <w:pPr>
        <w:pStyle w:val="ListParagraph"/>
        <w:spacing w:after="0" w:line="240" w:lineRule="auto"/>
        <w:jc w:val="both"/>
        <w:rPr>
          <w:rFonts w:ascii="Cambria" w:hAnsi="Cambria"/>
          <w:sz w:val="24"/>
          <w:szCs w:val="24"/>
        </w:rPr>
      </w:pPr>
    </w:p>
    <w:p w14:paraId="1C139E54" w14:textId="0783AD9E" w:rsidR="00F3744A" w:rsidRDefault="00F3744A" w:rsidP="002C49F1">
      <w:pPr>
        <w:pStyle w:val="ListParagraph"/>
        <w:numPr>
          <w:ilvl w:val="0"/>
          <w:numId w:val="4"/>
        </w:numPr>
        <w:spacing w:after="0" w:line="240" w:lineRule="auto"/>
        <w:jc w:val="both"/>
        <w:rPr>
          <w:rFonts w:ascii="Cambria" w:hAnsi="Cambria"/>
          <w:sz w:val="24"/>
          <w:szCs w:val="24"/>
        </w:rPr>
      </w:pPr>
      <w:r w:rsidRPr="00F3744A">
        <w:rPr>
          <w:rFonts w:ascii="Cambria" w:hAnsi="Cambria"/>
          <w:sz w:val="24"/>
          <w:szCs w:val="24"/>
        </w:rPr>
        <w:t xml:space="preserve">if before the expiration of the term of imprisonment fixed in default of payment such a proportion of the fine be paid or levied that the term of imprisonment suffered in </w:t>
      </w:r>
      <w:r w:rsidRPr="00F3744A">
        <w:rPr>
          <w:rFonts w:ascii="Cambria" w:hAnsi="Cambria"/>
          <w:sz w:val="24"/>
          <w:szCs w:val="24"/>
        </w:rPr>
        <w:lastRenderedPageBreak/>
        <w:t>default of payment is not less than proportional to the part of the fine still unpaid, the imprisonment shall terminate;</w:t>
      </w:r>
    </w:p>
    <w:p w14:paraId="106A5966" w14:textId="77777777" w:rsidR="002C49F1" w:rsidRPr="002C49F1" w:rsidRDefault="002C49F1" w:rsidP="002C49F1">
      <w:pPr>
        <w:pStyle w:val="ListParagraph"/>
        <w:rPr>
          <w:rFonts w:ascii="Cambria" w:hAnsi="Cambria"/>
          <w:sz w:val="24"/>
          <w:szCs w:val="24"/>
        </w:rPr>
      </w:pPr>
    </w:p>
    <w:p w14:paraId="61A84BA1" w14:textId="77777777" w:rsidR="002C49F1" w:rsidRDefault="002C49F1" w:rsidP="002C49F1">
      <w:pPr>
        <w:pStyle w:val="ListParagraph"/>
        <w:spacing w:after="0" w:line="240" w:lineRule="auto"/>
        <w:jc w:val="both"/>
        <w:rPr>
          <w:rFonts w:ascii="Cambria" w:hAnsi="Cambria"/>
          <w:sz w:val="24"/>
          <w:szCs w:val="24"/>
        </w:rPr>
      </w:pPr>
    </w:p>
    <w:p w14:paraId="2116C8FA" w14:textId="3BC93090" w:rsidR="00202B87" w:rsidRPr="006A2066" w:rsidRDefault="00F3744A" w:rsidP="002C49F1">
      <w:pPr>
        <w:pStyle w:val="ListParagraph"/>
        <w:numPr>
          <w:ilvl w:val="0"/>
          <w:numId w:val="5"/>
        </w:numPr>
        <w:spacing w:after="0" w:line="240" w:lineRule="auto"/>
        <w:jc w:val="both"/>
        <w:rPr>
          <w:rFonts w:ascii="Cambria" w:hAnsi="Cambria"/>
          <w:sz w:val="24"/>
          <w:szCs w:val="24"/>
        </w:rPr>
      </w:pPr>
      <w:r w:rsidRPr="00F3744A">
        <w:rPr>
          <w:rFonts w:ascii="Cambria" w:hAnsi="Cambria"/>
          <w:sz w:val="24"/>
          <w:szCs w:val="24"/>
        </w:rPr>
        <w:t xml:space="preserve">the fine or any part thereof which remains unpaid may be levied at any time within six years after the passing of the sentence, and if under the sentence the offender be liable to imprisonment for a longer period than six years </w:t>
      </w:r>
      <w:proofErr w:type="spellStart"/>
      <w:r w:rsidRPr="00F3744A">
        <w:rPr>
          <w:rFonts w:ascii="Cambria" w:hAnsi="Cambria"/>
          <w:sz w:val="24"/>
          <w:szCs w:val="24"/>
        </w:rPr>
        <w:t>then</w:t>
      </w:r>
      <w:proofErr w:type="spellEnd"/>
      <w:r w:rsidRPr="00F3744A">
        <w:rPr>
          <w:rFonts w:ascii="Cambria" w:hAnsi="Cambria"/>
          <w:sz w:val="24"/>
          <w:szCs w:val="24"/>
        </w:rPr>
        <w:t xml:space="preserve"> at any time previous to the expiration of that period, and the death of the offender does not discharge from the liability any property which would after his death he legally liable for his debts.</w:t>
      </w:r>
      <w:r w:rsidR="004D1396">
        <w:rPr>
          <w:rFonts w:ascii="Cambria" w:hAnsi="Cambria"/>
          <w:sz w:val="24"/>
          <w:szCs w:val="24"/>
        </w:rPr>
        <w:t>’</w:t>
      </w:r>
    </w:p>
    <w:p w14:paraId="168CE863" w14:textId="0C5858EC" w:rsidR="002C49F1" w:rsidRDefault="002C49F1" w:rsidP="002C49F1">
      <w:pPr>
        <w:spacing w:after="0" w:line="240" w:lineRule="auto"/>
        <w:jc w:val="both"/>
        <w:rPr>
          <w:rFonts w:ascii="Cambria" w:hAnsi="Cambria"/>
          <w:sz w:val="24"/>
          <w:szCs w:val="24"/>
        </w:rPr>
      </w:pPr>
    </w:p>
    <w:p w14:paraId="34580C49" w14:textId="1498A38A" w:rsidR="002C49F1" w:rsidRDefault="002C49F1" w:rsidP="002C49F1">
      <w:pPr>
        <w:spacing w:after="0" w:line="240" w:lineRule="auto"/>
        <w:jc w:val="both"/>
        <w:rPr>
          <w:rFonts w:ascii="Cambria" w:hAnsi="Cambria"/>
          <w:b/>
          <w:bCs/>
          <w:i/>
          <w:iCs/>
          <w:sz w:val="24"/>
          <w:szCs w:val="24"/>
        </w:rPr>
      </w:pPr>
      <w:r>
        <w:rPr>
          <w:rFonts w:ascii="Cambria" w:hAnsi="Cambria"/>
          <w:b/>
          <w:bCs/>
          <w:i/>
          <w:iCs/>
          <w:sz w:val="24"/>
          <w:szCs w:val="24"/>
        </w:rPr>
        <w:t>Analysis</w:t>
      </w:r>
    </w:p>
    <w:p w14:paraId="3EC6953D" w14:textId="77777777" w:rsidR="002C49F1" w:rsidRPr="002C49F1" w:rsidRDefault="002C49F1" w:rsidP="002C49F1">
      <w:pPr>
        <w:spacing w:after="0" w:line="240" w:lineRule="auto"/>
        <w:jc w:val="both"/>
        <w:rPr>
          <w:rFonts w:ascii="Cambria" w:hAnsi="Cambria"/>
          <w:b/>
          <w:bCs/>
          <w:i/>
          <w:iCs/>
          <w:sz w:val="24"/>
          <w:szCs w:val="24"/>
        </w:rPr>
      </w:pPr>
    </w:p>
    <w:p w14:paraId="0228E422" w14:textId="29D0A4B9" w:rsidR="00202B87" w:rsidRDefault="00202B87" w:rsidP="002C49F1">
      <w:pPr>
        <w:spacing w:after="0" w:line="240" w:lineRule="auto"/>
        <w:jc w:val="both"/>
        <w:rPr>
          <w:rFonts w:ascii="Cambria" w:hAnsi="Cambria"/>
          <w:sz w:val="24"/>
          <w:szCs w:val="24"/>
        </w:rPr>
      </w:pPr>
      <w:r>
        <w:rPr>
          <w:rFonts w:ascii="Cambria" w:hAnsi="Cambria"/>
          <w:sz w:val="24"/>
          <w:szCs w:val="24"/>
        </w:rPr>
        <w:t xml:space="preserve">As highlighted </w:t>
      </w:r>
      <w:r w:rsidR="002C49F1">
        <w:rPr>
          <w:rFonts w:ascii="Cambria" w:hAnsi="Cambria"/>
          <w:sz w:val="24"/>
          <w:szCs w:val="24"/>
        </w:rPr>
        <w:t>in the section above,</w:t>
      </w:r>
      <w:r>
        <w:rPr>
          <w:rFonts w:ascii="Cambria" w:hAnsi="Cambria"/>
          <w:sz w:val="24"/>
          <w:szCs w:val="24"/>
        </w:rPr>
        <w:t xml:space="preserve"> under the Code of Criminal Procedure, whe</w:t>
      </w:r>
      <w:r w:rsidR="006975EA">
        <w:rPr>
          <w:rFonts w:ascii="Cambria" w:hAnsi="Cambria"/>
          <w:sz w:val="24"/>
          <w:szCs w:val="24"/>
        </w:rPr>
        <w:t>n</w:t>
      </w:r>
      <w:r>
        <w:rPr>
          <w:rFonts w:ascii="Cambria" w:hAnsi="Cambria"/>
          <w:sz w:val="24"/>
          <w:szCs w:val="24"/>
        </w:rPr>
        <w:t xml:space="preserve"> </w:t>
      </w:r>
      <w:r w:rsidRPr="00F3744A">
        <w:rPr>
          <w:rFonts w:ascii="Cambria" w:hAnsi="Cambria"/>
          <w:sz w:val="24"/>
          <w:szCs w:val="24"/>
        </w:rPr>
        <w:t xml:space="preserve">a person is unable to pay the fine imposed </w:t>
      </w:r>
      <w:r w:rsidR="006A2066">
        <w:rPr>
          <w:rFonts w:ascii="Cambria" w:hAnsi="Cambria"/>
          <w:sz w:val="24"/>
          <w:szCs w:val="24"/>
        </w:rPr>
        <w:t>for</w:t>
      </w:r>
      <w:r w:rsidRPr="00F3744A">
        <w:rPr>
          <w:rFonts w:ascii="Cambria" w:hAnsi="Cambria"/>
          <w:sz w:val="24"/>
          <w:szCs w:val="24"/>
        </w:rPr>
        <w:t xml:space="preserve"> certain offences, they are liable to be imprisoned for up </w:t>
      </w:r>
      <w:r>
        <w:rPr>
          <w:rFonts w:ascii="Cambria" w:hAnsi="Cambria"/>
          <w:sz w:val="24"/>
          <w:szCs w:val="24"/>
        </w:rPr>
        <w:t xml:space="preserve">to 6 months in lieu of the fine. These provisions effectively result in persons being deprived of liberty for </w:t>
      </w:r>
      <w:r w:rsidR="006A2066">
        <w:rPr>
          <w:rFonts w:ascii="Cambria" w:hAnsi="Cambria"/>
          <w:sz w:val="24"/>
          <w:szCs w:val="24"/>
        </w:rPr>
        <w:t xml:space="preserve">non-violent, </w:t>
      </w:r>
      <w:r>
        <w:rPr>
          <w:rFonts w:ascii="Cambria" w:hAnsi="Cambria"/>
          <w:sz w:val="24"/>
          <w:szCs w:val="24"/>
        </w:rPr>
        <w:t xml:space="preserve">minor offences simply because they </w:t>
      </w:r>
      <w:r w:rsidR="006A2066">
        <w:rPr>
          <w:rFonts w:ascii="Cambria" w:hAnsi="Cambria"/>
          <w:sz w:val="24"/>
          <w:szCs w:val="24"/>
        </w:rPr>
        <w:t xml:space="preserve">do not have the financial means to pay </w:t>
      </w:r>
      <w:r>
        <w:rPr>
          <w:rFonts w:ascii="Cambria" w:hAnsi="Cambria"/>
          <w:sz w:val="24"/>
          <w:szCs w:val="24"/>
        </w:rPr>
        <w:t xml:space="preserve">the fine. As highlighted in the prison statistics </w:t>
      </w:r>
      <w:r w:rsidR="006A2066">
        <w:rPr>
          <w:rFonts w:ascii="Cambria" w:hAnsi="Cambria"/>
          <w:sz w:val="24"/>
          <w:szCs w:val="24"/>
        </w:rPr>
        <w:t>of</w:t>
      </w:r>
      <w:r>
        <w:rPr>
          <w:rFonts w:ascii="Cambria" w:hAnsi="Cambria"/>
          <w:sz w:val="24"/>
          <w:szCs w:val="24"/>
        </w:rPr>
        <w:t xml:space="preserve"> the year 2020 issued by the Department of Prisons in Sri Lanka, 73.8% of all convicted persons were </w:t>
      </w:r>
      <w:r w:rsidR="006A2066">
        <w:rPr>
          <w:rFonts w:ascii="Cambria" w:hAnsi="Cambria"/>
          <w:sz w:val="24"/>
          <w:szCs w:val="24"/>
        </w:rPr>
        <w:t>imprisoned</w:t>
      </w:r>
      <w:r>
        <w:rPr>
          <w:rFonts w:ascii="Cambria" w:hAnsi="Cambria"/>
          <w:sz w:val="24"/>
          <w:szCs w:val="24"/>
        </w:rPr>
        <w:t xml:space="preserve"> due to the inability to pay fines.</w:t>
      </w:r>
      <w:r>
        <w:rPr>
          <w:rStyle w:val="FootnoteReference"/>
          <w:rFonts w:ascii="Cambria" w:hAnsi="Cambria"/>
          <w:sz w:val="24"/>
          <w:szCs w:val="24"/>
        </w:rPr>
        <w:footnoteReference w:id="8"/>
      </w:r>
      <w:r>
        <w:rPr>
          <w:rFonts w:ascii="Cambria" w:hAnsi="Cambria"/>
          <w:sz w:val="24"/>
          <w:szCs w:val="24"/>
        </w:rPr>
        <w:t xml:space="preserve"> </w:t>
      </w:r>
    </w:p>
    <w:p w14:paraId="611C0E2A" w14:textId="77777777" w:rsidR="002C49F1" w:rsidRDefault="002C49F1" w:rsidP="002C49F1">
      <w:pPr>
        <w:spacing w:after="0" w:line="240" w:lineRule="auto"/>
        <w:jc w:val="both"/>
        <w:rPr>
          <w:rFonts w:ascii="Cambria" w:hAnsi="Cambria"/>
          <w:sz w:val="24"/>
          <w:szCs w:val="24"/>
        </w:rPr>
      </w:pPr>
    </w:p>
    <w:p w14:paraId="75C4A080" w14:textId="444C0481" w:rsidR="00A76CF0" w:rsidRDefault="00202B87" w:rsidP="002C49F1">
      <w:pPr>
        <w:spacing w:after="0" w:line="240" w:lineRule="auto"/>
        <w:jc w:val="both"/>
        <w:rPr>
          <w:rFonts w:ascii="Cambria" w:hAnsi="Cambria"/>
          <w:sz w:val="24"/>
          <w:szCs w:val="24"/>
        </w:rPr>
      </w:pPr>
      <w:r>
        <w:rPr>
          <w:rFonts w:ascii="Cambria" w:hAnsi="Cambria"/>
          <w:sz w:val="24"/>
          <w:szCs w:val="24"/>
        </w:rPr>
        <w:t xml:space="preserve">The </w:t>
      </w:r>
      <w:r w:rsidR="006A2066">
        <w:rPr>
          <w:rFonts w:ascii="Cambria" w:hAnsi="Cambria"/>
          <w:sz w:val="24"/>
          <w:szCs w:val="24"/>
        </w:rPr>
        <w:t>first</w:t>
      </w:r>
      <w:r>
        <w:rPr>
          <w:rFonts w:ascii="Cambria" w:hAnsi="Cambria"/>
          <w:sz w:val="24"/>
          <w:szCs w:val="24"/>
        </w:rPr>
        <w:t xml:space="preserve"> National Study of Prisons in Sri Lanka (hereinafter referred to as prison study) conducted by the HRCSL, found that persons were held in prison for their inability to afford fines as little as Rs. 3,000 (USD 15)</w:t>
      </w:r>
      <w:r>
        <w:rPr>
          <w:rStyle w:val="FootnoteReference"/>
          <w:rFonts w:ascii="Cambria" w:hAnsi="Cambria"/>
          <w:sz w:val="24"/>
          <w:szCs w:val="24"/>
        </w:rPr>
        <w:footnoteReference w:id="9"/>
      </w:r>
      <w:r>
        <w:rPr>
          <w:rFonts w:ascii="Cambria" w:hAnsi="Cambria"/>
          <w:sz w:val="24"/>
          <w:szCs w:val="24"/>
        </w:rPr>
        <w:t xml:space="preserve">. It was also found in a study on drug control in Sri Lanka, that persons </w:t>
      </w:r>
      <w:r w:rsidR="00A76CF0">
        <w:rPr>
          <w:rFonts w:ascii="Cambria" w:hAnsi="Cambria"/>
          <w:sz w:val="24"/>
          <w:szCs w:val="24"/>
        </w:rPr>
        <w:t>convicted</w:t>
      </w:r>
      <w:r>
        <w:rPr>
          <w:rFonts w:ascii="Cambria" w:hAnsi="Cambria"/>
          <w:sz w:val="24"/>
          <w:szCs w:val="24"/>
        </w:rPr>
        <w:t xml:space="preserve"> for minor offences of drug possession who can be discharged upon </w:t>
      </w:r>
      <w:r w:rsidR="006A2066">
        <w:rPr>
          <w:rFonts w:ascii="Cambria" w:hAnsi="Cambria"/>
          <w:sz w:val="24"/>
          <w:szCs w:val="24"/>
        </w:rPr>
        <w:t xml:space="preserve">the </w:t>
      </w:r>
      <w:r>
        <w:rPr>
          <w:rFonts w:ascii="Cambria" w:hAnsi="Cambria"/>
          <w:sz w:val="24"/>
          <w:szCs w:val="24"/>
        </w:rPr>
        <w:t>payment of a fine are often imprisoned for up to six months for not being able to afford the fine.</w:t>
      </w:r>
      <w:r>
        <w:rPr>
          <w:rStyle w:val="FootnoteReference"/>
          <w:rFonts w:ascii="Cambria" w:hAnsi="Cambria"/>
          <w:sz w:val="24"/>
          <w:szCs w:val="24"/>
        </w:rPr>
        <w:footnoteReference w:id="10"/>
      </w:r>
      <w:r>
        <w:rPr>
          <w:rFonts w:ascii="Cambria" w:hAnsi="Cambria"/>
          <w:sz w:val="24"/>
          <w:szCs w:val="24"/>
        </w:rPr>
        <w:t xml:space="preserve"> </w:t>
      </w:r>
      <w:r w:rsidR="00A76CF0">
        <w:rPr>
          <w:rFonts w:ascii="Cambria" w:hAnsi="Cambria"/>
          <w:sz w:val="24"/>
          <w:szCs w:val="24"/>
        </w:rPr>
        <w:t xml:space="preserve">The report also notes that persons held in prison for drug-related offences are a vulnerable group because they may suffer withdrawal symptoms while being in prison, and denied the medical care and treatment they require. In such </w:t>
      </w:r>
      <w:r w:rsidR="006A2066">
        <w:rPr>
          <w:rFonts w:ascii="Cambria" w:hAnsi="Cambria"/>
          <w:sz w:val="24"/>
          <w:szCs w:val="24"/>
        </w:rPr>
        <w:t xml:space="preserve">instances, </w:t>
      </w:r>
      <w:r w:rsidR="00A76CF0">
        <w:rPr>
          <w:rFonts w:ascii="Cambria" w:hAnsi="Cambria"/>
          <w:sz w:val="24"/>
          <w:szCs w:val="24"/>
        </w:rPr>
        <w:t xml:space="preserve">prison officials often respond with violence and </w:t>
      </w:r>
      <w:r w:rsidR="006A2066">
        <w:rPr>
          <w:rFonts w:ascii="Cambria" w:hAnsi="Cambria"/>
          <w:sz w:val="24"/>
          <w:szCs w:val="24"/>
        </w:rPr>
        <w:t xml:space="preserve">the </w:t>
      </w:r>
      <w:r w:rsidR="00A76CF0">
        <w:rPr>
          <w:rFonts w:ascii="Cambria" w:hAnsi="Cambria"/>
          <w:sz w:val="24"/>
          <w:szCs w:val="24"/>
        </w:rPr>
        <w:t xml:space="preserve">use of disproportionate force to control such persons </w:t>
      </w:r>
      <w:r w:rsidR="006A2066">
        <w:rPr>
          <w:rFonts w:ascii="Cambria" w:hAnsi="Cambria"/>
          <w:sz w:val="24"/>
          <w:szCs w:val="24"/>
        </w:rPr>
        <w:t xml:space="preserve">have resulted in </w:t>
      </w:r>
      <w:r w:rsidR="00A76CF0">
        <w:rPr>
          <w:rFonts w:ascii="Cambria" w:hAnsi="Cambria"/>
          <w:sz w:val="24"/>
          <w:szCs w:val="24"/>
        </w:rPr>
        <w:t xml:space="preserve">deaths. </w:t>
      </w:r>
      <w:r w:rsidR="00A76CF0">
        <w:rPr>
          <w:rStyle w:val="FootnoteReference"/>
          <w:rFonts w:ascii="Cambria" w:hAnsi="Cambria"/>
          <w:sz w:val="24"/>
          <w:szCs w:val="24"/>
        </w:rPr>
        <w:footnoteReference w:id="11"/>
      </w:r>
    </w:p>
    <w:p w14:paraId="69193E77" w14:textId="77777777" w:rsidR="002C49F1" w:rsidRPr="00F3744A" w:rsidRDefault="002C49F1" w:rsidP="002C49F1">
      <w:pPr>
        <w:spacing w:after="0" w:line="240" w:lineRule="auto"/>
        <w:jc w:val="both"/>
        <w:rPr>
          <w:rFonts w:ascii="Cambria" w:hAnsi="Cambria"/>
          <w:sz w:val="24"/>
          <w:szCs w:val="24"/>
        </w:rPr>
      </w:pPr>
    </w:p>
    <w:p w14:paraId="134E3887" w14:textId="087E4269" w:rsidR="00202B87" w:rsidRDefault="00202B87" w:rsidP="002C49F1">
      <w:pPr>
        <w:spacing w:after="0" w:line="240" w:lineRule="auto"/>
        <w:jc w:val="both"/>
        <w:rPr>
          <w:rFonts w:ascii="Cambria" w:hAnsi="Cambria"/>
          <w:sz w:val="24"/>
          <w:szCs w:val="24"/>
        </w:rPr>
      </w:pPr>
      <w:r w:rsidRPr="00F3744A">
        <w:rPr>
          <w:rFonts w:ascii="Cambria" w:hAnsi="Cambria"/>
          <w:sz w:val="24"/>
          <w:szCs w:val="24"/>
        </w:rPr>
        <w:t>It must be highlighted that in cases where the person is imprisoned in lieu of payment of the fine, Section 291(4) of the Code of Criminal Procedure allows the court to:</w:t>
      </w:r>
    </w:p>
    <w:p w14:paraId="6EC66E30" w14:textId="77777777" w:rsidR="002C49F1" w:rsidRPr="00F3744A" w:rsidRDefault="002C49F1" w:rsidP="002C49F1">
      <w:pPr>
        <w:spacing w:after="0" w:line="240" w:lineRule="auto"/>
        <w:jc w:val="both"/>
        <w:rPr>
          <w:rFonts w:ascii="Cambria" w:hAnsi="Cambria"/>
          <w:sz w:val="24"/>
          <w:szCs w:val="24"/>
        </w:rPr>
      </w:pPr>
    </w:p>
    <w:p w14:paraId="3ADB5E59" w14:textId="77777777" w:rsidR="00202B87" w:rsidRPr="00EA6C36" w:rsidRDefault="00202B87" w:rsidP="002C49F1">
      <w:pPr>
        <w:pStyle w:val="ListParagraph"/>
        <w:numPr>
          <w:ilvl w:val="1"/>
          <w:numId w:val="1"/>
        </w:numPr>
        <w:spacing w:after="0" w:line="240" w:lineRule="auto"/>
        <w:jc w:val="both"/>
        <w:rPr>
          <w:rFonts w:ascii="Cambria" w:hAnsi="Cambria"/>
          <w:sz w:val="24"/>
          <w:szCs w:val="24"/>
        </w:rPr>
      </w:pPr>
      <w:r w:rsidRPr="00EA6C36">
        <w:rPr>
          <w:rFonts w:ascii="Cambria" w:hAnsi="Cambria"/>
          <w:sz w:val="24"/>
          <w:szCs w:val="24"/>
        </w:rPr>
        <w:t>Allow time for the payment of the said fine;</w:t>
      </w:r>
    </w:p>
    <w:p w14:paraId="0CBF44DE" w14:textId="77777777" w:rsidR="00202B87" w:rsidRPr="00EA6C36" w:rsidRDefault="00202B87" w:rsidP="002C49F1">
      <w:pPr>
        <w:pStyle w:val="ListParagraph"/>
        <w:numPr>
          <w:ilvl w:val="1"/>
          <w:numId w:val="1"/>
        </w:numPr>
        <w:spacing w:after="0" w:line="240" w:lineRule="auto"/>
        <w:jc w:val="both"/>
        <w:rPr>
          <w:rFonts w:ascii="Cambria" w:hAnsi="Cambria"/>
          <w:sz w:val="24"/>
          <w:szCs w:val="24"/>
        </w:rPr>
      </w:pPr>
      <w:r w:rsidRPr="00EA6C36">
        <w:rPr>
          <w:rFonts w:ascii="Cambria" w:hAnsi="Cambria"/>
          <w:sz w:val="24"/>
          <w:szCs w:val="24"/>
        </w:rPr>
        <w:t>Direct payment to be made of the said fine by instalments; or</w:t>
      </w:r>
    </w:p>
    <w:p w14:paraId="7B00191E" w14:textId="6B1835C1" w:rsidR="002C49F1" w:rsidRDefault="00202B87" w:rsidP="002C49F1">
      <w:pPr>
        <w:pStyle w:val="ListParagraph"/>
        <w:numPr>
          <w:ilvl w:val="1"/>
          <w:numId w:val="1"/>
        </w:numPr>
        <w:spacing w:after="0" w:line="240" w:lineRule="auto"/>
        <w:jc w:val="both"/>
        <w:rPr>
          <w:rFonts w:ascii="Cambria" w:hAnsi="Cambria"/>
          <w:sz w:val="24"/>
          <w:szCs w:val="24"/>
        </w:rPr>
      </w:pPr>
      <w:r w:rsidRPr="00EA6C36">
        <w:rPr>
          <w:rFonts w:ascii="Cambria" w:hAnsi="Cambria"/>
          <w:sz w:val="24"/>
          <w:szCs w:val="24"/>
        </w:rPr>
        <w:lastRenderedPageBreak/>
        <w:t>Direct that the person liable to pay the said fine shall be at liberty to give to the satisfaction of the court a bond, with or without a surety or sureties, for the payment of the said fine or any instalment thereof, and such bond may be given and enforced in a manner provided by this Code.</w:t>
      </w:r>
    </w:p>
    <w:p w14:paraId="1AD31890" w14:textId="77777777" w:rsidR="00705CA3" w:rsidRPr="006975EA" w:rsidRDefault="00705CA3" w:rsidP="00705CA3">
      <w:pPr>
        <w:pStyle w:val="ListParagraph"/>
        <w:spacing w:after="0" w:line="240" w:lineRule="auto"/>
        <w:ind w:left="1860"/>
        <w:jc w:val="both"/>
        <w:rPr>
          <w:rFonts w:ascii="Cambria" w:hAnsi="Cambria"/>
          <w:sz w:val="24"/>
          <w:szCs w:val="24"/>
        </w:rPr>
      </w:pPr>
    </w:p>
    <w:p w14:paraId="0266B955" w14:textId="77777777" w:rsidR="006D3ED8" w:rsidRDefault="00202B87" w:rsidP="002C49F1">
      <w:pPr>
        <w:spacing w:after="0" w:line="240" w:lineRule="auto"/>
        <w:jc w:val="both"/>
        <w:rPr>
          <w:rFonts w:ascii="Cambria" w:hAnsi="Cambria"/>
          <w:sz w:val="24"/>
          <w:szCs w:val="24"/>
        </w:rPr>
      </w:pPr>
      <w:r>
        <w:rPr>
          <w:rFonts w:ascii="Cambria" w:hAnsi="Cambria"/>
          <w:sz w:val="24"/>
          <w:szCs w:val="24"/>
        </w:rPr>
        <w:t xml:space="preserve">Despite this provision that allows persons who cannot afford the value of the fine to pay </w:t>
      </w:r>
      <w:r w:rsidR="002C49F1">
        <w:rPr>
          <w:rFonts w:ascii="Cambria" w:hAnsi="Cambria"/>
          <w:sz w:val="24"/>
          <w:szCs w:val="24"/>
        </w:rPr>
        <w:t xml:space="preserve">it </w:t>
      </w:r>
      <w:r>
        <w:rPr>
          <w:rFonts w:ascii="Cambria" w:hAnsi="Cambria"/>
          <w:sz w:val="24"/>
          <w:szCs w:val="24"/>
        </w:rPr>
        <w:t>in installments</w:t>
      </w:r>
      <w:r w:rsidRPr="00F3744A">
        <w:rPr>
          <w:rFonts w:ascii="Cambria" w:hAnsi="Cambria"/>
          <w:sz w:val="24"/>
          <w:szCs w:val="24"/>
        </w:rPr>
        <w:t>,</w:t>
      </w:r>
      <w:r>
        <w:rPr>
          <w:rFonts w:ascii="Cambria" w:hAnsi="Cambria"/>
          <w:sz w:val="24"/>
          <w:szCs w:val="24"/>
        </w:rPr>
        <w:t xml:space="preserve"> as indicated by the prison statistics, such provisions are not utilized by </w:t>
      </w:r>
      <w:r w:rsidR="002C49F1">
        <w:rPr>
          <w:rFonts w:ascii="Cambria" w:hAnsi="Cambria"/>
          <w:sz w:val="24"/>
          <w:szCs w:val="24"/>
        </w:rPr>
        <w:t xml:space="preserve">the criminal justice system </w:t>
      </w:r>
      <w:r>
        <w:rPr>
          <w:rFonts w:ascii="Cambria" w:hAnsi="Cambria"/>
          <w:sz w:val="24"/>
          <w:szCs w:val="24"/>
        </w:rPr>
        <w:t xml:space="preserve">and persons are still imprisoned for their inability to pay fines. The prison study states that </w:t>
      </w:r>
      <w:r w:rsidRPr="00F3744A">
        <w:rPr>
          <w:rFonts w:ascii="Cambria" w:hAnsi="Cambria"/>
          <w:sz w:val="24"/>
          <w:szCs w:val="24"/>
        </w:rPr>
        <w:t xml:space="preserve">judges may be </w:t>
      </w:r>
      <w:r>
        <w:rPr>
          <w:rFonts w:ascii="Cambria" w:hAnsi="Cambria"/>
          <w:sz w:val="24"/>
          <w:szCs w:val="24"/>
        </w:rPr>
        <w:t>‘</w:t>
      </w:r>
      <w:r w:rsidRPr="00F3744A">
        <w:rPr>
          <w:rFonts w:ascii="Cambria" w:hAnsi="Cambria"/>
          <w:sz w:val="24"/>
          <w:szCs w:val="24"/>
        </w:rPr>
        <w:t>disinclined to use the abovementioned provisions as that would result in the case file being kept open for longer, whereas imprisoning an offender in lieu of the fine would result in a swift conclusion of the case</w:t>
      </w:r>
      <w:r>
        <w:rPr>
          <w:rFonts w:ascii="Cambria" w:hAnsi="Cambria"/>
          <w:sz w:val="24"/>
          <w:szCs w:val="24"/>
        </w:rPr>
        <w:t>’</w:t>
      </w:r>
      <w:r>
        <w:rPr>
          <w:rStyle w:val="FootnoteReference"/>
          <w:rFonts w:ascii="Cambria" w:hAnsi="Cambria"/>
          <w:sz w:val="24"/>
          <w:szCs w:val="24"/>
        </w:rPr>
        <w:footnoteReference w:id="12"/>
      </w:r>
      <w:r>
        <w:rPr>
          <w:rFonts w:ascii="Cambria" w:hAnsi="Cambria"/>
          <w:sz w:val="24"/>
          <w:szCs w:val="24"/>
        </w:rPr>
        <w:t xml:space="preserve">. </w:t>
      </w:r>
    </w:p>
    <w:p w14:paraId="7970EE86" w14:textId="77777777" w:rsidR="006D3ED8" w:rsidRDefault="006D3ED8" w:rsidP="002C49F1">
      <w:pPr>
        <w:spacing w:after="0" w:line="240" w:lineRule="auto"/>
        <w:jc w:val="both"/>
        <w:rPr>
          <w:rFonts w:ascii="Cambria" w:hAnsi="Cambria"/>
          <w:sz w:val="24"/>
          <w:szCs w:val="24"/>
        </w:rPr>
      </w:pPr>
    </w:p>
    <w:p w14:paraId="3FF824AE" w14:textId="39E0A043" w:rsidR="00202B87" w:rsidRDefault="00A76CF0" w:rsidP="002C49F1">
      <w:pPr>
        <w:spacing w:after="0" w:line="240" w:lineRule="auto"/>
        <w:jc w:val="both"/>
        <w:rPr>
          <w:rFonts w:ascii="Cambria" w:hAnsi="Cambria"/>
          <w:sz w:val="24"/>
          <w:szCs w:val="24"/>
        </w:rPr>
      </w:pPr>
      <w:r>
        <w:rPr>
          <w:rFonts w:ascii="Cambria" w:hAnsi="Cambria"/>
          <w:sz w:val="24"/>
          <w:szCs w:val="24"/>
        </w:rPr>
        <w:t xml:space="preserve">This </w:t>
      </w:r>
      <w:r w:rsidR="00202B87">
        <w:rPr>
          <w:rFonts w:ascii="Cambria" w:hAnsi="Cambria"/>
          <w:sz w:val="24"/>
          <w:szCs w:val="24"/>
        </w:rPr>
        <w:t>approach effectively results in the criminalization of poverty, whereby persons are detained due to their socio-economic status. Such incarceration policies ha</w:t>
      </w:r>
      <w:r w:rsidR="00827DC9">
        <w:rPr>
          <w:rFonts w:ascii="Cambria" w:hAnsi="Cambria"/>
          <w:sz w:val="24"/>
          <w:szCs w:val="24"/>
        </w:rPr>
        <w:t xml:space="preserve">ve </w:t>
      </w:r>
      <w:r w:rsidR="00202B87">
        <w:rPr>
          <w:rFonts w:ascii="Cambria" w:hAnsi="Cambria"/>
          <w:sz w:val="24"/>
          <w:szCs w:val="24"/>
        </w:rPr>
        <w:t xml:space="preserve">wide-ranging </w:t>
      </w:r>
      <w:r w:rsidR="00827DC9">
        <w:rPr>
          <w:rFonts w:ascii="Cambria" w:hAnsi="Cambria"/>
          <w:sz w:val="24"/>
          <w:szCs w:val="24"/>
        </w:rPr>
        <w:t>consequences</w:t>
      </w:r>
      <w:r w:rsidR="00202B87">
        <w:rPr>
          <w:rFonts w:ascii="Cambria" w:hAnsi="Cambria"/>
          <w:sz w:val="24"/>
          <w:szCs w:val="24"/>
        </w:rPr>
        <w:t xml:space="preserve">, including </w:t>
      </w:r>
      <w:r w:rsidR="002C49F1">
        <w:rPr>
          <w:rFonts w:ascii="Cambria" w:hAnsi="Cambria"/>
          <w:sz w:val="24"/>
          <w:szCs w:val="24"/>
        </w:rPr>
        <w:t xml:space="preserve">depriving the person of </w:t>
      </w:r>
      <w:r w:rsidR="00202B87">
        <w:rPr>
          <w:rFonts w:ascii="Cambria" w:hAnsi="Cambria"/>
          <w:sz w:val="24"/>
          <w:szCs w:val="24"/>
        </w:rPr>
        <w:t>earn</w:t>
      </w:r>
      <w:r w:rsidR="002C49F1">
        <w:rPr>
          <w:rFonts w:ascii="Cambria" w:hAnsi="Cambria"/>
          <w:sz w:val="24"/>
          <w:szCs w:val="24"/>
        </w:rPr>
        <w:t>ing</w:t>
      </w:r>
      <w:r w:rsidR="00202B87">
        <w:rPr>
          <w:rFonts w:ascii="Cambria" w:hAnsi="Cambria"/>
          <w:sz w:val="24"/>
          <w:szCs w:val="24"/>
        </w:rPr>
        <w:t xml:space="preserve"> an income while in detention</w:t>
      </w:r>
      <w:r w:rsidR="002C49F1">
        <w:rPr>
          <w:rFonts w:ascii="Cambria" w:hAnsi="Cambria"/>
          <w:sz w:val="24"/>
          <w:szCs w:val="24"/>
        </w:rPr>
        <w:t xml:space="preserve"> and adversely </w:t>
      </w:r>
      <w:r w:rsidR="00827DC9">
        <w:rPr>
          <w:rFonts w:ascii="Cambria" w:hAnsi="Cambria"/>
          <w:sz w:val="24"/>
          <w:szCs w:val="24"/>
        </w:rPr>
        <w:t>impact</w:t>
      </w:r>
      <w:r w:rsidR="002C49F1">
        <w:rPr>
          <w:rFonts w:ascii="Cambria" w:hAnsi="Cambria"/>
          <w:sz w:val="24"/>
          <w:szCs w:val="24"/>
        </w:rPr>
        <w:t>s</w:t>
      </w:r>
      <w:r w:rsidR="00827DC9">
        <w:rPr>
          <w:rFonts w:ascii="Cambria" w:hAnsi="Cambria"/>
          <w:sz w:val="24"/>
          <w:szCs w:val="24"/>
        </w:rPr>
        <w:t xml:space="preserve"> on</w:t>
      </w:r>
      <w:r w:rsidR="002C49F1">
        <w:rPr>
          <w:rFonts w:ascii="Cambria" w:hAnsi="Cambria"/>
          <w:sz w:val="24"/>
          <w:szCs w:val="24"/>
        </w:rPr>
        <w:t xml:space="preserve"> their</w:t>
      </w:r>
      <w:r w:rsidR="00202B87">
        <w:rPr>
          <w:rFonts w:ascii="Cambria" w:hAnsi="Cambria"/>
          <w:sz w:val="24"/>
          <w:szCs w:val="24"/>
        </w:rPr>
        <w:t xml:space="preserve"> familial relationships </w:t>
      </w:r>
      <w:r w:rsidR="002C49F1">
        <w:rPr>
          <w:rFonts w:ascii="Cambria" w:hAnsi="Cambria"/>
          <w:sz w:val="24"/>
          <w:szCs w:val="24"/>
        </w:rPr>
        <w:t>and exposes them to the social</w:t>
      </w:r>
      <w:r w:rsidR="00202B87">
        <w:rPr>
          <w:rFonts w:ascii="Cambria" w:hAnsi="Cambria"/>
          <w:sz w:val="24"/>
          <w:szCs w:val="24"/>
        </w:rPr>
        <w:t xml:space="preserve"> stigma of imprisonment</w:t>
      </w:r>
      <w:r w:rsidR="002C49F1">
        <w:rPr>
          <w:rFonts w:ascii="Cambria" w:hAnsi="Cambria"/>
          <w:sz w:val="24"/>
          <w:szCs w:val="24"/>
        </w:rPr>
        <w:t xml:space="preserve">. This in turn </w:t>
      </w:r>
      <w:r w:rsidR="00202B87">
        <w:rPr>
          <w:rFonts w:ascii="Cambria" w:hAnsi="Cambria"/>
          <w:sz w:val="24"/>
          <w:szCs w:val="24"/>
        </w:rPr>
        <w:t>sustain</w:t>
      </w:r>
      <w:r w:rsidR="002C49F1">
        <w:rPr>
          <w:rFonts w:ascii="Cambria" w:hAnsi="Cambria"/>
          <w:sz w:val="24"/>
          <w:szCs w:val="24"/>
        </w:rPr>
        <w:t>s</w:t>
      </w:r>
      <w:r w:rsidR="00202B87">
        <w:rPr>
          <w:rFonts w:ascii="Cambria" w:hAnsi="Cambria"/>
          <w:sz w:val="24"/>
          <w:szCs w:val="24"/>
        </w:rPr>
        <w:t xml:space="preserve"> a cycle of imprisonment and poverty</w:t>
      </w:r>
      <w:r w:rsidR="002C49F1">
        <w:rPr>
          <w:rFonts w:ascii="Cambria" w:hAnsi="Cambria"/>
          <w:sz w:val="24"/>
          <w:szCs w:val="24"/>
        </w:rPr>
        <w:t xml:space="preserve"> for the most discriminated and vulnerable in society</w:t>
      </w:r>
      <w:r w:rsidR="00202B87">
        <w:rPr>
          <w:rFonts w:ascii="Cambria" w:hAnsi="Cambria"/>
          <w:sz w:val="24"/>
          <w:szCs w:val="24"/>
        </w:rPr>
        <w:t xml:space="preserve">. </w:t>
      </w:r>
    </w:p>
    <w:p w14:paraId="52C93E0E" w14:textId="77777777" w:rsidR="002C49F1" w:rsidRDefault="002C49F1" w:rsidP="002C49F1">
      <w:pPr>
        <w:spacing w:after="0" w:line="240" w:lineRule="auto"/>
        <w:jc w:val="both"/>
        <w:rPr>
          <w:rFonts w:ascii="Cambria" w:hAnsi="Cambria"/>
          <w:sz w:val="24"/>
          <w:szCs w:val="24"/>
        </w:rPr>
      </w:pPr>
    </w:p>
    <w:p w14:paraId="2DA3EB9F" w14:textId="524D1DDF" w:rsidR="00202B87" w:rsidRDefault="00202B87" w:rsidP="002C49F1">
      <w:pPr>
        <w:spacing w:after="0" w:line="240" w:lineRule="auto"/>
        <w:jc w:val="both"/>
        <w:rPr>
          <w:rFonts w:ascii="Cambria" w:hAnsi="Cambria"/>
          <w:sz w:val="24"/>
          <w:szCs w:val="24"/>
        </w:rPr>
      </w:pPr>
      <w:r>
        <w:rPr>
          <w:rFonts w:ascii="Cambria" w:hAnsi="Cambria"/>
          <w:sz w:val="24"/>
          <w:szCs w:val="24"/>
        </w:rPr>
        <w:t xml:space="preserve">The Sri Lankan legal system also </w:t>
      </w:r>
      <w:r w:rsidR="002C49F1">
        <w:rPr>
          <w:rFonts w:ascii="Cambria" w:hAnsi="Cambria"/>
          <w:sz w:val="24"/>
          <w:szCs w:val="24"/>
        </w:rPr>
        <w:t xml:space="preserve">contains provisions that provide </w:t>
      </w:r>
      <w:r>
        <w:rPr>
          <w:rFonts w:ascii="Cambria" w:hAnsi="Cambria"/>
          <w:sz w:val="24"/>
          <w:szCs w:val="24"/>
        </w:rPr>
        <w:t xml:space="preserve">alternatives to imprisonment in the form of community-based correction orders. The Community Based Corrections (CBC) Act (No. 46 of 1999) states that </w:t>
      </w:r>
      <w:r w:rsidRPr="00B32DDB">
        <w:rPr>
          <w:rFonts w:ascii="Cambria" w:hAnsi="Cambria"/>
          <w:sz w:val="24"/>
          <w:szCs w:val="24"/>
        </w:rPr>
        <w:t>CBC orders can be issued to persons convicted of any offence</w:t>
      </w:r>
      <w:r>
        <w:rPr>
          <w:rFonts w:ascii="Cambria" w:hAnsi="Cambria"/>
          <w:sz w:val="24"/>
          <w:szCs w:val="24"/>
        </w:rPr>
        <w:t xml:space="preserve"> </w:t>
      </w:r>
      <w:r w:rsidRPr="00B32DDB">
        <w:rPr>
          <w:rFonts w:ascii="Cambria" w:hAnsi="Cambria"/>
          <w:sz w:val="24"/>
          <w:szCs w:val="24"/>
        </w:rPr>
        <w:t>for which imprisonment is not a mandatory penalty and the penalty is less than two years</w:t>
      </w:r>
      <w:r>
        <w:rPr>
          <w:rFonts w:ascii="Cambria" w:hAnsi="Cambria"/>
          <w:sz w:val="24"/>
          <w:szCs w:val="24"/>
        </w:rPr>
        <w:t xml:space="preserve"> imprisonment.</w:t>
      </w:r>
      <w:r w:rsidRPr="00B32DDB">
        <w:rPr>
          <w:rFonts w:ascii="Cambria" w:hAnsi="Cambria"/>
          <w:sz w:val="24"/>
          <w:szCs w:val="24"/>
        </w:rPr>
        <w:t xml:space="preserve"> </w:t>
      </w:r>
      <w:r>
        <w:rPr>
          <w:rFonts w:ascii="Cambria" w:hAnsi="Cambria"/>
          <w:sz w:val="24"/>
          <w:szCs w:val="24"/>
        </w:rPr>
        <w:t>Section 6 of the same Act outlines that t</w:t>
      </w:r>
      <w:r w:rsidRPr="00B32DDB">
        <w:rPr>
          <w:rFonts w:ascii="Cambria" w:hAnsi="Cambria"/>
          <w:sz w:val="24"/>
          <w:szCs w:val="24"/>
        </w:rPr>
        <w:t xml:space="preserve">he conditions of the order </w:t>
      </w:r>
      <w:r>
        <w:rPr>
          <w:rFonts w:ascii="Cambria" w:hAnsi="Cambria"/>
          <w:sz w:val="24"/>
          <w:szCs w:val="24"/>
        </w:rPr>
        <w:t>are</w:t>
      </w:r>
      <w:r w:rsidRPr="00B32DDB">
        <w:rPr>
          <w:rFonts w:ascii="Cambria" w:hAnsi="Cambria"/>
          <w:sz w:val="24"/>
          <w:szCs w:val="24"/>
        </w:rPr>
        <w:t xml:space="preserve"> stipulated based on the pre-sentence</w:t>
      </w:r>
      <w:r>
        <w:rPr>
          <w:rFonts w:ascii="Cambria" w:hAnsi="Cambria"/>
          <w:sz w:val="24"/>
          <w:szCs w:val="24"/>
        </w:rPr>
        <w:t xml:space="preserve"> </w:t>
      </w:r>
      <w:r w:rsidRPr="00B32DDB">
        <w:rPr>
          <w:rFonts w:ascii="Cambria" w:hAnsi="Cambria"/>
          <w:sz w:val="24"/>
          <w:szCs w:val="24"/>
        </w:rPr>
        <w:t xml:space="preserve">report of the </w:t>
      </w:r>
      <w:r w:rsidR="002C49F1">
        <w:rPr>
          <w:rFonts w:ascii="Cambria" w:hAnsi="Cambria"/>
          <w:sz w:val="24"/>
          <w:szCs w:val="24"/>
        </w:rPr>
        <w:t>person</w:t>
      </w:r>
      <w:r w:rsidRPr="00B32DDB">
        <w:rPr>
          <w:rFonts w:ascii="Cambria" w:hAnsi="Cambria"/>
          <w:sz w:val="24"/>
          <w:szCs w:val="24"/>
        </w:rPr>
        <w:t>,</w:t>
      </w:r>
      <w:r>
        <w:rPr>
          <w:rFonts w:ascii="Cambria" w:hAnsi="Cambria"/>
          <w:sz w:val="24"/>
          <w:szCs w:val="24"/>
        </w:rPr>
        <w:t xml:space="preserve"> which is prepared by the </w:t>
      </w:r>
      <w:r w:rsidRPr="00B32DDB">
        <w:rPr>
          <w:rFonts w:ascii="Cambria" w:hAnsi="Cambria"/>
          <w:sz w:val="24"/>
          <w:szCs w:val="24"/>
        </w:rPr>
        <w:t>Department of CBC</w:t>
      </w:r>
      <w:r>
        <w:rPr>
          <w:rFonts w:ascii="Cambria" w:hAnsi="Cambria"/>
          <w:sz w:val="24"/>
          <w:szCs w:val="24"/>
        </w:rPr>
        <w:t xml:space="preserve"> and submitted to the judge</w:t>
      </w:r>
      <w:r w:rsidRPr="00B32DDB">
        <w:rPr>
          <w:rFonts w:ascii="Cambria" w:hAnsi="Cambria"/>
          <w:sz w:val="24"/>
          <w:szCs w:val="24"/>
        </w:rPr>
        <w:t>, which must include inter alia</w:t>
      </w:r>
      <w:r>
        <w:rPr>
          <w:rFonts w:ascii="Cambria" w:hAnsi="Cambria"/>
          <w:sz w:val="24"/>
          <w:szCs w:val="24"/>
        </w:rPr>
        <w:t xml:space="preserve"> </w:t>
      </w:r>
      <w:r w:rsidRPr="00B32DDB">
        <w:rPr>
          <w:rFonts w:ascii="Cambria" w:hAnsi="Cambria"/>
          <w:sz w:val="24"/>
          <w:szCs w:val="24"/>
        </w:rPr>
        <w:t>social history, background, details of dependents, educational/employment history and</w:t>
      </w:r>
      <w:r>
        <w:rPr>
          <w:rFonts w:ascii="Cambria" w:hAnsi="Cambria"/>
          <w:sz w:val="24"/>
          <w:szCs w:val="24"/>
        </w:rPr>
        <w:t xml:space="preserve"> </w:t>
      </w:r>
      <w:r w:rsidRPr="00B32DDB">
        <w:rPr>
          <w:rFonts w:ascii="Cambria" w:hAnsi="Cambria"/>
          <w:sz w:val="24"/>
          <w:szCs w:val="24"/>
        </w:rPr>
        <w:t xml:space="preserve">special needs of the </w:t>
      </w:r>
      <w:r w:rsidR="002C49F1">
        <w:rPr>
          <w:rFonts w:ascii="Cambria" w:hAnsi="Cambria"/>
          <w:sz w:val="24"/>
          <w:szCs w:val="24"/>
        </w:rPr>
        <w:t>person</w:t>
      </w:r>
      <w:r w:rsidRPr="00B32DDB">
        <w:rPr>
          <w:rFonts w:ascii="Cambria" w:hAnsi="Cambria"/>
          <w:sz w:val="24"/>
          <w:szCs w:val="24"/>
        </w:rPr>
        <w:t xml:space="preserve">, and courses of </w:t>
      </w:r>
      <w:proofErr w:type="spellStart"/>
      <w:r w:rsidRPr="00B32DDB">
        <w:rPr>
          <w:rFonts w:ascii="Cambria" w:hAnsi="Cambria"/>
          <w:sz w:val="24"/>
          <w:szCs w:val="24"/>
        </w:rPr>
        <w:t>programmes</w:t>
      </w:r>
      <w:proofErr w:type="spellEnd"/>
      <w:r w:rsidRPr="00B32DDB">
        <w:rPr>
          <w:rFonts w:ascii="Cambria" w:hAnsi="Cambria"/>
          <w:sz w:val="24"/>
          <w:szCs w:val="24"/>
        </w:rPr>
        <w:t xml:space="preserve"> which s/he could attend and benefit</w:t>
      </w:r>
      <w:r>
        <w:rPr>
          <w:rFonts w:ascii="Cambria" w:hAnsi="Cambria"/>
          <w:sz w:val="24"/>
          <w:szCs w:val="24"/>
        </w:rPr>
        <w:t xml:space="preserve"> from.</w:t>
      </w:r>
    </w:p>
    <w:p w14:paraId="7DBEFD57" w14:textId="77777777" w:rsidR="002C49F1" w:rsidRDefault="002C49F1" w:rsidP="002C49F1">
      <w:pPr>
        <w:spacing w:after="0" w:line="240" w:lineRule="auto"/>
        <w:jc w:val="both"/>
        <w:rPr>
          <w:rFonts w:ascii="Cambria" w:hAnsi="Cambria"/>
          <w:sz w:val="24"/>
          <w:szCs w:val="24"/>
        </w:rPr>
      </w:pPr>
    </w:p>
    <w:p w14:paraId="04930663" w14:textId="08E9A227" w:rsidR="00202B87" w:rsidRDefault="00202B87" w:rsidP="002C49F1">
      <w:pPr>
        <w:spacing w:after="0" w:line="240" w:lineRule="auto"/>
        <w:jc w:val="both"/>
        <w:rPr>
          <w:rFonts w:ascii="Cambria" w:hAnsi="Cambria"/>
          <w:sz w:val="24"/>
          <w:szCs w:val="24"/>
        </w:rPr>
      </w:pPr>
      <w:r>
        <w:rPr>
          <w:rFonts w:ascii="Cambria" w:hAnsi="Cambria"/>
          <w:sz w:val="24"/>
          <w:szCs w:val="24"/>
        </w:rPr>
        <w:t xml:space="preserve">However, the </w:t>
      </w:r>
      <w:r w:rsidR="00827DC9">
        <w:rPr>
          <w:rFonts w:ascii="Cambria" w:hAnsi="Cambria"/>
          <w:sz w:val="24"/>
          <w:szCs w:val="24"/>
        </w:rPr>
        <w:t>prison</w:t>
      </w:r>
      <w:r>
        <w:rPr>
          <w:rFonts w:ascii="Cambria" w:hAnsi="Cambria"/>
          <w:sz w:val="24"/>
          <w:szCs w:val="24"/>
        </w:rPr>
        <w:t xml:space="preserve"> study highlights that despite the existence of such provisions</w:t>
      </w:r>
      <w:r w:rsidR="00827DC9">
        <w:rPr>
          <w:rFonts w:ascii="Cambria" w:hAnsi="Cambria"/>
          <w:sz w:val="24"/>
          <w:szCs w:val="24"/>
        </w:rPr>
        <w:t xml:space="preserve"> which can avoid persons from being imprisoned for minor offences</w:t>
      </w:r>
      <w:r>
        <w:rPr>
          <w:rFonts w:ascii="Cambria" w:hAnsi="Cambria"/>
          <w:sz w:val="24"/>
          <w:szCs w:val="24"/>
        </w:rPr>
        <w:t>, the Sri Lankan justice system is ‘’pro-incarceration” and judges and lawyers often have little awareness of the provisions of the CBC Act or may be reluctant to use them as the process of requiring a pre-sentence report and issuing a CBC order takes longer than the process of awarding imprisonment and closing the case</w:t>
      </w:r>
      <w:r>
        <w:rPr>
          <w:rStyle w:val="FootnoteReference"/>
          <w:rFonts w:ascii="Cambria" w:hAnsi="Cambria"/>
          <w:sz w:val="24"/>
          <w:szCs w:val="24"/>
        </w:rPr>
        <w:footnoteReference w:id="13"/>
      </w:r>
      <w:r>
        <w:rPr>
          <w:rFonts w:ascii="Cambria" w:hAnsi="Cambria"/>
          <w:sz w:val="24"/>
          <w:szCs w:val="24"/>
        </w:rPr>
        <w:t xml:space="preserve">. </w:t>
      </w:r>
    </w:p>
    <w:p w14:paraId="51B189FB" w14:textId="77777777" w:rsidR="002C49F1" w:rsidRDefault="002C49F1" w:rsidP="002C49F1">
      <w:pPr>
        <w:spacing w:after="0" w:line="240" w:lineRule="auto"/>
        <w:jc w:val="both"/>
        <w:rPr>
          <w:rFonts w:ascii="Cambria" w:hAnsi="Cambria"/>
          <w:sz w:val="24"/>
          <w:szCs w:val="24"/>
        </w:rPr>
      </w:pPr>
    </w:p>
    <w:p w14:paraId="1768AC5B" w14:textId="5EF4445F" w:rsidR="00202B87" w:rsidRDefault="00202B87" w:rsidP="002C49F1">
      <w:pPr>
        <w:spacing w:after="0" w:line="240" w:lineRule="auto"/>
        <w:jc w:val="both"/>
        <w:rPr>
          <w:rFonts w:ascii="Cambria" w:hAnsi="Cambria"/>
          <w:sz w:val="24"/>
          <w:szCs w:val="24"/>
        </w:rPr>
      </w:pPr>
      <w:r>
        <w:rPr>
          <w:rFonts w:ascii="Cambria" w:hAnsi="Cambria"/>
          <w:sz w:val="24"/>
          <w:szCs w:val="24"/>
        </w:rPr>
        <w:t>Persons from economically marginalized groups who are already victimized by an unequal and inequitable society are rendered more vulnerable when they</w:t>
      </w:r>
      <w:r w:rsidR="002C49F1">
        <w:rPr>
          <w:rFonts w:ascii="Cambria" w:hAnsi="Cambria"/>
          <w:sz w:val="24"/>
          <w:szCs w:val="24"/>
        </w:rPr>
        <w:t xml:space="preserve"> are</w:t>
      </w:r>
      <w:r>
        <w:rPr>
          <w:rFonts w:ascii="Cambria" w:hAnsi="Cambria"/>
          <w:sz w:val="24"/>
          <w:szCs w:val="24"/>
        </w:rPr>
        <w:t xml:space="preserve"> imprisoned. The prison system in Sri Lanka </w:t>
      </w:r>
      <w:r w:rsidR="002C49F1">
        <w:rPr>
          <w:rFonts w:ascii="Cambria" w:hAnsi="Cambria"/>
          <w:sz w:val="24"/>
          <w:szCs w:val="24"/>
        </w:rPr>
        <w:t xml:space="preserve">has been shown </w:t>
      </w:r>
      <w:r>
        <w:rPr>
          <w:rFonts w:ascii="Cambria" w:hAnsi="Cambria"/>
          <w:sz w:val="24"/>
          <w:szCs w:val="24"/>
        </w:rPr>
        <w:t xml:space="preserve">to be </w:t>
      </w:r>
      <w:r w:rsidR="002C49F1">
        <w:rPr>
          <w:rFonts w:ascii="Cambria" w:hAnsi="Cambria"/>
          <w:sz w:val="24"/>
          <w:szCs w:val="24"/>
        </w:rPr>
        <w:t xml:space="preserve">a </w:t>
      </w:r>
      <w:r>
        <w:rPr>
          <w:rFonts w:ascii="Cambria" w:hAnsi="Cambria"/>
          <w:sz w:val="24"/>
          <w:szCs w:val="24"/>
        </w:rPr>
        <w:t xml:space="preserve">violent system that robs persons of their dignity and disproportionately targets persons from marginalized groups. Imprisoning people for their inability to pay fines not only causes prisons to become overcrowded and impacts the </w:t>
      </w:r>
      <w:r>
        <w:rPr>
          <w:rFonts w:ascii="Cambria" w:hAnsi="Cambria"/>
          <w:sz w:val="24"/>
          <w:szCs w:val="24"/>
        </w:rPr>
        <w:lastRenderedPageBreak/>
        <w:t xml:space="preserve">health and wellbeing of detained persons, but also unnecessarily increases the negative social costs of imprisonment on the individual and the family of detained persons, as well as the wider society. </w:t>
      </w:r>
    </w:p>
    <w:p w14:paraId="67712588" w14:textId="77777777" w:rsidR="002C49F1" w:rsidRDefault="002C49F1" w:rsidP="002C49F1">
      <w:pPr>
        <w:spacing w:after="0" w:line="240" w:lineRule="auto"/>
        <w:jc w:val="both"/>
        <w:rPr>
          <w:rFonts w:ascii="Cambria" w:hAnsi="Cambria"/>
          <w:sz w:val="24"/>
          <w:szCs w:val="24"/>
        </w:rPr>
      </w:pPr>
    </w:p>
    <w:p w14:paraId="25A8CEDD" w14:textId="5BEFEB51" w:rsidR="00202B87" w:rsidRDefault="00202B87" w:rsidP="002C49F1">
      <w:pPr>
        <w:spacing w:after="0" w:line="240" w:lineRule="auto"/>
        <w:jc w:val="both"/>
        <w:rPr>
          <w:rFonts w:ascii="Cambria" w:hAnsi="Cambria"/>
          <w:sz w:val="24"/>
          <w:szCs w:val="24"/>
        </w:rPr>
      </w:pPr>
      <w:r>
        <w:rPr>
          <w:rFonts w:ascii="Cambria" w:hAnsi="Cambria"/>
          <w:sz w:val="24"/>
          <w:szCs w:val="24"/>
        </w:rPr>
        <w:t xml:space="preserve">The </w:t>
      </w:r>
      <w:r w:rsidRPr="00EA6C36">
        <w:rPr>
          <w:rFonts w:ascii="Cambria" w:hAnsi="Cambria"/>
          <w:sz w:val="24"/>
          <w:szCs w:val="24"/>
        </w:rPr>
        <w:t>United Nations System</w:t>
      </w:r>
      <w:r>
        <w:rPr>
          <w:rFonts w:ascii="Cambria" w:hAnsi="Cambria"/>
          <w:sz w:val="24"/>
          <w:szCs w:val="24"/>
        </w:rPr>
        <w:t xml:space="preserve"> </w:t>
      </w:r>
      <w:r w:rsidRPr="00EA6C36">
        <w:rPr>
          <w:rFonts w:ascii="Cambria" w:hAnsi="Cambria"/>
          <w:sz w:val="24"/>
          <w:szCs w:val="24"/>
        </w:rPr>
        <w:t>Common Position on Incarceration</w:t>
      </w:r>
      <w:r>
        <w:rPr>
          <w:rFonts w:ascii="Cambria" w:hAnsi="Cambria"/>
          <w:sz w:val="24"/>
          <w:szCs w:val="24"/>
        </w:rPr>
        <w:t xml:space="preserve"> released in April 2021, recognizes that ‘i</w:t>
      </w:r>
      <w:r w:rsidRPr="00EA6C36">
        <w:rPr>
          <w:rFonts w:ascii="Cambria" w:hAnsi="Cambria"/>
          <w:sz w:val="24"/>
          <w:szCs w:val="24"/>
        </w:rPr>
        <w:t>ncarceration therefore</w:t>
      </w:r>
      <w:r>
        <w:rPr>
          <w:rFonts w:ascii="Cambria" w:hAnsi="Cambria"/>
          <w:sz w:val="24"/>
          <w:szCs w:val="24"/>
        </w:rPr>
        <w:t xml:space="preserve"> </w:t>
      </w:r>
      <w:r w:rsidRPr="00EA6C36">
        <w:rPr>
          <w:rFonts w:ascii="Cambria" w:hAnsi="Cambria"/>
          <w:sz w:val="24"/>
          <w:szCs w:val="24"/>
        </w:rPr>
        <w:t>disproporti</w:t>
      </w:r>
      <w:r>
        <w:rPr>
          <w:rFonts w:ascii="Cambria" w:hAnsi="Cambria"/>
          <w:sz w:val="24"/>
          <w:szCs w:val="24"/>
        </w:rPr>
        <w:t xml:space="preserve">onately affects and impacts the </w:t>
      </w:r>
      <w:r w:rsidRPr="00EA6C36">
        <w:rPr>
          <w:rFonts w:ascii="Cambria" w:hAnsi="Cambria"/>
          <w:sz w:val="24"/>
          <w:szCs w:val="24"/>
        </w:rPr>
        <w:t>segments of soc</w:t>
      </w:r>
      <w:r>
        <w:rPr>
          <w:rFonts w:ascii="Cambria" w:hAnsi="Cambria"/>
          <w:sz w:val="24"/>
          <w:szCs w:val="24"/>
        </w:rPr>
        <w:t xml:space="preserve">iety that are living in poverty </w:t>
      </w:r>
      <w:r w:rsidRPr="00EA6C36">
        <w:rPr>
          <w:rFonts w:ascii="Cambria" w:hAnsi="Cambria"/>
          <w:sz w:val="24"/>
          <w:szCs w:val="24"/>
        </w:rPr>
        <w:t>or are m</w:t>
      </w:r>
      <w:r>
        <w:rPr>
          <w:rFonts w:ascii="Cambria" w:hAnsi="Cambria"/>
          <w:sz w:val="24"/>
          <w:szCs w:val="24"/>
        </w:rPr>
        <w:t xml:space="preserve">arginalized. In some countries, </w:t>
      </w:r>
      <w:r w:rsidRPr="00EA6C36">
        <w:rPr>
          <w:rFonts w:ascii="Cambria" w:hAnsi="Cambria"/>
          <w:sz w:val="24"/>
          <w:szCs w:val="24"/>
        </w:rPr>
        <w:t>people are im</w:t>
      </w:r>
      <w:r>
        <w:rPr>
          <w:rFonts w:ascii="Cambria" w:hAnsi="Cambria"/>
          <w:sz w:val="24"/>
          <w:szCs w:val="24"/>
        </w:rPr>
        <w:t xml:space="preserve">prisoned as a result of factors </w:t>
      </w:r>
      <w:r w:rsidRPr="00EA6C36">
        <w:rPr>
          <w:rFonts w:ascii="Cambria" w:hAnsi="Cambria"/>
          <w:sz w:val="24"/>
          <w:szCs w:val="24"/>
        </w:rPr>
        <w:t>dire</w:t>
      </w:r>
      <w:r>
        <w:rPr>
          <w:rFonts w:ascii="Cambria" w:hAnsi="Cambria"/>
          <w:sz w:val="24"/>
          <w:szCs w:val="24"/>
        </w:rPr>
        <w:t xml:space="preserve">ctly linked to poverty, such as </w:t>
      </w:r>
      <w:r w:rsidRPr="00EA6C36">
        <w:rPr>
          <w:rFonts w:ascii="Cambria" w:hAnsi="Cambria"/>
          <w:sz w:val="24"/>
          <w:szCs w:val="24"/>
        </w:rPr>
        <w:t>homelessness or the inability to pay fines.</w:t>
      </w:r>
      <w:r>
        <w:rPr>
          <w:rFonts w:ascii="Cambria" w:hAnsi="Cambria"/>
          <w:sz w:val="24"/>
          <w:szCs w:val="24"/>
        </w:rPr>
        <w:t>’</w:t>
      </w:r>
      <w:r>
        <w:rPr>
          <w:rStyle w:val="FootnoteReference"/>
          <w:rFonts w:ascii="Cambria" w:hAnsi="Cambria"/>
          <w:sz w:val="24"/>
          <w:szCs w:val="24"/>
        </w:rPr>
        <w:footnoteReference w:id="14"/>
      </w:r>
      <w:r w:rsidRPr="00EA6C36">
        <w:rPr>
          <w:rFonts w:ascii="Cambria" w:hAnsi="Cambria"/>
          <w:sz w:val="24"/>
          <w:szCs w:val="24"/>
        </w:rPr>
        <w:cr/>
      </w:r>
    </w:p>
    <w:p w14:paraId="1E237777" w14:textId="77777777" w:rsidR="002C49F1" w:rsidRDefault="002C49F1" w:rsidP="002C49F1">
      <w:pPr>
        <w:spacing w:after="0" w:line="240" w:lineRule="auto"/>
        <w:jc w:val="both"/>
        <w:rPr>
          <w:rFonts w:ascii="Cambria" w:hAnsi="Cambria"/>
          <w:sz w:val="24"/>
          <w:szCs w:val="24"/>
        </w:rPr>
      </w:pPr>
    </w:p>
    <w:p w14:paraId="5814C9C7" w14:textId="18136DFE" w:rsidR="00EA6C36" w:rsidRPr="00202B87" w:rsidRDefault="00DB20F1" w:rsidP="002C49F1">
      <w:pPr>
        <w:pStyle w:val="ListParagraph"/>
        <w:numPr>
          <w:ilvl w:val="1"/>
          <w:numId w:val="10"/>
        </w:numPr>
        <w:spacing w:after="0" w:line="240" w:lineRule="auto"/>
        <w:jc w:val="both"/>
        <w:rPr>
          <w:rFonts w:ascii="Cambria" w:hAnsi="Cambria"/>
          <w:b/>
          <w:sz w:val="24"/>
          <w:szCs w:val="24"/>
        </w:rPr>
      </w:pPr>
      <w:r>
        <w:rPr>
          <w:rFonts w:ascii="Cambria" w:hAnsi="Cambria"/>
          <w:b/>
          <w:sz w:val="24"/>
          <w:szCs w:val="24"/>
        </w:rPr>
        <w:t xml:space="preserve">Pretrial detention for </w:t>
      </w:r>
      <w:r w:rsidR="006975EA">
        <w:rPr>
          <w:rFonts w:ascii="Cambria" w:hAnsi="Cambria"/>
          <w:b/>
          <w:sz w:val="24"/>
          <w:szCs w:val="24"/>
        </w:rPr>
        <w:t xml:space="preserve">the </w:t>
      </w:r>
      <w:r>
        <w:rPr>
          <w:rFonts w:ascii="Cambria" w:hAnsi="Cambria"/>
          <w:b/>
          <w:sz w:val="24"/>
          <w:szCs w:val="24"/>
        </w:rPr>
        <w:t>inability to fulfil</w:t>
      </w:r>
      <w:r w:rsidR="00202B87" w:rsidRPr="00202B87">
        <w:rPr>
          <w:rFonts w:ascii="Cambria" w:hAnsi="Cambria"/>
          <w:b/>
          <w:sz w:val="24"/>
          <w:szCs w:val="24"/>
        </w:rPr>
        <w:t xml:space="preserve"> bail conditions </w:t>
      </w:r>
    </w:p>
    <w:p w14:paraId="234A5894" w14:textId="5BE4DC51" w:rsidR="002C49F1" w:rsidRDefault="002C49F1" w:rsidP="002C49F1">
      <w:pPr>
        <w:spacing w:after="0" w:line="240" w:lineRule="auto"/>
        <w:jc w:val="both"/>
        <w:rPr>
          <w:rFonts w:ascii="Cambria" w:hAnsi="Cambria"/>
          <w:sz w:val="24"/>
          <w:szCs w:val="24"/>
        </w:rPr>
      </w:pPr>
    </w:p>
    <w:p w14:paraId="75E4FF84" w14:textId="5C67EB4F" w:rsidR="000D2DD7" w:rsidRDefault="000D2DD7" w:rsidP="002C49F1">
      <w:pPr>
        <w:spacing w:after="0" w:line="240" w:lineRule="auto"/>
        <w:jc w:val="both"/>
        <w:rPr>
          <w:rFonts w:ascii="Cambria" w:hAnsi="Cambria"/>
          <w:b/>
          <w:bCs/>
          <w:i/>
          <w:iCs/>
          <w:sz w:val="24"/>
          <w:szCs w:val="24"/>
        </w:rPr>
      </w:pPr>
      <w:r>
        <w:rPr>
          <w:rFonts w:ascii="Cambria" w:hAnsi="Cambria"/>
          <w:b/>
          <w:bCs/>
          <w:i/>
          <w:iCs/>
          <w:sz w:val="24"/>
          <w:szCs w:val="24"/>
        </w:rPr>
        <w:t>Legal provisions</w:t>
      </w:r>
    </w:p>
    <w:p w14:paraId="19BB220C" w14:textId="77777777" w:rsidR="000D2DD7" w:rsidRPr="000D2DD7" w:rsidRDefault="000D2DD7" w:rsidP="002C49F1">
      <w:pPr>
        <w:spacing w:after="0" w:line="240" w:lineRule="auto"/>
        <w:jc w:val="both"/>
        <w:rPr>
          <w:rFonts w:ascii="Cambria" w:hAnsi="Cambria"/>
          <w:b/>
          <w:bCs/>
          <w:i/>
          <w:iCs/>
          <w:sz w:val="24"/>
          <w:szCs w:val="24"/>
        </w:rPr>
      </w:pPr>
    </w:p>
    <w:p w14:paraId="308DBACD" w14:textId="1D7658FF" w:rsidR="00FA5CAF" w:rsidRPr="00912AE5" w:rsidRDefault="00FA5CAF" w:rsidP="002C49F1">
      <w:pPr>
        <w:spacing w:after="0" w:line="240" w:lineRule="auto"/>
        <w:jc w:val="both"/>
        <w:rPr>
          <w:rFonts w:ascii="Cambria" w:hAnsi="Cambria"/>
          <w:sz w:val="24"/>
          <w:szCs w:val="24"/>
        </w:rPr>
      </w:pPr>
      <w:r w:rsidRPr="00912AE5">
        <w:rPr>
          <w:rFonts w:ascii="Cambria" w:hAnsi="Cambria"/>
          <w:sz w:val="24"/>
          <w:szCs w:val="24"/>
        </w:rPr>
        <w:t>Section 7(1) of the Bail Act</w:t>
      </w:r>
      <w:r w:rsidR="00202B87">
        <w:rPr>
          <w:rFonts w:ascii="Cambria" w:hAnsi="Cambria"/>
          <w:sz w:val="24"/>
          <w:szCs w:val="24"/>
        </w:rPr>
        <w:t xml:space="preserve"> </w:t>
      </w:r>
      <w:r w:rsidR="00202B87" w:rsidRPr="00202B87">
        <w:rPr>
          <w:rFonts w:ascii="Cambria" w:hAnsi="Cambria"/>
          <w:sz w:val="24"/>
          <w:szCs w:val="24"/>
        </w:rPr>
        <w:t>(No. 30 of 1997)</w:t>
      </w:r>
      <w:r w:rsidRPr="00912AE5">
        <w:rPr>
          <w:rFonts w:ascii="Cambria" w:hAnsi="Cambria"/>
          <w:sz w:val="24"/>
          <w:szCs w:val="24"/>
        </w:rPr>
        <w:t xml:space="preserve"> lists the conditions upon which a </w:t>
      </w:r>
      <w:r w:rsidR="000D2DD7">
        <w:rPr>
          <w:rFonts w:ascii="Cambria" w:hAnsi="Cambria"/>
          <w:sz w:val="24"/>
          <w:szCs w:val="24"/>
        </w:rPr>
        <w:t xml:space="preserve">person </w:t>
      </w:r>
      <w:r w:rsidRPr="00912AE5">
        <w:rPr>
          <w:rFonts w:ascii="Cambria" w:hAnsi="Cambria"/>
          <w:sz w:val="24"/>
          <w:szCs w:val="24"/>
        </w:rPr>
        <w:t>may be releas</w:t>
      </w:r>
      <w:r>
        <w:rPr>
          <w:rFonts w:ascii="Cambria" w:hAnsi="Cambria"/>
          <w:sz w:val="24"/>
          <w:szCs w:val="24"/>
        </w:rPr>
        <w:t>ed</w:t>
      </w:r>
      <w:r w:rsidR="000D2DD7">
        <w:rPr>
          <w:rFonts w:ascii="Cambria" w:hAnsi="Cambria"/>
          <w:sz w:val="24"/>
          <w:szCs w:val="24"/>
        </w:rPr>
        <w:t xml:space="preserve"> on bail</w:t>
      </w:r>
      <w:r>
        <w:rPr>
          <w:rFonts w:ascii="Cambria" w:hAnsi="Cambria"/>
          <w:sz w:val="24"/>
          <w:szCs w:val="24"/>
        </w:rPr>
        <w:t xml:space="preserve">. This includes, </w:t>
      </w:r>
    </w:p>
    <w:p w14:paraId="65E36128" w14:textId="77777777" w:rsidR="002C49F1" w:rsidRDefault="002C49F1" w:rsidP="002C49F1">
      <w:pPr>
        <w:spacing w:after="0" w:line="240" w:lineRule="auto"/>
        <w:jc w:val="both"/>
        <w:rPr>
          <w:rFonts w:ascii="Cambria" w:hAnsi="Cambria"/>
          <w:sz w:val="24"/>
          <w:szCs w:val="24"/>
        </w:rPr>
      </w:pPr>
    </w:p>
    <w:p w14:paraId="48440657" w14:textId="7634E288" w:rsidR="00FA5CAF" w:rsidRPr="00912AE5" w:rsidRDefault="00FA5CAF" w:rsidP="002C49F1">
      <w:pPr>
        <w:spacing w:after="0" w:line="240" w:lineRule="auto"/>
        <w:jc w:val="both"/>
        <w:rPr>
          <w:rFonts w:ascii="Cambria" w:hAnsi="Cambria"/>
          <w:sz w:val="24"/>
          <w:szCs w:val="24"/>
        </w:rPr>
      </w:pPr>
      <w:r w:rsidRPr="00912AE5">
        <w:rPr>
          <w:rFonts w:ascii="Cambria" w:hAnsi="Cambria"/>
          <w:sz w:val="24"/>
          <w:szCs w:val="24"/>
        </w:rPr>
        <w:t xml:space="preserve">(a) on an undertaking given </w:t>
      </w:r>
      <w:r>
        <w:rPr>
          <w:rFonts w:ascii="Cambria" w:hAnsi="Cambria"/>
          <w:sz w:val="24"/>
          <w:szCs w:val="24"/>
        </w:rPr>
        <w:t>by him to appear when required;</w:t>
      </w:r>
    </w:p>
    <w:p w14:paraId="74B41676" w14:textId="77777777" w:rsidR="00FA5CAF" w:rsidRPr="00912AE5" w:rsidRDefault="00FA5CAF" w:rsidP="002C49F1">
      <w:pPr>
        <w:spacing w:after="0" w:line="240" w:lineRule="auto"/>
        <w:jc w:val="both"/>
        <w:rPr>
          <w:rFonts w:ascii="Cambria" w:hAnsi="Cambria"/>
          <w:sz w:val="24"/>
          <w:szCs w:val="24"/>
        </w:rPr>
      </w:pPr>
      <w:r w:rsidRPr="00912AE5">
        <w:rPr>
          <w:rFonts w:ascii="Cambria" w:hAnsi="Cambria"/>
          <w:sz w:val="24"/>
          <w:szCs w:val="24"/>
        </w:rPr>
        <w:t>(b) on his own recognizanc</w:t>
      </w:r>
      <w:r>
        <w:rPr>
          <w:rFonts w:ascii="Cambria" w:hAnsi="Cambria"/>
          <w:sz w:val="24"/>
          <w:szCs w:val="24"/>
        </w:rPr>
        <w:t>e;</w:t>
      </w:r>
    </w:p>
    <w:p w14:paraId="3BCEAB6C" w14:textId="77777777" w:rsidR="00FA5CAF" w:rsidRPr="00912AE5" w:rsidRDefault="00FA5CAF" w:rsidP="002C49F1">
      <w:pPr>
        <w:spacing w:after="0" w:line="240" w:lineRule="auto"/>
        <w:jc w:val="both"/>
        <w:rPr>
          <w:rFonts w:ascii="Cambria" w:hAnsi="Cambria"/>
          <w:sz w:val="24"/>
          <w:szCs w:val="24"/>
        </w:rPr>
      </w:pPr>
      <w:r w:rsidRPr="00912AE5">
        <w:rPr>
          <w:rFonts w:ascii="Cambria" w:hAnsi="Cambria"/>
          <w:sz w:val="24"/>
          <w:szCs w:val="24"/>
        </w:rPr>
        <w:t xml:space="preserve">(c) on his executing a </w:t>
      </w:r>
      <w:r>
        <w:rPr>
          <w:rFonts w:ascii="Cambria" w:hAnsi="Cambria"/>
          <w:sz w:val="24"/>
          <w:szCs w:val="24"/>
        </w:rPr>
        <w:t>bond with one or more sureties;</w:t>
      </w:r>
    </w:p>
    <w:p w14:paraId="02932023" w14:textId="77777777" w:rsidR="00FA5CAF" w:rsidRPr="00912AE5" w:rsidRDefault="00FA5CAF" w:rsidP="002C49F1">
      <w:pPr>
        <w:spacing w:after="0" w:line="240" w:lineRule="auto"/>
        <w:jc w:val="both"/>
        <w:rPr>
          <w:rFonts w:ascii="Cambria" w:hAnsi="Cambria"/>
          <w:sz w:val="24"/>
          <w:szCs w:val="24"/>
        </w:rPr>
      </w:pPr>
      <w:r w:rsidRPr="00912AE5">
        <w:rPr>
          <w:rFonts w:ascii="Cambria" w:hAnsi="Cambria"/>
          <w:sz w:val="24"/>
          <w:szCs w:val="24"/>
        </w:rPr>
        <w:t>(d) on his depositing a reasonable sum of m</w:t>
      </w:r>
      <w:r>
        <w:rPr>
          <w:rFonts w:ascii="Cambria" w:hAnsi="Cambria"/>
          <w:sz w:val="24"/>
          <w:szCs w:val="24"/>
        </w:rPr>
        <w:t>oney as determined by court; or</w:t>
      </w:r>
    </w:p>
    <w:p w14:paraId="61448048" w14:textId="77777777" w:rsidR="00FA5CAF" w:rsidRDefault="00FA5CAF" w:rsidP="002C49F1">
      <w:pPr>
        <w:spacing w:after="0" w:line="240" w:lineRule="auto"/>
        <w:jc w:val="both"/>
        <w:rPr>
          <w:rFonts w:ascii="Cambria" w:hAnsi="Cambria"/>
          <w:sz w:val="24"/>
          <w:szCs w:val="24"/>
        </w:rPr>
      </w:pPr>
      <w:r w:rsidRPr="00912AE5">
        <w:rPr>
          <w:rFonts w:ascii="Cambria" w:hAnsi="Cambria"/>
          <w:sz w:val="24"/>
          <w:szCs w:val="24"/>
        </w:rPr>
        <w:t>(e) on his furnishing reasonable certified bail of the description ordered by court: provided that where the person has appeared before court on summons and is ordered to be released, he shall be enlarged on his own recognizance or on his giving an undertaking to appear when required, unless for reasons to be recorded, the court orders otherwise.</w:t>
      </w:r>
    </w:p>
    <w:p w14:paraId="7E0482B1" w14:textId="344838AD" w:rsidR="002C49F1" w:rsidRDefault="002C49F1" w:rsidP="002C49F1">
      <w:pPr>
        <w:spacing w:after="0" w:line="240" w:lineRule="auto"/>
        <w:jc w:val="both"/>
        <w:rPr>
          <w:rFonts w:ascii="Cambria" w:hAnsi="Cambria"/>
          <w:sz w:val="24"/>
          <w:szCs w:val="24"/>
        </w:rPr>
      </w:pPr>
    </w:p>
    <w:p w14:paraId="51B31B77" w14:textId="77777777" w:rsidR="000D2DD7" w:rsidRDefault="000D2DD7" w:rsidP="002C49F1">
      <w:pPr>
        <w:spacing w:after="0" w:line="240" w:lineRule="auto"/>
        <w:jc w:val="both"/>
        <w:rPr>
          <w:rFonts w:ascii="Cambria" w:hAnsi="Cambria"/>
          <w:sz w:val="24"/>
          <w:szCs w:val="24"/>
        </w:rPr>
      </w:pPr>
    </w:p>
    <w:p w14:paraId="74610FEF" w14:textId="33969E6B" w:rsidR="000D2DD7" w:rsidRPr="000D2DD7" w:rsidRDefault="000D2DD7" w:rsidP="002C49F1">
      <w:pPr>
        <w:spacing w:after="0" w:line="240" w:lineRule="auto"/>
        <w:jc w:val="both"/>
        <w:rPr>
          <w:rFonts w:ascii="Cambria" w:hAnsi="Cambria"/>
          <w:b/>
          <w:bCs/>
          <w:i/>
          <w:iCs/>
          <w:sz w:val="24"/>
          <w:szCs w:val="24"/>
        </w:rPr>
      </w:pPr>
      <w:r>
        <w:rPr>
          <w:rFonts w:ascii="Cambria" w:hAnsi="Cambria"/>
          <w:b/>
          <w:bCs/>
          <w:i/>
          <w:iCs/>
          <w:sz w:val="24"/>
          <w:szCs w:val="24"/>
        </w:rPr>
        <w:t xml:space="preserve">Analysis </w:t>
      </w:r>
    </w:p>
    <w:p w14:paraId="089BCBC4" w14:textId="77777777" w:rsidR="000D2DD7" w:rsidRDefault="000D2DD7" w:rsidP="002C49F1">
      <w:pPr>
        <w:spacing w:after="0" w:line="240" w:lineRule="auto"/>
        <w:jc w:val="both"/>
        <w:rPr>
          <w:rFonts w:ascii="Cambria" w:hAnsi="Cambria"/>
          <w:sz w:val="24"/>
          <w:szCs w:val="24"/>
        </w:rPr>
      </w:pPr>
    </w:p>
    <w:p w14:paraId="1BFA3263" w14:textId="422DBB49" w:rsidR="00912AE5" w:rsidRDefault="00912AE5" w:rsidP="002C49F1">
      <w:pPr>
        <w:spacing w:after="0" w:line="240" w:lineRule="auto"/>
        <w:jc w:val="both"/>
        <w:rPr>
          <w:rFonts w:ascii="Cambria" w:hAnsi="Cambria"/>
          <w:sz w:val="24"/>
          <w:szCs w:val="24"/>
        </w:rPr>
      </w:pPr>
      <w:r>
        <w:rPr>
          <w:rFonts w:ascii="Cambria" w:hAnsi="Cambria"/>
          <w:sz w:val="24"/>
          <w:szCs w:val="24"/>
        </w:rPr>
        <w:t>According to the prison study conducted by HRCSL, persons were found in</w:t>
      </w:r>
      <w:r w:rsidR="00EA6C36">
        <w:rPr>
          <w:rFonts w:ascii="Cambria" w:hAnsi="Cambria"/>
          <w:sz w:val="24"/>
          <w:szCs w:val="24"/>
        </w:rPr>
        <w:t xml:space="preserve"> prolonged</w:t>
      </w:r>
      <w:r>
        <w:rPr>
          <w:rFonts w:ascii="Cambria" w:hAnsi="Cambria"/>
          <w:sz w:val="24"/>
          <w:szCs w:val="24"/>
        </w:rPr>
        <w:t xml:space="preserve"> pretrial detention</w:t>
      </w:r>
      <w:r w:rsidR="00EA6C36">
        <w:rPr>
          <w:rFonts w:ascii="Cambria" w:hAnsi="Cambria"/>
          <w:sz w:val="24"/>
          <w:szCs w:val="24"/>
        </w:rPr>
        <w:t xml:space="preserve"> despite being awarded bail,</w:t>
      </w:r>
      <w:r>
        <w:rPr>
          <w:rFonts w:ascii="Cambria" w:hAnsi="Cambria"/>
          <w:sz w:val="24"/>
          <w:szCs w:val="24"/>
        </w:rPr>
        <w:t xml:space="preserve"> </w:t>
      </w:r>
      <w:r w:rsidR="000D2DD7">
        <w:rPr>
          <w:rFonts w:ascii="Cambria" w:hAnsi="Cambria"/>
          <w:sz w:val="24"/>
          <w:szCs w:val="24"/>
        </w:rPr>
        <w:t>due to the inability</w:t>
      </w:r>
      <w:r>
        <w:rPr>
          <w:rFonts w:ascii="Cambria" w:hAnsi="Cambria"/>
          <w:sz w:val="24"/>
          <w:szCs w:val="24"/>
        </w:rPr>
        <w:t xml:space="preserve"> to s</w:t>
      </w:r>
      <w:r w:rsidR="00EA6C36">
        <w:rPr>
          <w:rFonts w:ascii="Cambria" w:hAnsi="Cambria"/>
          <w:sz w:val="24"/>
          <w:szCs w:val="24"/>
        </w:rPr>
        <w:t>atisfy onerous bail conditions. T</w:t>
      </w:r>
      <w:r>
        <w:rPr>
          <w:rFonts w:ascii="Cambria" w:hAnsi="Cambria"/>
          <w:sz w:val="24"/>
          <w:szCs w:val="24"/>
        </w:rPr>
        <w:t xml:space="preserve">his was particularly so for persons </w:t>
      </w:r>
      <w:r w:rsidR="00EA6C36">
        <w:rPr>
          <w:rFonts w:ascii="Cambria" w:hAnsi="Cambria"/>
          <w:sz w:val="24"/>
          <w:szCs w:val="24"/>
        </w:rPr>
        <w:t xml:space="preserve">from economically marginalized backgrounds who </w:t>
      </w:r>
      <w:r w:rsidR="004D1396">
        <w:rPr>
          <w:rFonts w:ascii="Cambria" w:hAnsi="Cambria"/>
          <w:sz w:val="24"/>
          <w:szCs w:val="24"/>
        </w:rPr>
        <w:t>‘</w:t>
      </w:r>
      <w:r w:rsidR="00EA6C36" w:rsidRPr="00EA6C36">
        <w:rPr>
          <w:rFonts w:ascii="Cambria" w:hAnsi="Cambria"/>
          <w:sz w:val="24"/>
          <w:szCs w:val="24"/>
        </w:rPr>
        <w:t>most often were found to be unable to fulfill the monetary conditions of bail, thereby leading to the deprivation of their liberty being caused by their financial status rather than a reason established in law.</w:t>
      </w:r>
      <w:r w:rsidR="00EA6C36">
        <w:rPr>
          <w:rFonts w:ascii="Cambria" w:hAnsi="Cambria"/>
          <w:sz w:val="24"/>
          <w:szCs w:val="24"/>
        </w:rPr>
        <w:t>’</w:t>
      </w:r>
      <w:r w:rsidR="00705CA3">
        <w:rPr>
          <w:rStyle w:val="FootnoteReference"/>
          <w:rFonts w:ascii="Cambria" w:hAnsi="Cambria"/>
          <w:sz w:val="24"/>
          <w:szCs w:val="24"/>
        </w:rPr>
        <w:footnoteReference w:id="15"/>
      </w:r>
    </w:p>
    <w:p w14:paraId="4ADCCDEF" w14:textId="77777777" w:rsidR="000D2DD7" w:rsidRDefault="000D2DD7" w:rsidP="002C49F1">
      <w:pPr>
        <w:spacing w:after="0" w:line="240" w:lineRule="auto"/>
        <w:jc w:val="both"/>
        <w:rPr>
          <w:rFonts w:ascii="Cambria" w:hAnsi="Cambria"/>
          <w:sz w:val="24"/>
          <w:szCs w:val="24"/>
        </w:rPr>
      </w:pPr>
    </w:p>
    <w:p w14:paraId="0850F666" w14:textId="10C33664" w:rsidR="00D87476" w:rsidRDefault="00EA6C36" w:rsidP="000D2DD7">
      <w:pPr>
        <w:spacing w:after="0" w:line="240" w:lineRule="auto"/>
        <w:jc w:val="both"/>
        <w:rPr>
          <w:rFonts w:ascii="Cambria" w:hAnsi="Cambria"/>
          <w:sz w:val="24"/>
          <w:szCs w:val="24"/>
        </w:rPr>
      </w:pPr>
      <w:r>
        <w:rPr>
          <w:rFonts w:ascii="Cambria" w:hAnsi="Cambria"/>
          <w:sz w:val="24"/>
          <w:szCs w:val="24"/>
        </w:rPr>
        <w:t>The right of all persons to</w:t>
      </w:r>
      <w:r w:rsidRPr="00EA6C36">
        <w:rPr>
          <w:rFonts w:ascii="Cambria" w:hAnsi="Cambria"/>
          <w:sz w:val="24"/>
          <w:szCs w:val="24"/>
        </w:rPr>
        <w:t xml:space="preserve"> be equal before courts and tribunals</w:t>
      </w:r>
      <w:r>
        <w:rPr>
          <w:rFonts w:ascii="Cambria" w:hAnsi="Cambria"/>
          <w:sz w:val="24"/>
          <w:szCs w:val="24"/>
        </w:rPr>
        <w:t xml:space="preserve"> as enshrined in Article 14 of the ICCPR is not fulfilled when persons from marginalized backgrounds find themselves in disadvantaged positions and risk being </w:t>
      </w:r>
      <w:r w:rsidR="00BA4489">
        <w:rPr>
          <w:rFonts w:ascii="Cambria" w:hAnsi="Cambria"/>
          <w:sz w:val="24"/>
          <w:szCs w:val="24"/>
        </w:rPr>
        <w:t>imprisoned</w:t>
      </w:r>
      <w:r>
        <w:rPr>
          <w:rFonts w:ascii="Cambria" w:hAnsi="Cambria"/>
          <w:sz w:val="24"/>
          <w:szCs w:val="24"/>
        </w:rPr>
        <w:t xml:space="preserve"> due to their </w:t>
      </w:r>
      <w:r w:rsidR="00BA4489">
        <w:rPr>
          <w:rFonts w:ascii="Cambria" w:hAnsi="Cambria"/>
          <w:sz w:val="24"/>
          <w:szCs w:val="24"/>
        </w:rPr>
        <w:t>economic</w:t>
      </w:r>
      <w:r>
        <w:rPr>
          <w:rFonts w:ascii="Cambria" w:hAnsi="Cambria"/>
          <w:sz w:val="24"/>
          <w:szCs w:val="24"/>
        </w:rPr>
        <w:t xml:space="preserve"> status. </w:t>
      </w:r>
      <w:r w:rsidRPr="00EA6C36">
        <w:rPr>
          <w:rFonts w:ascii="Cambria" w:hAnsi="Cambria"/>
          <w:sz w:val="24"/>
          <w:szCs w:val="24"/>
        </w:rPr>
        <w:t xml:space="preserve">The Monitoring Committee of the International Convention on the Elimination of All Forms of </w:t>
      </w:r>
      <w:r w:rsidRPr="00EA6C36">
        <w:rPr>
          <w:rFonts w:ascii="Cambria" w:hAnsi="Cambria"/>
          <w:sz w:val="24"/>
          <w:szCs w:val="24"/>
        </w:rPr>
        <w:lastRenderedPageBreak/>
        <w:t>Racial Discriminati</w:t>
      </w:r>
      <w:r>
        <w:rPr>
          <w:rFonts w:ascii="Cambria" w:hAnsi="Cambria"/>
          <w:sz w:val="24"/>
          <w:szCs w:val="24"/>
        </w:rPr>
        <w:t>on (</w:t>
      </w:r>
      <w:r w:rsidRPr="00EA6C36">
        <w:rPr>
          <w:rFonts w:ascii="Cambria" w:hAnsi="Cambria"/>
          <w:sz w:val="24"/>
          <w:szCs w:val="24"/>
        </w:rPr>
        <w:t>CERD) requires that ‘the requirement to deposit a guarantee or financial security in order to obtain release pending trial is applied in a manner appropriate to the situation of persons in vulnerable groups, who are often in straitened economic circumstances, so as to prevent the requirement from leading to discrimination against such persons’</w:t>
      </w:r>
      <w:r>
        <w:rPr>
          <w:rFonts w:ascii="Cambria" w:hAnsi="Cambria"/>
          <w:sz w:val="24"/>
          <w:szCs w:val="24"/>
        </w:rPr>
        <w:t>.</w:t>
      </w:r>
      <w:r>
        <w:rPr>
          <w:rStyle w:val="FootnoteReference"/>
          <w:rFonts w:ascii="Cambria" w:hAnsi="Cambria"/>
          <w:sz w:val="24"/>
          <w:szCs w:val="24"/>
        </w:rPr>
        <w:footnoteReference w:id="16"/>
      </w:r>
    </w:p>
    <w:p w14:paraId="2C0A4BDB" w14:textId="33BB48A6" w:rsidR="00A15FC1" w:rsidRDefault="00A15FC1" w:rsidP="000D2DD7">
      <w:pPr>
        <w:spacing w:after="0" w:line="240" w:lineRule="auto"/>
        <w:jc w:val="both"/>
        <w:rPr>
          <w:rFonts w:ascii="Cambria" w:hAnsi="Cambria"/>
          <w:sz w:val="24"/>
          <w:szCs w:val="24"/>
        </w:rPr>
      </w:pPr>
    </w:p>
    <w:p w14:paraId="32DEDF9A" w14:textId="21580D32" w:rsidR="00A15FC1" w:rsidRPr="00712170" w:rsidRDefault="00A15FC1" w:rsidP="000D2DD7">
      <w:pPr>
        <w:spacing w:after="0" w:line="240" w:lineRule="auto"/>
        <w:jc w:val="both"/>
        <w:rPr>
          <w:rFonts w:ascii="Cambria" w:hAnsi="Cambria"/>
          <w:b/>
          <w:sz w:val="24"/>
          <w:szCs w:val="24"/>
        </w:rPr>
      </w:pPr>
      <w:r w:rsidRPr="00712170">
        <w:rPr>
          <w:rFonts w:ascii="Cambria" w:hAnsi="Cambria"/>
          <w:b/>
          <w:sz w:val="24"/>
          <w:szCs w:val="24"/>
        </w:rPr>
        <w:t>Annex</w:t>
      </w:r>
    </w:p>
    <w:p w14:paraId="49FEFB46" w14:textId="4A812287" w:rsidR="00A15FC1" w:rsidRDefault="00A15FC1" w:rsidP="000D2DD7">
      <w:pPr>
        <w:spacing w:after="0" w:line="240" w:lineRule="auto"/>
        <w:jc w:val="both"/>
        <w:rPr>
          <w:rFonts w:ascii="Cambria" w:hAnsi="Cambria"/>
          <w:sz w:val="24"/>
          <w:szCs w:val="24"/>
        </w:rPr>
      </w:pPr>
    </w:p>
    <w:p w14:paraId="7C14C676" w14:textId="0C9903E3" w:rsidR="00A15FC1" w:rsidRPr="00A15FC1" w:rsidRDefault="00A15FC1" w:rsidP="00A15FC1">
      <w:pPr>
        <w:rPr>
          <w:rFonts w:ascii="Cambria" w:hAnsi="Cambria"/>
          <w:sz w:val="24"/>
          <w:szCs w:val="24"/>
          <w:lang w:val="fr-FR"/>
        </w:rPr>
      </w:pPr>
      <w:proofErr w:type="spellStart"/>
      <w:r w:rsidRPr="00A15FC1">
        <w:rPr>
          <w:rFonts w:ascii="Cambria" w:hAnsi="Cambria"/>
          <w:sz w:val="24"/>
          <w:szCs w:val="24"/>
          <w:lang w:val="fr-FR"/>
        </w:rPr>
        <w:t>Vagrants</w:t>
      </w:r>
      <w:proofErr w:type="spellEnd"/>
      <w:r w:rsidRPr="00A15FC1">
        <w:rPr>
          <w:rFonts w:ascii="Cambria" w:hAnsi="Cambria"/>
          <w:sz w:val="24"/>
          <w:szCs w:val="24"/>
          <w:lang w:val="fr-FR"/>
        </w:rPr>
        <w:t xml:space="preserve"> </w:t>
      </w:r>
      <w:proofErr w:type="spellStart"/>
      <w:r w:rsidRPr="00A15FC1">
        <w:rPr>
          <w:rFonts w:ascii="Cambria" w:hAnsi="Cambria"/>
          <w:sz w:val="24"/>
          <w:szCs w:val="24"/>
          <w:lang w:val="fr-FR"/>
        </w:rPr>
        <w:t>Ordinance</w:t>
      </w:r>
      <w:proofErr w:type="spellEnd"/>
      <w:r w:rsidRPr="00A15FC1">
        <w:rPr>
          <w:rFonts w:ascii="Cambria" w:hAnsi="Cambria"/>
          <w:sz w:val="24"/>
          <w:szCs w:val="24"/>
          <w:lang w:val="fr-FR"/>
        </w:rPr>
        <w:t>: </w:t>
      </w:r>
      <w:r w:rsidRPr="00A15FC1">
        <w:rPr>
          <w:rFonts w:ascii="Cambria" w:hAnsi="Cambria"/>
          <w:sz w:val="24"/>
          <w:szCs w:val="24"/>
          <w:lang w:val="fr-FR"/>
        </w:rPr>
        <w:br/>
      </w:r>
      <w:hyperlink r:id="rId8" w:history="1">
        <w:r w:rsidRPr="00712170">
          <w:rPr>
            <w:rStyle w:val="Hyperlink"/>
            <w:sz w:val="20"/>
            <w:szCs w:val="20"/>
            <w:lang w:val="en-GB"/>
          </w:rPr>
          <w:t>http://hrlibrary.umn.edu/research/srilanka/statutes/Vagrants_Ordinance.pdf</w:t>
        </w:r>
      </w:hyperlink>
    </w:p>
    <w:p w14:paraId="7F679063" w14:textId="34B4C4FC" w:rsidR="00A15FC1" w:rsidRPr="00A15FC1" w:rsidRDefault="00A15FC1" w:rsidP="00A15FC1">
      <w:pPr>
        <w:rPr>
          <w:rFonts w:ascii="Cambria" w:hAnsi="Cambria"/>
          <w:sz w:val="24"/>
          <w:szCs w:val="24"/>
        </w:rPr>
      </w:pPr>
      <w:r w:rsidRPr="00A15FC1">
        <w:rPr>
          <w:rFonts w:ascii="Cambria" w:hAnsi="Cambria"/>
          <w:sz w:val="24"/>
          <w:szCs w:val="24"/>
        </w:rPr>
        <w:t>Houses of Detention Ordinance: </w:t>
      </w:r>
      <w:r>
        <w:rPr>
          <w:rFonts w:ascii="Cambria" w:hAnsi="Cambria"/>
          <w:sz w:val="24"/>
          <w:szCs w:val="24"/>
        </w:rPr>
        <w:br/>
      </w:r>
      <w:hyperlink r:id="rId9" w:history="1">
        <w:r w:rsidRPr="00712170">
          <w:rPr>
            <w:rStyle w:val="Hyperlink"/>
            <w:sz w:val="20"/>
            <w:szCs w:val="20"/>
            <w:lang w:val="en-GB"/>
          </w:rPr>
          <w:t>http://hrlibrary.umn.edu/research/srilanka/statutes/Houses_of_Detention_Ordinance.pdf</w:t>
        </w:r>
      </w:hyperlink>
    </w:p>
    <w:p w14:paraId="02214221" w14:textId="538A7527" w:rsidR="00A15FC1" w:rsidRPr="00A15FC1" w:rsidRDefault="00A15FC1" w:rsidP="00A15FC1">
      <w:pPr>
        <w:rPr>
          <w:rFonts w:ascii="Cambria" w:hAnsi="Cambria"/>
          <w:sz w:val="24"/>
          <w:szCs w:val="24"/>
        </w:rPr>
      </w:pPr>
      <w:r w:rsidRPr="00A15FC1">
        <w:rPr>
          <w:rFonts w:ascii="Cambria" w:hAnsi="Cambria"/>
          <w:sz w:val="24"/>
          <w:szCs w:val="24"/>
        </w:rPr>
        <w:t>Code of Criminal Procedure: </w:t>
      </w:r>
      <w:r w:rsidRPr="00712170">
        <w:rPr>
          <w:rStyle w:val="Hyperlink"/>
          <w:sz w:val="20"/>
          <w:szCs w:val="20"/>
          <w:lang w:val="en-GB"/>
        </w:rPr>
        <w:br/>
      </w:r>
      <w:hyperlink r:id="rId10" w:history="1">
        <w:r w:rsidRPr="00712170">
          <w:rPr>
            <w:rStyle w:val="Hyperlink"/>
            <w:sz w:val="20"/>
            <w:szCs w:val="20"/>
            <w:lang w:val="en-GB"/>
          </w:rPr>
          <w:t>http://www.commonlii.org/lk/legis/num_act/cocpa15o1979276/</w:t>
        </w:r>
      </w:hyperlink>
      <w:bookmarkStart w:id="0" w:name="_GoBack"/>
      <w:bookmarkEnd w:id="0"/>
    </w:p>
    <w:p w14:paraId="571684C3" w14:textId="77777777" w:rsidR="00A15FC1" w:rsidRPr="00A15FC1" w:rsidRDefault="00A15FC1" w:rsidP="000D2DD7">
      <w:pPr>
        <w:spacing w:after="0" w:line="240" w:lineRule="auto"/>
        <w:jc w:val="both"/>
        <w:rPr>
          <w:rFonts w:ascii="Cambria" w:hAnsi="Cambria"/>
          <w:sz w:val="24"/>
          <w:szCs w:val="24"/>
        </w:rPr>
      </w:pPr>
    </w:p>
    <w:sectPr w:rsidR="00A15FC1" w:rsidRPr="00A15FC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C0766" w14:textId="77777777" w:rsidR="009C69CF" w:rsidRDefault="009C69CF" w:rsidP="00F3744A">
      <w:pPr>
        <w:spacing w:after="0" w:line="240" w:lineRule="auto"/>
      </w:pPr>
      <w:r>
        <w:separator/>
      </w:r>
    </w:p>
  </w:endnote>
  <w:endnote w:type="continuationSeparator" w:id="0">
    <w:p w14:paraId="2E8A37DF" w14:textId="77777777" w:rsidR="009C69CF" w:rsidRDefault="009C69CF" w:rsidP="00F3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4D"/>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718820"/>
      <w:docPartObj>
        <w:docPartGallery w:val="Page Numbers (Bottom of Page)"/>
        <w:docPartUnique/>
      </w:docPartObj>
    </w:sdtPr>
    <w:sdtEndPr>
      <w:rPr>
        <w:noProof/>
      </w:rPr>
    </w:sdtEndPr>
    <w:sdtContent>
      <w:p w14:paraId="1223D849" w14:textId="0D73BE19" w:rsidR="00827DC9" w:rsidRDefault="00827DC9">
        <w:pPr>
          <w:pStyle w:val="Footer"/>
          <w:jc w:val="center"/>
        </w:pPr>
        <w:r>
          <w:fldChar w:fldCharType="begin"/>
        </w:r>
        <w:r>
          <w:instrText xml:space="preserve"> PAGE   \* MERGEFORMAT </w:instrText>
        </w:r>
        <w:r>
          <w:fldChar w:fldCharType="separate"/>
        </w:r>
        <w:r w:rsidR="00712170">
          <w:rPr>
            <w:noProof/>
          </w:rPr>
          <w:t>1</w:t>
        </w:r>
        <w:r>
          <w:rPr>
            <w:noProof/>
          </w:rPr>
          <w:fldChar w:fldCharType="end"/>
        </w:r>
      </w:p>
    </w:sdtContent>
  </w:sdt>
  <w:p w14:paraId="042D2943" w14:textId="77777777" w:rsidR="00827DC9" w:rsidRDefault="0082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6AE86" w14:textId="77777777" w:rsidR="009C69CF" w:rsidRDefault="009C69CF" w:rsidP="00F3744A">
      <w:pPr>
        <w:spacing w:after="0" w:line="240" w:lineRule="auto"/>
      </w:pPr>
      <w:r>
        <w:separator/>
      </w:r>
    </w:p>
  </w:footnote>
  <w:footnote w:type="continuationSeparator" w:id="0">
    <w:p w14:paraId="244EB19F" w14:textId="77777777" w:rsidR="009C69CF" w:rsidRDefault="009C69CF" w:rsidP="00F3744A">
      <w:pPr>
        <w:spacing w:after="0" w:line="240" w:lineRule="auto"/>
      </w:pPr>
      <w:r>
        <w:continuationSeparator/>
      </w:r>
    </w:p>
  </w:footnote>
  <w:footnote w:id="1">
    <w:p w14:paraId="7CC3E2F1" w14:textId="77777777" w:rsidR="00705CA3" w:rsidRDefault="00FA5CAF"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713755" w:rsidRPr="00705CA3">
        <w:rPr>
          <w:rFonts w:ascii="Cambria" w:hAnsi="Cambria"/>
          <w:i/>
        </w:rPr>
        <w:t xml:space="preserve">Department of </w:t>
      </w:r>
      <w:r w:rsidRPr="00705CA3">
        <w:rPr>
          <w:rFonts w:ascii="Cambria" w:hAnsi="Cambria"/>
          <w:i/>
          <w:lang w:val="en-GB"/>
        </w:rPr>
        <w:t>Police</w:t>
      </w:r>
      <w:r w:rsidR="00713755" w:rsidRPr="00705CA3">
        <w:rPr>
          <w:rFonts w:ascii="Cambria" w:hAnsi="Cambria"/>
          <w:lang w:val="en-GB"/>
        </w:rPr>
        <w:t>,</w:t>
      </w:r>
      <w:r w:rsidRPr="00705CA3">
        <w:rPr>
          <w:rFonts w:ascii="Cambria" w:hAnsi="Cambria"/>
          <w:lang w:val="en-GB"/>
        </w:rPr>
        <w:t xml:space="preserve"> </w:t>
      </w:r>
      <w:r w:rsidR="00713755" w:rsidRPr="00705CA3">
        <w:rPr>
          <w:rFonts w:ascii="Cambria" w:hAnsi="Cambria"/>
          <w:lang w:val="en-GB"/>
        </w:rPr>
        <w:t xml:space="preserve">Annual </w:t>
      </w:r>
      <w:r w:rsidRPr="00705CA3">
        <w:rPr>
          <w:rFonts w:ascii="Cambria" w:hAnsi="Cambria"/>
          <w:lang w:val="en-GB"/>
        </w:rPr>
        <w:t>Performance Report</w:t>
      </w:r>
      <w:r w:rsidR="00713755" w:rsidRPr="00705CA3">
        <w:rPr>
          <w:rFonts w:ascii="Cambria" w:hAnsi="Cambria"/>
          <w:lang w:val="en-GB"/>
        </w:rPr>
        <w:t>, 2018.</w:t>
      </w:r>
    </w:p>
    <w:p w14:paraId="77DE7378" w14:textId="145FD4CF" w:rsidR="00FA5CAF" w:rsidRPr="00705CA3" w:rsidRDefault="00712170" w:rsidP="00705CA3">
      <w:pPr>
        <w:pStyle w:val="FootnoteText"/>
        <w:jc w:val="both"/>
        <w:rPr>
          <w:rFonts w:ascii="Cambria" w:hAnsi="Cambria"/>
          <w:lang w:val="en-GB"/>
        </w:rPr>
      </w:pPr>
      <w:hyperlink r:id="rId1" w:history="1">
        <w:r w:rsidR="00FA5CAF" w:rsidRPr="00705CA3">
          <w:rPr>
            <w:rStyle w:val="Hyperlink"/>
            <w:rFonts w:ascii="Cambria" w:hAnsi="Cambria"/>
            <w:lang w:val="en-GB"/>
          </w:rPr>
          <w:t>https://www.parliament.lk/uploads/documents/paperspresented/performance-report-srilanka-police-2018.pdf</w:t>
        </w:r>
      </w:hyperlink>
      <w:r w:rsidR="00FA5CAF" w:rsidRPr="00705CA3">
        <w:rPr>
          <w:rFonts w:ascii="Cambria" w:hAnsi="Cambria"/>
          <w:lang w:val="en-GB"/>
        </w:rPr>
        <w:t xml:space="preserve">; </w:t>
      </w:r>
    </w:p>
  </w:footnote>
  <w:footnote w:id="2">
    <w:p w14:paraId="66D8D602" w14:textId="6F896E6C" w:rsidR="00066F53" w:rsidRPr="00705CA3" w:rsidRDefault="00FA5CAF" w:rsidP="00705CA3">
      <w:pPr>
        <w:pStyle w:val="FootnoteText"/>
        <w:jc w:val="both"/>
        <w:rPr>
          <w:rFonts w:ascii="Cambria" w:hAnsi="Cambria"/>
        </w:rPr>
      </w:pPr>
      <w:r w:rsidRPr="00705CA3">
        <w:rPr>
          <w:rStyle w:val="FootnoteReference"/>
          <w:rFonts w:ascii="Cambria" w:hAnsi="Cambria"/>
        </w:rPr>
        <w:footnoteRef/>
      </w:r>
      <w:r w:rsidR="00066F53" w:rsidRPr="00705CA3">
        <w:rPr>
          <w:rFonts w:ascii="Cambria" w:hAnsi="Cambria"/>
        </w:rPr>
        <w:t xml:space="preserve"> </w:t>
      </w:r>
      <w:r w:rsidR="00066F53" w:rsidRPr="00705CA3">
        <w:rPr>
          <w:rFonts w:ascii="Cambria" w:hAnsi="Cambria"/>
          <w:i/>
        </w:rPr>
        <w:t>Equal Ground,</w:t>
      </w:r>
      <w:r w:rsidR="00066F53" w:rsidRPr="00705CA3">
        <w:rPr>
          <w:rFonts w:ascii="Cambria" w:hAnsi="Cambria"/>
        </w:rPr>
        <w:t xml:space="preserve"> Submission to the UN Universal Periodic Review regarding the protection of the rights of LGBTI</w:t>
      </w:r>
    </w:p>
    <w:p w14:paraId="2C00AB32" w14:textId="67ABF772" w:rsidR="00FA5CAF" w:rsidRPr="00705CA3" w:rsidRDefault="00066F53" w:rsidP="00705CA3">
      <w:pPr>
        <w:pStyle w:val="FootnoteText"/>
        <w:jc w:val="both"/>
        <w:rPr>
          <w:rFonts w:ascii="Cambria" w:hAnsi="Cambria"/>
          <w:lang w:val="en-GB"/>
        </w:rPr>
      </w:pPr>
      <w:r w:rsidRPr="00705CA3">
        <w:rPr>
          <w:rFonts w:ascii="Cambria" w:hAnsi="Cambria"/>
        </w:rPr>
        <w:t>persons in Sri Lanka, March 2017.</w:t>
      </w:r>
    </w:p>
  </w:footnote>
  <w:footnote w:id="3">
    <w:p w14:paraId="30B46685" w14:textId="29AA2E2F" w:rsidR="00FA5CAF" w:rsidRPr="00705CA3" w:rsidRDefault="00FA5CAF"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066F53" w:rsidRPr="00705CA3">
        <w:rPr>
          <w:rFonts w:ascii="Cambria" w:hAnsi="Cambria"/>
          <w:i/>
        </w:rPr>
        <w:t>Working Group on Arbitrary Detention</w:t>
      </w:r>
      <w:r w:rsidR="00066F53" w:rsidRPr="00705CA3">
        <w:rPr>
          <w:rFonts w:ascii="Cambria" w:hAnsi="Cambria"/>
        </w:rPr>
        <w:t xml:space="preserve">, Preliminary findings from its visit to Sri lanka (4 to 15 December 2017). </w:t>
      </w:r>
      <w:hyperlink r:id="rId2" w:history="1">
        <w:r w:rsidRPr="00705CA3">
          <w:rPr>
            <w:rStyle w:val="Hyperlink"/>
            <w:rFonts w:ascii="Cambria" w:hAnsi="Cambria"/>
          </w:rPr>
          <w:t>https://www.ohchr.org/EN/NewsEvents/Pages/DisplayNews.aspx?NewsID=22541</w:t>
        </w:r>
      </w:hyperlink>
      <w:r w:rsidRPr="00705CA3">
        <w:rPr>
          <w:rFonts w:ascii="Cambria" w:hAnsi="Cambria"/>
        </w:rPr>
        <w:t xml:space="preserve"> </w:t>
      </w:r>
    </w:p>
  </w:footnote>
  <w:footnote w:id="4">
    <w:p w14:paraId="13CDCF7D" w14:textId="261C9EAF" w:rsidR="00FA5CAF" w:rsidRPr="00705CA3" w:rsidRDefault="00FA5CAF"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705CA3" w:rsidRPr="00705CA3">
        <w:rPr>
          <w:rFonts w:ascii="Cambria" w:hAnsi="Cambria"/>
          <w:i/>
        </w:rPr>
        <w:t>Human Rights Commission of Sri Lanka</w:t>
      </w:r>
      <w:r w:rsidR="00705CA3" w:rsidRPr="00705CA3">
        <w:rPr>
          <w:rFonts w:ascii="Cambria" w:hAnsi="Cambria"/>
        </w:rPr>
        <w:t xml:space="preserve"> </w:t>
      </w:r>
      <w:r w:rsidRPr="00705CA3">
        <w:rPr>
          <w:rFonts w:ascii="Cambria" w:hAnsi="Cambria"/>
        </w:rPr>
        <w:t xml:space="preserve">‘Human Rights Report: </w:t>
      </w:r>
      <w:proofErr w:type="spellStart"/>
      <w:r w:rsidRPr="00705CA3">
        <w:rPr>
          <w:rFonts w:ascii="Cambria" w:hAnsi="Cambria"/>
        </w:rPr>
        <w:t>Methsevena</w:t>
      </w:r>
      <w:proofErr w:type="spellEnd"/>
      <w:r w:rsidRPr="00705CA3">
        <w:rPr>
          <w:rFonts w:ascii="Cambria" w:hAnsi="Cambria"/>
        </w:rPr>
        <w:t xml:space="preserve"> State Ho</w:t>
      </w:r>
      <w:r w:rsidR="00705CA3">
        <w:rPr>
          <w:rFonts w:ascii="Cambria" w:hAnsi="Cambria"/>
        </w:rPr>
        <w:t xml:space="preserve">use of Detention, </w:t>
      </w:r>
      <w:proofErr w:type="spellStart"/>
      <w:r w:rsidR="00705CA3">
        <w:rPr>
          <w:rFonts w:ascii="Cambria" w:hAnsi="Cambria"/>
        </w:rPr>
        <w:t>Gangodawila</w:t>
      </w:r>
      <w:proofErr w:type="spellEnd"/>
      <w:r w:rsidR="00705CA3">
        <w:rPr>
          <w:rFonts w:ascii="Cambria" w:hAnsi="Cambria"/>
        </w:rPr>
        <w:t>’</w:t>
      </w:r>
      <w:r w:rsidRPr="00705CA3">
        <w:rPr>
          <w:rFonts w:ascii="Cambria" w:hAnsi="Cambria"/>
        </w:rPr>
        <w:t>, 2004</w:t>
      </w:r>
      <w:r w:rsidR="00705CA3">
        <w:rPr>
          <w:rFonts w:ascii="Cambria" w:hAnsi="Cambria"/>
        </w:rPr>
        <w:t>.</w:t>
      </w:r>
      <w:r w:rsidRPr="00705CA3">
        <w:rPr>
          <w:rFonts w:ascii="Cambria" w:hAnsi="Cambria"/>
        </w:rPr>
        <w:t xml:space="preserve"> http://www.janasansadaya.org/uploads/files/Methsevena.pdf.</w:t>
      </w:r>
    </w:p>
  </w:footnote>
  <w:footnote w:id="5">
    <w:p w14:paraId="599DB9B6" w14:textId="18F4DD50" w:rsidR="004D1396" w:rsidRPr="00705CA3" w:rsidRDefault="004D1396" w:rsidP="00705CA3">
      <w:pPr>
        <w:pStyle w:val="FootnoteText"/>
        <w:jc w:val="both"/>
        <w:rPr>
          <w:rFonts w:ascii="Cambria" w:hAnsi="Cambria"/>
          <w:lang w:val="en-GB"/>
        </w:rPr>
      </w:pPr>
      <w:r w:rsidRPr="00705CA3">
        <w:rPr>
          <w:rStyle w:val="FootnoteReference"/>
          <w:rFonts w:ascii="Cambria" w:hAnsi="Cambria"/>
        </w:rPr>
        <w:footnoteRef/>
      </w:r>
      <w:r w:rsidR="00066F53" w:rsidRPr="00705CA3">
        <w:rPr>
          <w:rFonts w:ascii="Cambria" w:hAnsi="Cambria"/>
        </w:rPr>
        <w:t xml:space="preserve"> </w:t>
      </w:r>
      <w:r w:rsidR="00066F53" w:rsidRPr="00705CA3">
        <w:rPr>
          <w:rFonts w:ascii="Cambria" w:hAnsi="Cambria"/>
          <w:i/>
        </w:rPr>
        <w:t>Human Rights Committee</w:t>
      </w:r>
      <w:r w:rsidR="00066F53" w:rsidRPr="00705CA3">
        <w:rPr>
          <w:rFonts w:ascii="Cambria" w:hAnsi="Cambria"/>
        </w:rPr>
        <w:t xml:space="preserve">, </w:t>
      </w:r>
      <w:r w:rsidR="00066F53" w:rsidRPr="00705CA3">
        <w:rPr>
          <w:rFonts w:ascii="Cambria" w:hAnsi="Cambria"/>
          <w:lang w:val="en-GB"/>
        </w:rPr>
        <w:t xml:space="preserve">General Comment No.35 - Article 9: Liberty and Security of person, 2019. </w:t>
      </w:r>
      <w:hyperlink r:id="rId3" w:history="1">
        <w:r w:rsidR="00066F53" w:rsidRPr="00705CA3">
          <w:rPr>
            <w:rStyle w:val="Hyperlink"/>
            <w:rFonts w:ascii="Cambria" w:hAnsi="Cambria"/>
            <w:lang w:val="en-GB"/>
          </w:rPr>
          <w:t>https://docstore.ohchr.org/SelfServices/FilesHandler.ashx?enc=6QkG1d%2fPPRiCAqhKb7yhsrdB0H1l5979OVGGB%2bWPAXhNI9e0rX3cJImWwe%2fGBLmVrGmT01On6KBQgqmxPNIjrLLdefuuQjjN19BgOr%2fS93rKPWbCbgoJ4dRgDoh%2fXgwn</w:t>
        </w:r>
      </w:hyperlink>
      <w:r w:rsidR="00066F53" w:rsidRPr="00705CA3">
        <w:rPr>
          <w:rFonts w:ascii="Cambria" w:hAnsi="Cambria"/>
          <w:lang w:val="en-GB"/>
        </w:rPr>
        <w:t xml:space="preserve">  </w:t>
      </w:r>
    </w:p>
  </w:footnote>
  <w:footnote w:id="6">
    <w:p w14:paraId="45F1C856" w14:textId="4EE77166" w:rsidR="00FA5CAF" w:rsidRPr="00705CA3" w:rsidRDefault="00FA5CAF"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066F53" w:rsidRPr="00705CA3">
        <w:rPr>
          <w:rFonts w:ascii="Cambria" w:hAnsi="Cambria"/>
          <w:i/>
        </w:rPr>
        <w:t>Working Group on Arbitrary Detention</w:t>
      </w:r>
      <w:r w:rsidR="00066F53" w:rsidRPr="00705CA3">
        <w:rPr>
          <w:rFonts w:ascii="Cambria" w:hAnsi="Cambria"/>
        </w:rPr>
        <w:t xml:space="preserve">, Preliminary findings from its visit to Sri lanka (4 to 15 December 2017). </w:t>
      </w:r>
      <w:hyperlink r:id="rId4" w:history="1">
        <w:r w:rsidR="00066F53" w:rsidRPr="00705CA3">
          <w:rPr>
            <w:rStyle w:val="Hyperlink"/>
            <w:rFonts w:ascii="Cambria" w:hAnsi="Cambria"/>
          </w:rPr>
          <w:t>https://www.ohchr.org/EN/NewsEvents/Pages/DisplayNews.aspx?NewsID=22541</w:t>
        </w:r>
      </w:hyperlink>
    </w:p>
  </w:footnote>
  <w:footnote w:id="7">
    <w:p w14:paraId="679F5D83" w14:textId="04BC7622" w:rsidR="00FA5CAF" w:rsidRPr="00705CA3" w:rsidRDefault="00FA5CAF" w:rsidP="00705CA3">
      <w:pPr>
        <w:pStyle w:val="FootnoteText"/>
        <w:jc w:val="both"/>
        <w:rPr>
          <w:rFonts w:ascii="Cambria" w:hAnsi="Cambria"/>
          <w:lang w:val="en-GB"/>
        </w:rPr>
      </w:pPr>
      <w:r w:rsidRPr="00705CA3">
        <w:rPr>
          <w:rStyle w:val="FootnoteReference"/>
          <w:rFonts w:ascii="Cambria" w:hAnsi="Cambria"/>
        </w:rPr>
        <w:footnoteRef/>
      </w:r>
      <w:r w:rsidR="00066F53" w:rsidRPr="00705CA3">
        <w:rPr>
          <w:rFonts w:ascii="Cambria" w:hAnsi="Cambria"/>
        </w:rPr>
        <w:t xml:space="preserve"> </w:t>
      </w:r>
      <w:r w:rsidRPr="00705CA3">
        <w:rPr>
          <w:rFonts w:ascii="Cambria" w:hAnsi="Cambria"/>
        </w:rPr>
        <w:t xml:space="preserve"> </w:t>
      </w:r>
      <w:r w:rsidR="00066F53" w:rsidRPr="00705CA3">
        <w:rPr>
          <w:rFonts w:ascii="Cambria" w:hAnsi="Cambria"/>
          <w:i/>
        </w:rPr>
        <w:t>Human Rights Committee</w:t>
      </w:r>
      <w:r w:rsidR="00066F53" w:rsidRPr="00705CA3">
        <w:rPr>
          <w:rFonts w:ascii="Cambria" w:hAnsi="Cambria"/>
        </w:rPr>
        <w:t xml:space="preserve">, </w:t>
      </w:r>
      <w:r w:rsidR="00066F53" w:rsidRPr="00705CA3">
        <w:rPr>
          <w:rFonts w:ascii="Cambria" w:hAnsi="Cambria"/>
          <w:lang w:val="en-GB"/>
        </w:rPr>
        <w:t>General Comment No.</w:t>
      </w:r>
      <w:r w:rsidR="00705CA3">
        <w:rPr>
          <w:rFonts w:ascii="Cambria" w:hAnsi="Cambria"/>
          <w:lang w:val="en-GB"/>
        </w:rPr>
        <w:t xml:space="preserve"> </w:t>
      </w:r>
      <w:r w:rsidR="00066F53" w:rsidRPr="00705CA3">
        <w:rPr>
          <w:rFonts w:ascii="Cambria" w:hAnsi="Cambria"/>
          <w:lang w:val="en-GB"/>
        </w:rPr>
        <w:t xml:space="preserve">35 - Article 9: Liberty and Security of person, 2019. </w:t>
      </w:r>
      <w:hyperlink r:id="rId5" w:history="1">
        <w:r w:rsidR="00066F53" w:rsidRPr="00705CA3">
          <w:rPr>
            <w:rStyle w:val="Hyperlink"/>
            <w:rFonts w:ascii="Cambria" w:hAnsi="Cambria"/>
            <w:lang w:val="en-GB"/>
          </w:rPr>
          <w:t>https://docstore.ohchr.org/SelfServices/FilesHandler.ashx?enc=6QkG1d%2fPPRiCAqhKb7yhsrdB0H1l5979OVGGB%2bWPAXhNI9e0rX3cJImWwe%2fGBLmVrGmT01On6KBQgqmxPNIjrLLdefuuQjjN19BgOr%2fS93rKPWbCbgoJ4dRgDoh%2fXgwn</w:t>
        </w:r>
      </w:hyperlink>
      <w:r w:rsidR="00066F53" w:rsidRPr="00705CA3">
        <w:rPr>
          <w:rFonts w:ascii="Cambria" w:hAnsi="Cambria"/>
          <w:lang w:val="en-GB"/>
        </w:rPr>
        <w:t xml:space="preserve">  </w:t>
      </w:r>
    </w:p>
  </w:footnote>
  <w:footnote w:id="8">
    <w:p w14:paraId="366B00FF" w14:textId="77777777" w:rsidR="00705CA3" w:rsidRDefault="00202B87" w:rsidP="00705CA3">
      <w:pPr>
        <w:pStyle w:val="FootnoteText"/>
        <w:jc w:val="both"/>
        <w:rPr>
          <w:rFonts w:ascii="Cambria" w:hAnsi="Cambria"/>
        </w:rPr>
      </w:pPr>
      <w:r w:rsidRPr="00705CA3">
        <w:rPr>
          <w:rStyle w:val="FootnoteReference"/>
          <w:rFonts w:ascii="Cambria" w:hAnsi="Cambria"/>
        </w:rPr>
        <w:footnoteRef/>
      </w:r>
      <w:r w:rsidRPr="00705CA3">
        <w:rPr>
          <w:rFonts w:ascii="Cambria" w:hAnsi="Cambria"/>
        </w:rPr>
        <w:t xml:space="preserve"> </w:t>
      </w:r>
      <w:r w:rsidR="00AF0CC1" w:rsidRPr="00705CA3">
        <w:rPr>
          <w:rFonts w:ascii="Cambria" w:hAnsi="Cambria"/>
          <w:i/>
        </w:rPr>
        <w:t>Department of Prisons</w:t>
      </w:r>
      <w:r w:rsidR="00AF0CC1" w:rsidRPr="00705CA3">
        <w:rPr>
          <w:rFonts w:ascii="Cambria" w:hAnsi="Cambria"/>
        </w:rPr>
        <w:t xml:space="preserve">, Prison Statistics 2020, </w:t>
      </w:r>
    </w:p>
    <w:p w14:paraId="67D3555C" w14:textId="06E9122D" w:rsidR="00202B87" w:rsidRPr="00705CA3" w:rsidRDefault="00712170" w:rsidP="00705CA3">
      <w:pPr>
        <w:pStyle w:val="FootnoteText"/>
        <w:jc w:val="both"/>
        <w:rPr>
          <w:rFonts w:ascii="Cambria" w:hAnsi="Cambria"/>
          <w:lang w:val="en-GB"/>
        </w:rPr>
      </w:pPr>
      <w:hyperlink r:id="rId6" w:history="1">
        <w:r w:rsidR="00202B87" w:rsidRPr="00705CA3">
          <w:rPr>
            <w:rStyle w:val="Hyperlink"/>
            <w:rFonts w:ascii="Cambria" w:hAnsi="Cambria"/>
          </w:rPr>
          <w:t>http://prisons.gov.lk/web/wp-content/uploads/2021/05/prison-statistics-2021.pdf</w:t>
        </w:r>
      </w:hyperlink>
      <w:r w:rsidR="00202B87" w:rsidRPr="00705CA3">
        <w:rPr>
          <w:rFonts w:ascii="Cambria" w:hAnsi="Cambria"/>
        </w:rPr>
        <w:t xml:space="preserve"> </w:t>
      </w:r>
    </w:p>
  </w:footnote>
  <w:footnote w:id="9">
    <w:p w14:paraId="317EA468" w14:textId="75502066" w:rsidR="00202B87" w:rsidRPr="00705CA3" w:rsidRDefault="00202B87"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AF0CC1" w:rsidRPr="00705CA3">
        <w:rPr>
          <w:rFonts w:ascii="Cambria" w:hAnsi="Cambria"/>
          <w:i/>
          <w:lang w:val="en-GB"/>
        </w:rPr>
        <w:t>Human Rights Commission of Sri Lanka,</w:t>
      </w:r>
      <w:r w:rsidR="00AF0CC1" w:rsidRPr="00705CA3">
        <w:rPr>
          <w:rFonts w:ascii="Cambria" w:hAnsi="Cambria"/>
          <w:lang w:val="en-GB"/>
        </w:rPr>
        <w:t xml:space="preserve"> National Study of Prisons, 2020 – chapter: Legal and Judicial Proceedings. </w:t>
      </w:r>
      <w:hyperlink r:id="rId7" w:history="1">
        <w:r w:rsidR="00AF0CC1" w:rsidRPr="00705CA3">
          <w:rPr>
            <w:rStyle w:val="Hyperlink"/>
            <w:rFonts w:ascii="Cambria" w:hAnsi="Cambria"/>
            <w:lang w:val="en-GB"/>
          </w:rPr>
          <w:t>https://www.hrcsl.lk/wp-content/uploads/2020/01/Prison-Report-Final-2.pdf</w:t>
        </w:r>
      </w:hyperlink>
      <w:r w:rsidR="00AF0CC1" w:rsidRPr="00705CA3">
        <w:rPr>
          <w:rFonts w:ascii="Cambria" w:hAnsi="Cambria"/>
          <w:lang w:val="en-GB"/>
        </w:rPr>
        <w:t xml:space="preserve"> </w:t>
      </w:r>
    </w:p>
  </w:footnote>
  <w:footnote w:id="10">
    <w:p w14:paraId="6275F887" w14:textId="337F3D4A" w:rsidR="00202B87" w:rsidRPr="00705CA3" w:rsidRDefault="00202B87"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AF0CC1" w:rsidRPr="00705CA3">
        <w:rPr>
          <w:rFonts w:ascii="Cambria" w:hAnsi="Cambria"/>
          <w:i/>
        </w:rPr>
        <w:t>Ambika Satkunanathan</w:t>
      </w:r>
      <w:r w:rsidR="00AF0CC1" w:rsidRPr="00705CA3">
        <w:rPr>
          <w:rFonts w:ascii="Cambria" w:hAnsi="Cambria"/>
        </w:rPr>
        <w:t xml:space="preserve">, </w:t>
      </w:r>
      <w:r w:rsidR="00705CA3">
        <w:rPr>
          <w:rFonts w:ascii="Cambria" w:hAnsi="Cambria"/>
        </w:rPr>
        <w:t>‘</w:t>
      </w:r>
      <w:r w:rsidR="00AF0CC1" w:rsidRPr="00705CA3">
        <w:rPr>
          <w:rFonts w:ascii="Cambria" w:hAnsi="Cambria"/>
        </w:rPr>
        <w:t>A Broken System: Drug Control, Detention and Treatment of People Who Use Drugs in Sri Lanka</w:t>
      </w:r>
      <w:r w:rsidR="00705CA3">
        <w:rPr>
          <w:rFonts w:ascii="Cambria" w:hAnsi="Cambria"/>
        </w:rPr>
        <w:t>’</w:t>
      </w:r>
      <w:r w:rsidR="00AF0CC1" w:rsidRPr="00705CA3">
        <w:rPr>
          <w:rFonts w:ascii="Cambria" w:hAnsi="Cambria"/>
        </w:rPr>
        <w:t xml:space="preserve">. 2021, Harm Reduction International </w:t>
      </w:r>
      <w:hyperlink r:id="rId8" w:history="1">
        <w:r w:rsidRPr="00705CA3">
          <w:rPr>
            <w:rStyle w:val="Hyperlink"/>
            <w:rFonts w:ascii="Cambria" w:hAnsi="Cambria"/>
          </w:rPr>
          <w:t>https://www.hri.global/files/2021/08/03/HRI_Report_-_Sri_Lanka_Drug_Control.pdf</w:t>
        </w:r>
      </w:hyperlink>
      <w:r w:rsidRPr="00705CA3">
        <w:rPr>
          <w:rFonts w:ascii="Cambria" w:hAnsi="Cambria"/>
        </w:rPr>
        <w:t xml:space="preserve"> </w:t>
      </w:r>
    </w:p>
  </w:footnote>
  <w:footnote w:id="11">
    <w:p w14:paraId="62CC4F92" w14:textId="77777777" w:rsidR="00A76CF0" w:rsidRPr="00705CA3" w:rsidRDefault="00A76CF0"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Pr="00705CA3">
        <w:rPr>
          <w:rFonts w:ascii="Cambria" w:hAnsi="Cambria"/>
          <w:lang w:val="en-GB"/>
        </w:rPr>
        <w:t>Ibid</w:t>
      </w:r>
    </w:p>
  </w:footnote>
  <w:footnote w:id="12">
    <w:p w14:paraId="53158FE5" w14:textId="189652B5" w:rsidR="00202B87" w:rsidRPr="00705CA3" w:rsidRDefault="00202B87"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AF0CC1" w:rsidRPr="00705CA3">
        <w:rPr>
          <w:rFonts w:ascii="Cambria" w:hAnsi="Cambria"/>
          <w:i/>
          <w:lang w:val="en-GB"/>
        </w:rPr>
        <w:t>Human Rights Commission of Sri Lanka,</w:t>
      </w:r>
      <w:r w:rsidR="00AF0CC1" w:rsidRPr="00705CA3">
        <w:rPr>
          <w:rFonts w:ascii="Cambria" w:hAnsi="Cambria"/>
          <w:lang w:val="en-GB"/>
        </w:rPr>
        <w:t xml:space="preserve"> National Study of Prisons, 2020 – chapter: Legal and Judicial Proceedings.</w:t>
      </w:r>
      <w:hyperlink r:id="rId9" w:history="1">
        <w:r w:rsidR="00AF0CC1" w:rsidRPr="00705CA3">
          <w:rPr>
            <w:rStyle w:val="Hyperlink"/>
            <w:rFonts w:ascii="Cambria" w:hAnsi="Cambria"/>
            <w:lang w:val="en-GB"/>
          </w:rPr>
          <w:t>https://www.hrcsl.lk/wp-content/uploads/2020/01/Prison-Report-Final-2.pdf</w:t>
        </w:r>
      </w:hyperlink>
    </w:p>
  </w:footnote>
  <w:footnote w:id="13">
    <w:p w14:paraId="7D3E27B1" w14:textId="379B8FD3" w:rsidR="00202B87" w:rsidRPr="00705CA3" w:rsidRDefault="00202B87"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AF0CC1" w:rsidRPr="00705CA3">
        <w:rPr>
          <w:rFonts w:ascii="Cambria" w:hAnsi="Cambria"/>
          <w:i/>
          <w:lang w:val="en-GB"/>
        </w:rPr>
        <w:t>Human Rights Commission of Sri Lanka,</w:t>
      </w:r>
      <w:r w:rsidR="00AF0CC1" w:rsidRPr="00705CA3">
        <w:rPr>
          <w:rFonts w:ascii="Cambria" w:hAnsi="Cambria"/>
          <w:lang w:val="en-GB"/>
        </w:rPr>
        <w:t xml:space="preserve"> National Study of Prisons, 2020 – chapter: Non-custodial Measures. </w:t>
      </w:r>
      <w:hyperlink r:id="rId10" w:history="1">
        <w:r w:rsidR="00AF0CC1" w:rsidRPr="00705CA3">
          <w:rPr>
            <w:rStyle w:val="Hyperlink"/>
            <w:rFonts w:ascii="Cambria" w:hAnsi="Cambria"/>
            <w:lang w:val="en-GB"/>
          </w:rPr>
          <w:t>https://www.hrcsl.lk/wp-content/uploads/2020/01/Prison-Report-Final-2.pdf</w:t>
        </w:r>
      </w:hyperlink>
    </w:p>
  </w:footnote>
  <w:footnote w:id="14">
    <w:p w14:paraId="5485B9E5" w14:textId="38A52B79" w:rsidR="00202B87" w:rsidRPr="00705CA3" w:rsidRDefault="00202B87"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00AF0CC1" w:rsidRPr="00705CA3">
        <w:rPr>
          <w:rFonts w:ascii="Cambria" w:hAnsi="Cambria"/>
        </w:rPr>
        <w:t xml:space="preserve">United Nations System Common Position on Incarceration, 2021 </w:t>
      </w:r>
      <w:hyperlink r:id="rId11" w:history="1">
        <w:r w:rsidRPr="00705CA3">
          <w:rPr>
            <w:rStyle w:val="Hyperlink"/>
            <w:rFonts w:ascii="Cambria" w:hAnsi="Cambria"/>
          </w:rPr>
          <w:t>https://www.unodc.org/res/justice-and-prison-reform/nelsonmandelarules-GoF/UN_System_Common_Position_on_Incarceration.pdf</w:t>
        </w:r>
      </w:hyperlink>
      <w:r w:rsidRPr="00705CA3">
        <w:rPr>
          <w:rFonts w:ascii="Cambria" w:hAnsi="Cambria"/>
        </w:rPr>
        <w:t xml:space="preserve"> </w:t>
      </w:r>
    </w:p>
  </w:footnote>
  <w:footnote w:id="15">
    <w:p w14:paraId="6F76B95B" w14:textId="57FF8F81" w:rsidR="00705CA3" w:rsidRPr="00705CA3" w:rsidRDefault="00705CA3">
      <w:pPr>
        <w:pStyle w:val="FootnoteText"/>
        <w:rPr>
          <w:lang w:val="en-GB"/>
        </w:rPr>
      </w:pPr>
      <w:r>
        <w:rPr>
          <w:rStyle w:val="FootnoteReference"/>
        </w:rPr>
        <w:footnoteRef/>
      </w:r>
      <w:r>
        <w:t xml:space="preserve"> </w:t>
      </w:r>
      <w:r w:rsidRPr="00705CA3">
        <w:rPr>
          <w:rFonts w:ascii="Cambria" w:hAnsi="Cambria"/>
          <w:i/>
          <w:lang w:val="en-GB"/>
        </w:rPr>
        <w:t>Human Rights Commission of Sri Lanka,</w:t>
      </w:r>
      <w:r w:rsidRPr="00705CA3">
        <w:rPr>
          <w:rFonts w:ascii="Cambria" w:hAnsi="Cambria"/>
          <w:lang w:val="en-GB"/>
        </w:rPr>
        <w:t xml:space="preserve"> National Study of Prisons, 2020 – chapter: </w:t>
      </w:r>
      <w:r>
        <w:rPr>
          <w:rFonts w:ascii="Cambria" w:hAnsi="Cambria"/>
          <w:lang w:val="en-GB"/>
        </w:rPr>
        <w:t xml:space="preserve">Legal and Judicial Proceedings. </w:t>
      </w:r>
      <w:hyperlink r:id="rId12" w:history="1">
        <w:r w:rsidRPr="00705CA3">
          <w:rPr>
            <w:rStyle w:val="Hyperlink"/>
            <w:rFonts w:ascii="Cambria" w:hAnsi="Cambria"/>
            <w:lang w:val="en-GB"/>
          </w:rPr>
          <w:t>https://www.hrcsl.lk/wp-content/uploads/2020/01/Prison-Report-Final-2.pdf</w:t>
        </w:r>
      </w:hyperlink>
    </w:p>
  </w:footnote>
  <w:footnote w:id="16">
    <w:p w14:paraId="29396521" w14:textId="77777777" w:rsidR="00EA6C36" w:rsidRPr="00705CA3" w:rsidRDefault="00EA6C36" w:rsidP="00705CA3">
      <w:pPr>
        <w:pStyle w:val="FootnoteText"/>
        <w:jc w:val="both"/>
        <w:rPr>
          <w:rFonts w:ascii="Cambria" w:hAnsi="Cambria"/>
          <w:lang w:val="en-GB"/>
        </w:rPr>
      </w:pPr>
      <w:r w:rsidRPr="00705CA3">
        <w:rPr>
          <w:rStyle w:val="FootnoteReference"/>
          <w:rFonts w:ascii="Cambria" w:hAnsi="Cambria"/>
        </w:rPr>
        <w:footnoteRef/>
      </w:r>
      <w:r w:rsidRPr="00705CA3">
        <w:rPr>
          <w:rFonts w:ascii="Cambria" w:hAnsi="Cambria"/>
        </w:rPr>
        <w:t xml:space="preserve"> </w:t>
      </w:r>
      <w:r w:rsidRPr="00705CA3">
        <w:rPr>
          <w:rFonts w:ascii="Cambria" w:hAnsi="Cambria" w:cstheme="majorHAnsi"/>
          <w:i/>
        </w:rPr>
        <w:t>UN Committee on the Elimination of Racial Discrimination (CERD)</w:t>
      </w:r>
      <w:r w:rsidRPr="00705CA3">
        <w:rPr>
          <w:rFonts w:ascii="Cambria" w:hAnsi="Cambria" w:cstheme="majorHAnsi"/>
        </w:rPr>
        <w:t>, </w:t>
      </w:r>
      <w:r w:rsidRPr="00705CA3">
        <w:rPr>
          <w:rFonts w:ascii="Cambria" w:hAnsi="Cambria" w:cstheme="majorHAnsi"/>
          <w:iCs/>
        </w:rPr>
        <w:t>CERD General Recommendation XXXI on the Prevention of Racial Discrimination in the Administration and Functioning of the Criminal Justice System</w:t>
      </w:r>
      <w:r w:rsidRPr="00705CA3">
        <w:rPr>
          <w:rFonts w:ascii="Cambria" w:hAnsi="Cambria" w:cstheme="majorHAnsi"/>
        </w:rPr>
        <w:t>, 2005, para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15C"/>
    <w:multiLevelType w:val="hybridMultilevel"/>
    <w:tmpl w:val="37703D8E"/>
    <w:lvl w:ilvl="0" w:tplc="FD1A6C1E">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967B2"/>
    <w:multiLevelType w:val="hybridMultilevel"/>
    <w:tmpl w:val="F5426E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C6C24"/>
    <w:multiLevelType w:val="multilevel"/>
    <w:tmpl w:val="083A09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FA0C98"/>
    <w:multiLevelType w:val="hybridMultilevel"/>
    <w:tmpl w:val="48BEFCEE"/>
    <w:lvl w:ilvl="0" w:tplc="77125870">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2589F"/>
    <w:multiLevelType w:val="multilevel"/>
    <w:tmpl w:val="15D034F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EE44E8"/>
    <w:multiLevelType w:val="hybridMultilevel"/>
    <w:tmpl w:val="21E0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079C"/>
    <w:multiLevelType w:val="multilevel"/>
    <w:tmpl w:val="1E96D038"/>
    <w:lvl w:ilvl="0">
      <w:start w:val="2"/>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F34817"/>
    <w:multiLevelType w:val="multilevel"/>
    <w:tmpl w:val="E28A4FF0"/>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1731BB"/>
    <w:multiLevelType w:val="hybridMultilevel"/>
    <w:tmpl w:val="453C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F47E0"/>
    <w:multiLevelType w:val="multilevel"/>
    <w:tmpl w:val="61822A2C"/>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A9D78F2"/>
    <w:multiLevelType w:val="hybridMultilevel"/>
    <w:tmpl w:val="F8C66AB6"/>
    <w:lvl w:ilvl="0" w:tplc="303AAB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AE6A55"/>
    <w:multiLevelType w:val="hybridMultilevel"/>
    <w:tmpl w:val="09BA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3554"/>
    <w:multiLevelType w:val="hybridMultilevel"/>
    <w:tmpl w:val="2D64C2E8"/>
    <w:lvl w:ilvl="0" w:tplc="04090001">
      <w:start w:val="1"/>
      <w:numFmt w:val="bullet"/>
      <w:lvlText w:val=""/>
      <w:lvlJc w:val="left"/>
      <w:pPr>
        <w:ind w:left="720" w:hanging="360"/>
      </w:pPr>
      <w:rPr>
        <w:rFonts w:ascii="Symbol" w:hAnsi="Symbol" w:hint="default"/>
      </w:rPr>
    </w:lvl>
    <w:lvl w:ilvl="1" w:tplc="44CA8366">
      <w:start w:val="2"/>
      <w:numFmt w:val="bullet"/>
      <w:lvlText w:val="•"/>
      <w:lvlJc w:val="left"/>
      <w:pPr>
        <w:ind w:left="1860" w:hanging="78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6B11"/>
    <w:multiLevelType w:val="hybridMultilevel"/>
    <w:tmpl w:val="D190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41E00"/>
    <w:multiLevelType w:val="hybridMultilevel"/>
    <w:tmpl w:val="51D4C4F2"/>
    <w:lvl w:ilvl="0" w:tplc="6F6E622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0499F"/>
    <w:multiLevelType w:val="multilevel"/>
    <w:tmpl w:val="1A62693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D62156"/>
    <w:multiLevelType w:val="hybridMultilevel"/>
    <w:tmpl w:val="EA8A4CDE"/>
    <w:lvl w:ilvl="0" w:tplc="C4626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777835"/>
    <w:multiLevelType w:val="hybridMultilevel"/>
    <w:tmpl w:val="B626750A"/>
    <w:lvl w:ilvl="0" w:tplc="E44E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F3178"/>
    <w:multiLevelType w:val="hybridMultilevel"/>
    <w:tmpl w:val="D698FD5A"/>
    <w:lvl w:ilvl="0" w:tplc="9592A06E">
      <w:start w:val="1"/>
      <w:numFmt w:val="lowerRoman"/>
      <w:lvlText w:val="(%1)"/>
      <w:lvlJc w:val="left"/>
      <w:pPr>
        <w:ind w:left="1440" w:hanging="720"/>
      </w:pPr>
      <w:rPr>
        <w:rFonts w:hint="default"/>
      </w:rPr>
    </w:lvl>
    <w:lvl w:ilvl="1" w:tplc="E9AE4E1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017278"/>
    <w:multiLevelType w:val="hybridMultilevel"/>
    <w:tmpl w:val="AE4A0314"/>
    <w:lvl w:ilvl="0" w:tplc="0EFC3F3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AE826F2"/>
    <w:multiLevelType w:val="multilevel"/>
    <w:tmpl w:val="77CEB5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6C6D5C66"/>
    <w:multiLevelType w:val="hybridMultilevel"/>
    <w:tmpl w:val="F670A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D3CBA"/>
    <w:multiLevelType w:val="hybridMultilevel"/>
    <w:tmpl w:val="F23A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05E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611DB1"/>
    <w:multiLevelType w:val="hybridMultilevel"/>
    <w:tmpl w:val="4518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E07BF"/>
    <w:multiLevelType w:val="hybridMultilevel"/>
    <w:tmpl w:val="C98C7962"/>
    <w:lvl w:ilvl="0" w:tplc="0409000F">
      <w:start w:val="1"/>
      <w:numFmt w:val="decimal"/>
      <w:lvlText w:val="%1."/>
      <w:lvlJc w:val="left"/>
      <w:pPr>
        <w:ind w:left="1440" w:hanging="360"/>
      </w:pPr>
    </w:lvl>
    <w:lvl w:ilvl="1" w:tplc="38CEBC0E">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5"/>
  </w:num>
  <w:num w:numId="3">
    <w:abstractNumId w:val="18"/>
  </w:num>
  <w:num w:numId="4">
    <w:abstractNumId w:val="0"/>
  </w:num>
  <w:num w:numId="5">
    <w:abstractNumId w:val="19"/>
  </w:num>
  <w:num w:numId="6">
    <w:abstractNumId w:val="2"/>
  </w:num>
  <w:num w:numId="7">
    <w:abstractNumId w:val="10"/>
  </w:num>
  <w:num w:numId="8">
    <w:abstractNumId w:val="1"/>
  </w:num>
  <w:num w:numId="9">
    <w:abstractNumId w:val="15"/>
  </w:num>
  <w:num w:numId="10">
    <w:abstractNumId w:val="20"/>
  </w:num>
  <w:num w:numId="11">
    <w:abstractNumId w:val="23"/>
  </w:num>
  <w:num w:numId="12">
    <w:abstractNumId w:val="9"/>
  </w:num>
  <w:num w:numId="13">
    <w:abstractNumId w:val="4"/>
  </w:num>
  <w:num w:numId="14">
    <w:abstractNumId w:val="21"/>
  </w:num>
  <w:num w:numId="15">
    <w:abstractNumId w:val="17"/>
  </w:num>
  <w:num w:numId="16">
    <w:abstractNumId w:val="24"/>
  </w:num>
  <w:num w:numId="17">
    <w:abstractNumId w:val="5"/>
  </w:num>
  <w:num w:numId="18">
    <w:abstractNumId w:val="14"/>
  </w:num>
  <w:num w:numId="19">
    <w:abstractNumId w:val="16"/>
  </w:num>
  <w:num w:numId="20">
    <w:abstractNumId w:val="13"/>
  </w:num>
  <w:num w:numId="21">
    <w:abstractNumId w:val="22"/>
  </w:num>
  <w:num w:numId="22">
    <w:abstractNumId w:val="7"/>
  </w:num>
  <w:num w:numId="23">
    <w:abstractNumId w:val="6"/>
  </w:num>
  <w:num w:numId="24">
    <w:abstractNumId w:val="8"/>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47"/>
    <w:rsid w:val="000353AF"/>
    <w:rsid w:val="00066F53"/>
    <w:rsid w:val="000D2DD7"/>
    <w:rsid w:val="00185AC8"/>
    <w:rsid w:val="00202B87"/>
    <w:rsid w:val="00233B6E"/>
    <w:rsid w:val="002735E0"/>
    <w:rsid w:val="002C49F1"/>
    <w:rsid w:val="003358F5"/>
    <w:rsid w:val="0038223F"/>
    <w:rsid w:val="004645C0"/>
    <w:rsid w:val="004979D1"/>
    <w:rsid w:val="004D1396"/>
    <w:rsid w:val="005E3C47"/>
    <w:rsid w:val="006975EA"/>
    <w:rsid w:val="006A0C50"/>
    <w:rsid w:val="006A2066"/>
    <w:rsid w:val="006D3ED8"/>
    <w:rsid w:val="00705CA3"/>
    <w:rsid w:val="00712170"/>
    <w:rsid w:val="00713755"/>
    <w:rsid w:val="00782633"/>
    <w:rsid w:val="007C601F"/>
    <w:rsid w:val="00821FDF"/>
    <w:rsid w:val="00827DC9"/>
    <w:rsid w:val="0084068E"/>
    <w:rsid w:val="00847376"/>
    <w:rsid w:val="008978FA"/>
    <w:rsid w:val="00912307"/>
    <w:rsid w:val="00912AE5"/>
    <w:rsid w:val="00943264"/>
    <w:rsid w:val="00951904"/>
    <w:rsid w:val="009611C6"/>
    <w:rsid w:val="009A1366"/>
    <w:rsid w:val="009B543A"/>
    <w:rsid w:val="009C69CF"/>
    <w:rsid w:val="00A15FC1"/>
    <w:rsid w:val="00A35465"/>
    <w:rsid w:val="00A76CF0"/>
    <w:rsid w:val="00AF0CC1"/>
    <w:rsid w:val="00B311D4"/>
    <w:rsid w:val="00B32DDB"/>
    <w:rsid w:val="00BA4489"/>
    <w:rsid w:val="00C1369E"/>
    <w:rsid w:val="00C24EC9"/>
    <w:rsid w:val="00D1682E"/>
    <w:rsid w:val="00D66FF8"/>
    <w:rsid w:val="00D87476"/>
    <w:rsid w:val="00DA55A8"/>
    <w:rsid w:val="00DB20F1"/>
    <w:rsid w:val="00E37724"/>
    <w:rsid w:val="00EA6C36"/>
    <w:rsid w:val="00F21A80"/>
    <w:rsid w:val="00F3744A"/>
    <w:rsid w:val="00F739EF"/>
    <w:rsid w:val="00F740E2"/>
    <w:rsid w:val="00F75FF7"/>
    <w:rsid w:val="00FA4BFD"/>
    <w:rsid w:val="00FA5CAF"/>
    <w:rsid w:val="00FF535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A98B"/>
  <w15:chartTrackingRefBased/>
  <w15:docId w15:val="{8A1D47A8-4084-4BFF-A4A5-A8E4CBCA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C47"/>
    <w:pPr>
      <w:ind w:left="720"/>
      <w:contextualSpacing/>
    </w:pPr>
  </w:style>
  <w:style w:type="paragraph" w:styleId="FootnoteText">
    <w:name w:val="footnote text"/>
    <w:basedOn w:val="Normal"/>
    <w:link w:val="FootnoteTextChar"/>
    <w:uiPriority w:val="99"/>
    <w:semiHidden/>
    <w:unhideWhenUsed/>
    <w:rsid w:val="00F37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44A"/>
    <w:rPr>
      <w:sz w:val="20"/>
      <w:szCs w:val="20"/>
    </w:rPr>
  </w:style>
  <w:style w:type="character" w:styleId="FootnoteReference">
    <w:name w:val="footnote reference"/>
    <w:basedOn w:val="DefaultParagraphFont"/>
    <w:uiPriority w:val="99"/>
    <w:semiHidden/>
    <w:unhideWhenUsed/>
    <w:rsid w:val="00F3744A"/>
    <w:rPr>
      <w:vertAlign w:val="superscript"/>
    </w:rPr>
  </w:style>
  <w:style w:type="character" w:styleId="Hyperlink">
    <w:name w:val="Hyperlink"/>
    <w:basedOn w:val="DefaultParagraphFont"/>
    <w:uiPriority w:val="99"/>
    <w:unhideWhenUsed/>
    <w:rsid w:val="00E37724"/>
    <w:rPr>
      <w:color w:val="0563C1" w:themeColor="hyperlink"/>
      <w:u w:val="single"/>
    </w:rPr>
  </w:style>
  <w:style w:type="paragraph" w:styleId="Header">
    <w:name w:val="header"/>
    <w:basedOn w:val="Normal"/>
    <w:link w:val="HeaderChar"/>
    <w:uiPriority w:val="99"/>
    <w:unhideWhenUsed/>
    <w:rsid w:val="00827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DC9"/>
  </w:style>
  <w:style w:type="paragraph" w:styleId="Footer">
    <w:name w:val="footer"/>
    <w:basedOn w:val="Normal"/>
    <w:link w:val="FooterChar"/>
    <w:uiPriority w:val="99"/>
    <w:unhideWhenUsed/>
    <w:rsid w:val="00827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DC9"/>
  </w:style>
  <w:style w:type="paragraph" w:styleId="EndnoteText">
    <w:name w:val="endnote text"/>
    <w:basedOn w:val="Normal"/>
    <w:link w:val="EndnoteTextChar"/>
    <w:uiPriority w:val="99"/>
    <w:semiHidden/>
    <w:unhideWhenUsed/>
    <w:rsid w:val="00827D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7DC9"/>
    <w:rPr>
      <w:sz w:val="20"/>
      <w:szCs w:val="20"/>
    </w:rPr>
  </w:style>
  <w:style w:type="character" w:styleId="EndnoteReference">
    <w:name w:val="endnote reference"/>
    <w:basedOn w:val="DefaultParagraphFont"/>
    <w:uiPriority w:val="99"/>
    <w:semiHidden/>
    <w:unhideWhenUsed/>
    <w:rsid w:val="00827DC9"/>
    <w:rPr>
      <w:vertAlign w:val="superscript"/>
    </w:rPr>
  </w:style>
  <w:style w:type="character" w:styleId="FollowedHyperlink">
    <w:name w:val="FollowedHyperlink"/>
    <w:basedOn w:val="DefaultParagraphFont"/>
    <w:uiPriority w:val="99"/>
    <w:semiHidden/>
    <w:unhideWhenUsed/>
    <w:rsid w:val="00F740E2"/>
    <w:rPr>
      <w:color w:val="954F72" w:themeColor="followedHyperlink"/>
      <w:u w:val="single"/>
    </w:rPr>
  </w:style>
  <w:style w:type="character" w:styleId="CommentReference">
    <w:name w:val="annotation reference"/>
    <w:basedOn w:val="DefaultParagraphFont"/>
    <w:uiPriority w:val="99"/>
    <w:semiHidden/>
    <w:unhideWhenUsed/>
    <w:rsid w:val="00713755"/>
    <w:rPr>
      <w:sz w:val="16"/>
      <w:szCs w:val="16"/>
    </w:rPr>
  </w:style>
  <w:style w:type="paragraph" w:styleId="CommentText">
    <w:name w:val="annotation text"/>
    <w:basedOn w:val="Normal"/>
    <w:link w:val="CommentTextChar"/>
    <w:uiPriority w:val="99"/>
    <w:semiHidden/>
    <w:unhideWhenUsed/>
    <w:rsid w:val="00713755"/>
    <w:pPr>
      <w:spacing w:line="240" w:lineRule="auto"/>
    </w:pPr>
    <w:rPr>
      <w:sz w:val="20"/>
      <w:szCs w:val="20"/>
    </w:rPr>
  </w:style>
  <w:style w:type="character" w:customStyle="1" w:styleId="CommentTextChar">
    <w:name w:val="Comment Text Char"/>
    <w:basedOn w:val="DefaultParagraphFont"/>
    <w:link w:val="CommentText"/>
    <w:uiPriority w:val="99"/>
    <w:semiHidden/>
    <w:rsid w:val="00713755"/>
    <w:rPr>
      <w:sz w:val="20"/>
      <w:szCs w:val="20"/>
    </w:rPr>
  </w:style>
  <w:style w:type="paragraph" w:styleId="CommentSubject">
    <w:name w:val="annotation subject"/>
    <w:basedOn w:val="CommentText"/>
    <w:next w:val="CommentText"/>
    <w:link w:val="CommentSubjectChar"/>
    <w:uiPriority w:val="99"/>
    <w:semiHidden/>
    <w:unhideWhenUsed/>
    <w:rsid w:val="00713755"/>
    <w:rPr>
      <w:b/>
      <w:bCs/>
    </w:rPr>
  </w:style>
  <w:style w:type="character" w:customStyle="1" w:styleId="CommentSubjectChar">
    <w:name w:val="Comment Subject Char"/>
    <w:basedOn w:val="CommentTextChar"/>
    <w:link w:val="CommentSubject"/>
    <w:uiPriority w:val="99"/>
    <w:semiHidden/>
    <w:rsid w:val="00713755"/>
    <w:rPr>
      <w:b/>
      <w:bCs/>
      <w:sz w:val="20"/>
      <w:szCs w:val="20"/>
    </w:rPr>
  </w:style>
  <w:style w:type="paragraph" w:styleId="BalloonText">
    <w:name w:val="Balloon Text"/>
    <w:basedOn w:val="Normal"/>
    <w:link w:val="BalloonTextChar"/>
    <w:uiPriority w:val="99"/>
    <w:semiHidden/>
    <w:unhideWhenUsed/>
    <w:rsid w:val="00713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69649">
      <w:bodyDiv w:val="1"/>
      <w:marLeft w:val="0"/>
      <w:marRight w:val="0"/>
      <w:marTop w:val="0"/>
      <w:marBottom w:val="0"/>
      <w:divBdr>
        <w:top w:val="none" w:sz="0" w:space="0" w:color="auto"/>
        <w:left w:val="none" w:sz="0" w:space="0" w:color="auto"/>
        <w:bottom w:val="none" w:sz="0" w:space="0" w:color="auto"/>
        <w:right w:val="none" w:sz="0" w:space="0" w:color="auto"/>
      </w:divBdr>
    </w:div>
    <w:div w:id="13298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library.umn.edu/research/srilanka/statutes/Vagrants_Ordinanc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commonlii.org/lk/legis/num_act/cocpa15o1979276/" TargetMode="External"/><Relationship Id="rId4" Type="http://schemas.openxmlformats.org/officeDocument/2006/relationships/settings" Target="settings.xml"/><Relationship Id="rId9" Type="http://schemas.openxmlformats.org/officeDocument/2006/relationships/hyperlink" Target="http://hrlibrary.umn.edu/research/srilanka/statutes/Houses_of_Detention_Ordinance.pdf"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hri.global/files/2021/08/03/HRI_Report_-_Sri_Lanka_Drug_Control.pdf" TargetMode="External"/><Relationship Id="rId3" Type="http://schemas.openxmlformats.org/officeDocument/2006/relationships/hyperlink" Target="https://docstore.ohchr.org/SelfServices/FilesHandler.ashx?enc=6QkG1d%2fPPRiCAqhKb7yhsrdB0H1l5979OVGGB%2bWPAXhNI9e0rX3cJImWwe%2fGBLmVrGmT01On6KBQgqmxPNIjrLLdefuuQjjN19BgOr%2fS93rKPWbCbgoJ4dRgDoh%2fXgwn" TargetMode="External"/><Relationship Id="rId7" Type="http://schemas.openxmlformats.org/officeDocument/2006/relationships/hyperlink" Target="https://www.hrcsl.lk/wp-content/uploads/2020/01/Prison-Report-Final-2.pdf" TargetMode="External"/><Relationship Id="rId12" Type="http://schemas.openxmlformats.org/officeDocument/2006/relationships/hyperlink" Target="https://www.hrcsl.lk/wp-content/uploads/2020/01/Prison-Report-Final-2.pdf" TargetMode="External"/><Relationship Id="rId2" Type="http://schemas.openxmlformats.org/officeDocument/2006/relationships/hyperlink" Target="https://www.ohchr.org/EN/NewsEvents/Pages/DisplayNews.aspx?NewsID=22541" TargetMode="External"/><Relationship Id="rId1" Type="http://schemas.openxmlformats.org/officeDocument/2006/relationships/hyperlink" Target="https://www.parliament.lk/uploads/documents/paperspresented/performance-report-srilanka-police-2018.pdf" TargetMode="External"/><Relationship Id="rId6" Type="http://schemas.openxmlformats.org/officeDocument/2006/relationships/hyperlink" Target="http://prisons.gov.lk/web/wp-content/uploads/2021/05/prison-statistics-2021.pdf" TargetMode="External"/><Relationship Id="rId11" Type="http://schemas.openxmlformats.org/officeDocument/2006/relationships/hyperlink" Target="https://www.unodc.org/res/justice-and-prison-reform/nelsonmandelarules-GoF/UN_System_Common_Position_on_Incarceration.pdf" TargetMode="External"/><Relationship Id="rId5" Type="http://schemas.openxmlformats.org/officeDocument/2006/relationships/hyperlink" Target="https://docstore.ohchr.org/SelfServices/FilesHandler.ashx?enc=6QkG1d%2fPPRiCAqhKb7yhsrdB0H1l5979OVGGB%2bWPAXhNI9e0rX3cJImWwe%2fGBLmVrGmT01On6KBQgqmxPNIjrLLdefuuQjjN19BgOr%2fS93rKPWbCbgoJ4dRgDoh%2fXgwn" TargetMode="External"/><Relationship Id="rId10" Type="http://schemas.openxmlformats.org/officeDocument/2006/relationships/hyperlink" Target="https://www.hrcsl.lk/wp-content/uploads/2020/01/Prison-Report-Final-2.pdf" TargetMode="External"/><Relationship Id="rId4" Type="http://schemas.openxmlformats.org/officeDocument/2006/relationships/hyperlink" Target="https://www.ohchr.org/EN/NewsEvents/Pages/DisplayNews.aspx?NewsID=22541" TargetMode="External"/><Relationship Id="rId9" Type="http://schemas.openxmlformats.org/officeDocument/2006/relationships/hyperlink" Target="https://www.hrcsl.lk/wp-content/uploads/2020/01/Prison-Report-Fina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3EA6CB9-5242-401E-9F38-B81CDE90B132}">
  <ds:schemaRefs>
    <ds:schemaRef ds:uri="http://schemas.openxmlformats.org/officeDocument/2006/bibliography"/>
  </ds:schemaRefs>
</ds:datastoreItem>
</file>

<file path=customXml/itemProps2.xml><?xml version="1.0" encoding="utf-8"?>
<ds:datastoreItem xmlns:ds="http://schemas.openxmlformats.org/officeDocument/2006/customXml" ds:itemID="{C4515ECE-CA1F-4F58-8209-F7B2BAF383CB}"/>
</file>

<file path=customXml/itemProps3.xml><?xml version="1.0" encoding="utf-8"?>
<ds:datastoreItem xmlns:ds="http://schemas.openxmlformats.org/officeDocument/2006/customXml" ds:itemID="{8B62523A-EC16-489B-B99A-AAC19A2195B6}"/>
</file>

<file path=customXml/itemProps4.xml><?xml version="1.0" encoding="utf-8"?>
<ds:datastoreItem xmlns:ds="http://schemas.openxmlformats.org/officeDocument/2006/customXml" ds:itemID="{05E63FA2-08A5-4CDC-9531-49CA80C9E465}"/>
</file>

<file path=docProps/app.xml><?xml version="1.0" encoding="utf-8"?>
<Properties xmlns="http://schemas.openxmlformats.org/officeDocument/2006/extended-properties" xmlns:vt="http://schemas.openxmlformats.org/officeDocument/2006/docPropsVTypes">
  <Template>Normal.dotm</Template>
  <TotalTime>2904</TotalTime>
  <Pages>10</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Gunnar Theissen</cp:lastModifiedBy>
  <cp:revision>24</cp:revision>
  <dcterms:created xsi:type="dcterms:W3CDTF">2021-11-16T07:32:00Z</dcterms:created>
  <dcterms:modified xsi:type="dcterms:W3CDTF">2022-03-10T11:36:00Z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