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57773" w14:textId="106447BF" w:rsidR="0083764A" w:rsidRPr="0083764A" w:rsidRDefault="0083764A" w:rsidP="0083764A">
      <w:pPr>
        <w:spacing w:after="0" w:line="276" w:lineRule="auto"/>
        <w:jc w:val="center"/>
        <w:rPr>
          <w:rFonts w:ascii="Arial" w:hAnsi="Arial" w:cs="Arial"/>
          <w:b/>
          <w:bCs/>
          <w:sz w:val="32"/>
          <w:szCs w:val="32"/>
          <w:lang w:val="en-GB"/>
        </w:rPr>
      </w:pPr>
      <w:r w:rsidRPr="0083764A">
        <w:rPr>
          <w:rFonts w:ascii="Arial" w:hAnsi="Arial" w:cs="Arial"/>
          <w:b/>
          <w:bCs/>
          <w:sz w:val="32"/>
          <w:szCs w:val="32"/>
          <w:lang w:val="en-GB"/>
        </w:rPr>
        <w:t>PHILIPPINES</w:t>
      </w:r>
    </w:p>
    <w:p w14:paraId="217118F5" w14:textId="77777777" w:rsidR="0083764A" w:rsidRDefault="0083764A" w:rsidP="00A26406">
      <w:pPr>
        <w:spacing w:after="0" w:line="276" w:lineRule="auto"/>
        <w:jc w:val="center"/>
        <w:rPr>
          <w:rFonts w:ascii="Arial" w:hAnsi="Arial" w:cs="Arial"/>
          <w:b/>
          <w:bCs/>
          <w:sz w:val="24"/>
          <w:szCs w:val="24"/>
          <w:lang w:val="en-GB"/>
        </w:rPr>
      </w:pPr>
    </w:p>
    <w:p w14:paraId="2E7A5763" w14:textId="0BB45D6F" w:rsidR="00E77369" w:rsidRPr="006608EE" w:rsidRDefault="00EA7DEB" w:rsidP="00A26406">
      <w:pPr>
        <w:spacing w:after="0" w:line="276" w:lineRule="auto"/>
        <w:jc w:val="center"/>
        <w:rPr>
          <w:rFonts w:ascii="Arial" w:hAnsi="Arial" w:cs="Arial"/>
          <w:b/>
          <w:bCs/>
          <w:sz w:val="24"/>
          <w:szCs w:val="24"/>
          <w:lang w:val="en-GB"/>
        </w:rPr>
      </w:pPr>
      <w:r w:rsidRPr="006608EE">
        <w:rPr>
          <w:rFonts w:ascii="Arial" w:hAnsi="Arial" w:cs="Arial"/>
          <w:b/>
          <w:bCs/>
          <w:sz w:val="24"/>
          <w:szCs w:val="24"/>
          <w:lang w:val="en-GB"/>
        </w:rPr>
        <w:t>21</w:t>
      </w:r>
      <w:r w:rsidRPr="006608EE">
        <w:rPr>
          <w:rFonts w:ascii="Arial" w:hAnsi="Arial" w:cs="Arial"/>
          <w:b/>
          <w:bCs/>
          <w:sz w:val="24"/>
          <w:szCs w:val="24"/>
          <w:vertAlign w:val="superscript"/>
          <w:lang w:val="en-GB"/>
        </w:rPr>
        <w:t xml:space="preserve">st </w:t>
      </w:r>
      <w:r w:rsidRPr="006608EE">
        <w:rPr>
          <w:rFonts w:ascii="Arial" w:hAnsi="Arial" w:cs="Arial"/>
          <w:b/>
          <w:bCs/>
          <w:sz w:val="24"/>
          <w:szCs w:val="24"/>
          <w:lang w:val="en-GB"/>
        </w:rPr>
        <w:t xml:space="preserve">Session of the Intergovernmental Working Group </w:t>
      </w:r>
    </w:p>
    <w:p w14:paraId="10324B7B" w14:textId="50CEF42E" w:rsidR="00EA7DEB" w:rsidRPr="006608EE" w:rsidRDefault="00EA7DEB" w:rsidP="00A26406">
      <w:pPr>
        <w:spacing w:after="0" w:line="276" w:lineRule="auto"/>
        <w:jc w:val="center"/>
        <w:rPr>
          <w:rFonts w:ascii="Arial" w:hAnsi="Arial" w:cs="Arial"/>
          <w:b/>
          <w:bCs/>
          <w:sz w:val="24"/>
          <w:szCs w:val="24"/>
          <w:lang w:val="en-GB"/>
        </w:rPr>
      </w:pPr>
      <w:r w:rsidRPr="006608EE">
        <w:rPr>
          <w:rFonts w:ascii="Arial" w:hAnsi="Arial" w:cs="Arial"/>
          <w:b/>
          <w:bCs/>
          <w:sz w:val="24"/>
          <w:szCs w:val="24"/>
          <w:lang w:val="en-GB"/>
        </w:rPr>
        <w:t>on the Right to Development</w:t>
      </w:r>
    </w:p>
    <w:p w14:paraId="1AED1CB8" w14:textId="4B851BE3" w:rsidR="00BB1F54" w:rsidRPr="006608EE" w:rsidRDefault="00EA7DEB" w:rsidP="00A26406">
      <w:pPr>
        <w:spacing w:after="0" w:line="276" w:lineRule="auto"/>
        <w:jc w:val="center"/>
        <w:rPr>
          <w:rFonts w:ascii="Arial" w:hAnsi="Arial" w:cs="Arial"/>
          <w:sz w:val="24"/>
          <w:szCs w:val="24"/>
          <w:lang w:val="en-GB"/>
        </w:rPr>
      </w:pPr>
      <w:r w:rsidRPr="006608EE">
        <w:rPr>
          <w:rFonts w:ascii="Arial" w:hAnsi="Arial" w:cs="Arial"/>
          <w:sz w:val="24"/>
          <w:szCs w:val="24"/>
          <w:lang w:val="en-GB"/>
        </w:rPr>
        <w:t>(17-21 May 2021)</w:t>
      </w:r>
    </w:p>
    <w:p w14:paraId="4C8BC01C" w14:textId="2855DA8C" w:rsidR="00EA7DEB" w:rsidRPr="006608EE" w:rsidRDefault="00EA7DEB" w:rsidP="00A26406">
      <w:pPr>
        <w:spacing w:after="0" w:line="276" w:lineRule="auto"/>
        <w:jc w:val="both"/>
        <w:rPr>
          <w:rFonts w:ascii="Arial" w:hAnsi="Arial" w:cs="Arial"/>
          <w:sz w:val="24"/>
          <w:szCs w:val="24"/>
          <w:lang w:val="en-GB"/>
        </w:rPr>
      </w:pPr>
    </w:p>
    <w:p w14:paraId="00AE07AD" w14:textId="522C230F" w:rsidR="00EA7DEB" w:rsidRPr="006608EE" w:rsidRDefault="00EA7DEB" w:rsidP="00A26406">
      <w:pPr>
        <w:spacing w:after="0" w:line="276" w:lineRule="auto"/>
        <w:jc w:val="center"/>
        <w:rPr>
          <w:rFonts w:ascii="Arial" w:hAnsi="Arial" w:cs="Arial"/>
          <w:b/>
          <w:bCs/>
          <w:sz w:val="24"/>
          <w:szCs w:val="24"/>
          <w:lang w:val="en-GB"/>
        </w:rPr>
      </w:pPr>
      <w:r w:rsidRPr="006608EE">
        <w:rPr>
          <w:rFonts w:ascii="Arial" w:hAnsi="Arial" w:cs="Arial"/>
          <w:b/>
          <w:bCs/>
          <w:sz w:val="24"/>
          <w:szCs w:val="24"/>
          <w:lang w:val="en-GB"/>
        </w:rPr>
        <w:t>GENERAL COMMENTS</w:t>
      </w:r>
    </w:p>
    <w:p w14:paraId="0249E7E6" w14:textId="685206D1" w:rsidR="00EA7DEB" w:rsidRPr="006608EE" w:rsidRDefault="00EA7DEB" w:rsidP="00A26406">
      <w:pPr>
        <w:spacing w:after="0" w:line="276" w:lineRule="auto"/>
        <w:jc w:val="both"/>
        <w:rPr>
          <w:rFonts w:ascii="Arial" w:hAnsi="Arial" w:cs="Arial"/>
          <w:sz w:val="24"/>
          <w:szCs w:val="24"/>
          <w:lang w:val="en-GB"/>
        </w:rPr>
      </w:pPr>
    </w:p>
    <w:p w14:paraId="2DDC7CD6" w14:textId="5529F9A6" w:rsidR="00EA7DEB" w:rsidRPr="006608EE" w:rsidRDefault="00EA7DEB" w:rsidP="00A26406">
      <w:pPr>
        <w:spacing w:after="0" w:line="276" w:lineRule="auto"/>
        <w:ind w:firstLine="720"/>
        <w:jc w:val="both"/>
        <w:rPr>
          <w:rFonts w:ascii="Arial" w:hAnsi="Arial" w:cs="Arial"/>
          <w:sz w:val="24"/>
          <w:szCs w:val="24"/>
          <w:lang w:val="en-GB"/>
        </w:rPr>
      </w:pPr>
      <w:r w:rsidRPr="006608EE">
        <w:rPr>
          <w:rFonts w:ascii="Arial" w:hAnsi="Arial" w:cs="Arial"/>
          <w:sz w:val="24"/>
          <w:szCs w:val="24"/>
          <w:lang w:val="en-GB"/>
        </w:rPr>
        <w:t>Thank you</w:t>
      </w:r>
      <w:r w:rsidR="00B13984" w:rsidRPr="006608EE">
        <w:rPr>
          <w:rFonts w:ascii="Arial" w:hAnsi="Arial" w:cs="Arial"/>
          <w:sz w:val="24"/>
          <w:szCs w:val="24"/>
          <w:lang w:val="en-GB"/>
        </w:rPr>
        <w:t>, Mr. Chair.</w:t>
      </w:r>
    </w:p>
    <w:p w14:paraId="6C474C24" w14:textId="77777777" w:rsidR="00A26406" w:rsidRPr="006608EE" w:rsidRDefault="00A26406" w:rsidP="00A26406">
      <w:pPr>
        <w:spacing w:after="0" w:line="276" w:lineRule="auto"/>
        <w:jc w:val="both"/>
        <w:rPr>
          <w:rFonts w:ascii="Arial" w:hAnsi="Arial" w:cs="Arial"/>
          <w:sz w:val="24"/>
          <w:szCs w:val="24"/>
          <w:lang w:val="en-GB"/>
        </w:rPr>
      </w:pPr>
    </w:p>
    <w:p w14:paraId="465B3510" w14:textId="56AD24F6" w:rsidR="00B13984" w:rsidRPr="006608EE" w:rsidRDefault="00972933" w:rsidP="00A26406">
      <w:pPr>
        <w:spacing w:after="0" w:line="276" w:lineRule="auto"/>
        <w:ind w:firstLine="720"/>
        <w:jc w:val="both"/>
        <w:rPr>
          <w:rFonts w:ascii="Arial" w:hAnsi="Arial" w:cs="Arial"/>
          <w:sz w:val="24"/>
          <w:szCs w:val="24"/>
          <w:lang w:val="en-GB"/>
        </w:rPr>
      </w:pPr>
      <w:r w:rsidRPr="006608EE">
        <w:rPr>
          <w:rFonts w:ascii="Arial" w:hAnsi="Arial" w:cs="Arial"/>
          <w:sz w:val="24"/>
          <w:szCs w:val="24"/>
          <w:lang w:val="en-GB"/>
        </w:rPr>
        <w:t xml:space="preserve">The Philippines welcomes the progress in the work of the Working Group on the Right to Development. </w:t>
      </w:r>
      <w:r w:rsidR="00A26406" w:rsidRPr="006608EE">
        <w:rPr>
          <w:rFonts w:ascii="Arial" w:hAnsi="Arial" w:cs="Arial"/>
          <w:sz w:val="24"/>
          <w:szCs w:val="24"/>
          <w:lang w:val="en-GB"/>
        </w:rPr>
        <w:t>We extend our appreciation to the Chair-Rapporteur of the Working Group and the Members of the Drafting Group for the preparation of the draft Convention and the commentaries.</w:t>
      </w:r>
      <w:r w:rsidR="00287372" w:rsidRPr="006608EE">
        <w:rPr>
          <w:rFonts w:ascii="Arial" w:hAnsi="Arial" w:cs="Arial"/>
          <w:sz w:val="24"/>
          <w:szCs w:val="24"/>
          <w:lang w:val="en-GB"/>
        </w:rPr>
        <w:t xml:space="preserve"> </w:t>
      </w:r>
      <w:r w:rsidR="00A26406" w:rsidRPr="006608EE">
        <w:rPr>
          <w:rFonts w:ascii="Arial" w:hAnsi="Arial" w:cs="Arial"/>
          <w:sz w:val="24"/>
          <w:szCs w:val="24"/>
          <w:lang w:val="en-GB"/>
        </w:rPr>
        <w:t>This session presents an opportunity for constructive engagement on the elaboration of draft legally-binding instrument on the right to development</w:t>
      </w:r>
      <w:r w:rsidR="006F202A">
        <w:rPr>
          <w:rFonts w:ascii="Arial" w:hAnsi="Arial" w:cs="Arial"/>
          <w:sz w:val="24"/>
          <w:szCs w:val="24"/>
          <w:lang w:val="en-GB"/>
        </w:rPr>
        <w:t>.</w:t>
      </w:r>
      <w:r w:rsidR="006608EE" w:rsidRPr="006608EE">
        <w:rPr>
          <w:rFonts w:ascii="Arial" w:hAnsi="Arial" w:cs="Arial"/>
          <w:sz w:val="24"/>
          <w:szCs w:val="24"/>
          <w:lang w:val="en-GB"/>
        </w:rPr>
        <w:t xml:space="preserve"> </w:t>
      </w:r>
    </w:p>
    <w:p w14:paraId="036B607B" w14:textId="77777777" w:rsidR="00A26406" w:rsidRPr="006608EE" w:rsidRDefault="00A26406" w:rsidP="00A26406">
      <w:pPr>
        <w:spacing w:after="0" w:line="276" w:lineRule="auto"/>
        <w:jc w:val="both"/>
        <w:rPr>
          <w:rFonts w:ascii="Arial" w:hAnsi="Arial" w:cs="Arial"/>
          <w:sz w:val="24"/>
          <w:szCs w:val="24"/>
          <w:lang w:val="en-GB"/>
        </w:rPr>
      </w:pPr>
    </w:p>
    <w:p w14:paraId="606E397B" w14:textId="46EE70C5" w:rsidR="005042EE" w:rsidRPr="006608EE" w:rsidRDefault="00A26406" w:rsidP="00A26406">
      <w:pPr>
        <w:spacing w:after="0" w:line="276" w:lineRule="auto"/>
        <w:ind w:firstLine="720"/>
        <w:jc w:val="both"/>
        <w:rPr>
          <w:rFonts w:ascii="Arial" w:hAnsi="Arial" w:cs="Arial"/>
          <w:sz w:val="24"/>
          <w:szCs w:val="24"/>
          <w:shd w:val="clear" w:color="auto" w:fill="FEFEFE"/>
        </w:rPr>
      </w:pPr>
      <w:r w:rsidRPr="006608EE">
        <w:rPr>
          <w:rFonts w:ascii="Arial" w:hAnsi="Arial" w:cs="Arial"/>
          <w:sz w:val="24"/>
          <w:szCs w:val="24"/>
          <w:lang w:val="en-GB"/>
        </w:rPr>
        <w:t xml:space="preserve">The Philippines has consistently </w:t>
      </w:r>
      <w:r w:rsidR="005042EE" w:rsidRPr="006608EE">
        <w:rPr>
          <w:rFonts w:ascii="Arial" w:hAnsi="Arial" w:cs="Arial"/>
          <w:sz w:val="24"/>
          <w:szCs w:val="24"/>
          <w:lang w:val="en-GB"/>
        </w:rPr>
        <w:t xml:space="preserve">affirmed its position on the universality, indivisibility, </w:t>
      </w:r>
      <w:r w:rsidR="006608EE" w:rsidRPr="006608EE">
        <w:rPr>
          <w:rFonts w:ascii="Arial" w:hAnsi="Arial" w:cs="Arial"/>
          <w:sz w:val="24"/>
          <w:szCs w:val="24"/>
          <w:lang w:val="en-GB"/>
        </w:rPr>
        <w:t>inalienability and</w:t>
      </w:r>
      <w:r w:rsidR="005042EE" w:rsidRPr="006608EE">
        <w:rPr>
          <w:rFonts w:ascii="Arial" w:hAnsi="Arial" w:cs="Arial"/>
          <w:sz w:val="24"/>
          <w:szCs w:val="24"/>
          <w:lang w:val="en-GB"/>
        </w:rPr>
        <w:t xml:space="preserve"> interdependence of all human rights and fundamental freedoms, including the right to development. We have steadily supported efforts in the international and multilateral fora such as in the Human Rights Council to foster greater acceptance and operationalization of the right to development. </w:t>
      </w:r>
      <w:r w:rsidR="00BA65C1" w:rsidRPr="006608EE">
        <w:rPr>
          <w:rFonts w:ascii="Arial" w:hAnsi="Arial" w:cs="Arial"/>
          <w:sz w:val="24"/>
          <w:szCs w:val="24"/>
          <w:lang w:val="en-GB"/>
        </w:rPr>
        <w:t>We acknowledge in this regard the valuable contributions made by the mandates of the Expert Mechanism and the Special Rapporteur on the Right to Development in promoting the implementation of this right worldwide.</w:t>
      </w:r>
    </w:p>
    <w:p w14:paraId="3C5FBAB7" w14:textId="77777777" w:rsidR="005042EE" w:rsidRPr="006608EE" w:rsidRDefault="005042EE" w:rsidP="00A26406">
      <w:pPr>
        <w:spacing w:after="0" w:line="276" w:lineRule="auto"/>
        <w:ind w:firstLine="720"/>
        <w:jc w:val="both"/>
        <w:rPr>
          <w:rFonts w:ascii="Arial" w:hAnsi="Arial" w:cs="Arial"/>
          <w:sz w:val="24"/>
          <w:szCs w:val="24"/>
          <w:shd w:val="clear" w:color="auto" w:fill="FEFEFE"/>
        </w:rPr>
      </w:pPr>
    </w:p>
    <w:p w14:paraId="44AA3773" w14:textId="032883FE" w:rsidR="00972933" w:rsidRPr="006608EE" w:rsidRDefault="005042EE" w:rsidP="00A626F2">
      <w:pPr>
        <w:spacing w:after="0" w:line="276" w:lineRule="auto"/>
        <w:ind w:firstLine="720"/>
        <w:jc w:val="both"/>
        <w:rPr>
          <w:rFonts w:ascii="Arial" w:eastAsia="Times New Roman" w:hAnsi="Arial" w:cs="Arial"/>
          <w:sz w:val="24"/>
          <w:szCs w:val="24"/>
          <w:lang w:eastAsia="en-CH"/>
        </w:rPr>
      </w:pPr>
      <w:r w:rsidRPr="006608EE">
        <w:rPr>
          <w:rFonts w:ascii="Arial" w:hAnsi="Arial" w:cs="Arial"/>
          <w:sz w:val="24"/>
          <w:szCs w:val="24"/>
          <w:shd w:val="clear" w:color="auto" w:fill="FEFEFE"/>
          <w:lang w:val="en-GB"/>
        </w:rPr>
        <w:t>This commitment and advocacy with respect to the right to development</w:t>
      </w:r>
      <w:r w:rsidR="005C6605" w:rsidRPr="006608EE">
        <w:rPr>
          <w:rFonts w:ascii="Arial" w:hAnsi="Arial" w:cs="Arial"/>
          <w:sz w:val="24"/>
          <w:szCs w:val="24"/>
          <w:shd w:val="clear" w:color="auto" w:fill="FEFEFE"/>
          <w:lang w:val="en-GB"/>
        </w:rPr>
        <w:t xml:space="preserve"> </w:t>
      </w:r>
      <w:r w:rsidRPr="006608EE">
        <w:rPr>
          <w:rFonts w:ascii="Arial" w:hAnsi="Arial" w:cs="Arial"/>
          <w:sz w:val="24"/>
          <w:szCs w:val="24"/>
          <w:shd w:val="clear" w:color="auto" w:fill="FEFEFE"/>
          <w:lang w:val="en-GB"/>
        </w:rPr>
        <w:t>find full expression i</w:t>
      </w:r>
      <w:r w:rsidR="006608EE" w:rsidRPr="006608EE">
        <w:rPr>
          <w:rFonts w:ascii="Arial" w:hAnsi="Arial" w:cs="Arial"/>
          <w:sz w:val="24"/>
          <w:szCs w:val="24"/>
          <w:shd w:val="clear" w:color="auto" w:fill="FEFEFE"/>
          <w:lang w:val="en-GB"/>
        </w:rPr>
        <w:t xml:space="preserve">n our </w:t>
      </w:r>
      <w:r w:rsidR="005C6605" w:rsidRPr="006608EE">
        <w:rPr>
          <w:rFonts w:ascii="Arial" w:hAnsi="Arial" w:cs="Arial"/>
          <w:sz w:val="24"/>
          <w:szCs w:val="24"/>
          <w:shd w:val="clear" w:color="auto" w:fill="FEFEFE"/>
          <w:lang w:val="en-GB"/>
        </w:rPr>
        <w:t>policies</w:t>
      </w:r>
      <w:r w:rsidR="006608EE" w:rsidRPr="006608EE">
        <w:rPr>
          <w:rFonts w:ascii="Arial" w:hAnsi="Arial" w:cs="Arial"/>
          <w:sz w:val="24"/>
          <w:szCs w:val="24"/>
          <w:shd w:val="clear" w:color="auto" w:fill="FEFEFE"/>
          <w:lang w:val="en-GB"/>
        </w:rPr>
        <w:t xml:space="preserve"> and planning processes</w:t>
      </w:r>
      <w:r w:rsidR="005C6605" w:rsidRPr="006608EE">
        <w:rPr>
          <w:rFonts w:ascii="Arial" w:hAnsi="Arial" w:cs="Arial"/>
          <w:sz w:val="24"/>
          <w:szCs w:val="24"/>
          <w:shd w:val="clear" w:color="auto" w:fill="FEFEFE"/>
          <w:lang w:val="en-GB"/>
        </w:rPr>
        <w:t xml:space="preserve"> </w:t>
      </w:r>
      <w:r w:rsidRPr="006608EE">
        <w:rPr>
          <w:rFonts w:ascii="Arial" w:hAnsi="Arial" w:cs="Arial"/>
          <w:sz w:val="24"/>
          <w:szCs w:val="24"/>
          <w:shd w:val="clear" w:color="auto" w:fill="FEFEFE"/>
          <w:lang w:val="en-GB"/>
        </w:rPr>
        <w:t xml:space="preserve">in line with the 2030 Agenda.  </w:t>
      </w:r>
      <w:r w:rsidR="005C6605" w:rsidRPr="006608EE">
        <w:rPr>
          <w:rFonts w:ascii="Arial" w:hAnsi="Arial" w:cs="Arial"/>
          <w:sz w:val="24"/>
          <w:szCs w:val="24"/>
          <w:shd w:val="clear" w:color="auto" w:fill="FEFEFE"/>
          <w:lang w:val="en-GB"/>
        </w:rPr>
        <w:t>Two important planning documents--- Our Ambition 2040 and the Philippine Development Plan 2017-2022</w:t>
      </w:r>
      <w:r w:rsidR="006608EE" w:rsidRPr="006608EE">
        <w:rPr>
          <w:rFonts w:ascii="Arial" w:hAnsi="Arial" w:cs="Arial"/>
          <w:sz w:val="24"/>
          <w:szCs w:val="24"/>
          <w:shd w:val="clear" w:color="auto" w:fill="FEFEFE"/>
          <w:lang w:val="en-GB"/>
        </w:rPr>
        <w:t xml:space="preserve"> ---</w:t>
      </w:r>
      <w:r w:rsidR="005C6605" w:rsidRPr="006608EE">
        <w:rPr>
          <w:rFonts w:ascii="Arial" w:hAnsi="Arial" w:cs="Arial"/>
          <w:sz w:val="24"/>
          <w:szCs w:val="24"/>
          <w:shd w:val="clear" w:color="auto" w:fill="FEFEFE"/>
          <w:lang w:val="en-GB"/>
        </w:rPr>
        <w:t xml:space="preserve"> carefully integrate human rights-based approach, sustainability and inclusivity </w:t>
      </w:r>
      <w:r w:rsidR="00A626F2" w:rsidRPr="006608EE">
        <w:rPr>
          <w:rFonts w:ascii="Arial" w:hAnsi="Arial" w:cs="Arial"/>
          <w:sz w:val="24"/>
          <w:szCs w:val="24"/>
          <w:shd w:val="clear" w:color="auto" w:fill="FEFEFE"/>
          <w:lang w:val="en-GB"/>
        </w:rPr>
        <w:t>as both goals and principles that guide our development strategies. Philippine development planning</w:t>
      </w:r>
      <w:r w:rsidR="00856F1B" w:rsidRPr="006608EE">
        <w:rPr>
          <w:rFonts w:ascii="Arial" w:hAnsi="Arial" w:cs="Arial"/>
          <w:sz w:val="24"/>
          <w:szCs w:val="24"/>
          <w:shd w:val="clear" w:color="auto" w:fill="FEFEFE"/>
          <w:lang w:val="en-GB"/>
        </w:rPr>
        <w:t xml:space="preserve"> inhere</w:t>
      </w:r>
      <w:r w:rsidR="006608EE" w:rsidRPr="006608EE">
        <w:rPr>
          <w:rFonts w:ascii="Arial" w:hAnsi="Arial" w:cs="Arial"/>
          <w:sz w:val="24"/>
          <w:szCs w:val="24"/>
          <w:shd w:val="clear" w:color="auto" w:fill="FEFEFE"/>
          <w:lang w:val="en-GB"/>
        </w:rPr>
        <w:t>s</w:t>
      </w:r>
      <w:r w:rsidR="00856F1B" w:rsidRPr="006608EE">
        <w:rPr>
          <w:rFonts w:ascii="Arial" w:hAnsi="Arial" w:cs="Arial"/>
          <w:sz w:val="24"/>
          <w:szCs w:val="24"/>
          <w:shd w:val="clear" w:color="auto" w:fill="FEFEFE"/>
          <w:lang w:val="en-GB"/>
        </w:rPr>
        <w:t xml:space="preserve"> </w:t>
      </w:r>
      <w:r w:rsidR="00A626F2" w:rsidRPr="006608EE">
        <w:rPr>
          <w:rFonts w:ascii="Arial" w:hAnsi="Arial" w:cs="Arial"/>
          <w:sz w:val="24"/>
          <w:szCs w:val="24"/>
          <w:shd w:val="clear" w:color="auto" w:fill="FEFEFE"/>
          <w:lang w:val="en-GB"/>
        </w:rPr>
        <w:t>inclusiveness</w:t>
      </w:r>
      <w:r w:rsidR="006608EE" w:rsidRPr="006608EE">
        <w:rPr>
          <w:rFonts w:ascii="Arial" w:hAnsi="Arial" w:cs="Arial"/>
          <w:sz w:val="24"/>
          <w:szCs w:val="24"/>
          <w:shd w:val="clear" w:color="auto" w:fill="FEFEFE"/>
          <w:lang w:val="en-GB"/>
        </w:rPr>
        <w:t xml:space="preserve"> and</w:t>
      </w:r>
      <w:r w:rsidR="00A626F2" w:rsidRPr="006608EE">
        <w:rPr>
          <w:rFonts w:ascii="Arial" w:hAnsi="Arial" w:cs="Arial"/>
          <w:sz w:val="24"/>
          <w:szCs w:val="24"/>
          <w:shd w:val="clear" w:color="auto" w:fill="FEFEFE"/>
          <w:lang w:val="en-GB"/>
        </w:rPr>
        <w:t xml:space="preserve"> wide stakeholder engagement. </w:t>
      </w:r>
    </w:p>
    <w:p w14:paraId="750D7137" w14:textId="30AE7EA9" w:rsidR="00A626F2" w:rsidRPr="006608EE" w:rsidRDefault="00A626F2" w:rsidP="00D94259">
      <w:pPr>
        <w:spacing w:after="0" w:line="276" w:lineRule="auto"/>
        <w:ind w:firstLine="720"/>
        <w:jc w:val="both"/>
        <w:rPr>
          <w:rFonts w:ascii="Arial" w:hAnsi="Arial" w:cs="Arial"/>
          <w:sz w:val="24"/>
          <w:szCs w:val="24"/>
        </w:rPr>
      </w:pPr>
    </w:p>
    <w:p w14:paraId="313DF8EE" w14:textId="4E3A355D" w:rsidR="00A626F2" w:rsidRPr="006608EE" w:rsidRDefault="006608EE" w:rsidP="00D94259">
      <w:pPr>
        <w:spacing w:after="0" w:line="276" w:lineRule="auto"/>
        <w:ind w:firstLine="720"/>
        <w:jc w:val="both"/>
        <w:rPr>
          <w:rFonts w:ascii="Arial" w:hAnsi="Arial" w:cs="Arial"/>
          <w:sz w:val="24"/>
          <w:szCs w:val="24"/>
          <w:lang w:val="en-GB"/>
        </w:rPr>
      </w:pPr>
      <w:r>
        <w:rPr>
          <w:rFonts w:ascii="Arial" w:hAnsi="Arial" w:cs="Arial"/>
          <w:sz w:val="24"/>
          <w:szCs w:val="24"/>
          <w:lang w:val="en-GB"/>
        </w:rPr>
        <w:t>On the draft LBI, w</w:t>
      </w:r>
      <w:r w:rsidR="00856F1B" w:rsidRPr="006608EE">
        <w:rPr>
          <w:rFonts w:ascii="Arial" w:hAnsi="Arial" w:cs="Arial"/>
          <w:sz w:val="24"/>
          <w:szCs w:val="24"/>
          <w:lang w:val="en-GB"/>
        </w:rPr>
        <w:t xml:space="preserve">e acknowledge the </w:t>
      </w:r>
      <w:r>
        <w:rPr>
          <w:rFonts w:ascii="Arial" w:hAnsi="Arial" w:cs="Arial"/>
          <w:sz w:val="24"/>
          <w:szCs w:val="24"/>
          <w:lang w:val="en-GB"/>
        </w:rPr>
        <w:t xml:space="preserve">thorough </w:t>
      </w:r>
      <w:r w:rsidR="00856F1B" w:rsidRPr="006608EE">
        <w:rPr>
          <w:rFonts w:ascii="Arial" w:hAnsi="Arial" w:cs="Arial"/>
          <w:sz w:val="24"/>
          <w:szCs w:val="24"/>
          <w:lang w:val="en-GB"/>
        </w:rPr>
        <w:t>work</w:t>
      </w:r>
      <w:r w:rsidR="00D94259">
        <w:rPr>
          <w:rFonts w:ascii="Arial" w:hAnsi="Arial" w:cs="Arial"/>
          <w:sz w:val="24"/>
          <w:szCs w:val="24"/>
          <w:lang w:val="en-GB"/>
        </w:rPr>
        <w:t xml:space="preserve"> put into the drafting process and the preparation of the highly instructive commentaries </w:t>
      </w:r>
      <w:r w:rsidR="00856F1B" w:rsidRPr="006608EE">
        <w:rPr>
          <w:rFonts w:ascii="Arial" w:hAnsi="Arial" w:cs="Arial"/>
          <w:sz w:val="24"/>
          <w:szCs w:val="24"/>
          <w:lang w:val="en-GB"/>
        </w:rPr>
        <w:t xml:space="preserve">which provide clarification on the rationale </w:t>
      </w:r>
      <w:r w:rsidR="00D94259">
        <w:rPr>
          <w:rFonts w:ascii="Arial" w:hAnsi="Arial" w:cs="Arial"/>
          <w:sz w:val="24"/>
          <w:szCs w:val="24"/>
          <w:lang w:val="en-GB"/>
        </w:rPr>
        <w:t xml:space="preserve">of the </w:t>
      </w:r>
      <w:r w:rsidR="00856F1B" w:rsidRPr="006608EE">
        <w:rPr>
          <w:rFonts w:ascii="Arial" w:hAnsi="Arial" w:cs="Arial"/>
          <w:sz w:val="24"/>
          <w:szCs w:val="24"/>
          <w:lang w:val="en-GB"/>
        </w:rPr>
        <w:t xml:space="preserve">provisions. We note </w:t>
      </w:r>
      <w:r w:rsidR="00F84CE5" w:rsidRPr="006608EE">
        <w:rPr>
          <w:rFonts w:ascii="Arial" w:hAnsi="Arial" w:cs="Arial"/>
          <w:sz w:val="24"/>
          <w:szCs w:val="24"/>
          <w:lang w:val="en-GB"/>
        </w:rPr>
        <w:t xml:space="preserve">and welcome </w:t>
      </w:r>
      <w:r w:rsidR="00856F1B" w:rsidRPr="006608EE">
        <w:rPr>
          <w:rFonts w:ascii="Arial" w:hAnsi="Arial" w:cs="Arial"/>
          <w:sz w:val="24"/>
          <w:szCs w:val="24"/>
          <w:lang w:val="en-GB"/>
        </w:rPr>
        <w:t xml:space="preserve">in this respect the following </w:t>
      </w:r>
      <w:r w:rsidR="00D94259">
        <w:rPr>
          <w:rFonts w:ascii="Arial" w:hAnsi="Arial" w:cs="Arial"/>
          <w:sz w:val="24"/>
          <w:szCs w:val="24"/>
          <w:lang w:val="en-GB"/>
        </w:rPr>
        <w:t>key considerations with respect to the current draft LBI</w:t>
      </w:r>
      <w:r w:rsidR="00856F1B" w:rsidRPr="006608EE">
        <w:rPr>
          <w:rFonts w:ascii="Arial" w:hAnsi="Arial" w:cs="Arial"/>
          <w:sz w:val="24"/>
          <w:szCs w:val="24"/>
          <w:lang w:val="en-GB"/>
        </w:rPr>
        <w:t>:</w:t>
      </w:r>
    </w:p>
    <w:p w14:paraId="5661ED1C" w14:textId="77777777" w:rsidR="00D94259" w:rsidRDefault="00D94259" w:rsidP="00D94259">
      <w:pPr>
        <w:pStyle w:val="SingleTxtG"/>
        <w:tabs>
          <w:tab w:val="num" w:pos="1701"/>
        </w:tabs>
        <w:ind w:left="0"/>
        <w:rPr>
          <w:rFonts w:ascii="Arial" w:hAnsi="Arial" w:cs="Arial"/>
          <w:sz w:val="24"/>
          <w:szCs w:val="24"/>
          <w:lang w:val="en-GB"/>
        </w:rPr>
      </w:pPr>
    </w:p>
    <w:p w14:paraId="08576FDB" w14:textId="21E6E460" w:rsidR="00F84CE5" w:rsidRPr="00F1745F" w:rsidRDefault="00D94259" w:rsidP="00D94259">
      <w:pPr>
        <w:pStyle w:val="SingleTxtG"/>
        <w:numPr>
          <w:ilvl w:val="0"/>
          <w:numId w:val="3"/>
        </w:numPr>
        <w:rPr>
          <w:rFonts w:ascii="Arial" w:hAnsi="Arial" w:cs="Arial"/>
          <w:sz w:val="24"/>
          <w:szCs w:val="24"/>
        </w:rPr>
      </w:pPr>
      <w:r>
        <w:rPr>
          <w:rFonts w:ascii="Arial" w:hAnsi="Arial" w:cs="Arial"/>
          <w:sz w:val="24"/>
          <w:szCs w:val="24"/>
          <w:lang w:val="en-GB"/>
        </w:rPr>
        <w:t>That it does not create new concepts, rights, or obligations and only reiterates those already existing under international law;</w:t>
      </w:r>
    </w:p>
    <w:p w14:paraId="31D407B9" w14:textId="77777777" w:rsidR="00F1745F" w:rsidRPr="006608EE" w:rsidRDefault="00F1745F" w:rsidP="00F1745F">
      <w:pPr>
        <w:pStyle w:val="SingleTxtG"/>
        <w:ind w:left="720"/>
        <w:rPr>
          <w:rFonts w:ascii="Arial" w:hAnsi="Arial" w:cs="Arial"/>
          <w:sz w:val="24"/>
          <w:szCs w:val="24"/>
        </w:rPr>
      </w:pPr>
    </w:p>
    <w:p w14:paraId="6345B3D3" w14:textId="771B6EB6" w:rsidR="00C43070" w:rsidRPr="006608EE" w:rsidRDefault="00D94259" w:rsidP="00D94259">
      <w:pPr>
        <w:pStyle w:val="ListParagraph"/>
        <w:numPr>
          <w:ilvl w:val="0"/>
          <w:numId w:val="3"/>
        </w:numPr>
        <w:spacing w:after="0" w:line="276" w:lineRule="auto"/>
        <w:jc w:val="both"/>
        <w:rPr>
          <w:rFonts w:ascii="Arial" w:hAnsi="Arial" w:cs="Arial"/>
          <w:sz w:val="24"/>
          <w:szCs w:val="24"/>
          <w:lang w:val="en-GB"/>
        </w:rPr>
      </w:pPr>
      <w:r>
        <w:rPr>
          <w:rFonts w:ascii="Arial" w:hAnsi="Arial" w:cs="Arial"/>
          <w:sz w:val="24"/>
          <w:szCs w:val="24"/>
          <w:lang w:val="en-GB"/>
        </w:rPr>
        <w:t>Th</w:t>
      </w:r>
      <w:r w:rsidR="00920820">
        <w:rPr>
          <w:rFonts w:ascii="Arial" w:hAnsi="Arial" w:cs="Arial"/>
          <w:sz w:val="24"/>
          <w:szCs w:val="24"/>
          <w:lang w:val="en-GB"/>
        </w:rPr>
        <w:t>e r</w:t>
      </w:r>
      <w:r>
        <w:rPr>
          <w:rFonts w:ascii="Arial" w:hAnsi="Arial" w:cs="Arial"/>
          <w:sz w:val="24"/>
          <w:szCs w:val="24"/>
          <w:lang w:val="en-GB"/>
        </w:rPr>
        <w:t>e</w:t>
      </w:r>
      <w:r w:rsidR="00C43070" w:rsidRPr="006608EE">
        <w:rPr>
          <w:rFonts w:ascii="Arial" w:hAnsi="Arial" w:cs="Arial"/>
          <w:sz w:val="24"/>
          <w:szCs w:val="24"/>
          <w:lang w:val="en-GB"/>
        </w:rPr>
        <w:t>cogni</w:t>
      </w:r>
      <w:r w:rsidR="00920820">
        <w:rPr>
          <w:rFonts w:ascii="Arial" w:hAnsi="Arial" w:cs="Arial"/>
          <w:sz w:val="24"/>
          <w:szCs w:val="24"/>
          <w:lang w:val="en-GB"/>
        </w:rPr>
        <w:t>tion of</w:t>
      </w:r>
      <w:r w:rsidR="00C43070" w:rsidRPr="006608EE">
        <w:rPr>
          <w:rFonts w:ascii="Arial" w:hAnsi="Arial" w:cs="Arial"/>
          <w:sz w:val="24"/>
          <w:szCs w:val="24"/>
          <w:lang w:val="en-GB"/>
        </w:rPr>
        <w:t xml:space="preserve"> the obligation of everyone, whether State or non-state</w:t>
      </w:r>
      <w:r>
        <w:rPr>
          <w:rFonts w:ascii="Arial" w:hAnsi="Arial" w:cs="Arial"/>
          <w:sz w:val="24"/>
          <w:szCs w:val="24"/>
          <w:lang w:val="en-GB"/>
        </w:rPr>
        <w:t xml:space="preserve"> </w:t>
      </w:r>
      <w:r w:rsidR="00C43070" w:rsidRPr="006608EE">
        <w:rPr>
          <w:rFonts w:ascii="Arial" w:hAnsi="Arial" w:cs="Arial"/>
          <w:sz w:val="24"/>
          <w:szCs w:val="24"/>
          <w:lang w:val="en-GB"/>
        </w:rPr>
        <w:t xml:space="preserve">actors, to respect </w:t>
      </w:r>
      <w:r>
        <w:rPr>
          <w:rFonts w:ascii="Arial" w:hAnsi="Arial" w:cs="Arial"/>
          <w:sz w:val="24"/>
          <w:szCs w:val="24"/>
          <w:lang w:val="en-GB"/>
        </w:rPr>
        <w:t xml:space="preserve">the </w:t>
      </w:r>
      <w:r w:rsidR="00C43070" w:rsidRPr="006608EE">
        <w:rPr>
          <w:rFonts w:ascii="Arial" w:hAnsi="Arial" w:cs="Arial"/>
          <w:sz w:val="24"/>
          <w:szCs w:val="24"/>
          <w:lang w:val="en-GB"/>
        </w:rPr>
        <w:t>human rights of others</w:t>
      </w:r>
      <w:r>
        <w:rPr>
          <w:rFonts w:ascii="Arial" w:hAnsi="Arial" w:cs="Arial"/>
          <w:sz w:val="24"/>
          <w:szCs w:val="24"/>
          <w:lang w:val="en-GB"/>
        </w:rPr>
        <w:t>;</w:t>
      </w:r>
    </w:p>
    <w:p w14:paraId="490A43BE" w14:textId="4C65E0BD" w:rsidR="00F84CE5" w:rsidRDefault="00920820" w:rsidP="00D94259">
      <w:pPr>
        <w:pStyle w:val="ListParagraph"/>
        <w:numPr>
          <w:ilvl w:val="0"/>
          <w:numId w:val="3"/>
        </w:numPr>
        <w:spacing w:after="0" w:line="276" w:lineRule="auto"/>
        <w:jc w:val="both"/>
        <w:rPr>
          <w:rFonts w:ascii="Arial" w:hAnsi="Arial" w:cs="Arial"/>
          <w:sz w:val="24"/>
          <w:szCs w:val="24"/>
          <w:lang w:val="en-GB"/>
        </w:rPr>
      </w:pPr>
      <w:r>
        <w:rPr>
          <w:rFonts w:ascii="Arial" w:hAnsi="Arial" w:cs="Arial"/>
          <w:sz w:val="24"/>
          <w:szCs w:val="24"/>
          <w:lang w:val="en-GB"/>
        </w:rPr>
        <w:lastRenderedPageBreak/>
        <w:t>The r</w:t>
      </w:r>
      <w:r w:rsidR="00977A46" w:rsidRPr="006608EE">
        <w:rPr>
          <w:rFonts w:ascii="Arial" w:hAnsi="Arial" w:cs="Arial"/>
          <w:sz w:val="24"/>
          <w:szCs w:val="24"/>
          <w:lang w:val="en-GB"/>
        </w:rPr>
        <w:t xml:space="preserve">ecognition of unique circumstances and vulnerability status of stakeholders and varying levels of development among States that </w:t>
      </w:r>
      <w:r w:rsidR="0044150E" w:rsidRPr="006608EE">
        <w:rPr>
          <w:rFonts w:ascii="Arial" w:hAnsi="Arial" w:cs="Arial"/>
          <w:sz w:val="24"/>
          <w:szCs w:val="24"/>
          <w:lang w:val="en-GB"/>
        </w:rPr>
        <w:t xml:space="preserve">may </w:t>
      </w:r>
      <w:r w:rsidR="00977A46" w:rsidRPr="006608EE">
        <w:rPr>
          <w:rFonts w:ascii="Arial" w:hAnsi="Arial" w:cs="Arial"/>
          <w:sz w:val="24"/>
          <w:szCs w:val="24"/>
          <w:lang w:val="en-GB"/>
        </w:rPr>
        <w:t>require special and</w:t>
      </w:r>
      <w:r w:rsidR="00F84CE5" w:rsidRPr="006608EE">
        <w:rPr>
          <w:rFonts w:ascii="Arial" w:hAnsi="Arial" w:cs="Arial"/>
          <w:sz w:val="24"/>
          <w:szCs w:val="24"/>
          <w:lang w:val="en-GB"/>
        </w:rPr>
        <w:t xml:space="preserve"> remedial measures</w:t>
      </w:r>
      <w:r>
        <w:rPr>
          <w:rFonts w:ascii="Arial" w:hAnsi="Arial" w:cs="Arial"/>
          <w:sz w:val="24"/>
          <w:szCs w:val="24"/>
          <w:lang w:val="en-GB"/>
        </w:rPr>
        <w:t>; and</w:t>
      </w:r>
    </w:p>
    <w:p w14:paraId="7B6B8A19" w14:textId="77777777" w:rsidR="00920820" w:rsidRPr="006608EE" w:rsidRDefault="00920820" w:rsidP="00920820">
      <w:pPr>
        <w:pStyle w:val="ListParagraph"/>
        <w:spacing w:after="0" w:line="276" w:lineRule="auto"/>
        <w:jc w:val="both"/>
        <w:rPr>
          <w:rFonts w:ascii="Arial" w:hAnsi="Arial" w:cs="Arial"/>
          <w:sz w:val="24"/>
          <w:szCs w:val="24"/>
          <w:lang w:val="en-GB"/>
        </w:rPr>
      </w:pPr>
    </w:p>
    <w:p w14:paraId="24F08060" w14:textId="1FF82DA1" w:rsidR="00977A46" w:rsidRPr="006608EE" w:rsidRDefault="00920820" w:rsidP="00D94259">
      <w:pPr>
        <w:pStyle w:val="ListParagraph"/>
        <w:numPr>
          <w:ilvl w:val="0"/>
          <w:numId w:val="3"/>
        </w:numPr>
        <w:spacing w:after="0" w:line="276" w:lineRule="auto"/>
        <w:jc w:val="both"/>
        <w:rPr>
          <w:rFonts w:ascii="Arial" w:hAnsi="Arial" w:cs="Arial"/>
          <w:sz w:val="24"/>
          <w:szCs w:val="24"/>
          <w:lang w:val="en-GB"/>
        </w:rPr>
      </w:pPr>
      <w:r>
        <w:rPr>
          <w:rFonts w:ascii="Arial" w:hAnsi="Arial" w:cs="Arial"/>
          <w:sz w:val="24"/>
          <w:szCs w:val="24"/>
          <w:lang w:val="en-GB"/>
        </w:rPr>
        <w:t xml:space="preserve">The </w:t>
      </w:r>
      <w:r w:rsidR="00977A46" w:rsidRPr="006608EE">
        <w:rPr>
          <w:rFonts w:ascii="Arial" w:hAnsi="Arial" w:cs="Arial"/>
          <w:sz w:val="24"/>
          <w:szCs w:val="24"/>
          <w:lang w:val="en-GB"/>
        </w:rPr>
        <w:t>State duty to cooperate with each other as integral in ensuring development and eliminating obstacles to development</w:t>
      </w:r>
      <w:r>
        <w:rPr>
          <w:rFonts w:ascii="Arial" w:hAnsi="Arial" w:cs="Arial"/>
          <w:sz w:val="24"/>
          <w:szCs w:val="24"/>
          <w:lang w:val="en-GB"/>
        </w:rPr>
        <w:t>.</w:t>
      </w:r>
      <w:r w:rsidR="00977A46" w:rsidRPr="006608EE">
        <w:rPr>
          <w:rFonts w:ascii="Arial" w:hAnsi="Arial" w:cs="Arial"/>
          <w:sz w:val="24"/>
          <w:szCs w:val="24"/>
          <w:lang w:val="en-GB"/>
        </w:rPr>
        <w:t xml:space="preserve"> </w:t>
      </w:r>
    </w:p>
    <w:p w14:paraId="13119792" w14:textId="77777777" w:rsidR="00977A46" w:rsidRPr="006608EE" w:rsidRDefault="00977A46" w:rsidP="00977A46">
      <w:pPr>
        <w:pStyle w:val="ListParagraph"/>
        <w:spacing w:after="0" w:line="276" w:lineRule="auto"/>
        <w:ind w:left="1080"/>
        <w:jc w:val="both"/>
        <w:rPr>
          <w:rFonts w:ascii="Arial" w:hAnsi="Arial" w:cs="Arial"/>
          <w:sz w:val="24"/>
          <w:szCs w:val="24"/>
          <w:lang w:val="en-GB"/>
        </w:rPr>
      </w:pPr>
    </w:p>
    <w:p w14:paraId="40395B9B" w14:textId="28850811" w:rsidR="00E77369" w:rsidRPr="006608EE" w:rsidRDefault="00920820" w:rsidP="00F1745F">
      <w:pPr>
        <w:spacing w:after="0" w:line="276" w:lineRule="auto"/>
        <w:ind w:firstLine="720"/>
        <w:jc w:val="both"/>
        <w:rPr>
          <w:rFonts w:ascii="Arial" w:hAnsi="Arial" w:cs="Arial"/>
          <w:sz w:val="24"/>
          <w:szCs w:val="24"/>
          <w:lang w:val="en-GB"/>
        </w:rPr>
      </w:pPr>
      <w:r>
        <w:rPr>
          <w:rFonts w:ascii="Arial" w:hAnsi="Arial" w:cs="Arial"/>
          <w:sz w:val="24"/>
          <w:szCs w:val="24"/>
          <w:lang w:val="en-GB"/>
        </w:rPr>
        <w:t>While noting these useful considerations, w</w:t>
      </w:r>
      <w:r w:rsidR="00E77369" w:rsidRPr="006608EE">
        <w:rPr>
          <w:rFonts w:ascii="Arial" w:hAnsi="Arial" w:cs="Arial"/>
          <w:sz w:val="24"/>
          <w:szCs w:val="24"/>
          <w:lang w:val="en-GB"/>
        </w:rPr>
        <w:t xml:space="preserve">e </w:t>
      </w:r>
      <w:r>
        <w:rPr>
          <w:rFonts w:ascii="Arial" w:hAnsi="Arial" w:cs="Arial"/>
          <w:sz w:val="24"/>
          <w:szCs w:val="24"/>
          <w:lang w:val="en-GB"/>
        </w:rPr>
        <w:t xml:space="preserve">also </w:t>
      </w:r>
      <w:r w:rsidR="00E77369" w:rsidRPr="006608EE">
        <w:rPr>
          <w:rFonts w:ascii="Arial" w:hAnsi="Arial" w:cs="Arial"/>
          <w:sz w:val="24"/>
          <w:szCs w:val="24"/>
          <w:lang w:val="en-GB"/>
        </w:rPr>
        <w:t>anticipate that there will be</w:t>
      </w:r>
      <w:r>
        <w:rPr>
          <w:rFonts w:ascii="Arial" w:hAnsi="Arial" w:cs="Arial"/>
          <w:sz w:val="24"/>
          <w:szCs w:val="24"/>
          <w:lang w:val="en-GB"/>
        </w:rPr>
        <w:t xml:space="preserve"> certain </w:t>
      </w:r>
      <w:r w:rsidR="00E77369" w:rsidRPr="006608EE">
        <w:rPr>
          <w:rFonts w:ascii="Arial" w:hAnsi="Arial" w:cs="Arial"/>
          <w:sz w:val="24"/>
          <w:szCs w:val="24"/>
          <w:lang w:val="en-GB"/>
        </w:rPr>
        <w:t>overlap</w:t>
      </w:r>
      <w:r>
        <w:rPr>
          <w:rFonts w:ascii="Arial" w:hAnsi="Arial" w:cs="Arial"/>
          <w:sz w:val="24"/>
          <w:szCs w:val="24"/>
          <w:lang w:val="en-GB"/>
        </w:rPr>
        <w:t xml:space="preserve">ping functions </w:t>
      </w:r>
      <w:r w:rsidR="00E77369" w:rsidRPr="006608EE">
        <w:rPr>
          <w:rFonts w:ascii="Arial" w:hAnsi="Arial" w:cs="Arial"/>
          <w:sz w:val="24"/>
          <w:szCs w:val="24"/>
          <w:lang w:val="en-GB"/>
        </w:rPr>
        <w:t>in the Member States</w:t>
      </w:r>
      <w:r>
        <w:rPr>
          <w:rFonts w:ascii="Arial" w:hAnsi="Arial" w:cs="Arial"/>
          <w:sz w:val="24"/>
          <w:szCs w:val="24"/>
          <w:lang w:val="en-GB"/>
        </w:rPr>
        <w:t>´</w:t>
      </w:r>
      <w:r w:rsidR="00E77369" w:rsidRPr="006608EE">
        <w:rPr>
          <w:rFonts w:ascii="Arial" w:hAnsi="Arial" w:cs="Arial"/>
          <w:sz w:val="24"/>
          <w:szCs w:val="24"/>
          <w:lang w:val="en-GB"/>
        </w:rPr>
        <w:t xml:space="preserve"> monitoring and reporting of obligations and commitments to the RTDs and the SDGs. We would suggest that the functions of the </w:t>
      </w:r>
      <w:r>
        <w:rPr>
          <w:rFonts w:ascii="Arial" w:hAnsi="Arial" w:cs="Arial"/>
          <w:sz w:val="24"/>
          <w:szCs w:val="24"/>
          <w:lang w:val="en-GB"/>
        </w:rPr>
        <w:t xml:space="preserve">envisioned </w:t>
      </w:r>
      <w:r w:rsidR="00E77369" w:rsidRPr="006608EE">
        <w:rPr>
          <w:rFonts w:ascii="Arial" w:hAnsi="Arial" w:cs="Arial"/>
          <w:sz w:val="24"/>
          <w:szCs w:val="24"/>
          <w:lang w:val="en-GB"/>
        </w:rPr>
        <w:t xml:space="preserve">treaty body </w:t>
      </w:r>
      <w:r>
        <w:rPr>
          <w:rFonts w:ascii="Arial" w:hAnsi="Arial" w:cs="Arial"/>
          <w:sz w:val="24"/>
          <w:szCs w:val="24"/>
          <w:lang w:val="en-GB"/>
        </w:rPr>
        <w:t xml:space="preserve">on the </w:t>
      </w:r>
      <w:r w:rsidR="00E77369" w:rsidRPr="006608EE">
        <w:rPr>
          <w:rFonts w:ascii="Arial" w:hAnsi="Arial" w:cs="Arial"/>
          <w:sz w:val="24"/>
          <w:szCs w:val="24"/>
          <w:lang w:val="en-GB"/>
        </w:rPr>
        <w:t xml:space="preserve">RTD be clearly delineated from the existing international institutional mechanisms on the SDGs. </w:t>
      </w:r>
    </w:p>
    <w:p w14:paraId="7F752383" w14:textId="4BE04F0D" w:rsidR="00E77369" w:rsidRPr="006608EE" w:rsidRDefault="00E77369" w:rsidP="00A26406">
      <w:pPr>
        <w:spacing w:after="0" w:line="276" w:lineRule="auto"/>
        <w:jc w:val="both"/>
        <w:rPr>
          <w:rFonts w:ascii="Arial" w:hAnsi="Arial" w:cs="Arial"/>
          <w:sz w:val="24"/>
          <w:szCs w:val="24"/>
          <w:lang w:val="en-GB"/>
        </w:rPr>
      </w:pPr>
    </w:p>
    <w:p w14:paraId="7FA20B56" w14:textId="4B6FD818" w:rsidR="00E77369" w:rsidRDefault="006F202A" w:rsidP="00F1745F">
      <w:pPr>
        <w:spacing w:after="0" w:line="276" w:lineRule="auto"/>
        <w:ind w:firstLine="720"/>
        <w:jc w:val="both"/>
        <w:rPr>
          <w:rFonts w:ascii="Arial" w:hAnsi="Arial" w:cs="Arial"/>
          <w:sz w:val="24"/>
          <w:szCs w:val="24"/>
          <w:lang w:val="en-GB"/>
        </w:rPr>
      </w:pPr>
      <w:r>
        <w:rPr>
          <w:rFonts w:ascii="Arial" w:hAnsi="Arial" w:cs="Arial"/>
          <w:sz w:val="24"/>
          <w:szCs w:val="24"/>
          <w:lang w:val="en-GB"/>
        </w:rPr>
        <w:t>As the right to development relates to economic, social, cultural, civil, and political processes, we</w:t>
      </w:r>
      <w:r w:rsidR="00E77369" w:rsidRPr="006608EE">
        <w:rPr>
          <w:rFonts w:ascii="Arial" w:hAnsi="Arial" w:cs="Arial"/>
          <w:sz w:val="24"/>
          <w:szCs w:val="24"/>
          <w:lang w:val="en-GB"/>
        </w:rPr>
        <w:t xml:space="preserve"> note </w:t>
      </w:r>
      <w:r>
        <w:rPr>
          <w:rFonts w:ascii="Arial" w:hAnsi="Arial" w:cs="Arial"/>
          <w:sz w:val="24"/>
          <w:szCs w:val="24"/>
          <w:lang w:val="en-GB"/>
        </w:rPr>
        <w:t xml:space="preserve">that the LBI on RTD overlaps with </w:t>
      </w:r>
      <w:r w:rsidR="00E77369" w:rsidRPr="006608EE">
        <w:rPr>
          <w:rFonts w:ascii="Arial" w:hAnsi="Arial" w:cs="Arial"/>
          <w:sz w:val="24"/>
          <w:szCs w:val="24"/>
          <w:lang w:val="en-GB"/>
        </w:rPr>
        <w:t>other core human rights instruments</w:t>
      </w:r>
      <w:r>
        <w:rPr>
          <w:rFonts w:ascii="Arial" w:hAnsi="Arial" w:cs="Arial"/>
          <w:sz w:val="24"/>
          <w:szCs w:val="24"/>
          <w:lang w:val="en-GB"/>
        </w:rPr>
        <w:t>.</w:t>
      </w:r>
      <w:r w:rsidR="00E77369" w:rsidRPr="006608EE">
        <w:rPr>
          <w:rFonts w:ascii="Arial" w:hAnsi="Arial" w:cs="Arial"/>
          <w:sz w:val="24"/>
          <w:szCs w:val="24"/>
          <w:lang w:val="en-GB"/>
        </w:rPr>
        <w:t xml:space="preserve"> </w:t>
      </w:r>
      <w:r>
        <w:rPr>
          <w:rFonts w:ascii="Arial" w:hAnsi="Arial" w:cs="Arial"/>
          <w:sz w:val="24"/>
          <w:szCs w:val="24"/>
          <w:lang w:val="en-GB"/>
        </w:rPr>
        <w:t>In our discussions forward, t</w:t>
      </w:r>
      <w:r w:rsidR="00E77369" w:rsidRPr="006608EE">
        <w:rPr>
          <w:rFonts w:ascii="Arial" w:hAnsi="Arial" w:cs="Arial"/>
          <w:sz w:val="24"/>
          <w:szCs w:val="24"/>
          <w:lang w:val="en-GB"/>
        </w:rPr>
        <w:t>here is a need to clarify how the LBI on RTD will use existing mechanisms and protocols within countries and the UN system</w:t>
      </w:r>
      <w:r>
        <w:rPr>
          <w:rFonts w:ascii="Arial" w:hAnsi="Arial" w:cs="Arial"/>
          <w:sz w:val="24"/>
          <w:szCs w:val="24"/>
          <w:lang w:val="en-GB"/>
        </w:rPr>
        <w:t xml:space="preserve"> in relation to these existing human rights treaties and even the SDGs. </w:t>
      </w:r>
      <w:r w:rsidR="00E77369" w:rsidRPr="006608EE">
        <w:rPr>
          <w:rFonts w:ascii="Arial" w:hAnsi="Arial" w:cs="Arial"/>
          <w:sz w:val="24"/>
          <w:szCs w:val="24"/>
          <w:lang w:val="en-GB"/>
        </w:rPr>
        <w:t xml:space="preserve"> </w:t>
      </w:r>
    </w:p>
    <w:p w14:paraId="1CC1EBAF" w14:textId="567B5FAE" w:rsidR="006F202A" w:rsidRDefault="006F202A" w:rsidP="00F1745F">
      <w:pPr>
        <w:spacing w:after="0" w:line="276" w:lineRule="auto"/>
        <w:ind w:firstLine="720"/>
        <w:jc w:val="both"/>
        <w:rPr>
          <w:rFonts w:ascii="Arial" w:hAnsi="Arial" w:cs="Arial"/>
          <w:sz w:val="24"/>
          <w:szCs w:val="24"/>
          <w:lang w:val="en-GB"/>
        </w:rPr>
      </w:pPr>
    </w:p>
    <w:p w14:paraId="56127E83" w14:textId="1BEEE872" w:rsidR="006F202A" w:rsidRPr="006608EE" w:rsidRDefault="006F202A" w:rsidP="00F1745F">
      <w:pPr>
        <w:spacing w:after="0" w:line="276" w:lineRule="auto"/>
        <w:ind w:firstLine="720"/>
        <w:jc w:val="both"/>
        <w:rPr>
          <w:rFonts w:ascii="Arial" w:hAnsi="Arial" w:cs="Arial"/>
          <w:sz w:val="24"/>
          <w:szCs w:val="24"/>
          <w:lang w:val="en-GB"/>
        </w:rPr>
      </w:pPr>
      <w:r>
        <w:rPr>
          <w:rFonts w:ascii="Arial" w:hAnsi="Arial" w:cs="Arial"/>
          <w:sz w:val="24"/>
          <w:szCs w:val="24"/>
          <w:lang w:val="en-GB"/>
        </w:rPr>
        <w:t xml:space="preserve">We look forward to </w:t>
      </w:r>
      <w:r w:rsidRPr="006608EE">
        <w:rPr>
          <w:rFonts w:ascii="Arial" w:hAnsi="Arial" w:cs="Arial"/>
          <w:sz w:val="24"/>
          <w:szCs w:val="24"/>
          <w:lang w:val="en-GB"/>
        </w:rPr>
        <w:t>a fruitful exchange of views.</w:t>
      </w:r>
    </w:p>
    <w:p w14:paraId="7113A97A" w14:textId="1A599313" w:rsidR="00E77369" w:rsidRPr="006608EE" w:rsidRDefault="00E77369" w:rsidP="00A26406">
      <w:pPr>
        <w:spacing w:after="0" w:line="276" w:lineRule="auto"/>
        <w:jc w:val="both"/>
        <w:rPr>
          <w:rFonts w:ascii="Arial" w:hAnsi="Arial" w:cs="Arial"/>
          <w:sz w:val="24"/>
          <w:szCs w:val="24"/>
          <w:lang w:val="en-GB"/>
        </w:rPr>
      </w:pPr>
    </w:p>
    <w:p w14:paraId="796C0D26" w14:textId="37582413" w:rsidR="00E77369" w:rsidRDefault="00E77369" w:rsidP="006F202A">
      <w:pPr>
        <w:spacing w:after="0" w:line="276" w:lineRule="auto"/>
        <w:ind w:firstLine="720"/>
        <w:jc w:val="both"/>
        <w:rPr>
          <w:rFonts w:ascii="Arial" w:hAnsi="Arial" w:cs="Arial"/>
          <w:sz w:val="24"/>
          <w:szCs w:val="24"/>
          <w:lang w:val="en-GB"/>
        </w:rPr>
      </w:pPr>
      <w:r w:rsidRPr="006608EE">
        <w:rPr>
          <w:rFonts w:ascii="Arial" w:hAnsi="Arial" w:cs="Arial"/>
          <w:sz w:val="24"/>
          <w:szCs w:val="24"/>
          <w:lang w:val="en-GB"/>
        </w:rPr>
        <w:t>Thank you, Chair.</w:t>
      </w:r>
    </w:p>
    <w:p w14:paraId="4B6CAB64" w14:textId="22F807E7" w:rsidR="006F202A" w:rsidRDefault="006F202A" w:rsidP="006F202A">
      <w:pPr>
        <w:spacing w:after="0" w:line="276" w:lineRule="auto"/>
        <w:ind w:firstLine="720"/>
        <w:jc w:val="both"/>
        <w:rPr>
          <w:rFonts w:ascii="Arial" w:hAnsi="Arial" w:cs="Arial"/>
          <w:sz w:val="24"/>
          <w:szCs w:val="24"/>
          <w:lang w:val="en-GB"/>
        </w:rPr>
      </w:pPr>
    </w:p>
    <w:p w14:paraId="2053E3F7" w14:textId="4D5D334D" w:rsidR="006F202A" w:rsidRDefault="006F202A" w:rsidP="006F202A">
      <w:pPr>
        <w:spacing w:after="0" w:line="276" w:lineRule="auto"/>
        <w:ind w:firstLine="720"/>
        <w:jc w:val="both"/>
        <w:rPr>
          <w:rFonts w:ascii="Arial" w:hAnsi="Arial" w:cs="Arial"/>
          <w:sz w:val="24"/>
          <w:szCs w:val="24"/>
          <w:lang w:val="en-GB"/>
        </w:rPr>
      </w:pPr>
    </w:p>
    <w:p w14:paraId="0B85F023" w14:textId="2C5A160E" w:rsidR="006F202A" w:rsidRDefault="006F202A" w:rsidP="006F202A">
      <w:pPr>
        <w:spacing w:after="0" w:line="276" w:lineRule="auto"/>
        <w:ind w:firstLine="720"/>
        <w:jc w:val="both"/>
        <w:rPr>
          <w:rFonts w:ascii="Arial" w:hAnsi="Arial" w:cs="Arial"/>
          <w:sz w:val="24"/>
          <w:szCs w:val="24"/>
          <w:lang w:val="en-GB"/>
        </w:rPr>
      </w:pPr>
    </w:p>
    <w:p w14:paraId="170CD86D" w14:textId="0549EE2C" w:rsidR="006F202A" w:rsidRDefault="006F202A" w:rsidP="006F202A">
      <w:pPr>
        <w:spacing w:after="0" w:line="276" w:lineRule="auto"/>
        <w:ind w:firstLine="720"/>
        <w:jc w:val="both"/>
        <w:rPr>
          <w:rFonts w:ascii="Arial" w:hAnsi="Arial" w:cs="Arial"/>
          <w:sz w:val="24"/>
          <w:szCs w:val="24"/>
          <w:lang w:val="en-GB"/>
        </w:rPr>
      </w:pPr>
    </w:p>
    <w:p w14:paraId="0042BB9F" w14:textId="1B2467A1" w:rsidR="006F202A" w:rsidRDefault="006F202A" w:rsidP="006F202A">
      <w:pPr>
        <w:spacing w:after="0" w:line="276" w:lineRule="auto"/>
        <w:ind w:firstLine="720"/>
        <w:jc w:val="both"/>
        <w:rPr>
          <w:rFonts w:ascii="Arial" w:hAnsi="Arial" w:cs="Arial"/>
          <w:sz w:val="24"/>
          <w:szCs w:val="24"/>
          <w:lang w:val="en-GB"/>
        </w:rPr>
      </w:pPr>
    </w:p>
    <w:p w14:paraId="5EA84D0D" w14:textId="79A0D179" w:rsidR="006F202A" w:rsidRDefault="006F202A" w:rsidP="006F202A">
      <w:pPr>
        <w:spacing w:after="0" w:line="276" w:lineRule="auto"/>
        <w:ind w:firstLine="720"/>
        <w:jc w:val="both"/>
        <w:rPr>
          <w:rFonts w:ascii="Arial" w:hAnsi="Arial" w:cs="Arial"/>
          <w:sz w:val="24"/>
          <w:szCs w:val="24"/>
          <w:lang w:val="en-GB"/>
        </w:rPr>
      </w:pPr>
    </w:p>
    <w:p w14:paraId="2991026C" w14:textId="3B16BFA1" w:rsidR="006F202A" w:rsidRDefault="006F202A" w:rsidP="006F202A">
      <w:pPr>
        <w:spacing w:after="0" w:line="276" w:lineRule="auto"/>
        <w:ind w:firstLine="720"/>
        <w:jc w:val="both"/>
        <w:rPr>
          <w:rFonts w:ascii="Arial" w:hAnsi="Arial" w:cs="Arial"/>
          <w:sz w:val="24"/>
          <w:szCs w:val="24"/>
          <w:lang w:val="en-GB"/>
        </w:rPr>
      </w:pPr>
    </w:p>
    <w:p w14:paraId="72C24785" w14:textId="223EB6D3" w:rsidR="006F202A" w:rsidRDefault="006F202A" w:rsidP="006F202A">
      <w:pPr>
        <w:spacing w:after="0" w:line="276" w:lineRule="auto"/>
        <w:ind w:firstLine="720"/>
        <w:jc w:val="both"/>
        <w:rPr>
          <w:rFonts w:ascii="Arial" w:hAnsi="Arial" w:cs="Arial"/>
          <w:sz w:val="24"/>
          <w:szCs w:val="24"/>
          <w:lang w:val="en-GB"/>
        </w:rPr>
      </w:pPr>
    </w:p>
    <w:p w14:paraId="5AF879B8" w14:textId="0962631C" w:rsidR="006F202A" w:rsidRDefault="006F202A" w:rsidP="006F202A">
      <w:pPr>
        <w:spacing w:after="0" w:line="276" w:lineRule="auto"/>
        <w:ind w:firstLine="720"/>
        <w:jc w:val="both"/>
        <w:rPr>
          <w:rFonts w:ascii="Arial" w:hAnsi="Arial" w:cs="Arial"/>
          <w:sz w:val="24"/>
          <w:szCs w:val="24"/>
          <w:lang w:val="en-GB"/>
        </w:rPr>
      </w:pPr>
    </w:p>
    <w:p w14:paraId="1E80E5CB" w14:textId="51FC4E33" w:rsidR="006F202A" w:rsidRDefault="006F202A" w:rsidP="006F202A">
      <w:pPr>
        <w:spacing w:after="0" w:line="276" w:lineRule="auto"/>
        <w:ind w:firstLine="720"/>
        <w:jc w:val="both"/>
        <w:rPr>
          <w:rFonts w:ascii="Arial" w:hAnsi="Arial" w:cs="Arial"/>
          <w:sz w:val="24"/>
          <w:szCs w:val="24"/>
          <w:lang w:val="en-GB"/>
        </w:rPr>
      </w:pPr>
    </w:p>
    <w:p w14:paraId="5750CFDF" w14:textId="52437394" w:rsidR="006F202A" w:rsidRDefault="006F202A" w:rsidP="006F202A">
      <w:pPr>
        <w:spacing w:after="0" w:line="276" w:lineRule="auto"/>
        <w:ind w:firstLine="720"/>
        <w:jc w:val="both"/>
        <w:rPr>
          <w:rFonts w:ascii="Arial" w:hAnsi="Arial" w:cs="Arial"/>
          <w:sz w:val="24"/>
          <w:szCs w:val="24"/>
          <w:lang w:val="en-GB"/>
        </w:rPr>
      </w:pPr>
    </w:p>
    <w:p w14:paraId="00B5DF3E" w14:textId="5C420545" w:rsidR="006F202A" w:rsidRDefault="006F202A" w:rsidP="006F202A">
      <w:pPr>
        <w:spacing w:after="0" w:line="276" w:lineRule="auto"/>
        <w:ind w:firstLine="720"/>
        <w:jc w:val="both"/>
        <w:rPr>
          <w:rFonts w:ascii="Arial" w:hAnsi="Arial" w:cs="Arial"/>
          <w:sz w:val="24"/>
          <w:szCs w:val="24"/>
          <w:lang w:val="en-GB"/>
        </w:rPr>
      </w:pPr>
    </w:p>
    <w:p w14:paraId="6BD1074D" w14:textId="4D11F51B" w:rsidR="006F202A" w:rsidRDefault="006F202A" w:rsidP="006F202A">
      <w:pPr>
        <w:spacing w:after="0" w:line="276" w:lineRule="auto"/>
        <w:ind w:firstLine="720"/>
        <w:jc w:val="both"/>
        <w:rPr>
          <w:rFonts w:ascii="Arial" w:hAnsi="Arial" w:cs="Arial"/>
          <w:sz w:val="24"/>
          <w:szCs w:val="24"/>
          <w:lang w:val="en-GB"/>
        </w:rPr>
      </w:pPr>
    </w:p>
    <w:p w14:paraId="44F4E872" w14:textId="02863CE0" w:rsidR="006F202A" w:rsidRDefault="006F202A" w:rsidP="006F202A">
      <w:pPr>
        <w:spacing w:after="0" w:line="276" w:lineRule="auto"/>
        <w:ind w:firstLine="720"/>
        <w:jc w:val="both"/>
        <w:rPr>
          <w:rFonts w:ascii="Arial" w:hAnsi="Arial" w:cs="Arial"/>
          <w:sz w:val="24"/>
          <w:szCs w:val="24"/>
          <w:lang w:val="en-GB"/>
        </w:rPr>
      </w:pPr>
    </w:p>
    <w:p w14:paraId="72DA2095" w14:textId="3520F1B6" w:rsidR="006F202A" w:rsidRDefault="006F202A" w:rsidP="006F202A">
      <w:pPr>
        <w:spacing w:after="0" w:line="276" w:lineRule="auto"/>
        <w:ind w:firstLine="720"/>
        <w:jc w:val="both"/>
        <w:rPr>
          <w:rFonts w:ascii="Arial" w:hAnsi="Arial" w:cs="Arial"/>
          <w:sz w:val="24"/>
          <w:szCs w:val="24"/>
          <w:lang w:val="en-GB"/>
        </w:rPr>
      </w:pPr>
    </w:p>
    <w:p w14:paraId="4BE5AE28" w14:textId="4557029B" w:rsidR="006F202A" w:rsidRDefault="006F202A" w:rsidP="006F202A">
      <w:pPr>
        <w:spacing w:after="0" w:line="276" w:lineRule="auto"/>
        <w:ind w:firstLine="720"/>
        <w:jc w:val="both"/>
        <w:rPr>
          <w:rFonts w:ascii="Arial" w:hAnsi="Arial" w:cs="Arial"/>
          <w:sz w:val="24"/>
          <w:szCs w:val="24"/>
          <w:lang w:val="en-GB"/>
        </w:rPr>
      </w:pPr>
    </w:p>
    <w:p w14:paraId="360BD87D" w14:textId="7F7D07A0" w:rsidR="006F202A" w:rsidRDefault="006F202A" w:rsidP="006F202A">
      <w:pPr>
        <w:spacing w:after="0" w:line="276" w:lineRule="auto"/>
        <w:ind w:firstLine="720"/>
        <w:jc w:val="both"/>
        <w:rPr>
          <w:rFonts w:ascii="Arial" w:hAnsi="Arial" w:cs="Arial"/>
          <w:sz w:val="24"/>
          <w:szCs w:val="24"/>
          <w:lang w:val="en-GB"/>
        </w:rPr>
      </w:pPr>
    </w:p>
    <w:p w14:paraId="7A9A8B9E" w14:textId="15EB2E67" w:rsidR="006F202A" w:rsidRDefault="006F202A" w:rsidP="006F202A">
      <w:pPr>
        <w:spacing w:after="0" w:line="276" w:lineRule="auto"/>
        <w:ind w:firstLine="720"/>
        <w:jc w:val="both"/>
        <w:rPr>
          <w:rFonts w:ascii="Arial" w:hAnsi="Arial" w:cs="Arial"/>
          <w:sz w:val="24"/>
          <w:szCs w:val="24"/>
          <w:lang w:val="en-GB"/>
        </w:rPr>
      </w:pPr>
    </w:p>
    <w:p w14:paraId="7A5FDE96" w14:textId="4AEB1109" w:rsidR="006F202A" w:rsidRDefault="006F202A" w:rsidP="006F202A">
      <w:pPr>
        <w:spacing w:after="0" w:line="276" w:lineRule="auto"/>
        <w:ind w:firstLine="720"/>
        <w:jc w:val="both"/>
        <w:rPr>
          <w:rFonts w:ascii="Arial" w:hAnsi="Arial" w:cs="Arial"/>
          <w:sz w:val="24"/>
          <w:szCs w:val="24"/>
          <w:lang w:val="en-GB"/>
        </w:rPr>
      </w:pPr>
    </w:p>
    <w:p w14:paraId="7445487A" w14:textId="20FA6A4E" w:rsidR="006F202A" w:rsidRDefault="006F202A" w:rsidP="0083764A">
      <w:pPr>
        <w:spacing w:after="0" w:line="276" w:lineRule="auto"/>
        <w:jc w:val="both"/>
        <w:rPr>
          <w:rFonts w:ascii="Arial" w:hAnsi="Arial" w:cs="Arial"/>
          <w:sz w:val="24"/>
          <w:szCs w:val="24"/>
          <w:lang w:val="en-GB"/>
        </w:rPr>
      </w:pPr>
    </w:p>
    <w:p w14:paraId="5013D95D" w14:textId="77777777" w:rsidR="0083764A" w:rsidRPr="0083764A" w:rsidRDefault="0083764A" w:rsidP="0083764A">
      <w:pPr>
        <w:spacing w:after="0" w:line="276" w:lineRule="auto"/>
        <w:jc w:val="center"/>
        <w:rPr>
          <w:rFonts w:ascii="Arial" w:hAnsi="Arial" w:cs="Arial"/>
          <w:b/>
          <w:bCs/>
          <w:sz w:val="32"/>
          <w:szCs w:val="32"/>
          <w:lang w:val="en-GB"/>
        </w:rPr>
      </w:pPr>
      <w:r w:rsidRPr="0083764A">
        <w:rPr>
          <w:rFonts w:ascii="Arial" w:hAnsi="Arial" w:cs="Arial"/>
          <w:b/>
          <w:bCs/>
          <w:sz w:val="32"/>
          <w:szCs w:val="32"/>
          <w:lang w:val="en-GB"/>
        </w:rPr>
        <w:t>PHILIPPINES</w:t>
      </w:r>
    </w:p>
    <w:p w14:paraId="17AE1D64" w14:textId="0DAA428C" w:rsidR="006F202A" w:rsidRDefault="006F202A" w:rsidP="0083764A">
      <w:pPr>
        <w:spacing w:after="0" w:line="276" w:lineRule="auto"/>
        <w:jc w:val="both"/>
        <w:rPr>
          <w:rFonts w:ascii="Arial" w:hAnsi="Arial" w:cs="Arial"/>
          <w:sz w:val="24"/>
          <w:szCs w:val="24"/>
          <w:lang w:val="en-GB"/>
        </w:rPr>
      </w:pPr>
    </w:p>
    <w:p w14:paraId="23DF0267" w14:textId="77777777" w:rsidR="006F202A" w:rsidRPr="006608EE" w:rsidRDefault="006F202A" w:rsidP="006F202A">
      <w:pPr>
        <w:spacing w:after="0" w:line="276" w:lineRule="auto"/>
        <w:jc w:val="center"/>
        <w:rPr>
          <w:rFonts w:ascii="Arial" w:hAnsi="Arial" w:cs="Arial"/>
          <w:b/>
          <w:bCs/>
          <w:sz w:val="24"/>
          <w:szCs w:val="24"/>
          <w:lang w:val="en-GB"/>
        </w:rPr>
      </w:pPr>
      <w:r w:rsidRPr="006608EE">
        <w:rPr>
          <w:rFonts w:ascii="Arial" w:hAnsi="Arial" w:cs="Arial"/>
          <w:b/>
          <w:bCs/>
          <w:sz w:val="24"/>
          <w:szCs w:val="24"/>
          <w:lang w:val="en-GB"/>
        </w:rPr>
        <w:t>21</w:t>
      </w:r>
      <w:r w:rsidRPr="006608EE">
        <w:rPr>
          <w:rFonts w:ascii="Arial" w:hAnsi="Arial" w:cs="Arial"/>
          <w:b/>
          <w:bCs/>
          <w:sz w:val="24"/>
          <w:szCs w:val="24"/>
          <w:vertAlign w:val="superscript"/>
          <w:lang w:val="en-GB"/>
        </w:rPr>
        <w:t xml:space="preserve">st </w:t>
      </w:r>
      <w:r w:rsidRPr="006608EE">
        <w:rPr>
          <w:rFonts w:ascii="Arial" w:hAnsi="Arial" w:cs="Arial"/>
          <w:b/>
          <w:bCs/>
          <w:sz w:val="24"/>
          <w:szCs w:val="24"/>
          <w:lang w:val="en-GB"/>
        </w:rPr>
        <w:t xml:space="preserve">Session of the Intergovernmental Working Group </w:t>
      </w:r>
    </w:p>
    <w:p w14:paraId="3D6C01FC" w14:textId="77777777" w:rsidR="006F202A" w:rsidRPr="006608EE" w:rsidRDefault="006F202A" w:rsidP="006F202A">
      <w:pPr>
        <w:spacing w:after="0" w:line="276" w:lineRule="auto"/>
        <w:jc w:val="center"/>
        <w:rPr>
          <w:rFonts w:ascii="Arial" w:hAnsi="Arial" w:cs="Arial"/>
          <w:b/>
          <w:bCs/>
          <w:sz w:val="24"/>
          <w:szCs w:val="24"/>
          <w:lang w:val="en-GB"/>
        </w:rPr>
      </w:pPr>
      <w:r w:rsidRPr="006608EE">
        <w:rPr>
          <w:rFonts w:ascii="Arial" w:hAnsi="Arial" w:cs="Arial"/>
          <w:b/>
          <w:bCs/>
          <w:sz w:val="24"/>
          <w:szCs w:val="24"/>
          <w:lang w:val="en-GB"/>
        </w:rPr>
        <w:t>on the Right to Development</w:t>
      </w:r>
    </w:p>
    <w:p w14:paraId="7394EED8" w14:textId="77777777" w:rsidR="006F202A" w:rsidRPr="006608EE" w:rsidRDefault="006F202A" w:rsidP="006F202A">
      <w:pPr>
        <w:spacing w:after="0" w:line="276" w:lineRule="auto"/>
        <w:jc w:val="center"/>
        <w:rPr>
          <w:rFonts w:ascii="Arial" w:hAnsi="Arial" w:cs="Arial"/>
          <w:sz w:val="24"/>
          <w:szCs w:val="24"/>
          <w:lang w:val="en-GB"/>
        </w:rPr>
      </w:pPr>
      <w:r w:rsidRPr="006608EE">
        <w:rPr>
          <w:rFonts w:ascii="Arial" w:hAnsi="Arial" w:cs="Arial"/>
          <w:sz w:val="24"/>
          <w:szCs w:val="24"/>
          <w:lang w:val="en-GB"/>
        </w:rPr>
        <w:t>(17-21 May 2021)</w:t>
      </w:r>
    </w:p>
    <w:p w14:paraId="339BCD8E" w14:textId="77777777" w:rsidR="006F202A" w:rsidRPr="006608EE" w:rsidRDefault="006F202A" w:rsidP="006F202A">
      <w:pPr>
        <w:spacing w:after="0" w:line="276" w:lineRule="auto"/>
        <w:jc w:val="both"/>
        <w:rPr>
          <w:rFonts w:ascii="Arial" w:hAnsi="Arial" w:cs="Arial"/>
          <w:sz w:val="24"/>
          <w:szCs w:val="24"/>
          <w:lang w:val="en-GB"/>
        </w:rPr>
      </w:pPr>
    </w:p>
    <w:p w14:paraId="7B298870" w14:textId="18ACB054" w:rsidR="006F202A" w:rsidRPr="006608EE" w:rsidRDefault="006F202A" w:rsidP="006F202A">
      <w:pPr>
        <w:spacing w:after="0" w:line="276" w:lineRule="auto"/>
        <w:jc w:val="center"/>
        <w:rPr>
          <w:rFonts w:ascii="Arial" w:hAnsi="Arial" w:cs="Arial"/>
          <w:b/>
          <w:bCs/>
          <w:sz w:val="24"/>
          <w:szCs w:val="24"/>
          <w:lang w:val="en-GB"/>
        </w:rPr>
      </w:pPr>
      <w:r>
        <w:rPr>
          <w:rFonts w:ascii="Arial" w:hAnsi="Arial" w:cs="Arial"/>
          <w:b/>
          <w:bCs/>
          <w:sz w:val="24"/>
          <w:szCs w:val="24"/>
          <w:lang w:val="en-GB"/>
        </w:rPr>
        <w:t>SPECIFIC</w:t>
      </w:r>
      <w:r w:rsidRPr="006608EE">
        <w:rPr>
          <w:rFonts w:ascii="Arial" w:hAnsi="Arial" w:cs="Arial"/>
          <w:b/>
          <w:bCs/>
          <w:sz w:val="24"/>
          <w:szCs w:val="24"/>
          <w:lang w:val="en-GB"/>
        </w:rPr>
        <w:t xml:space="preserve"> COMMENTS</w:t>
      </w:r>
    </w:p>
    <w:p w14:paraId="57C7B7B2" w14:textId="33F54E86" w:rsidR="006F202A" w:rsidRDefault="006F202A" w:rsidP="006F202A">
      <w:pPr>
        <w:spacing w:after="0" w:line="276" w:lineRule="auto"/>
        <w:ind w:firstLine="720"/>
        <w:jc w:val="both"/>
        <w:rPr>
          <w:rFonts w:ascii="Arial" w:hAnsi="Arial" w:cs="Arial"/>
          <w:sz w:val="24"/>
          <w:szCs w:val="24"/>
          <w:lang w:val="en-GB"/>
        </w:rPr>
      </w:pPr>
    </w:p>
    <w:tbl>
      <w:tblPr>
        <w:tblStyle w:val="TableGrid"/>
        <w:tblW w:w="0" w:type="auto"/>
        <w:tblLook w:val="04A0" w:firstRow="1" w:lastRow="0" w:firstColumn="1" w:lastColumn="0" w:noHBand="0" w:noVBand="1"/>
      </w:tblPr>
      <w:tblGrid>
        <w:gridCol w:w="2547"/>
        <w:gridCol w:w="6469"/>
      </w:tblGrid>
      <w:tr w:rsidR="006F202A" w14:paraId="54FF31DE" w14:textId="77777777" w:rsidTr="006F202A">
        <w:tc>
          <w:tcPr>
            <w:tcW w:w="2547" w:type="dxa"/>
          </w:tcPr>
          <w:p w14:paraId="1CA932BF" w14:textId="16E9EDC4" w:rsidR="006F202A" w:rsidRPr="006F202A" w:rsidRDefault="006F202A" w:rsidP="006F202A">
            <w:pPr>
              <w:spacing w:line="276" w:lineRule="auto"/>
              <w:jc w:val="both"/>
              <w:rPr>
                <w:rFonts w:ascii="Arial" w:hAnsi="Arial" w:cs="Arial"/>
                <w:b/>
                <w:bCs/>
                <w:sz w:val="24"/>
                <w:szCs w:val="24"/>
                <w:lang w:val="en-GB"/>
              </w:rPr>
            </w:pPr>
            <w:r w:rsidRPr="006F202A">
              <w:rPr>
                <w:rFonts w:ascii="Arial" w:hAnsi="Arial" w:cs="Arial"/>
                <w:b/>
                <w:bCs/>
                <w:sz w:val="24"/>
                <w:szCs w:val="24"/>
                <w:lang w:val="en-GB"/>
              </w:rPr>
              <w:t>Section</w:t>
            </w:r>
          </w:p>
        </w:tc>
        <w:tc>
          <w:tcPr>
            <w:tcW w:w="6469" w:type="dxa"/>
          </w:tcPr>
          <w:p w14:paraId="220C82B6" w14:textId="5CF4F5EB" w:rsidR="006F202A" w:rsidRPr="006F202A" w:rsidRDefault="006F202A" w:rsidP="006F202A">
            <w:pPr>
              <w:spacing w:line="276" w:lineRule="auto"/>
              <w:jc w:val="both"/>
              <w:rPr>
                <w:rFonts w:ascii="Arial" w:hAnsi="Arial" w:cs="Arial"/>
                <w:b/>
                <w:bCs/>
                <w:sz w:val="24"/>
                <w:szCs w:val="24"/>
                <w:lang w:val="en-GB"/>
              </w:rPr>
            </w:pPr>
            <w:r w:rsidRPr="006F202A">
              <w:rPr>
                <w:rFonts w:ascii="Arial" w:hAnsi="Arial" w:cs="Arial"/>
                <w:b/>
                <w:bCs/>
                <w:sz w:val="24"/>
                <w:szCs w:val="24"/>
                <w:lang w:val="en-GB"/>
              </w:rPr>
              <w:t>Comments</w:t>
            </w:r>
          </w:p>
        </w:tc>
      </w:tr>
      <w:tr w:rsidR="006F202A" w14:paraId="39E4C8E8" w14:textId="77777777" w:rsidTr="006F202A">
        <w:tc>
          <w:tcPr>
            <w:tcW w:w="2547" w:type="dxa"/>
          </w:tcPr>
          <w:p w14:paraId="366414C5" w14:textId="076BC74A" w:rsidR="0083764A" w:rsidRPr="0083764A" w:rsidRDefault="0083764A" w:rsidP="006F202A">
            <w:pPr>
              <w:spacing w:line="276" w:lineRule="auto"/>
              <w:jc w:val="both"/>
              <w:rPr>
                <w:rFonts w:ascii="Arial" w:hAnsi="Arial" w:cs="Arial"/>
                <w:b/>
                <w:bCs/>
                <w:sz w:val="24"/>
                <w:szCs w:val="24"/>
                <w:u w:val="single"/>
                <w:lang w:val="en-GB"/>
              </w:rPr>
            </w:pPr>
            <w:r w:rsidRPr="0083764A">
              <w:rPr>
                <w:rFonts w:ascii="Arial" w:hAnsi="Arial" w:cs="Arial"/>
                <w:b/>
                <w:bCs/>
                <w:sz w:val="24"/>
                <w:szCs w:val="24"/>
                <w:u w:val="single"/>
                <w:lang w:val="en-GB"/>
              </w:rPr>
              <w:t xml:space="preserve">PART </w:t>
            </w:r>
            <w:r>
              <w:rPr>
                <w:rFonts w:ascii="Arial" w:hAnsi="Arial" w:cs="Arial"/>
                <w:b/>
                <w:bCs/>
                <w:sz w:val="24"/>
                <w:szCs w:val="24"/>
                <w:u w:val="single"/>
                <w:lang w:val="en-GB"/>
              </w:rPr>
              <w:t>I</w:t>
            </w:r>
          </w:p>
          <w:p w14:paraId="5D2902DD" w14:textId="02C7646B" w:rsidR="006F202A" w:rsidRDefault="006F202A" w:rsidP="006F202A">
            <w:pPr>
              <w:spacing w:line="276" w:lineRule="auto"/>
              <w:jc w:val="both"/>
              <w:rPr>
                <w:rFonts w:ascii="Arial" w:hAnsi="Arial" w:cs="Arial"/>
                <w:sz w:val="24"/>
                <w:szCs w:val="24"/>
                <w:lang w:val="en-GB"/>
              </w:rPr>
            </w:pPr>
            <w:r>
              <w:rPr>
                <w:rFonts w:ascii="Arial" w:hAnsi="Arial" w:cs="Arial"/>
                <w:sz w:val="24"/>
                <w:szCs w:val="24"/>
                <w:lang w:val="en-GB"/>
              </w:rPr>
              <w:t>Article 3- General Principles, item (b)</w:t>
            </w:r>
          </w:p>
        </w:tc>
        <w:tc>
          <w:tcPr>
            <w:tcW w:w="6469" w:type="dxa"/>
          </w:tcPr>
          <w:p w14:paraId="1C825FCC" w14:textId="77777777" w:rsidR="006F202A" w:rsidRDefault="006F202A" w:rsidP="006F202A">
            <w:pPr>
              <w:spacing w:line="276" w:lineRule="auto"/>
              <w:jc w:val="both"/>
              <w:rPr>
                <w:rFonts w:ascii="Arial" w:hAnsi="Arial" w:cs="Arial"/>
                <w:sz w:val="24"/>
                <w:szCs w:val="24"/>
                <w:lang w:val="en-GB"/>
              </w:rPr>
            </w:pPr>
            <w:r>
              <w:rPr>
                <w:rFonts w:ascii="Arial" w:hAnsi="Arial" w:cs="Arial"/>
                <w:sz w:val="24"/>
                <w:szCs w:val="24"/>
                <w:lang w:val="en-GB"/>
              </w:rPr>
              <w:t xml:space="preserve">We recommend the inclusion of </w:t>
            </w:r>
            <w:r w:rsidRPr="00DC2BD0">
              <w:rPr>
                <w:rFonts w:ascii="Arial" w:hAnsi="Arial" w:cs="Arial"/>
                <w:b/>
                <w:bCs/>
                <w:i/>
                <w:iCs/>
                <w:sz w:val="24"/>
                <w:szCs w:val="24"/>
                <w:lang w:val="en-GB"/>
              </w:rPr>
              <w:t xml:space="preserve">transparency </w:t>
            </w:r>
            <w:r>
              <w:rPr>
                <w:rFonts w:ascii="Arial" w:hAnsi="Arial" w:cs="Arial"/>
                <w:sz w:val="24"/>
                <w:szCs w:val="24"/>
                <w:lang w:val="en-GB"/>
              </w:rPr>
              <w:t xml:space="preserve">as part of the universal principles common to all human rights, which will guide the Parties to the Convention. Transparency will ensure that duty-bearers will provide information to the rights-holders on the operationalization of the RTD. </w:t>
            </w:r>
          </w:p>
          <w:p w14:paraId="6D9E05DD" w14:textId="77777777" w:rsidR="006F202A" w:rsidRDefault="006F202A" w:rsidP="006F202A">
            <w:pPr>
              <w:spacing w:line="276" w:lineRule="auto"/>
              <w:jc w:val="both"/>
              <w:rPr>
                <w:rFonts w:ascii="Arial" w:hAnsi="Arial" w:cs="Arial"/>
                <w:sz w:val="24"/>
                <w:szCs w:val="24"/>
                <w:lang w:val="en-GB"/>
              </w:rPr>
            </w:pPr>
          </w:p>
          <w:p w14:paraId="095FC3BC" w14:textId="360DEBBE" w:rsidR="006F202A" w:rsidRDefault="006F202A" w:rsidP="006F202A">
            <w:pPr>
              <w:spacing w:line="276" w:lineRule="auto"/>
              <w:jc w:val="both"/>
              <w:rPr>
                <w:rFonts w:ascii="Arial" w:hAnsi="Arial" w:cs="Arial"/>
                <w:sz w:val="24"/>
                <w:szCs w:val="24"/>
                <w:lang w:val="en-GB"/>
              </w:rPr>
            </w:pPr>
            <w:r>
              <w:rPr>
                <w:rFonts w:ascii="Arial" w:hAnsi="Arial" w:cs="Arial"/>
                <w:sz w:val="24"/>
                <w:szCs w:val="24"/>
                <w:lang w:val="en-GB"/>
              </w:rPr>
              <w:t xml:space="preserve">Transparency also fosters accountability and participation. Access to information is necessary to enable the right-holders to hold their duty-bearers accountable as well as to entice inclusive and meaningful participation </w:t>
            </w:r>
            <w:r w:rsidR="00DC2BD0">
              <w:rPr>
                <w:rFonts w:ascii="Arial" w:hAnsi="Arial" w:cs="Arial"/>
                <w:sz w:val="24"/>
                <w:szCs w:val="24"/>
                <w:lang w:val="en-GB"/>
              </w:rPr>
              <w:t xml:space="preserve">among various stakeholders towards the promotion of RTD. </w:t>
            </w:r>
          </w:p>
        </w:tc>
      </w:tr>
      <w:tr w:rsidR="006F202A" w14:paraId="31C54E8A" w14:textId="77777777" w:rsidTr="006F202A">
        <w:tc>
          <w:tcPr>
            <w:tcW w:w="2547" w:type="dxa"/>
          </w:tcPr>
          <w:p w14:paraId="414CDA17" w14:textId="2635D187" w:rsidR="0083764A" w:rsidRPr="0083764A" w:rsidRDefault="0083764A" w:rsidP="006F202A">
            <w:pPr>
              <w:spacing w:line="276" w:lineRule="auto"/>
              <w:jc w:val="both"/>
              <w:rPr>
                <w:rFonts w:ascii="Arial" w:hAnsi="Arial" w:cs="Arial"/>
                <w:b/>
                <w:bCs/>
                <w:sz w:val="24"/>
                <w:szCs w:val="24"/>
                <w:u w:val="single"/>
                <w:lang w:val="en-GB"/>
              </w:rPr>
            </w:pPr>
            <w:r w:rsidRPr="0083764A">
              <w:rPr>
                <w:rFonts w:ascii="Arial" w:hAnsi="Arial" w:cs="Arial"/>
                <w:b/>
                <w:bCs/>
                <w:sz w:val="24"/>
                <w:szCs w:val="24"/>
                <w:u w:val="single"/>
                <w:lang w:val="en-GB"/>
              </w:rPr>
              <w:t>PART III</w:t>
            </w:r>
          </w:p>
          <w:p w14:paraId="18FC3C4F" w14:textId="2C367C57" w:rsidR="006F202A" w:rsidRDefault="00DC2BD0" w:rsidP="006F202A">
            <w:pPr>
              <w:spacing w:line="276" w:lineRule="auto"/>
              <w:jc w:val="both"/>
              <w:rPr>
                <w:rFonts w:ascii="Arial" w:hAnsi="Arial" w:cs="Arial"/>
                <w:sz w:val="24"/>
                <w:szCs w:val="24"/>
                <w:lang w:val="en-GB"/>
              </w:rPr>
            </w:pPr>
            <w:r>
              <w:rPr>
                <w:rFonts w:ascii="Arial" w:hAnsi="Arial" w:cs="Arial"/>
                <w:sz w:val="24"/>
                <w:szCs w:val="24"/>
                <w:lang w:val="en-GB"/>
              </w:rPr>
              <w:t>Article 16- Gender Equality, item (</w:t>
            </w:r>
            <w:proofErr w:type="gramStart"/>
            <w:r>
              <w:rPr>
                <w:rFonts w:ascii="Arial" w:hAnsi="Arial" w:cs="Arial"/>
                <w:sz w:val="24"/>
                <w:szCs w:val="24"/>
                <w:lang w:val="en-GB"/>
              </w:rPr>
              <w:t>e )</w:t>
            </w:r>
            <w:proofErr w:type="gramEnd"/>
          </w:p>
        </w:tc>
        <w:tc>
          <w:tcPr>
            <w:tcW w:w="6469" w:type="dxa"/>
          </w:tcPr>
          <w:p w14:paraId="13E900AC" w14:textId="77777777" w:rsidR="006F202A" w:rsidRDefault="00DC2BD0" w:rsidP="006F202A">
            <w:pPr>
              <w:spacing w:line="276" w:lineRule="auto"/>
              <w:jc w:val="both"/>
              <w:rPr>
                <w:rFonts w:ascii="Arial" w:hAnsi="Arial" w:cs="Arial"/>
                <w:sz w:val="24"/>
                <w:szCs w:val="24"/>
                <w:lang w:val="en-GB"/>
              </w:rPr>
            </w:pPr>
            <w:r>
              <w:rPr>
                <w:rFonts w:ascii="Arial" w:hAnsi="Arial" w:cs="Arial"/>
                <w:sz w:val="24"/>
                <w:szCs w:val="24"/>
                <w:lang w:val="en-GB"/>
              </w:rPr>
              <w:t xml:space="preserve">We suggest revising the text to read: “To ensure equal and equitable access to </w:t>
            </w:r>
            <w:r w:rsidRPr="00DC2BD0">
              <w:rPr>
                <w:rFonts w:ascii="Arial" w:hAnsi="Arial" w:cs="Arial"/>
                <w:b/>
                <w:bCs/>
                <w:i/>
                <w:iCs/>
                <w:sz w:val="24"/>
                <w:szCs w:val="24"/>
                <w:lang w:val="en-GB"/>
              </w:rPr>
              <w:t>and control over</w:t>
            </w:r>
            <w:r>
              <w:rPr>
                <w:rFonts w:ascii="Arial" w:hAnsi="Arial" w:cs="Arial"/>
                <w:sz w:val="24"/>
                <w:szCs w:val="24"/>
                <w:lang w:val="en-GB"/>
              </w:rPr>
              <w:t xml:space="preserve"> resources…” It is important to specify equality of control to recognize the balance of power between women and men. </w:t>
            </w:r>
          </w:p>
          <w:p w14:paraId="560F98A8" w14:textId="77777777" w:rsidR="00DC2BD0" w:rsidRDefault="00DC2BD0" w:rsidP="006F202A">
            <w:pPr>
              <w:spacing w:line="276" w:lineRule="auto"/>
              <w:jc w:val="both"/>
              <w:rPr>
                <w:rFonts w:ascii="Arial" w:hAnsi="Arial" w:cs="Arial"/>
                <w:sz w:val="24"/>
                <w:szCs w:val="24"/>
                <w:lang w:val="en-GB"/>
              </w:rPr>
            </w:pPr>
          </w:p>
          <w:p w14:paraId="1FA255E1" w14:textId="7CCCC5EE" w:rsidR="00DC2BD0" w:rsidRDefault="00DC2BD0" w:rsidP="006F202A">
            <w:pPr>
              <w:spacing w:line="276" w:lineRule="auto"/>
              <w:jc w:val="both"/>
              <w:rPr>
                <w:rFonts w:ascii="Arial" w:hAnsi="Arial" w:cs="Arial"/>
                <w:sz w:val="24"/>
                <w:szCs w:val="24"/>
                <w:lang w:val="en-GB"/>
              </w:rPr>
            </w:pPr>
            <w:r>
              <w:rPr>
                <w:rFonts w:ascii="Arial" w:hAnsi="Arial" w:cs="Arial"/>
                <w:sz w:val="24"/>
                <w:szCs w:val="24"/>
                <w:lang w:val="en-GB"/>
              </w:rPr>
              <w:t>We also recommend including the provision stated in the Beijing Platform for Action Strategic Objective 2: “</w:t>
            </w:r>
            <w:r w:rsidRPr="00DC2BD0">
              <w:rPr>
                <w:rFonts w:ascii="Arial" w:hAnsi="Arial" w:cs="Arial"/>
                <w:i/>
                <w:iCs/>
                <w:sz w:val="24"/>
                <w:szCs w:val="24"/>
                <w:lang w:val="en-GB"/>
              </w:rPr>
              <w:t>To</w:t>
            </w:r>
            <w:r w:rsidRPr="00DC2BD0">
              <w:rPr>
                <w:rFonts w:ascii="Arial" w:hAnsi="Arial" w:cs="Arial"/>
                <w:b/>
                <w:bCs/>
                <w:i/>
                <w:iCs/>
                <w:sz w:val="24"/>
                <w:szCs w:val="24"/>
                <w:lang w:val="en-GB"/>
              </w:rPr>
              <w:t xml:space="preserve"> adopt measures to increase women´s capacity</w:t>
            </w:r>
            <w:r w:rsidRPr="00DC2BD0">
              <w:rPr>
                <w:rFonts w:ascii="Arial" w:hAnsi="Arial" w:cs="Arial"/>
                <w:i/>
                <w:iCs/>
                <w:sz w:val="24"/>
                <w:szCs w:val="24"/>
                <w:lang w:val="en-GB"/>
              </w:rPr>
              <w:t xml:space="preserve"> to participate in decision-making and leadership.”</w:t>
            </w:r>
            <w:r>
              <w:rPr>
                <w:rFonts w:ascii="Arial" w:hAnsi="Arial" w:cs="Arial"/>
                <w:sz w:val="24"/>
                <w:szCs w:val="24"/>
                <w:lang w:val="en-GB"/>
              </w:rPr>
              <w:t xml:space="preserve"> While there is already a provision in the draft LBI on women´s full and effective participation and equal opportunities for leadership at all levels, which is consistent with BPFA Strategic Objective 1, this can only be realized if there is a provision articulating the need for affirmative actions to increase women´s capacity to participate in decision-making and leadership.</w:t>
            </w:r>
          </w:p>
        </w:tc>
      </w:tr>
      <w:tr w:rsidR="00DC2BD0" w14:paraId="62625501" w14:textId="77777777" w:rsidTr="006F202A">
        <w:tc>
          <w:tcPr>
            <w:tcW w:w="2547" w:type="dxa"/>
          </w:tcPr>
          <w:p w14:paraId="59567B51" w14:textId="08FC8647" w:rsidR="0083764A" w:rsidRPr="0083764A" w:rsidRDefault="0083764A" w:rsidP="006F202A">
            <w:pPr>
              <w:spacing w:line="276" w:lineRule="auto"/>
              <w:jc w:val="both"/>
              <w:rPr>
                <w:rFonts w:ascii="Arial" w:hAnsi="Arial" w:cs="Arial"/>
                <w:b/>
                <w:bCs/>
                <w:sz w:val="24"/>
                <w:szCs w:val="24"/>
                <w:u w:val="single"/>
                <w:lang w:val="en-GB"/>
              </w:rPr>
            </w:pPr>
            <w:r w:rsidRPr="0083764A">
              <w:rPr>
                <w:rFonts w:ascii="Arial" w:hAnsi="Arial" w:cs="Arial"/>
                <w:b/>
                <w:bCs/>
                <w:sz w:val="24"/>
                <w:szCs w:val="24"/>
                <w:u w:val="single"/>
                <w:lang w:val="en-GB"/>
              </w:rPr>
              <w:t>PART IV</w:t>
            </w:r>
          </w:p>
          <w:p w14:paraId="7068FEA7" w14:textId="4CC915CF" w:rsidR="00DC2BD0" w:rsidRDefault="00DC2BD0" w:rsidP="006F202A">
            <w:pPr>
              <w:spacing w:line="276" w:lineRule="auto"/>
              <w:jc w:val="both"/>
              <w:rPr>
                <w:rFonts w:ascii="Arial" w:hAnsi="Arial" w:cs="Arial"/>
                <w:sz w:val="24"/>
                <w:szCs w:val="24"/>
                <w:lang w:val="en-GB"/>
              </w:rPr>
            </w:pPr>
            <w:r>
              <w:rPr>
                <w:rFonts w:ascii="Arial" w:hAnsi="Arial" w:cs="Arial"/>
                <w:sz w:val="24"/>
                <w:szCs w:val="24"/>
                <w:lang w:val="en-GB"/>
              </w:rPr>
              <w:t>Article 24- Conference of State Parties, item (b)</w:t>
            </w:r>
          </w:p>
        </w:tc>
        <w:tc>
          <w:tcPr>
            <w:tcW w:w="6469" w:type="dxa"/>
          </w:tcPr>
          <w:p w14:paraId="06FE3C77" w14:textId="380A6361" w:rsidR="00DC2BD0" w:rsidRDefault="00DC2BD0" w:rsidP="006F202A">
            <w:pPr>
              <w:spacing w:line="276" w:lineRule="auto"/>
              <w:jc w:val="both"/>
              <w:rPr>
                <w:rFonts w:ascii="Arial" w:hAnsi="Arial" w:cs="Arial"/>
                <w:sz w:val="24"/>
                <w:szCs w:val="24"/>
                <w:lang w:val="en-GB"/>
              </w:rPr>
            </w:pPr>
            <w:r>
              <w:rPr>
                <w:rFonts w:ascii="Arial" w:hAnsi="Arial" w:cs="Arial"/>
                <w:sz w:val="24"/>
                <w:szCs w:val="24"/>
                <w:lang w:val="en-GB"/>
              </w:rPr>
              <w:t xml:space="preserve">As the body responsible to promote and facilitate the open exchange of information on measures to address the realization of the right to development, the Conference of State Parties may further explore appropriate and effective accountability and enforcement mechanisms, including the enhancement of accountability of </w:t>
            </w:r>
            <w:proofErr w:type="gramStart"/>
            <w:r>
              <w:rPr>
                <w:rFonts w:ascii="Arial" w:hAnsi="Arial" w:cs="Arial"/>
                <w:sz w:val="24"/>
                <w:szCs w:val="24"/>
                <w:lang w:val="en-GB"/>
              </w:rPr>
              <w:t>governments,  donors</w:t>
            </w:r>
            <w:proofErr w:type="gramEnd"/>
            <w:r>
              <w:rPr>
                <w:rFonts w:ascii="Arial" w:hAnsi="Arial" w:cs="Arial"/>
                <w:sz w:val="24"/>
                <w:szCs w:val="24"/>
                <w:lang w:val="en-GB"/>
              </w:rPr>
              <w:t xml:space="preserve">, and partners of development assistance; and exploring the concrete impact of rights-based approaches to development. </w:t>
            </w:r>
          </w:p>
        </w:tc>
      </w:tr>
      <w:tr w:rsidR="00DC2BD0" w14:paraId="11E9EECC" w14:textId="77777777" w:rsidTr="006F202A">
        <w:tc>
          <w:tcPr>
            <w:tcW w:w="2547" w:type="dxa"/>
          </w:tcPr>
          <w:p w14:paraId="609DBA83" w14:textId="5E07EA08" w:rsidR="0083764A" w:rsidRPr="0083764A" w:rsidRDefault="0083764A" w:rsidP="006F202A">
            <w:pPr>
              <w:spacing w:line="276" w:lineRule="auto"/>
              <w:jc w:val="both"/>
              <w:rPr>
                <w:rFonts w:ascii="Arial" w:hAnsi="Arial" w:cs="Arial"/>
                <w:b/>
                <w:bCs/>
                <w:sz w:val="24"/>
                <w:szCs w:val="24"/>
                <w:u w:val="single"/>
                <w:lang w:val="en-GB"/>
              </w:rPr>
            </w:pPr>
            <w:r w:rsidRPr="0083764A">
              <w:rPr>
                <w:rFonts w:ascii="Arial" w:hAnsi="Arial" w:cs="Arial"/>
                <w:b/>
                <w:bCs/>
                <w:sz w:val="24"/>
                <w:szCs w:val="24"/>
                <w:u w:val="single"/>
                <w:lang w:val="en-GB"/>
              </w:rPr>
              <w:lastRenderedPageBreak/>
              <w:t>PART IV</w:t>
            </w:r>
          </w:p>
          <w:p w14:paraId="4A2EAB57" w14:textId="5AB804D1" w:rsidR="00DC2BD0" w:rsidRDefault="00DC2BD0" w:rsidP="006F202A">
            <w:pPr>
              <w:spacing w:line="276" w:lineRule="auto"/>
              <w:jc w:val="both"/>
              <w:rPr>
                <w:rFonts w:ascii="Arial" w:hAnsi="Arial" w:cs="Arial"/>
                <w:sz w:val="24"/>
                <w:szCs w:val="24"/>
                <w:lang w:val="en-GB"/>
              </w:rPr>
            </w:pPr>
            <w:r>
              <w:rPr>
                <w:rFonts w:ascii="Arial" w:hAnsi="Arial" w:cs="Arial"/>
                <w:sz w:val="24"/>
                <w:szCs w:val="24"/>
                <w:lang w:val="en-GB"/>
              </w:rPr>
              <w:t>Article 25- Protocols to the Convention</w:t>
            </w:r>
          </w:p>
        </w:tc>
        <w:tc>
          <w:tcPr>
            <w:tcW w:w="6469" w:type="dxa"/>
          </w:tcPr>
          <w:p w14:paraId="7B6FFA80" w14:textId="750BFB44" w:rsidR="00DC2BD0" w:rsidRDefault="00DC2BD0" w:rsidP="006F202A">
            <w:pPr>
              <w:spacing w:line="276" w:lineRule="auto"/>
              <w:jc w:val="both"/>
              <w:rPr>
                <w:rFonts w:ascii="Arial" w:hAnsi="Arial" w:cs="Arial"/>
                <w:sz w:val="24"/>
                <w:szCs w:val="24"/>
                <w:lang w:val="en-GB"/>
              </w:rPr>
            </w:pPr>
            <w:r>
              <w:rPr>
                <w:rFonts w:ascii="Arial" w:hAnsi="Arial" w:cs="Arial"/>
                <w:sz w:val="24"/>
                <w:szCs w:val="24"/>
                <w:lang w:val="en-GB"/>
              </w:rPr>
              <w:t xml:space="preserve">Multi-stakeholder agreements may be considered to further specify obligations under the Convention. Given that this instrument is open to a wide variety of State and non-State actors, multi-stakeholder agreements can represent a further stage in the creation of an international legal regime on the right to development. </w:t>
            </w:r>
          </w:p>
        </w:tc>
      </w:tr>
    </w:tbl>
    <w:p w14:paraId="64D23382" w14:textId="77777777" w:rsidR="006F202A" w:rsidRPr="006608EE" w:rsidRDefault="006F202A" w:rsidP="006F202A">
      <w:pPr>
        <w:spacing w:after="0" w:line="276" w:lineRule="auto"/>
        <w:ind w:firstLine="720"/>
        <w:jc w:val="both"/>
        <w:rPr>
          <w:rFonts w:ascii="Arial" w:hAnsi="Arial" w:cs="Arial"/>
          <w:sz w:val="24"/>
          <w:szCs w:val="24"/>
          <w:lang w:val="en-GB"/>
        </w:rPr>
      </w:pPr>
    </w:p>
    <w:sectPr w:rsidR="006F202A" w:rsidRPr="006608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0D"/>
    <w:multiLevelType w:val="hybridMultilevel"/>
    <w:tmpl w:val="AAD09B06"/>
    <w:lvl w:ilvl="0" w:tplc="6334452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3140AD2"/>
    <w:multiLevelType w:val="hybridMultilevel"/>
    <w:tmpl w:val="74708FDA"/>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DEE5006"/>
    <w:multiLevelType w:val="hybridMultilevel"/>
    <w:tmpl w:val="543ABFA8"/>
    <w:lvl w:ilvl="0" w:tplc="057E0780">
      <w:start w:val="1"/>
      <w:numFmt w:val="decimal"/>
      <w:lvlText w:val="%1."/>
      <w:lvlJc w:val="left"/>
      <w:pPr>
        <w:ind w:left="1494" w:hanging="360"/>
      </w:pPr>
      <w:rPr>
        <w:rFonts w:hint="default"/>
        <w:color w:val="auto"/>
        <w:lang w:val="en-G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EB"/>
    <w:rsid w:val="00287372"/>
    <w:rsid w:val="0044150E"/>
    <w:rsid w:val="005042EE"/>
    <w:rsid w:val="005C6605"/>
    <w:rsid w:val="006608EE"/>
    <w:rsid w:val="006F202A"/>
    <w:rsid w:val="0074266E"/>
    <w:rsid w:val="00826E47"/>
    <w:rsid w:val="0083764A"/>
    <w:rsid w:val="00856F1B"/>
    <w:rsid w:val="00920820"/>
    <w:rsid w:val="00972933"/>
    <w:rsid w:val="00977A46"/>
    <w:rsid w:val="009D6C9A"/>
    <w:rsid w:val="00A26406"/>
    <w:rsid w:val="00A626F2"/>
    <w:rsid w:val="00B13984"/>
    <w:rsid w:val="00BA65C1"/>
    <w:rsid w:val="00C43070"/>
    <w:rsid w:val="00CC09B8"/>
    <w:rsid w:val="00D94259"/>
    <w:rsid w:val="00DC2BD0"/>
    <w:rsid w:val="00E77369"/>
    <w:rsid w:val="00EA7DEB"/>
    <w:rsid w:val="00F1745F"/>
    <w:rsid w:val="00F84CE5"/>
    <w:rsid w:val="00FF6271"/>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86FBD"/>
  <w15:chartTrackingRefBased/>
  <w15:docId w15:val="{BC9F0FA9-67B3-4A3D-8FE9-09DD2C9D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2933"/>
    <w:pPr>
      <w:spacing w:before="100" w:beforeAutospacing="1" w:after="100" w:afterAutospacing="1" w:line="240" w:lineRule="auto"/>
    </w:pPr>
    <w:rPr>
      <w:rFonts w:ascii="Times New Roman" w:eastAsia="Times New Roman" w:hAnsi="Times New Roman" w:cs="Times New Roman"/>
      <w:sz w:val="24"/>
      <w:szCs w:val="24"/>
      <w:lang w:eastAsia="en-CH"/>
    </w:rPr>
  </w:style>
  <w:style w:type="paragraph" w:styleId="ListParagraph">
    <w:name w:val="List Paragraph"/>
    <w:basedOn w:val="Normal"/>
    <w:uiPriority w:val="34"/>
    <w:qFormat/>
    <w:rsid w:val="00856F1B"/>
    <w:pPr>
      <w:ind w:left="720"/>
      <w:contextualSpacing/>
    </w:pPr>
  </w:style>
  <w:style w:type="paragraph" w:customStyle="1" w:styleId="SingleTxtG">
    <w:name w:val="_ Single Txt_G"/>
    <w:basedOn w:val="Normal"/>
    <w:link w:val="SingleTxtGChar"/>
    <w:rsid w:val="00F84CE5"/>
    <w:pPr>
      <w:suppressAutoHyphens/>
      <w:spacing w:after="120" w:line="240" w:lineRule="atLeast"/>
      <w:ind w:left="1134" w:right="1134"/>
      <w:jc w:val="both"/>
    </w:pPr>
    <w:rPr>
      <w:rFonts w:ascii="Times New Roman" w:eastAsia="Times New Roman" w:hAnsi="Times New Roman" w:cs="Times New Roman"/>
      <w:sz w:val="20"/>
      <w:szCs w:val="20"/>
      <w:lang w:val="x-none"/>
    </w:rPr>
  </w:style>
  <w:style w:type="character" w:customStyle="1" w:styleId="SingleTxtGChar">
    <w:name w:val="_ Single Txt_G Char"/>
    <w:link w:val="SingleTxtG"/>
    <w:rsid w:val="00F84CE5"/>
    <w:rPr>
      <w:rFonts w:ascii="Times New Roman" w:eastAsia="Times New Roman" w:hAnsi="Times New Roman" w:cs="Times New Roman"/>
      <w:sz w:val="20"/>
      <w:szCs w:val="20"/>
      <w:lang w:val="x-none"/>
    </w:rPr>
  </w:style>
  <w:style w:type="table" w:styleId="TableGrid">
    <w:name w:val="Table Grid"/>
    <w:basedOn w:val="TableNormal"/>
    <w:uiPriority w:val="39"/>
    <w:rsid w:val="006F2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89278F9E-7473-4849-8248-659BF7EE27FE}"/>
</file>

<file path=customXml/itemProps2.xml><?xml version="1.0" encoding="utf-8"?>
<ds:datastoreItem xmlns:ds="http://schemas.openxmlformats.org/officeDocument/2006/customXml" ds:itemID="{CAEA82E0-0B49-4E28-B91D-35DD92993E20}"/>
</file>

<file path=customXml/itemProps3.xml><?xml version="1.0" encoding="utf-8"?>
<ds:datastoreItem xmlns:ds="http://schemas.openxmlformats.org/officeDocument/2006/customXml" ds:itemID="{FFBB15D8-4803-4655-AC26-552F45CA774B}"/>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Geneva PM06</dc:creator>
  <cp:keywords/>
  <dc:description/>
  <cp:lastModifiedBy>Geneva PM06</cp:lastModifiedBy>
  <cp:revision>9</cp:revision>
  <cp:lastPrinted>2021-05-16T08:54:00Z</cp:lastPrinted>
  <dcterms:created xsi:type="dcterms:W3CDTF">2021-05-10T13:26:00Z</dcterms:created>
  <dcterms:modified xsi:type="dcterms:W3CDTF">2021-05-16T09:24:00Z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