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6C4C9" w14:textId="77777777" w:rsidR="003B196F" w:rsidRPr="0084208F" w:rsidRDefault="001D0649" w:rsidP="003B196F">
      <w:pPr>
        <w:pStyle w:val="Heading2"/>
        <w:jc w:val="center"/>
        <w:rPr>
          <w:rFonts w:ascii="Arial" w:hAnsi="Arial" w:cs="Arial"/>
          <w:b/>
          <w:bCs/>
          <w:sz w:val="22"/>
          <w:szCs w:val="22"/>
          <w:lang w:val="en-GB"/>
        </w:rPr>
      </w:pPr>
      <w:bookmarkStart w:id="0" w:name="_GoBack"/>
      <w:bookmarkEnd w:id="0"/>
      <w:r w:rsidRPr="0084208F">
        <w:rPr>
          <w:rFonts w:ascii="Arial" w:hAnsi="Arial" w:cs="Arial"/>
          <w:b/>
          <w:bCs/>
          <w:sz w:val="22"/>
          <w:szCs w:val="22"/>
          <w:lang w:val="en-GB"/>
        </w:rPr>
        <w:t>CONTRIBUTION FROM THE REPUBLIC OF THE PHILIPPINES</w:t>
      </w:r>
      <w:r w:rsidR="003B196F" w:rsidRPr="0084208F">
        <w:rPr>
          <w:rFonts w:ascii="Arial" w:hAnsi="Arial" w:cs="Arial"/>
          <w:b/>
          <w:bCs/>
          <w:sz w:val="22"/>
          <w:szCs w:val="22"/>
          <w:lang w:val="en-GB"/>
        </w:rPr>
        <w:t xml:space="preserve"> </w:t>
      </w:r>
    </w:p>
    <w:p w14:paraId="05AC9D40" w14:textId="7BCD98EB" w:rsidR="00E64D10" w:rsidRPr="0084208F" w:rsidRDefault="001D0649" w:rsidP="00964A83">
      <w:pPr>
        <w:pStyle w:val="Heading2"/>
        <w:jc w:val="center"/>
        <w:rPr>
          <w:rFonts w:ascii="Arial" w:hAnsi="Arial" w:cs="Arial"/>
          <w:b/>
          <w:bCs/>
          <w:sz w:val="22"/>
          <w:szCs w:val="22"/>
        </w:rPr>
      </w:pPr>
      <w:r w:rsidRPr="0084208F">
        <w:rPr>
          <w:rFonts w:ascii="Arial" w:hAnsi="Arial" w:cs="Arial"/>
          <w:b/>
          <w:bCs/>
          <w:sz w:val="22"/>
          <w:szCs w:val="22"/>
          <w:lang w:val="en-GB"/>
        </w:rPr>
        <w:t xml:space="preserve">TO THE </w:t>
      </w:r>
      <w:r w:rsidR="00964A83" w:rsidRPr="0084208F">
        <w:rPr>
          <w:rFonts w:ascii="Arial" w:hAnsi="Arial" w:cs="Arial"/>
          <w:b/>
          <w:bCs/>
          <w:sz w:val="22"/>
          <w:szCs w:val="22"/>
          <w:lang w:val="en-GB"/>
        </w:rPr>
        <w:t xml:space="preserve">THEMATIC REPORT ON THE PROTECTION OF LAWYERS IN THE FREE AND INDEPENDENT EXERCISE OF THE LEGAL PROFESSION </w:t>
      </w:r>
    </w:p>
    <w:p w14:paraId="1FD7F569" w14:textId="2E38F0C6" w:rsidR="001D0649" w:rsidRPr="0084208F" w:rsidRDefault="001D0649" w:rsidP="001D0649">
      <w:pPr>
        <w:pStyle w:val="Heading2"/>
        <w:jc w:val="center"/>
        <w:rPr>
          <w:rFonts w:ascii="Arial" w:hAnsi="Arial" w:cs="Arial"/>
          <w:b/>
          <w:bCs/>
          <w:sz w:val="22"/>
          <w:szCs w:val="22"/>
          <w:lang w:val="en-GB"/>
        </w:rPr>
      </w:pPr>
      <w:r w:rsidRPr="0084208F">
        <w:rPr>
          <w:rFonts w:ascii="Arial" w:hAnsi="Arial" w:cs="Arial"/>
          <w:b/>
          <w:bCs/>
          <w:sz w:val="22"/>
          <w:szCs w:val="22"/>
          <w:lang w:val="en-GB"/>
        </w:rPr>
        <w:t xml:space="preserve">(Pursuant to HRC Resolution </w:t>
      </w:r>
      <w:r w:rsidRPr="0084208F">
        <w:rPr>
          <w:rFonts w:ascii="Arial" w:hAnsi="Arial" w:cs="Arial"/>
          <w:b/>
          <w:bCs/>
          <w:i/>
          <w:iCs/>
          <w:sz w:val="22"/>
          <w:szCs w:val="22"/>
        </w:rPr>
        <w:t>4</w:t>
      </w:r>
      <w:r w:rsidR="00071EBC" w:rsidRPr="0084208F">
        <w:rPr>
          <w:rFonts w:ascii="Arial" w:hAnsi="Arial" w:cs="Arial"/>
          <w:b/>
          <w:bCs/>
          <w:i/>
          <w:iCs/>
          <w:sz w:val="22"/>
          <w:szCs w:val="22"/>
          <w:lang w:val="en-GB"/>
        </w:rPr>
        <w:t>4/8</w:t>
      </w:r>
      <w:r w:rsidRPr="0084208F">
        <w:rPr>
          <w:rFonts w:ascii="Arial" w:hAnsi="Arial" w:cs="Arial"/>
          <w:b/>
          <w:bCs/>
          <w:i/>
          <w:iCs/>
          <w:sz w:val="22"/>
          <w:szCs w:val="22"/>
          <w:lang w:val="en-GB"/>
        </w:rPr>
        <w:t>)</w:t>
      </w:r>
    </w:p>
    <w:p w14:paraId="0B6DAD73" w14:textId="09A3D7FE" w:rsidR="00E64D10" w:rsidRPr="0084208F" w:rsidRDefault="00E64D10" w:rsidP="00A81C36">
      <w:pPr>
        <w:jc w:val="both"/>
        <w:rPr>
          <w:rFonts w:ascii="Arial" w:hAnsi="Arial" w:cs="Arial"/>
          <w:b/>
          <w:bCs/>
        </w:rPr>
      </w:pPr>
    </w:p>
    <w:p w14:paraId="5170771F" w14:textId="77777777" w:rsidR="002E3223" w:rsidRPr="0084208F" w:rsidRDefault="002E3223" w:rsidP="0005364C">
      <w:pPr>
        <w:jc w:val="both"/>
        <w:rPr>
          <w:rFonts w:ascii="Arial" w:hAnsi="Arial" w:cs="Arial"/>
          <w:lang w:val="en-GB"/>
        </w:rPr>
      </w:pPr>
    </w:p>
    <w:p w14:paraId="5455563A" w14:textId="0D276EE4" w:rsidR="00455A8F" w:rsidRPr="0084208F" w:rsidRDefault="00D71C86" w:rsidP="00455A8F">
      <w:pPr>
        <w:jc w:val="both"/>
        <w:rPr>
          <w:rFonts w:ascii="Arial" w:hAnsi="Arial" w:cs="Arial"/>
          <w:lang w:val="en-GB"/>
        </w:rPr>
      </w:pPr>
      <w:r w:rsidRPr="0084208F">
        <w:rPr>
          <w:rFonts w:ascii="Arial" w:hAnsi="Arial" w:cs="Arial"/>
          <w:lang w:val="en-GB"/>
        </w:rPr>
        <w:t>In response to the letter dated 3 November 2021 from Ms. Beatriz Balbin, Chief-OHCHR Special Procedures Branch, t</w:t>
      </w:r>
      <w:r w:rsidR="00916B77" w:rsidRPr="0084208F">
        <w:rPr>
          <w:rFonts w:ascii="Arial" w:hAnsi="Arial" w:cs="Arial"/>
          <w:lang w:val="en-GB"/>
        </w:rPr>
        <w:t xml:space="preserve">he Government of the Philippines </w:t>
      </w:r>
      <w:r w:rsidR="00455A8F" w:rsidRPr="0084208F">
        <w:rPr>
          <w:rFonts w:ascii="Arial" w:hAnsi="Arial" w:cs="Arial"/>
          <w:lang w:val="en-GB"/>
        </w:rPr>
        <w:t xml:space="preserve">is pleased to provide its contribution </w:t>
      </w:r>
      <w:r w:rsidR="009269FD" w:rsidRPr="0084208F">
        <w:rPr>
          <w:rFonts w:ascii="Arial" w:hAnsi="Arial" w:cs="Arial"/>
          <w:lang w:val="en-GB"/>
        </w:rPr>
        <w:t xml:space="preserve">to </w:t>
      </w:r>
      <w:r w:rsidR="00455A8F" w:rsidRPr="0084208F">
        <w:rPr>
          <w:rFonts w:ascii="Arial" w:hAnsi="Arial" w:cs="Arial"/>
          <w:lang w:val="en-GB"/>
        </w:rPr>
        <w:t>the thematic report of</w:t>
      </w:r>
      <w:r w:rsidR="009269FD" w:rsidRPr="0084208F">
        <w:rPr>
          <w:rFonts w:ascii="Arial" w:hAnsi="Arial" w:cs="Arial"/>
          <w:lang w:val="en-GB"/>
        </w:rPr>
        <w:t xml:space="preserve"> the </w:t>
      </w:r>
      <w:r w:rsidR="00455A8F" w:rsidRPr="0084208F">
        <w:rPr>
          <w:rFonts w:ascii="Arial" w:hAnsi="Arial" w:cs="Arial"/>
          <w:lang w:val="en-GB"/>
        </w:rPr>
        <w:t xml:space="preserve">Special Rapporteur on the Independence of Judges and Lawyers, </w:t>
      </w:r>
      <w:r w:rsidR="009269FD" w:rsidRPr="0084208F">
        <w:rPr>
          <w:rFonts w:ascii="Arial" w:hAnsi="Arial" w:cs="Arial"/>
          <w:lang w:val="en-GB"/>
        </w:rPr>
        <w:t xml:space="preserve">Mr. Diego Garcia-Sayan, </w:t>
      </w:r>
      <w:r w:rsidR="00455A8F" w:rsidRPr="0084208F">
        <w:rPr>
          <w:rFonts w:ascii="Arial" w:hAnsi="Arial" w:cs="Arial"/>
          <w:lang w:val="en-GB"/>
        </w:rPr>
        <w:t xml:space="preserve">on to the protection of lawyers in the free and independent exercise of the legal profession. </w:t>
      </w:r>
    </w:p>
    <w:p w14:paraId="6C0BDFFF" w14:textId="1E9D2D54" w:rsidR="00455A8F" w:rsidRPr="0084208F" w:rsidRDefault="00455A8F" w:rsidP="00455A8F">
      <w:pPr>
        <w:jc w:val="both"/>
        <w:rPr>
          <w:rFonts w:ascii="Arial" w:hAnsi="Arial" w:cs="Arial"/>
          <w:lang w:val="en-GB"/>
        </w:rPr>
      </w:pPr>
    </w:p>
    <w:p w14:paraId="69CF4B6A" w14:textId="4626BDEB" w:rsidR="00420B0E" w:rsidRPr="0084208F" w:rsidRDefault="00BD3952" w:rsidP="00420B0E">
      <w:pPr>
        <w:jc w:val="both"/>
        <w:rPr>
          <w:rFonts w:ascii="Arial" w:hAnsi="Arial" w:cs="Arial"/>
          <w:lang w:val="en-GB"/>
        </w:rPr>
      </w:pPr>
      <w:r w:rsidRPr="0084208F">
        <w:rPr>
          <w:rFonts w:ascii="Arial" w:hAnsi="Arial" w:cs="Arial"/>
          <w:lang w:val="en-GB"/>
        </w:rPr>
        <w:t>Guided by the questionnaire provided by the Special Rapporteur, t</w:t>
      </w:r>
      <w:r w:rsidR="00DD3BB9" w:rsidRPr="0084208F">
        <w:rPr>
          <w:rFonts w:ascii="Arial" w:hAnsi="Arial" w:cs="Arial"/>
          <w:lang w:val="en-GB"/>
        </w:rPr>
        <w:t xml:space="preserve">he information </w:t>
      </w:r>
      <w:r w:rsidR="006B37F9" w:rsidRPr="0084208F">
        <w:rPr>
          <w:rFonts w:ascii="Arial" w:hAnsi="Arial" w:cs="Arial"/>
          <w:lang w:val="en-GB"/>
        </w:rPr>
        <w:t>has</w:t>
      </w:r>
      <w:r w:rsidR="00DD3BB9" w:rsidRPr="0084208F">
        <w:rPr>
          <w:rFonts w:ascii="Arial" w:hAnsi="Arial" w:cs="Arial"/>
          <w:lang w:val="en-GB"/>
        </w:rPr>
        <w:t xml:space="preserve"> been provided by </w:t>
      </w:r>
      <w:r w:rsidR="00452428" w:rsidRPr="0084208F">
        <w:rPr>
          <w:rFonts w:ascii="Arial" w:hAnsi="Arial" w:cs="Arial"/>
          <w:lang w:val="en-GB"/>
        </w:rPr>
        <w:t>the Philippine National Police (PNP) and the Philippine Judicial Academy (PHILJA)</w:t>
      </w:r>
      <w:r w:rsidR="001607A7" w:rsidRPr="0084208F">
        <w:rPr>
          <w:rFonts w:ascii="Arial" w:hAnsi="Arial" w:cs="Arial"/>
          <w:lang w:val="en-GB"/>
        </w:rPr>
        <w:t xml:space="preserve">, </w:t>
      </w:r>
      <w:r w:rsidR="00420B0E" w:rsidRPr="0084208F">
        <w:rPr>
          <w:rFonts w:ascii="Arial" w:hAnsi="Arial" w:cs="Arial"/>
          <w:lang w:val="en-GB"/>
        </w:rPr>
        <w:t xml:space="preserve">as follows: </w:t>
      </w:r>
    </w:p>
    <w:p w14:paraId="5012CD95" w14:textId="77777777" w:rsidR="00CC71F5" w:rsidRPr="0084208F" w:rsidRDefault="00CC71F5" w:rsidP="006D0C21">
      <w:pPr>
        <w:jc w:val="both"/>
        <w:rPr>
          <w:rFonts w:ascii="Arial" w:hAnsi="Arial" w:cs="Arial"/>
          <w:lang w:val="en-GB"/>
        </w:rPr>
      </w:pPr>
    </w:p>
    <w:p w14:paraId="09924AA8" w14:textId="44CF9CA3" w:rsidR="0084208F" w:rsidRPr="0084208F" w:rsidRDefault="00BB58BB" w:rsidP="0084208F">
      <w:pPr>
        <w:pStyle w:val="ListParagraph"/>
        <w:numPr>
          <w:ilvl w:val="0"/>
          <w:numId w:val="10"/>
        </w:numPr>
        <w:ind w:left="567" w:hanging="567"/>
        <w:jc w:val="both"/>
        <w:rPr>
          <w:rFonts w:ascii="Arial" w:hAnsi="Arial" w:cs="Arial"/>
          <w:b/>
          <w:bCs/>
          <w:i/>
          <w:iCs/>
          <w:lang w:val="en-GB"/>
        </w:rPr>
      </w:pPr>
      <w:r w:rsidRPr="0084208F">
        <w:rPr>
          <w:rFonts w:ascii="Arial" w:hAnsi="Arial" w:cs="Arial"/>
          <w:b/>
          <w:bCs/>
          <w:i/>
          <w:iCs/>
        </w:rPr>
        <w:t>Taking into consideration the guarantees for the functioning of lawyers,</w:t>
      </w:r>
      <w:r w:rsidRPr="0084208F">
        <w:rPr>
          <w:rFonts w:ascii="Arial" w:hAnsi="Arial" w:cs="Arial"/>
          <w:b/>
          <w:bCs/>
          <w:i/>
          <w:iCs/>
          <w:lang w:val="en-GB"/>
        </w:rPr>
        <w:t xml:space="preserve"> </w:t>
      </w:r>
      <w:r w:rsidRPr="0084208F">
        <w:rPr>
          <w:rFonts w:ascii="Arial" w:hAnsi="Arial" w:cs="Arial"/>
          <w:b/>
          <w:bCs/>
          <w:i/>
          <w:iCs/>
        </w:rPr>
        <w:t>contained in the principles 16-22 of the Basic Principles on the Role of Lawyers, please</w:t>
      </w:r>
      <w:r w:rsidRPr="0084208F">
        <w:rPr>
          <w:rFonts w:ascii="Arial" w:hAnsi="Arial" w:cs="Arial"/>
          <w:b/>
          <w:bCs/>
          <w:i/>
          <w:iCs/>
          <w:lang w:val="en-GB"/>
        </w:rPr>
        <w:t xml:space="preserve"> </w:t>
      </w:r>
      <w:r w:rsidRPr="0084208F">
        <w:rPr>
          <w:rFonts w:ascii="Arial" w:hAnsi="Arial" w:cs="Arial"/>
          <w:b/>
          <w:bCs/>
          <w:i/>
          <w:iCs/>
        </w:rPr>
        <w:t>describe the constitutional, legal, administrative and policy measures adopted in your</w:t>
      </w:r>
      <w:r w:rsidRPr="0084208F">
        <w:rPr>
          <w:rFonts w:ascii="Arial" w:hAnsi="Arial" w:cs="Arial"/>
          <w:b/>
          <w:bCs/>
          <w:i/>
          <w:iCs/>
          <w:lang w:val="en-GB"/>
        </w:rPr>
        <w:t xml:space="preserve"> </w:t>
      </w:r>
      <w:r w:rsidRPr="0084208F">
        <w:rPr>
          <w:rFonts w:ascii="Arial" w:hAnsi="Arial" w:cs="Arial"/>
          <w:b/>
          <w:bCs/>
          <w:i/>
          <w:iCs/>
        </w:rPr>
        <w:t>country to enable lawyers to exercise their professional activities in favor of their</w:t>
      </w:r>
      <w:r w:rsidRPr="0084208F">
        <w:rPr>
          <w:rFonts w:ascii="Arial" w:hAnsi="Arial" w:cs="Arial"/>
          <w:b/>
          <w:bCs/>
          <w:i/>
          <w:iCs/>
          <w:lang w:val="en-GB"/>
        </w:rPr>
        <w:t xml:space="preserve"> </w:t>
      </w:r>
      <w:r w:rsidRPr="0084208F">
        <w:rPr>
          <w:rFonts w:ascii="Arial" w:hAnsi="Arial" w:cs="Arial"/>
          <w:b/>
          <w:bCs/>
          <w:i/>
          <w:iCs/>
        </w:rPr>
        <w:t>clients in a</w:t>
      </w:r>
      <w:r w:rsidRPr="0084208F">
        <w:rPr>
          <w:rFonts w:ascii="Arial" w:hAnsi="Arial" w:cs="Arial"/>
          <w:b/>
          <w:bCs/>
          <w:i/>
          <w:iCs/>
          <w:lang w:val="en-GB"/>
        </w:rPr>
        <w:t xml:space="preserve"> </w:t>
      </w:r>
      <w:r w:rsidRPr="0084208F">
        <w:rPr>
          <w:rFonts w:ascii="Arial" w:hAnsi="Arial" w:cs="Arial"/>
          <w:b/>
          <w:bCs/>
          <w:i/>
          <w:iCs/>
        </w:rPr>
        <w:t>free and independent manner</w:t>
      </w:r>
      <w:r w:rsidR="00ED2B36" w:rsidRPr="0084208F">
        <w:rPr>
          <w:rFonts w:ascii="Arial" w:hAnsi="Arial" w:cs="Arial"/>
          <w:b/>
          <w:bCs/>
          <w:i/>
          <w:iCs/>
          <w:lang w:val="en-GB"/>
        </w:rPr>
        <w:t>.</w:t>
      </w:r>
    </w:p>
    <w:p w14:paraId="4F78DFBA" w14:textId="77777777" w:rsidR="0084208F" w:rsidRPr="0084208F" w:rsidRDefault="0084208F" w:rsidP="00B70179">
      <w:pPr>
        <w:pStyle w:val="ListParagraph"/>
        <w:ind w:left="567"/>
        <w:jc w:val="both"/>
        <w:rPr>
          <w:rFonts w:ascii="Arial" w:hAnsi="Arial" w:cs="Arial"/>
          <w:lang w:val="en-GB"/>
        </w:rPr>
      </w:pPr>
    </w:p>
    <w:p w14:paraId="10673F9A" w14:textId="77777777" w:rsidR="00057CD0" w:rsidRDefault="00B70179" w:rsidP="00057CD0">
      <w:pPr>
        <w:pStyle w:val="ListParagraph"/>
        <w:ind w:left="567"/>
        <w:jc w:val="both"/>
        <w:rPr>
          <w:rFonts w:ascii="Arial" w:hAnsi="Arial" w:cs="Arial"/>
        </w:rPr>
      </w:pPr>
      <w:r w:rsidRPr="0084208F">
        <w:rPr>
          <w:rFonts w:ascii="Arial" w:hAnsi="Arial" w:cs="Arial"/>
        </w:rPr>
        <w:t>The independence of the legal profession constitutes an essential guarantee</w:t>
      </w:r>
      <w:r w:rsidRPr="0084208F">
        <w:rPr>
          <w:rFonts w:ascii="Arial" w:hAnsi="Arial" w:cs="Arial"/>
          <w:lang w:val="en-GB"/>
        </w:rPr>
        <w:t xml:space="preserve"> </w:t>
      </w:r>
      <w:r w:rsidRPr="0084208F">
        <w:rPr>
          <w:rFonts w:ascii="Arial" w:hAnsi="Arial" w:cs="Arial"/>
        </w:rPr>
        <w:t>for the</w:t>
      </w:r>
      <w:r w:rsidRPr="0084208F">
        <w:rPr>
          <w:rFonts w:ascii="Arial" w:hAnsi="Arial" w:cs="Arial"/>
          <w:lang w:val="en-GB"/>
        </w:rPr>
        <w:t xml:space="preserve"> </w:t>
      </w:r>
      <w:r w:rsidRPr="0084208F">
        <w:rPr>
          <w:rFonts w:ascii="Arial" w:hAnsi="Arial" w:cs="Arial"/>
        </w:rPr>
        <w:t xml:space="preserve">promotion and protection of human rights. </w:t>
      </w:r>
      <w:r w:rsidR="0084208F" w:rsidRPr="00057CD0">
        <w:rPr>
          <w:rFonts w:ascii="Arial" w:hAnsi="Arial" w:cs="Arial"/>
          <w:color w:val="000000"/>
        </w:rPr>
        <w:t xml:space="preserve">Taking into consideration the separation of powers between </w:t>
      </w:r>
      <w:r w:rsidR="0084208F" w:rsidRPr="00057CD0">
        <w:rPr>
          <w:rFonts w:ascii="Arial" w:hAnsi="Arial" w:cs="Arial"/>
          <w:color w:val="000000"/>
          <w:lang w:val="en-US"/>
        </w:rPr>
        <w:t xml:space="preserve">the </w:t>
      </w:r>
      <w:r w:rsidR="0084208F" w:rsidRPr="00057CD0">
        <w:rPr>
          <w:rFonts w:ascii="Arial" w:hAnsi="Arial" w:cs="Arial"/>
          <w:color w:val="000000"/>
        </w:rPr>
        <w:t xml:space="preserve">three branches of the government of the Philippines, the Judicial Branch or the Supreme Court has been accorded the independence to regulate the practice of law or the exercise of the profession. Therefrom, the Supreme Court has enacted and implemented </w:t>
      </w:r>
      <w:r w:rsidR="0084208F" w:rsidRPr="00057CD0">
        <w:rPr>
          <w:rFonts w:ascii="Arial" w:hAnsi="Arial" w:cs="Arial"/>
          <w:b/>
          <w:bCs/>
          <w:color w:val="000000"/>
        </w:rPr>
        <w:t xml:space="preserve">Rules of Court </w:t>
      </w:r>
      <w:r w:rsidR="0084208F" w:rsidRPr="00057CD0">
        <w:rPr>
          <w:rFonts w:ascii="Arial" w:hAnsi="Arial" w:cs="Arial"/>
          <w:color w:val="000000"/>
        </w:rPr>
        <w:t xml:space="preserve">which provides procedures for the effective exercise of the legal profession and in some manner protects lawyers and their clients </w:t>
      </w:r>
      <w:r w:rsidR="0084208F" w:rsidRPr="00057CD0">
        <w:rPr>
          <w:rFonts w:ascii="Arial" w:hAnsi="Arial" w:cs="Arial"/>
          <w:i/>
          <w:iCs/>
          <w:color w:val="000000"/>
        </w:rPr>
        <w:t xml:space="preserve">i.e. </w:t>
      </w:r>
      <w:r w:rsidR="0084208F" w:rsidRPr="00057CD0">
        <w:rPr>
          <w:rFonts w:ascii="Arial" w:hAnsi="Arial" w:cs="Arial"/>
          <w:color w:val="000000"/>
        </w:rPr>
        <w:t>privileged communication between lawyers and client (Section 24, para. b, Rule 130 of the Revised Rules of Court).</w:t>
      </w:r>
      <w:r w:rsidR="00057CD0" w:rsidRPr="00057CD0">
        <w:rPr>
          <w:rFonts w:ascii="Arial" w:hAnsi="Arial" w:cs="Arial"/>
        </w:rPr>
        <w:t xml:space="preserve"> The Court has the</w:t>
      </w:r>
      <w:r w:rsidR="00057CD0" w:rsidRPr="00057CD0">
        <w:rPr>
          <w:rFonts w:ascii="Arial" w:hAnsi="Arial" w:cs="Arial"/>
          <w:lang w:val="en-GB"/>
        </w:rPr>
        <w:t xml:space="preserve"> </w:t>
      </w:r>
      <w:r w:rsidR="00057CD0" w:rsidRPr="00057CD0">
        <w:rPr>
          <w:rFonts w:ascii="Arial" w:hAnsi="Arial" w:cs="Arial"/>
        </w:rPr>
        <w:t>power to promulgate rules concerning pleading, practice, and procedure in all</w:t>
      </w:r>
      <w:r w:rsidR="00057CD0" w:rsidRPr="00057CD0">
        <w:rPr>
          <w:rFonts w:ascii="Arial" w:hAnsi="Arial" w:cs="Arial"/>
          <w:lang w:val="en-GB"/>
        </w:rPr>
        <w:t xml:space="preserve"> </w:t>
      </w:r>
      <w:r w:rsidR="00057CD0" w:rsidRPr="00057CD0">
        <w:rPr>
          <w:rFonts w:ascii="Arial" w:hAnsi="Arial" w:cs="Arial"/>
        </w:rPr>
        <w:t xml:space="preserve">courts, and the admission to the practice of </w:t>
      </w:r>
      <w:r w:rsidR="00057CD0" w:rsidRPr="00057CD0">
        <w:rPr>
          <w:rFonts w:ascii="Arial" w:hAnsi="Arial" w:cs="Arial"/>
          <w:lang w:val="en-US"/>
        </w:rPr>
        <w:t>l</w:t>
      </w:r>
      <w:r w:rsidR="00057CD0" w:rsidRPr="00057CD0">
        <w:rPr>
          <w:rFonts w:ascii="Arial" w:hAnsi="Arial" w:cs="Arial"/>
        </w:rPr>
        <w:t>aw</w:t>
      </w:r>
      <w:r w:rsidR="00057CD0" w:rsidRPr="0084208F">
        <w:rPr>
          <w:rStyle w:val="FootnoteReference"/>
          <w:rFonts w:ascii="Arial" w:hAnsi="Arial" w:cs="Arial"/>
        </w:rPr>
        <w:footnoteReference w:id="1"/>
      </w:r>
      <w:r w:rsidR="00057CD0" w:rsidRPr="00057CD0">
        <w:rPr>
          <w:rFonts w:ascii="Arial" w:hAnsi="Arial" w:cs="Arial"/>
        </w:rPr>
        <w:t>.</w:t>
      </w:r>
    </w:p>
    <w:p w14:paraId="631CEFB1" w14:textId="77777777" w:rsidR="00057CD0" w:rsidRDefault="00057CD0" w:rsidP="00057CD0">
      <w:pPr>
        <w:pStyle w:val="ListParagraph"/>
        <w:ind w:left="567"/>
        <w:jc w:val="both"/>
        <w:rPr>
          <w:rFonts w:ascii="Arial" w:hAnsi="Arial" w:cs="Arial"/>
        </w:rPr>
      </w:pPr>
    </w:p>
    <w:p w14:paraId="29AD116F" w14:textId="65A35BC4" w:rsidR="0084208F" w:rsidRPr="00057CD0" w:rsidRDefault="0084208F" w:rsidP="00057CD0">
      <w:pPr>
        <w:pStyle w:val="ListParagraph"/>
        <w:ind w:left="567"/>
        <w:jc w:val="both"/>
        <w:rPr>
          <w:rFonts w:ascii="Arial" w:hAnsi="Arial" w:cs="Arial"/>
        </w:rPr>
      </w:pPr>
      <w:r w:rsidRPr="00057CD0">
        <w:rPr>
          <w:rFonts w:ascii="Arial" w:hAnsi="Arial" w:cs="Arial"/>
          <w:color w:val="000000"/>
        </w:rPr>
        <w:t xml:space="preserve">The </w:t>
      </w:r>
      <w:r w:rsidRPr="00057CD0">
        <w:rPr>
          <w:rFonts w:ascii="Arial" w:hAnsi="Arial" w:cs="Arial"/>
          <w:b/>
          <w:bCs/>
          <w:color w:val="000000"/>
        </w:rPr>
        <w:t>1987 Philippine Constitution</w:t>
      </w:r>
      <w:r w:rsidRPr="00057CD0">
        <w:rPr>
          <w:rFonts w:ascii="Arial" w:hAnsi="Arial" w:cs="Arial"/>
          <w:color w:val="000000"/>
        </w:rPr>
        <w:t xml:space="preserve"> not only bestows to the judiciary and/or legal profession the character of being independent but acknowledges the importance of legal profession to society, especially when it comes to the rights of the accused to </w:t>
      </w:r>
      <w:r w:rsidRPr="00057CD0">
        <w:rPr>
          <w:rFonts w:ascii="Arial" w:hAnsi="Arial" w:cs="Arial"/>
          <w:color w:val="000000"/>
        </w:rPr>
        <w:lastRenderedPageBreak/>
        <w:t xml:space="preserve">have an independent counsel, to confer and freely communicate with the counsel. </w:t>
      </w:r>
      <w:r w:rsidR="00057CD0">
        <w:rPr>
          <w:rFonts w:ascii="Arial" w:hAnsi="Arial" w:cs="Arial"/>
          <w:color w:val="000000"/>
          <w:lang w:val="en-US"/>
        </w:rPr>
        <w:t xml:space="preserve"> </w:t>
      </w:r>
      <w:r w:rsidRPr="00057CD0">
        <w:rPr>
          <w:rFonts w:ascii="Arial" w:hAnsi="Arial" w:cs="Arial"/>
          <w:color w:val="000000"/>
        </w:rPr>
        <w:t>The rights granted under Article III of the 1987 Philippine Constitution are also afforded to lawyers as protection such as freedom of expression, speech and to form an association and/or organization to uphold their interest.</w:t>
      </w:r>
    </w:p>
    <w:p w14:paraId="71B6FC16" w14:textId="77777777" w:rsidR="009F265A" w:rsidRPr="00057CD0" w:rsidRDefault="009F265A" w:rsidP="00057CD0">
      <w:pPr>
        <w:jc w:val="both"/>
        <w:rPr>
          <w:rFonts w:ascii="Arial" w:hAnsi="Arial" w:cs="Arial"/>
        </w:rPr>
      </w:pPr>
    </w:p>
    <w:p w14:paraId="3AFAE5D7" w14:textId="77777777" w:rsidR="00B07017" w:rsidRPr="0084208F" w:rsidRDefault="009F265A" w:rsidP="00B07017">
      <w:pPr>
        <w:pStyle w:val="ListParagraph"/>
        <w:ind w:left="567"/>
        <w:jc w:val="both"/>
        <w:rPr>
          <w:rFonts w:ascii="Arial" w:hAnsi="Arial" w:cs="Arial"/>
          <w:lang w:val="en-GB"/>
        </w:rPr>
      </w:pPr>
      <w:r w:rsidRPr="0084208F">
        <w:rPr>
          <w:rFonts w:ascii="Arial" w:hAnsi="Arial" w:cs="Arial"/>
        </w:rPr>
        <w:t>Moreover, under the Rules of Court, Section 24 Rule 130. 24 (b) lays the</w:t>
      </w:r>
      <w:r w:rsidRPr="0084208F">
        <w:rPr>
          <w:rFonts w:ascii="Arial" w:hAnsi="Arial" w:cs="Arial"/>
          <w:lang w:val="en-GB"/>
        </w:rPr>
        <w:t xml:space="preserve"> </w:t>
      </w:r>
      <w:r w:rsidRPr="0084208F">
        <w:rPr>
          <w:rFonts w:ascii="Arial" w:hAnsi="Arial" w:cs="Arial"/>
        </w:rPr>
        <w:t>principle of the attorney-client privilege. Attorney-client privilege is well</w:t>
      </w:r>
      <w:r w:rsidRPr="0084208F">
        <w:rPr>
          <w:rFonts w:ascii="Arial" w:hAnsi="Arial" w:cs="Arial"/>
          <w:lang w:val="en-GB"/>
        </w:rPr>
        <w:t xml:space="preserve"> </w:t>
      </w:r>
      <w:r w:rsidRPr="0084208F">
        <w:rPr>
          <w:rFonts w:ascii="Arial" w:hAnsi="Arial" w:cs="Arial"/>
        </w:rPr>
        <w:t>established in the</w:t>
      </w:r>
      <w:r w:rsidRPr="0084208F">
        <w:rPr>
          <w:rFonts w:ascii="Arial" w:hAnsi="Arial" w:cs="Arial"/>
          <w:lang w:val="en-GB"/>
        </w:rPr>
        <w:t xml:space="preserve"> </w:t>
      </w:r>
      <w:r w:rsidRPr="0084208F">
        <w:rPr>
          <w:rFonts w:ascii="Arial" w:hAnsi="Arial" w:cs="Arial"/>
        </w:rPr>
        <w:t>Philippine Judicial System. It is a rule that preserves the</w:t>
      </w:r>
      <w:r w:rsidRPr="0084208F">
        <w:rPr>
          <w:rFonts w:ascii="Arial" w:hAnsi="Arial" w:cs="Arial"/>
          <w:lang w:val="en-GB"/>
        </w:rPr>
        <w:t xml:space="preserve"> </w:t>
      </w:r>
      <w:r w:rsidRPr="0084208F">
        <w:rPr>
          <w:rFonts w:ascii="Arial" w:hAnsi="Arial" w:cs="Arial"/>
        </w:rPr>
        <w:t>confidentiality of communications between lawyers and clients. Under the said</w:t>
      </w:r>
      <w:r w:rsidRPr="0084208F">
        <w:rPr>
          <w:rFonts w:ascii="Arial" w:hAnsi="Arial" w:cs="Arial"/>
          <w:lang w:val="en-GB"/>
        </w:rPr>
        <w:t xml:space="preserve"> </w:t>
      </w:r>
      <w:r w:rsidRPr="0084208F">
        <w:rPr>
          <w:rFonts w:ascii="Arial" w:hAnsi="Arial" w:cs="Arial"/>
        </w:rPr>
        <w:t>rule, a lawyer cannot divulge any information obtained from his/her client. The</w:t>
      </w:r>
      <w:r w:rsidRPr="0084208F">
        <w:rPr>
          <w:rFonts w:ascii="Arial" w:hAnsi="Arial" w:cs="Arial"/>
          <w:lang w:val="en-GB"/>
        </w:rPr>
        <w:t xml:space="preserve"> </w:t>
      </w:r>
      <w:r w:rsidRPr="0084208F">
        <w:rPr>
          <w:rFonts w:ascii="Arial" w:hAnsi="Arial" w:cs="Arial"/>
        </w:rPr>
        <w:t>purpose of the privilege is to encourage clients to share information with their</w:t>
      </w:r>
      <w:r w:rsidRPr="0084208F">
        <w:rPr>
          <w:rFonts w:ascii="Arial" w:hAnsi="Arial" w:cs="Arial"/>
          <w:lang w:val="en-GB"/>
        </w:rPr>
        <w:t xml:space="preserve"> </w:t>
      </w:r>
      <w:r w:rsidRPr="0084208F">
        <w:rPr>
          <w:rFonts w:ascii="Arial" w:hAnsi="Arial" w:cs="Arial"/>
        </w:rPr>
        <w:t xml:space="preserve">lawyers openly and let lawyers provide effective representation. </w:t>
      </w:r>
      <w:r w:rsidRPr="0084208F">
        <w:rPr>
          <w:rFonts w:ascii="Arial" w:hAnsi="Arial" w:cs="Arial"/>
          <w:lang w:val="en-GB"/>
        </w:rPr>
        <w:t xml:space="preserve">Subject </w:t>
      </w:r>
      <w:r w:rsidRPr="0084208F">
        <w:rPr>
          <w:rFonts w:ascii="Arial" w:hAnsi="Arial" w:cs="Arial"/>
        </w:rPr>
        <w:t>to</w:t>
      </w:r>
      <w:r w:rsidRPr="0084208F">
        <w:rPr>
          <w:rFonts w:ascii="Arial" w:hAnsi="Arial" w:cs="Arial"/>
          <w:lang w:val="en-GB"/>
        </w:rPr>
        <w:t xml:space="preserve"> </w:t>
      </w:r>
      <w:r w:rsidRPr="0084208F">
        <w:rPr>
          <w:rFonts w:ascii="Arial" w:hAnsi="Arial" w:cs="Arial"/>
        </w:rPr>
        <w:t>some exceptions, lawyers are prohibited to reveal the confidences and</w:t>
      </w:r>
      <w:r w:rsidRPr="0084208F">
        <w:rPr>
          <w:rFonts w:ascii="Arial" w:hAnsi="Arial" w:cs="Arial"/>
          <w:lang w:val="en-GB"/>
        </w:rPr>
        <w:t xml:space="preserve"> </w:t>
      </w:r>
      <w:r w:rsidRPr="0084208F">
        <w:rPr>
          <w:rFonts w:ascii="Arial" w:hAnsi="Arial" w:cs="Arial"/>
        </w:rPr>
        <w:t>secrets of his clients</w:t>
      </w:r>
      <w:r w:rsidR="004F1190" w:rsidRPr="0084208F">
        <w:rPr>
          <w:rStyle w:val="FootnoteReference"/>
          <w:rFonts w:ascii="Arial" w:hAnsi="Arial" w:cs="Arial"/>
        </w:rPr>
        <w:footnoteReference w:id="2"/>
      </w:r>
      <w:r w:rsidRPr="0084208F">
        <w:rPr>
          <w:rFonts w:ascii="Arial" w:hAnsi="Arial" w:cs="Arial"/>
        </w:rPr>
        <w:t>. Likewise, the Rules of Court also protects an attorney</w:t>
      </w:r>
      <w:r w:rsidRPr="0084208F">
        <w:rPr>
          <w:rFonts w:ascii="Arial" w:hAnsi="Arial" w:cs="Arial"/>
          <w:lang w:val="en-GB"/>
        </w:rPr>
        <w:t xml:space="preserve"> </w:t>
      </w:r>
      <w:r w:rsidRPr="0084208F">
        <w:rPr>
          <w:rFonts w:ascii="Arial" w:hAnsi="Arial" w:cs="Arial"/>
        </w:rPr>
        <w:t>from being examined as to any communication</w:t>
      </w:r>
      <w:r w:rsidR="00D451B0" w:rsidRPr="0084208F">
        <w:rPr>
          <w:rStyle w:val="FootnoteReference"/>
          <w:rFonts w:ascii="Arial" w:hAnsi="Arial" w:cs="Arial"/>
        </w:rPr>
        <w:footnoteReference w:id="3"/>
      </w:r>
      <w:r w:rsidR="00D451B0" w:rsidRPr="0084208F">
        <w:rPr>
          <w:rFonts w:ascii="Arial" w:hAnsi="Arial" w:cs="Arial"/>
          <w:lang w:val="en-GB"/>
        </w:rPr>
        <w:t xml:space="preserve">. </w:t>
      </w:r>
    </w:p>
    <w:p w14:paraId="11054580" w14:textId="77777777" w:rsidR="00B07017" w:rsidRPr="0084208F" w:rsidRDefault="00B07017" w:rsidP="00B07017">
      <w:pPr>
        <w:pStyle w:val="ListParagraph"/>
        <w:ind w:left="567"/>
        <w:jc w:val="both"/>
        <w:rPr>
          <w:rFonts w:ascii="Arial" w:hAnsi="Arial" w:cs="Arial"/>
          <w:lang w:val="en-GB"/>
        </w:rPr>
      </w:pPr>
    </w:p>
    <w:p w14:paraId="2A473F89" w14:textId="77777777" w:rsidR="0084208F" w:rsidRDefault="0084208F" w:rsidP="00E53109">
      <w:pPr>
        <w:pStyle w:val="ListParagraph"/>
        <w:ind w:left="567"/>
        <w:jc w:val="both"/>
        <w:rPr>
          <w:rFonts w:ascii="Arial" w:hAnsi="Arial" w:cs="Arial"/>
          <w:b/>
          <w:bCs/>
        </w:rPr>
      </w:pPr>
    </w:p>
    <w:p w14:paraId="31EDE218" w14:textId="77777777" w:rsidR="0084208F" w:rsidRDefault="0084208F" w:rsidP="00E53109">
      <w:pPr>
        <w:pStyle w:val="ListParagraph"/>
        <w:ind w:left="567"/>
        <w:jc w:val="both"/>
        <w:rPr>
          <w:rFonts w:ascii="Arial" w:hAnsi="Arial" w:cs="Arial"/>
          <w:b/>
          <w:bCs/>
        </w:rPr>
      </w:pPr>
    </w:p>
    <w:p w14:paraId="5074B4F8" w14:textId="77777777" w:rsidR="0084208F" w:rsidRDefault="0084208F" w:rsidP="00E53109">
      <w:pPr>
        <w:pStyle w:val="ListParagraph"/>
        <w:ind w:left="567"/>
        <w:jc w:val="both"/>
        <w:rPr>
          <w:rFonts w:ascii="Arial" w:hAnsi="Arial" w:cs="Arial"/>
          <w:b/>
          <w:bCs/>
        </w:rPr>
      </w:pPr>
    </w:p>
    <w:p w14:paraId="52F79FD2" w14:textId="0E077DE0" w:rsidR="00E53109" w:rsidRPr="0084208F" w:rsidRDefault="00B07017" w:rsidP="00E53109">
      <w:pPr>
        <w:pStyle w:val="ListParagraph"/>
        <w:ind w:left="567"/>
        <w:jc w:val="both"/>
        <w:rPr>
          <w:rFonts w:ascii="Arial" w:hAnsi="Arial" w:cs="Arial"/>
        </w:rPr>
      </w:pPr>
      <w:r w:rsidRPr="0084208F">
        <w:rPr>
          <w:rFonts w:ascii="Arial" w:hAnsi="Arial" w:cs="Arial"/>
          <w:b/>
          <w:bCs/>
        </w:rPr>
        <w:t>Constitutional Policy</w:t>
      </w:r>
      <w:r w:rsidRPr="0084208F">
        <w:rPr>
          <w:rFonts w:ascii="Arial" w:hAnsi="Arial" w:cs="Arial"/>
        </w:rPr>
        <w:t>. The creation of the Integrated Bar of the Philippines</w:t>
      </w:r>
      <w:r w:rsidRPr="0084208F">
        <w:rPr>
          <w:rFonts w:ascii="Arial" w:hAnsi="Arial" w:cs="Arial"/>
          <w:lang w:val="en-GB"/>
        </w:rPr>
        <w:t xml:space="preserve"> </w:t>
      </w:r>
      <w:r w:rsidRPr="0084208F">
        <w:rPr>
          <w:rFonts w:ascii="Arial" w:hAnsi="Arial" w:cs="Arial"/>
        </w:rPr>
        <w:t>as the</w:t>
      </w:r>
      <w:r w:rsidRPr="0084208F">
        <w:rPr>
          <w:rFonts w:ascii="Arial" w:hAnsi="Arial" w:cs="Arial"/>
          <w:lang w:val="en-GB"/>
        </w:rPr>
        <w:t xml:space="preserve"> </w:t>
      </w:r>
      <w:r w:rsidRPr="0084208F">
        <w:rPr>
          <w:rFonts w:ascii="Arial" w:hAnsi="Arial" w:cs="Arial"/>
        </w:rPr>
        <w:t>official national body composed of all persons whose names are</w:t>
      </w:r>
      <w:r w:rsidRPr="0084208F">
        <w:rPr>
          <w:rFonts w:ascii="Arial" w:hAnsi="Arial" w:cs="Arial"/>
          <w:lang w:val="en-GB"/>
        </w:rPr>
        <w:t xml:space="preserve"> </w:t>
      </w:r>
      <w:r w:rsidRPr="0084208F">
        <w:rPr>
          <w:rFonts w:ascii="Arial" w:hAnsi="Arial" w:cs="Arial"/>
        </w:rPr>
        <w:t>included in the Roll</w:t>
      </w:r>
      <w:r w:rsidRPr="0084208F">
        <w:rPr>
          <w:rFonts w:ascii="Arial" w:hAnsi="Arial" w:cs="Arial"/>
          <w:lang w:val="en-GB"/>
        </w:rPr>
        <w:t xml:space="preserve"> </w:t>
      </w:r>
      <w:r w:rsidRPr="0084208F">
        <w:rPr>
          <w:rFonts w:ascii="Arial" w:hAnsi="Arial" w:cs="Arial"/>
        </w:rPr>
        <w:t>of Attorneys of the Supreme Court. The fundamental</w:t>
      </w:r>
      <w:r w:rsidRPr="0084208F">
        <w:rPr>
          <w:rFonts w:ascii="Arial" w:hAnsi="Arial" w:cs="Arial"/>
          <w:lang w:val="en-GB"/>
        </w:rPr>
        <w:t xml:space="preserve"> </w:t>
      </w:r>
      <w:r w:rsidRPr="0084208F">
        <w:rPr>
          <w:rFonts w:ascii="Arial" w:hAnsi="Arial" w:cs="Arial"/>
        </w:rPr>
        <w:t>purpose of which is to elevate the standards of legal profession, improve the</w:t>
      </w:r>
      <w:r w:rsidRPr="0084208F">
        <w:rPr>
          <w:rFonts w:ascii="Arial" w:hAnsi="Arial" w:cs="Arial"/>
          <w:lang w:val="en-GB"/>
        </w:rPr>
        <w:t xml:space="preserve"> </w:t>
      </w:r>
      <w:r w:rsidRPr="0084208F">
        <w:rPr>
          <w:rFonts w:ascii="Arial" w:hAnsi="Arial" w:cs="Arial"/>
        </w:rPr>
        <w:t>administration of justice, and enable the Bar to discharge its public</w:t>
      </w:r>
      <w:r w:rsidRPr="0084208F">
        <w:rPr>
          <w:rFonts w:ascii="Arial" w:hAnsi="Arial" w:cs="Arial"/>
          <w:lang w:val="en-GB"/>
        </w:rPr>
        <w:t xml:space="preserve"> </w:t>
      </w:r>
      <w:r w:rsidRPr="0084208F">
        <w:rPr>
          <w:rFonts w:ascii="Arial" w:hAnsi="Arial" w:cs="Arial"/>
        </w:rPr>
        <w:t>responsibility more effectively.</w:t>
      </w:r>
    </w:p>
    <w:p w14:paraId="25E9B05C" w14:textId="77777777" w:rsidR="00E53109" w:rsidRPr="0084208F" w:rsidRDefault="00E53109" w:rsidP="00C02012">
      <w:pPr>
        <w:jc w:val="both"/>
        <w:rPr>
          <w:rFonts w:ascii="Arial" w:hAnsi="Arial" w:cs="Arial"/>
        </w:rPr>
      </w:pPr>
    </w:p>
    <w:p w14:paraId="56E30583" w14:textId="77777777" w:rsidR="006331CE" w:rsidRPr="0084208F" w:rsidRDefault="00E53109" w:rsidP="006331CE">
      <w:pPr>
        <w:pStyle w:val="ListParagraph"/>
        <w:ind w:left="567"/>
        <w:jc w:val="both"/>
        <w:rPr>
          <w:rFonts w:ascii="Arial" w:hAnsi="Arial" w:cs="Arial"/>
        </w:rPr>
      </w:pPr>
      <w:r w:rsidRPr="0084208F">
        <w:rPr>
          <w:rFonts w:ascii="Arial" w:hAnsi="Arial" w:cs="Arial"/>
          <w:b/>
          <w:bCs/>
        </w:rPr>
        <w:t>Legal Policy</w:t>
      </w:r>
      <w:r w:rsidRPr="0084208F">
        <w:rPr>
          <w:rFonts w:ascii="Arial" w:hAnsi="Arial" w:cs="Arial"/>
        </w:rPr>
        <w:t>. The Creation of Justice Sector Coordinating Council (JSCC) in</w:t>
      </w:r>
      <w:r w:rsidRPr="0084208F">
        <w:rPr>
          <w:rFonts w:ascii="Arial" w:hAnsi="Arial" w:cs="Arial"/>
          <w:lang w:val="en-GB"/>
        </w:rPr>
        <w:t xml:space="preserve"> </w:t>
      </w:r>
      <w:r w:rsidRPr="0084208F">
        <w:rPr>
          <w:rFonts w:ascii="Arial" w:hAnsi="Arial" w:cs="Arial"/>
        </w:rPr>
        <w:t>support of the Efficient and Effective Administration of Justice. JSCC is</w:t>
      </w:r>
      <w:r w:rsidRPr="0084208F">
        <w:rPr>
          <w:rFonts w:ascii="Arial" w:hAnsi="Arial" w:cs="Arial"/>
          <w:lang w:val="en-GB"/>
        </w:rPr>
        <w:t xml:space="preserve"> </w:t>
      </w:r>
      <w:r w:rsidRPr="0084208F">
        <w:rPr>
          <w:rFonts w:ascii="Arial" w:hAnsi="Arial" w:cs="Arial"/>
        </w:rPr>
        <w:t>composed of a senior representative from the Judiciary, Department of</w:t>
      </w:r>
      <w:r w:rsidRPr="0084208F">
        <w:rPr>
          <w:rFonts w:ascii="Arial" w:hAnsi="Arial" w:cs="Arial"/>
          <w:lang w:val="en-GB"/>
        </w:rPr>
        <w:t xml:space="preserve"> </w:t>
      </w:r>
      <w:r w:rsidRPr="0084208F">
        <w:rPr>
          <w:rFonts w:ascii="Arial" w:hAnsi="Arial" w:cs="Arial"/>
        </w:rPr>
        <w:t>Justice (DOJ), Department of the Interior and Local Government (DILG), and</w:t>
      </w:r>
      <w:r w:rsidRPr="0084208F">
        <w:rPr>
          <w:rFonts w:ascii="Arial" w:hAnsi="Arial" w:cs="Arial"/>
          <w:lang w:val="en-GB"/>
        </w:rPr>
        <w:t xml:space="preserve"> </w:t>
      </w:r>
      <w:r w:rsidRPr="0084208F">
        <w:rPr>
          <w:rFonts w:ascii="Arial" w:hAnsi="Arial" w:cs="Arial"/>
        </w:rPr>
        <w:t>their relevant attached agencies. The JSCC shall serve as a joint forum for</w:t>
      </w:r>
      <w:r w:rsidRPr="0084208F">
        <w:rPr>
          <w:rFonts w:ascii="Arial" w:hAnsi="Arial" w:cs="Arial"/>
          <w:lang w:val="en-GB"/>
        </w:rPr>
        <w:t xml:space="preserve"> </w:t>
      </w:r>
      <w:r w:rsidRPr="0084208F">
        <w:rPr>
          <w:rFonts w:ascii="Arial" w:hAnsi="Arial" w:cs="Arial"/>
        </w:rPr>
        <w:t>dialogue on issues of common interest and mechanism for effective</w:t>
      </w:r>
      <w:r w:rsidRPr="0084208F">
        <w:rPr>
          <w:rFonts w:ascii="Arial" w:hAnsi="Arial" w:cs="Arial"/>
          <w:lang w:val="en-GB"/>
        </w:rPr>
        <w:t xml:space="preserve"> </w:t>
      </w:r>
      <w:r w:rsidRPr="0084208F">
        <w:rPr>
          <w:rFonts w:ascii="Arial" w:hAnsi="Arial" w:cs="Arial"/>
        </w:rPr>
        <w:t>coordination and sharing of information in support of planning and</w:t>
      </w:r>
      <w:r w:rsidRPr="0084208F">
        <w:rPr>
          <w:rFonts w:ascii="Arial" w:hAnsi="Arial" w:cs="Arial"/>
          <w:lang w:val="en-GB"/>
        </w:rPr>
        <w:t xml:space="preserve"> </w:t>
      </w:r>
      <w:r w:rsidRPr="0084208F">
        <w:rPr>
          <w:rFonts w:ascii="Arial" w:hAnsi="Arial" w:cs="Arial"/>
        </w:rPr>
        <w:t>implementation of joint initiatives.</w:t>
      </w:r>
    </w:p>
    <w:p w14:paraId="554A1313" w14:textId="77777777" w:rsidR="006331CE" w:rsidRPr="0084208F" w:rsidRDefault="006331CE" w:rsidP="006331CE">
      <w:pPr>
        <w:pStyle w:val="ListParagraph"/>
        <w:ind w:left="567"/>
        <w:jc w:val="both"/>
        <w:rPr>
          <w:rFonts w:ascii="Arial" w:hAnsi="Arial" w:cs="Arial"/>
        </w:rPr>
      </w:pPr>
    </w:p>
    <w:p w14:paraId="15B239BE" w14:textId="77777777" w:rsidR="0068065B" w:rsidRPr="0084208F" w:rsidRDefault="006331CE" w:rsidP="0068065B">
      <w:pPr>
        <w:pStyle w:val="ListParagraph"/>
        <w:ind w:left="567"/>
        <w:jc w:val="both"/>
        <w:rPr>
          <w:rFonts w:ascii="Arial" w:hAnsi="Arial" w:cs="Arial"/>
        </w:rPr>
      </w:pPr>
      <w:r w:rsidRPr="0084208F">
        <w:rPr>
          <w:rFonts w:ascii="Arial" w:hAnsi="Arial" w:cs="Arial"/>
          <w:b/>
          <w:bCs/>
        </w:rPr>
        <w:t>Administrative policy</w:t>
      </w:r>
      <w:r w:rsidRPr="0084208F">
        <w:rPr>
          <w:rFonts w:ascii="Arial" w:hAnsi="Arial" w:cs="Arial"/>
        </w:rPr>
        <w:t xml:space="preserve">. The establishment and development of </w:t>
      </w:r>
      <w:r w:rsidRPr="0084208F">
        <w:rPr>
          <w:rFonts w:ascii="Arial" w:hAnsi="Arial" w:cs="Arial"/>
          <w:lang w:val="en-GB"/>
        </w:rPr>
        <w:t>“</w:t>
      </w:r>
      <w:r w:rsidRPr="0084208F">
        <w:rPr>
          <w:rFonts w:ascii="Arial" w:hAnsi="Arial" w:cs="Arial"/>
        </w:rPr>
        <w:t>Justice</w:t>
      </w:r>
      <w:r w:rsidRPr="0084208F">
        <w:rPr>
          <w:rFonts w:ascii="Arial" w:hAnsi="Arial" w:cs="Arial"/>
          <w:lang w:val="en-GB"/>
        </w:rPr>
        <w:t xml:space="preserve"> </w:t>
      </w:r>
      <w:r w:rsidRPr="0084208F">
        <w:rPr>
          <w:rFonts w:ascii="Arial" w:hAnsi="Arial" w:cs="Arial"/>
        </w:rPr>
        <w:t>Zones, the program is installed in areas where local justice sector actors such</w:t>
      </w:r>
      <w:r w:rsidRPr="0084208F">
        <w:rPr>
          <w:rFonts w:ascii="Arial" w:hAnsi="Arial" w:cs="Arial"/>
          <w:lang w:val="en-GB"/>
        </w:rPr>
        <w:t xml:space="preserve"> </w:t>
      </w:r>
      <w:r w:rsidRPr="0084208F">
        <w:rPr>
          <w:rFonts w:ascii="Arial" w:hAnsi="Arial" w:cs="Arial"/>
        </w:rPr>
        <w:t>as police, prosecutors, public attorneys, judges, and prison staff, work</w:t>
      </w:r>
      <w:r w:rsidRPr="0084208F">
        <w:rPr>
          <w:rFonts w:ascii="Arial" w:hAnsi="Arial" w:cs="Arial"/>
          <w:lang w:val="en-GB"/>
        </w:rPr>
        <w:t xml:space="preserve"> </w:t>
      </w:r>
      <w:r w:rsidRPr="0084208F">
        <w:rPr>
          <w:rFonts w:ascii="Arial" w:hAnsi="Arial" w:cs="Arial"/>
        </w:rPr>
        <w:t>together to identify common problems and generate common solutions to</w:t>
      </w:r>
      <w:r w:rsidRPr="0084208F">
        <w:rPr>
          <w:rFonts w:ascii="Arial" w:hAnsi="Arial" w:cs="Arial"/>
          <w:lang w:val="en-GB"/>
        </w:rPr>
        <w:t xml:space="preserve"> </w:t>
      </w:r>
      <w:r w:rsidRPr="0084208F">
        <w:rPr>
          <w:rFonts w:ascii="Arial" w:hAnsi="Arial" w:cs="Arial"/>
        </w:rPr>
        <w:t>address them.</w:t>
      </w:r>
    </w:p>
    <w:p w14:paraId="3DC28D95" w14:textId="77777777" w:rsidR="0068065B" w:rsidRPr="0084208F" w:rsidRDefault="0068065B" w:rsidP="0068065B">
      <w:pPr>
        <w:pStyle w:val="ListParagraph"/>
        <w:ind w:left="567"/>
        <w:jc w:val="both"/>
        <w:rPr>
          <w:rFonts w:ascii="Arial" w:hAnsi="Arial" w:cs="Arial"/>
        </w:rPr>
      </w:pPr>
    </w:p>
    <w:p w14:paraId="2A255761" w14:textId="7B2AC3C3" w:rsidR="0068065B" w:rsidRPr="0084208F" w:rsidRDefault="0068065B" w:rsidP="0068065B">
      <w:pPr>
        <w:pStyle w:val="ListParagraph"/>
        <w:ind w:left="567"/>
        <w:jc w:val="both"/>
        <w:rPr>
          <w:rFonts w:ascii="Arial" w:hAnsi="Arial" w:cs="Arial"/>
        </w:rPr>
      </w:pPr>
      <w:r w:rsidRPr="0084208F">
        <w:rPr>
          <w:rFonts w:ascii="Arial" w:hAnsi="Arial" w:cs="Arial"/>
        </w:rPr>
        <w:t>To better coordinate information sharing, analysis, and reporting among</w:t>
      </w:r>
      <w:r w:rsidRPr="0084208F">
        <w:rPr>
          <w:rFonts w:ascii="Arial" w:hAnsi="Arial" w:cs="Arial"/>
          <w:lang w:val="en-GB"/>
        </w:rPr>
        <w:t xml:space="preserve"> </w:t>
      </w:r>
      <w:r w:rsidRPr="0084208F">
        <w:rPr>
          <w:rFonts w:ascii="Arial" w:hAnsi="Arial" w:cs="Arial"/>
        </w:rPr>
        <w:t>stakeholders, the program has also operationalized five (5) information</w:t>
      </w:r>
      <w:r w:rsidRPr="0084208F">
        <w:rPr>
          <w:rFonts w:ascii="Arial" w:hAnsi="Arial" w:cs="Arial"/>
          <w:lang w:val="en-GB"/>
        </w:rPr>
        <w:t xml:space="preserve"> </w:t>
      </w:r>
      <w:r w:rsidRPr="0084208F">
        <w:rPr>
          <w:rFonts w:ascii="Arial" w:hAnsi="Arial" w:cs="Arial"/>
        </w:rPr>
        <w:t>systems such as the E-Warrant System, E-Subpoena, Crime Information</w:t>
      </w:r>
      <w:r w:rsidRPr="0084208F">
        <w:rPr>
          <w:rFonts w:ascii="Arial" w:hAnsi="Arial" w:cs="Arial"/>
          <w:lang w:val="en-GB"/>
        </w:rPr>
        <w:t xml:space="preserve"> </w:t>
      </w:r>
      <w:r w:rsidRPr="0084208F">
        <w:rPr>
          <w:rFonts w:ascii="Arial" w:hAnsi="Arial" w:cs="Arial"/>
        </w:rPr>
        <w:t>Reporting and Analysis System, the National Police Clearance System, and</w:t>
      </w:r>
      <w:r w:rsidRPr="0084208F">
        <w:rPr>
          <w:rFonts w:ascii="Arial" w:hAnsi="Arial" w:cs="Arial"/>
          <w:lang w:val="en-GB"/>
        </w:rPr>
        <w:t xml:space="preserve"> </w:t>
      </w:r>
      <w:r w:rsidRPr="0084208F">
        <w:rPr>
          <w:rFonts w:ascii="Arial" w:hAnsi="Arial" w:cs="Arial"/>
        </w:rPr>
        <w:t>the Case Information Database Management System.</w:t>
      </w:r>
    </w:p>
    <w:p w14:paraId="32A50B9F" w14:textId="00BBAF4D" w:rsidR="00D71E10" w:rsidRPr="0084208F" w:rsidRDefault="00D71E10" w:rsidP="0068065B">
      <w:pPr>
        <w:pStyle w:val="ListParagraph"/>
        <w:ind w:left="567"/>
        <w:jc w:val="both"/>
        <w:rPr>
          <w:rFonts w:ascii="Arial" w:hAnsi="Arial" w:cs="Arial"/>
        </w:rPr>
      </w:pPr>
    </w:p>
    <w:p w14:paraId="3B40DCF6" w14:textId="5A1FCBC4" w:rsidR="00D71E10" w:rsidRPr="0084208F" w:rsidRDefault="00D71E10" w:rsidP="002B6271">
      <w:pPr>
        <w:pStyle w:val="ListParagraph"/>
        <w:ind w:left="567"/>
        <w:jc w:val="both"/>
        <w:rPr>
          <w:rFonts w:ascii="Arial" w:hAnsi="Arial" w:cs="Arial"/>
        </w:rPr>
      </w:pPr>
      <w:r w:rsidRPr="0084208F">
        <w:rPr>
          <w:rFonts w:ascii="Arial" w:hAnsi="Arial" w:cs="Arial"/>
        </w:rPr>
        <w:t>Creation of PNP Letter of Instruction No. 01/06 or Task Force Judges,</w:t>
      </w:r>
      <w:r w:rsidR="002B6271" w:rsidRPr="0084208F">
        <w:rPr>
          <w:rFonts w:ascii="Arial" w:hAnsi="Arial" w:cs="Arial"/>
          <w:lang w:val="en-GB"/>
        </w:rPr>
        <w:t xml:space="preserve"> </w:t>
      </w:r>
      <w:r w:rsidRPr="0084208F">
        <w:rPr>
          <w:rFonts w:ascii="Arial" w:hAnsi="Arial" w:cs="Arial"/>
        </w:rPr>
        <w:t>Prosecutors,</w:t>
      </w:r>
      <w:r w:rsidR="002B6271" w:rsidRPr="0084208F">
        <w:rPr>
          <w:rFonts w:ascii="Arial" w:hAnsi="Arial" w:cs="Arial"/>
          <w:lang w:val="en-GB"/>
        </w:rPr>
        <w:t xml:space="preserve"> </w:t>
      </w:r>
      <w:r w:rsidRPr="0084208F">
        <w:rPr>
          <w:rFonts w:ascii="Arial" w:hAnsi="Arial" w:cs="Arial"/>
        </w:rPr>
        <w:t>and IBP Lawyers relative to the creation of Task Force to ensure</w:t>
      </w:r>
      <w:r w:rsidR="002B6271" w:rsidRPr="0084208F">
        <w:rPr>
          <w:rFonts w:ascii="Arial" w:hAnsi="Arial" w:cs="Arial"/>
          <w:lang w:val="en-GB"/>
        </w:rPr>
        <w:t xml:space="preserve"> </w:t>
      </w:r>
      <w:r w:rsidRPr="0084208F">
        <w:rPr>
          <w:rFonts w:ascii="Arial" w:hAnsi="Arial" w:cs="Arial"/>
        </w:rPr>
        <w:t>the security of Judges, especially those handling cases on heinous crimes.</w:t>
      </w:r>
    </w:p>
    <w:p w14:paraId="272B737E" w14:textId="48FA5DE6" w:rsidR="002B6271" w:rsidRPr="0084208F" w:rsidRDefault="002B6271" w:rsidP="00D71E10">
      <w:pPr>
        <w:pStyle w:val="ListParagraph"/>
        <w:ind w:left="567"/>
        <w:jc w:val="both"/>
        <w:rPr>
          <w:rFonts w:ascii="Arial" w:hAnsi="Arial" w:cs="Arial"/>
        </w:rPr>
      </w:pPr>
    </w:p>
    <w:p w14:paraId="05970CBD" w14:textId="22FA6318" w:rsidR="00E23743" w:rsidRPr="0084208F" w:rsidRDefault="002B6271" w:rsidP="00E23743">
      <w:pPr>
        <w:pStyle w:val="ListParagraph"/>
        <w:ind w:left="567"/>
        <w:jc w:val="both"/>
        <w:rPr>
          <w:rFonts w:ascii="Arial" w:hAnsi="Arial" w:cs="Arial"/>
        </w:rPr>
      </w:pPr>
      <w:r w:rsidRPr="0084208F">
        <w:rPr>
          <w:rFonts w:ascii="Arial" w:hAnsi="Arial" w:cs="Arial"/>
        </w:rPr>
        <w:t>Continuous joint efforts by the Supreme Court, IBP, and the PNP to address</w:t>
      </w:r>
      <w:r w:rsidR="004052C4" w:rsidRPr="0084208F">
        <w:rPr>
          <w:rFonts w:ascii="Arial" w:hAnsi="Arial" w:cs="Arial"/>
          <w:lang w:val="en-GB"/>
        </w:rPr>
        <w:t xml:space="preserve"> </w:t>
      </w:r>
      <w:r w:rsidRPr="0084208F">
        <w:rPr>
          <w:rFonts w:ascii="Arial" w:hAnsi="Arial" w:cs="Arial"/>
        </w:rPr>
        <w:t>reports of threats, harassment, and killings of lawyers and judges.</w:t>
      </w:r>
    </w:p>
    <w:p w14:paraId="7AB85E8A" w14:textId="0E0FD7A3" w:rsidR="00366BBC" w:rsidRPr="0084208F" w:rsidRDefault="00366BBC" w:rsidP="00E23743">
      <w:pPr>
        <w:pStyle w:val="ListParagraph"/>
        <w:ind w:left="567"/>
        <w:jc w:val="both"/>
        <w:rPr>
          <w:rFonts w:ascii="Arial" w:hAnsi="Arial" w:cs="Arial"/>
        </w:rPr>
      </w:pPr>
    </w:p>
    <w:p w14:paraId="66609758" w14:textId="08F7AF7C" w:rsidR="00366BBC" w:rsidRPr="0084208F" w:rsidRDefault="00366BBC" w:rsidP="00E318CA">
      <w:pPr>
        <w:pStyle w:val="ListParagraph"/>
        <w:ind w:left="567"/>
        <w:jc w:val="both"/>
        <w:rPr>
          <w:rFonts w:ascii="Arial" w:hAnsi="Arial" w:cs="Arial"/>
        </w:rPr>
      </w:pPr>
      <w:r w:rsidRPr="0084208F">
        <w:rPr>
          <w:rFonts w:ascii="Arial" w:hAnsi="Arial" w:cs="Arial"/>
          <w:b/>
          <w:bCs/>
        </w:rPr>
        <w:t>The effect of COVID-19 pandemic to the free exercise of the legal profession.</w:t>
      </w:r>
      <w:r w:rsidRPr="0084208F">
        <w:rPr>
          <w:rFonts w:ascii="Arial" w:hAnsi="Arial" w:cs="Arial"/>
        </w:rPr>
        <w:t xml:space="preserve">  As far as the free exercise of the legal profession is concerned, the COVID-19 pandemic also had an adverse effect on legal practice</w:t>
      </w:r>
      <w:r w:rsidR="00E318CA" w:rsidRPr="0084208F">
        <w:rPr>
          <w:rFonts w:ascii="Arial" w:hAnsi="Arial" w:cs="Arial"/>
          <w:lang w:val="en-US"/>
        </w:rPr>
        <w:t xml:space="preserve"> due to the postponement of court hearings due to health protocols and COVID-19 restriction measures. </w:t>
      </w:r>
      <w:r w:rsidRPr="0084208F">
        <w:rPr>
          <w:rFonts w:ascii="Arial" w:hAnsi="Arial" w:cs="Arial"/>
        </w:rPr>
        <w:t>But these concerns were properly addressed by the Judiciary, by initiating actions that may suit the lingering effect of the COVID-19 pandemic, such as introducing online court sessions and other means like including the lawyers as front liners to ensure efficient administration of justice.</w:t>
      </w:r>
    </w:p>
    <w:p w14:paraId="229B07E0" w14:textId="77777777" w:rsidR="00366BBC" w:rsidRPr="0084208F" w:rsidRDefault="00366BBC" w:rsidP="004C4115">
      <w:pPr>
        <w:pStyle w:val="ListParagraph"/>
        <w:ind w:left="567"/>
        <w:jc w:val="both"/>
        <w:rPr>
          <w:rFonts w:ascii="Arial" w:hAnsi="Arial" w:cs="Arial"/>
        </w:rPr>
      </w:pPr>
    </w:p>
    <w:p w14:paraId="10D0334D" w14:textId="4A83B555" w:rsidR="00366BBC" w:rsidRPr="0084208F" w:rsidRDefault="00366BBC" w:rsidP="004C4115">
      <w:pPr>
        <w:pStyle w:val="ListParagraph"/>
        <w:ind w:left="567"/>
        <w:jc w:val="both"/>
        <w:rPr>
          <w:rFonts w:ascii="Arial" w:hAnsi="Arial" w:cs="Arial"/>
        </w:rPr>
      </w:pPr>
      <w:r w:rsidRPr="0084208F">
        <w:rPr>
          <w:rFonts w:ascii="Arial" w:hAnsi="Arial" w:cs="Arial"/>
          <w:b/>
          <w:bCs/>
        </w:rPr>
        <w:t>Recommendation to better protect and guarantee the free exercise of the legal profession.</w:t>
      </w:r>
      <w:r w:rsidRPr="0084208F">
        <w:rPr>
          <w:rFonts w:ascii="Arial" w:hAnsi="Arial" w:cs="Arial"/>
        </w:rPr>
        <w:t xml:space="preserve"> Strict implementation of laws established rules and regulations for the protection of lawyers, prosecutors, and judges in the exercise of their legal profession.</w:t>
      </w:r>
    </w:p>
    <w:p w14:paraId="698E12AB" w14:textId="7896C071" w:rsidR="00187EB2" w:rsidRPr="0084208F" w:rsidRDefault="00187EB2" w:rsidP="006B37F9">
      <w:pPr>
        <w:rPr>
          <w:rFonts w:ascii="Arial" w:hAnsi="Arial" w:cs="Arial"/>
          <w:lang w:val="en-GB"/>
        </w:rPr>
      </w:pPr>
    </w:p>
    <w:p w14:paraId="4A61B9BE" w14:textId="77777777" w:rsidR="00872E5A" w:rsidRPr="0084208F" w:rsidRDefault="00872E5A" w:rsidP="006B37F9">
      <w:pPr>
        <w:rPr>
          <w:rFonts w:ascii="Arial" w:hAnsi="Arial" w:cs="Arial"/>
          <w:lang w:val="en-GB"/>
        </w:rPr>
      </w:pPr>
    </w:p>
    <w:p w14:paraId="0FAD8513" w14:textId="25D71BF5" w:rsidR="0091110A" w:rsidRPr="0084208F" w:rsidRDefault="007541DA" w:rsidP="007541DA">
      <w:pPr>
        <w:pStyle w:val="ListParagraph"/>
        <w:numPr>
          <w:ilvl w:val="0"/>
          <w:numId w:val="10"/>
        </w:numPr>
        <w:ind w:left="567" w:hanging="567"/>
        <w:jc w:val="both"/>
        <w:rPr>
          <w:rFonts w:ascii="Arial" w:hAnsi="Arial" w:cs="Arial"/>
          <w:b/>
          <w:bCs/>
          <w:i/>
          <w:iCs/>
          <w:lang w:val="en-GB"/>
        </w:rPr>
      </w:pPr>
      <w:r w:rsidRPr="0084208F">
        <w:rPr>
          <w:rFonts w:ascii="Arial" w:hAnsi="Arial" w:cs="Arial"/>
          <w:b/>
          <w:bCs/>
          <w:i/>
          <w:iCs/>
        </w:rPr>
        <w:t>Please</w:t>
      </w:r>
      <w:r w:rsidRPr="0084208F">
        <w:rPr>
          <w:rFonts w:ascii="Arial" w:hAnsi="Arial" w:cs="Arial"/>
          <w:b/>
          <w:bCs/>
          <w:i/>
          <w:iCs/>
          <w:lang w:val="en-GB"/>
        </w:rPr>
        <w:t xml:space="preserve"> describe the entities and/or mechanisms that are in place to prevent and/or punish interferences with the free and independent exercise of the legal profession, whatever the source of the interference.</w:t>
      </w:r>
    </w:p>
    <w:p w14:paraId="66A984DF" w14:textId="41FC2E1E" w:rsidR="0091110A" w:rsidRPr="0084208F" w:rsidRDefault="0091110A" w:rsidP="0091110A">
      <w:pPr>
        <w:pStyle w:val="ListParagraph"/>
        <w:ind w:left="567"/>
        <w:jc w:val="both"/>
        <w:rPr>
          <w:rFonts w:ascii="Arial" w:hAnsi="Arial" w:cs="Arial"/>
          <w:lang w:val="en-GB"/>
        </w:rPr>
      </w:pPr>
    </w:p>
    <w:p w14:paraId="02821A48" w14:textId="5FF65D26" w:rsidR="0072731F" w:rsidRPr="0084208F" w:rsidRDefault="0072731F" w:rsidP="0055388B">
      <w:pPr>
        <w:pStyle w:val="ListParagraph"/>
        <w:ind w:left="567"/>
        <w:jc w:val="both"/>
        <w:rPr>
          <w:rFonts w:ascii="Arial" w:hAnsi="Arial" w:cs="Arial"/>
          <w:lang w:val="en-GB"/>
        </w:rPr>
      </w:pPr>
      <w:r w:rsidRPr="0084208F">
        <w:rPr>
          <w:rFonts w:ascii="Arial" w:hAnsi="Arial" w:cs="Arial"/>
          <w:lang w:val="en-GB"/>
        </w:rPr>
        <w:t>The Integrated Bar of the Philippines (IBP) is the official unification of the</w:t>
      </w:r>
      <w:r w:rsidR="0055388B" w:rsidRPr="0084208F">
        <w:rPr>
          <w:rFonts w:ascii="Arial" w:hAnsi="Arial" w:cs="Arial"/>
          <w:lang w:val="en-GB"/>
        </w:rPr>
        <w:t xml:space="preserve"> </w:t>
      </w:r>
      <w:r w:rsidRPr="0084208F">
        <w:rPr>
          <w:rFonts w:ascii="Arial" w:hAnsi="Arial" w:cs="Arial"/>
          <w:lang w:val="en-GB"/>
        </w:rPr>
        <w:t>entire lawyer</w:t>
      </w:r>
      <w:r w:rsidR="0055388B" w:rsidRPr="0084208F">
        <w:rPr>
          <w:rFonts w:ascii="Arial" w:hAnsi="Arial" w:cs="Arial"/>
          <w:lang w:val="en-GB"/>
        </w:rPr>
        <w:t xml:space="preserve"> </w:t>
      </w:r>
      <w:r w:rsidRPr="0084208F">
        <w:rPr>
          <w:rFonts w:ascii="Arial" w:hAnsi="Arial" w:cs="Arial"/>
          <w:lang w:val="en-GB"/>
        </w:rPr>
        <w:t>population of the Philippines. Such Bar association adopts the</w:t>
      </w:r>
      <w:r w:rsidR="0055388B" w:rsidRPr="0084208F">
        <w:rPr>
          <w:rFonts w:ascii="Arial" w:hAnsi="Arial" w:cs="Arial"/>
          <w:lang w:val="en-GB"/>
        </w:rPr>
        <w:t xml:space="preserve"> </w:t>
      </w:r>
      <w:r w:rsidRPr="0084208F">
        <w:rPr>
          <w:rFonts w:ascii="Arial" w:hAnsi="Arial" w:cs="Arial"/>
          <w:lang w:val="en-GB"/>
        </w:rPr>
        <w:t>disciplinary proceedings based on the code of professional conduct of</w:t>
      </w:r>
      <w:r w:rsidR="0055388B" w:rsidRPr="0084208F">
        <w:rPr>
          <w:rFonts w:ascii="Arial" w:hAnsi="Arial" w:cs="Arial"/>
          <w:lang w:val="en-GB"/>
        </w:rPr>
        <w:t xml:space="preserve"> </w:t>
      </w:r>
      <w:r w:rsidRPr="0084208F">
        <w:rPr>
          <w:rFonts w:ascii="Arial" w:hAnsi="Arial" w:cs="Arial"/>
          <w:lang w:val="en-GB"/>
        </w:rPr>
        <w:t>lawyers. To ensure the free and independent exercise of the legal profession,</w:t>
      </w:r>
      <w:r w:rsidR="0055388B" w:rsidRPr="0084208F">
        <w:rPr>
          <w:rFonts w:ascii="Arial" w:hAnsi="Arial" w:cs="Arial"/>
          <w:lang w:val="en-GB"/>
        </w:rPr>
        <w:t xml:space="preserve"> </w:t>
      </w:r>
      <w:r w:rsidRPr="0084208F">
        <w:rPr>
          <w:rFonts w:ascii="Arial" w:hAnsi="Arial" w:cs="Arial"/>
          <w:lang w:val="en-GB"/>
        </w:rPr>
        <w:t>the IBP renewed its commitment with the Philippine National Police.</w:t>
      </w:r>
    </w:p>
    <w:p w14:paraId="04A17BCB" w14:textId="4216D03F" w:rsidR="0072731F" w:rsidRPr="0084208F" w:rsidRDefault="0072731F" w:rsidP="0072731F">
      <w:pPr>
        <w:pStyle w:val="ListParagraph"/>
        <w:ind w:left="567"/>
        <w:jc w:val="both"/>
        <w:rPr>
          <w:rFonts w:ascii="Arial" w:hAnsi="Arial" w:cs="Arial"/>
          <w:lang w:val="en-GB"/>
        </w:rPr>
      </w:pPr>
    </w:p>
    <w:p w14:paraId="65564504" w14:textId="717E96F4" w:rsidR="004F1AD1" w:rsidRPr="0084208F" w:rsidRDefault="00E318CA" w:rsidP="004F1AD1">
      <w:pPr>
        <w:pStyle w:val="ListParagraph"/>
        <w:ind w:left="567"/>
        <w:jc w:val="both"/>
        <w:rPr>
          <w:rFonts w:ascii="Arial" w:hAnsi="Arial" w:cs="Arial"/>
          <w:lang w:val="en-GB"/>
        </w:rPr>
      </w:pPr>
      <w:r w:rsidRPr="0084208F">
        <w:rPr>
          <w:rFonts w:ascii="Arial" w:hAnsi="Arial" w:cs="Arial"/>
          <w:lang w:val="en-GB"/>
        </w:rPr>
        <w:t xml:space="preserve">The </w:t>
      </w:r>
      <w:r w:rsidR="004F1AD1" w:rsidRPr="0084208F">
        <w:rPr>
          <w:rFonts w:ascii="Arial" w:hAnsi="Arial" w:cs="Arial"/>
          <w:lang w:val="en-GB"/>
        </w:rPr>
        <w:t xml:space="preserve">PNP Human Rights Affairs Office reviews the PNP compliance with human rights standards in police operations to </w:t>
      </w:r>
      <w:r w:rsidR="004F1AD1" w:rsidRPr="0084208F">
        <w:rPr>
          <w:rFonts w:ascii="Arial" w:hAnsi="Arial" w:cs="Arial"/>
          <w:lang w:val="en-GB"/>
        </w:rPr>
        <w:lastRenderedPageBreak/>
        <w:t>strengthen and develop greater confidence among police personnel and officers of the Court.</w:t>
      </w:r>
    </w:p>
    <w:p w14:paraId="39A2A616" w14:textId="77777777" w:rsidR="004F1AD1" w:rsidRPr="0084208F" w:rsidRDefault="004F1AD1" w:rsidP="004F1AD1">
      <w:pPr>
        <w:pStyle w:val="ListParagraph"/>
        <w:ind w:left="567"/>
        <w:jc w:val="both"/>
        <w:rPr>
          <w:rFonts w:ascii="Arial" w:hAnsi="Arial" w:cs="Arial"/>
          <w:lang w:val="en-GB"/>
        </w:rPr>
      </w:pPr>
    </w:p>
    <w:p w14:paraId="6B375AEF" w14:textId="506A1BF9" w:rsidR="008243F8" w:rsidRPr="0084208F" w:rsidRDefault="004F1AD1" w:rsidP="007A0343">
      <w:pPr>
        <w:pStyle w:val="ListParagraph"/>
        <w:ind w:left="567"/>
        <w:jc w:val="both"/>
        <w:rPr>
          <w:rFonts w:ascii="Arial" w:hAnsi="Arial" w:cs="Arial"/>
          <w:lang w:val="en-GB"/>
        </w:rPr>
      </w:pPr>
      <w:r w:rsidRPr="0084208F">
        <w:rPr>
          <w:rFonts w:ascii="Arial" w:hAnsi="Arial" w:cs="Arial"/>
          <w:lang w:val="en-GB"/>
        </w:rPr>
        <w:t>Further, Senate Bill 1947 or an Act Creating the Office of the Judiciary Marshals has also been approved on third and final reading to create a security force to protect judiciary officials and other members of the bar.</w:t>
      </w:r>
    </w:p>
    <w:p w14:paraId="6B7583C6" w14:textId="77777777" w:rsidR="008243F8" w:rsidRPr="0084208F" w:rsidRDefault="008243F8" w:rsidP="008243F8">
      <w:pPr>
        <w:pStyle w:val="ListParagraph"/>
        <w:rPr>
          <w:rFonts w:ascii="Arial" w:hAnsi="Arial" w:cs="Arial"/>
          <w:lang w:val="en-GB"/>
        </w:rPr>
      </w:pPr>
    </w:p>
    <w:p w14:paraId="4DB4BFEB" w14:textId="77777777" w:rsidR="009758E0" w:rsidRPr="0084208F" w:rsidRDefault="00AF4762" w:rsidP="009758E0">
      <w:pPr>
        <w:pStyle w:val="ListParagraph"/>
        <w:numPr>
          <w:ilvl w:val="0"/>
          <w:numId w:val="10"/>
        </w:numPr>
        <w:ind w:left="567" w:hanging="567"/>
        <w:jc w:val="both"/>
        <w:rPr>
          <w:rFonts w:ascii="Arial" w:hAnsi="Arial" w:cs="Arial"/>
          <w:b/>
          <w:bCs/>
          <w:i/>
          <w:iCs/>
          <w:lang w:val="en-GB"/>
        </w:rPr>
      </w:pPr>
      <w:r w:rsidRPr="0084208F">
        <w:rPr>
          <w:rFonts w:ascii="Arial" w:hAnsi="Arial" w:cs="Arial"/>
          <w:b/>
          <w:bCs/>
          <w:i/>
          <w:iCs/>
          <w:lang w:val="en-GB"/>
        </w:rPr>
        <w:t xml:space="preserve">Please describe the role of the national bar association(s) in protecting lawyers and </w:t>
      </w:r>
      <w:r w:rsidRPr="0084208F">
        <w:rPr>
          <w:rFonts w:ascii="Arial" w:hAnsi="Arial" w:cs="Arial"/>
          <w:b/>
          <w:bCs/>
          <w:i/>
          <w:iCs/>
        </w:rPr>
        <w:t>the</w:t>
      </w:r>
      <w:r w:rsidRPr="0084208F">
        <w:rPr>
          <w:rFonts w:ascii="Arial" w:hAnsi="Arial" w:cs="Arial"/>
          <w:b/>
          <w:bCs/>
          <w:i/>
          <w:iCs/>
          <w:lang w:val="en-GB"/>
        </w:rPr>
        <w:t xml:space="preserve"> free exercise of the legal profession. Is the bar association de jure and de facto independent from the State?</w:t>
      </w:r>
    </w:p>
    <w:p w14:paraId="120C9828" w14:textId="77777777" w:rsidR="009758E0" w:rsidRPr="0084208F" w:rsidRDefault="009758E0" w:rsidP="009758E0">
      <w:pPr>
        <w:pStyle w:val="ListParagraph"/>
        <w:ind w:left="567"/>
        <w:jc w:val="both"/>
        <w:rPr>
          <w:rFonts w:ascii="Arial" w:hAnsi="Arial" w:cs="Arial"/>
          <w:b/>
          <w:bCs/>
          <w:lang w:val="en-GB"/>
        </w:rPr>
      </w:pPr>
    </w:p>
    <w:p w14:paraId="7AA71B29" w14:textId="4417F470" w:rsidR="002D0598" w:rsidRPr="0084208F" w:rsidRDefault="003F508F" w:rsidP="0094664F">
      <w:pPr>
        <w:pStyle w:val="ListParagraph"/>
        <w:ind w:left="567"/>
        <w:jc w:val="both"/>
        <w:rPr>
          <w:rFonts w:ascii="Arial" w:hAnsi="Arial" w:cs="Arial"/>
          <w:lang w:val="en-GB"/>
        </w:rPr>
      </w:pPr>
      <w:r w:rsidRPr="0084208F">
        <w:rPr>
          <w:rFonts w:ascii="Arial" w:hAnsi="Arial" w:cs="Arial"/>
        </w:rPr>
        <w:t xml:space="preserve">The Integrated Bar of the Philippines </w:t>
      </w:r>
      <w:r w:rsidRPr="0084208F">
        <w:rPr>
          <w:rFonts w:ascii="Arial" w:hAnsi="Arial" w:cs="Arial"/>
          <w:lang w:val="en-GB"/>
        </w:rPr>
        <w:t>(IBP)</w:t>
      </w:r>
      <w:r w:rsidR="004052BE" w:rsidRPr="0084208F">
        <w:rPr>
          <w:rFonts w:ascii="Arial" w:hAnsi="Arial" w:cs="Arial"/>
          <w:lang w:val="en-GB"/>
        </w:rPr>
        <w:t xml:space="preserve">, </w:t>
      </w:r>
      <w:r w:rsidRPr="0084208F">
        <w:rPr>
          <w:rFonts w:ascii="Arial" w:hAnsi="Arial" w:cs="Arial"/>
        </w:rPr>
        <w:t>as an official organization of</w:t>
      </w:r>
      <w:r w:rsidRPr="0084208F">
        <w:rPr>
          <w:rFonts w:ascii="Arial" w:hAnsi="Arial" w:cs="Arial"/>
          <w:lang w:val="en-GB"/>
        </w:rPr>
        <w:t xml:space="preserve"> </w:t>
      </w:r>
      <w:r w:rsidRPr="0084208F">
        <w:rPr>
          <w:rFonts w:ascii="Arial" w:hAnsi="Arial" w:cs="Arial"/>
        </w:rPr>
        <w:t>Philippine Lawyers</w:t>
      </w:r>
      <w:r w:rsidR="004052BE" w:rsidRPr="0084208F">
        <w:rPr>
          <w:rFonts w:ascii="Arial" w:hAnsi="Arial" w:cs="Arial"/>
          <w:lang w:val="en-GB"/>
        </w:rPr>
        <w:t xml:space="preserve">, </w:t>
      </w:r>
      <w:r w:rsidRPr="0084208F">
        <w:rPr>
          <w:rFonts w:ascii="Arial" w:hAnsi="Arial" w:cs="Arial"/>
        </w:rPr>
        <w:t>was de jure independent from the State, albeit</w:t>
      </w:r>
      <w:r w:rsidRPr="0084208F">
        <w:rPr>
          <w:rFonts w:ascii="Arial" w:hAnsi="Arial" w:cs="Arial"/>
          <w:lang w:val="en-GB"/>
        </w:rPr>
        <w:t xml:space="preserve"> </w:t>
      </w:r>
      <w:r w:rsidRPr="0084208F">
        <w:rPr>
          <w:rFonts w:ascii="Arial" w:hAnsi="Arial" w:cs="Arial"/>
        </w:rPr>
        <w:t>established through</w:t>
      </w:r>
      <w:r w:rsidRPr="0084208F">
        <w:rPr>
          <w:rFonts w:ascii="Arial" w:hAnsi="Arial" w:cs="Arial"/>
          <w:lang w:val="en-GB"/>
        </w:rPr>
        <w:t xml:space="preserve"> </w:t>
      </w:r>
      <w:r w:rsidRPr="0084208F">
        <w:rPr>
          <w:rFonts w:ascii="Arial" w:hAnsi="Arial" w:cs="Arial"/>
        </w:rPr>
        <w:t>confirmation by Republic Act No. 6397. It was created</w:t>
      </w:r>
      <w:r w:rsidRPr="0084208F">
        <w:rPr>
          <w:rFonts w:ascii="Arial" w:hAnsi="Arial" w:cs="Arial"/>
          <w:lang w:val="en-GB"/>
        </w:rPr>
        <w:t xml:space="preserve"> </w:t>
      </w:r>
      <w:r w:rsidRPr="0084208F">
        <w:rPr>
          <w:rFonts w:ascii="Arial" w:hAnsi="Arial" w:cs="Arial"/>
        </w:rPr>
        <w:t>pursuant to the rule-making power of the Supreme Court and its</w:t>
      </w:r>
      <w:r w:rsidRPr="0084208F">
        <w:rPr>
          <w:rFonts w:ascii="Arial" w:hAnsi="Arial" w:cs="Arial"/>
          <w:lang w:val="en-GB"/>
        </w:rPr>
        <w:t xml:space="preserve"> </w:t>
      </w:r>
      <w:r w:rsidRPr="0084208F">
        <w:rPr>
          <w:rFonts w:ascii="Arial" w:hAnsi="Arial" w:cs="Arial"/>
        </w:rPr>
        <w:t>independence from the State is evidenced by its non-political nature as</w:t>
      </w:r>
      <w:r w:rsidRPr="0084208F">
        <w:rPr>
          <w:rFonts w:ascii="Arial" w:hAnsi="Arial" w:cs="Arial"/>
          <w:lang w:val="en-GB"/>
        </w:rPr>
        <w:t xml:space="preserve"> </w:t>
      </w:r>
      <w:r w:rsidRPr="0084208F">
        <w:rPr>
          <w:rFonts w:ascii="Arial" w:hAnsi="Arial" w:cs="Arial"/>
        </w:rPr>
        <w:t>provided for under Section 4 of the Integrated Bar of the Philippines By</w:t>
      </w:r>
      <w:r w:rsidRPr="0084208F">
        <w:rPr>
          <w:rFonts w:ascii="Arial" w:hAnsi="Arial" w:cs="Arial"/>
          <w:lang w:val="en-GB"/>
        </w:rPr>
        <w:t>-</w:t>
      </w:r>
      <w:r w:rsidRPr="0084208F">
        <w:rPr>
          <w:rFonts w:ascii="Arial" w:hAnsi="Arial" w:cs="Arial"/>
        </w:rPr>
        <w:t>Laws</w:t>
      </w:r>
      <w:r w:rsidR="0094664F" w:rsidRPr="0084208F">
        <w:rPr>
          <w:rFonts w:ascii="Arial" w:hAnsi="Arial" w:cs="Arial"/>
          <w:lang w:val="en-GB"/>
        </w:rPr>
        <w:t xml:space="preserve">.  </w:t>
      </w:r>
      <w:r w:rsidR="00BD0184" w:rsidRPr="0084208F">
        <w:rPr>
          <w:rFonts w:ascii="Arial" w:hAnsi="Arial" w:cs="Arial"/>
          <w:lang w:val="en-GB"/>
        </w:rPr>
        <w:t xml:space="preserve">The </w:t>
      </w:r>
      <w:r w:rsidR="0094664F" w:rsidRPr="0084208F">
        <w:rPr>
          <w:rFonts w:ascii="Arial" w:hAnsi="Arial" w:cs="Arial"/>
          <w:lang w:val="en-GB"/>
        </w:rPr>
        <w:t xml:space="preserve">IBP </w:t>
      </w:r>
      <w:r w:rsidR="00BD0184" w:rsidRPr="0084208F">
        <w:rPr>
          <w:rFonts w:ascii="Arial" w:hAnsi="Arial" w:cs="Arial"/>
          <w:lang w:val="en-GB"/>
        </w:rPr>
        <w:t>has a vital role in upholding professional standards and ethics, in protecting the members from improper restrictions and infringements to meet the ends of justice. In addition, the function of the bar association is to ensure the independence of the legal profession.</w:t>
      </w:r>
    </w:p>
    <w:p w14:paraId="18F11CE7" w14:textId="77777777" w:rsidR="002D0598" w:rsidRPr="0084208F" w:rsidRDefault="002D0598" w:rsidP="002D0598">
      <w:pPr>
        <w:pStyle w:val="ListParagraph"/>
        <w:ind w:left="567"/>
        <w:jc w:val="both"/>
        <w:rPr>
          <w:rFonts w:ascii="Arial" w:hAnsi="Arial" w:cs="Arial"/>
          <w:lang w:val="en-GB"/>
        </w:rPr>
      </w:pPr>
    </w:p>
    <w:p w14:paraId="61BC0FE6" w14:textId="77777777" w:rsidR="002D0598" w:rsidRPr="0084208F" w:rsidRDefault="00BD0184" w:rsidP="002D0598">
      <w:pPr>
        <w:pStyle w:val="ListParagraph"/>
        <w:ind w:left="567"/>
        <w:jc w:val="both"/>
        <w:rPr>
          <w:rFonts w:ascii="Arial" w:hAnsi="Arial" w:cs="Arial"/>
          <w:i/>
          <w:iCs/>
          <w:color w:val="000000"/>
        </w:rPr>
      </w:pPr>
      <w:r w:rsidRPr="0084208F">
        <w:rPr>
          <w:rFonts w:ascii="Arial" w:hAnsi="Arial" w:cs="Arial"/>
          <w:color w:val="000000"/>
        </w:rPr>
        <w:t xml:space="preserve">Sec. 2 Rule 139-A Rules of Court provides that </w:t>
      </w:r>
      <w:r w:rsidRPr="0084208F">
        <w:rPr>
          <w:rFonts w:ascii="Arial" w:hAnsi="Arial" w:cs="Arial"/>
          <w:i/>
          <w:iCs/>
          <w:color w:val="000000"/>
        </w:rPr>
        <w:t>“the fundamental purposes of the Integrated Bar shall elevate the standards of the legal profession, improve the administration of justice, and enable the Bar to discharge its public responsibility more effectively”.</w:t>
      </w:r>
    </w:p>
    <w:p w14:paraId="4AEF9B92" w14:textId="77777777" w:rsidR="002D0598" w:rsidRPr="0084208F" w:rsidRDefault="002D0598" w:rsidP="002D0598">
      <w:pPr>
        <w:pStyle w:val="ListParagraph"/>
        <w:ind w:left="567"/>
        <w:jc w:val="both"/>
        <w:rPr>
          <w:rFonts w:ascii="Arial" w:hAnsi="Arial" w:cs="Arial"/>
          <w:i/>
          <w:iCs/>
          <w:color w:val="000000"/>
        </w:rPr>
      </w:pPr>
    </w:p>
    <w:p w14:paraId="1C3C57E0" w14:textId="19927CD1" w:rsidR="00BD0184" w:rsidRPr="0084208F" w:rsidRDefault="00264A7B" w:rsidP="002D0598">
      <w:pPr>
        <w:pStyle w:val="ListParagraph"/>
        <w:ind w:left="567"/>
        <w:jc w:val="both"/>
        <w:rPr>
          <w:rFonts w:ascii="Arial" w:hAnsi="Arial" w:cs="Arial"/>
          <w:lang w:val="en-GB"/>
        </w:rPr>
      </w:pPr>
      <w:r w:rsidRPr="0084208F">
        <w:rPr>
          <w:rFonts w:ascii="Arial" w:hAnsi="Arial" w:cs="Arial"/>
          <w:color w:val="000000"/>
          <w:lang w:val="en-GB"/>
        </w:rPr>
        <w:t xml:space="preserve">As </w:t>
      </w:r>
      <w:r w:rsidR="00BD0184" w:rsidRPr="0084208F">
        <w:rPr>
          <w:rFonts w:ascii="Arial" w:hAnsi="Arial" w:cs="Arial"/>
          <w:color w:val="000000"/>
        </w:rPr>
        <w:t>to the independence of the bar association, the Supreme Court was provided with the power to integrate the association. It is an inherent part of the Court’s constitutional authority over the Bar. In providing that “the Supreme Court may adopt rules of court to effect the integration of the Philippine Bar,” Republic Act 6397 neither confers a new power nor restricts the Court’s inherent power but is a mere interest or, more specifically, will “raise the standards of the legal profession, improve the administration of justice, and enable the Bar to discharge its public responsibility more effectively.”</w:t>
      </w:r>
      <w:r w:rsidR="00BD0184" w:rsidRPr="0084208F">
        <w:rPr>
          <w:rFonts w:ascii="Arial" w:hAnsi="Arial" w:cs="Arial"/>
          <w:color w:val="000000"/>
          <w:vertAlign w:val="superscript"/>
        </w:rPr>
        <w:t>4</w:t>
      </w:r>
    </w:p>
    <w:p w14:paraId="2C11EC80" w14:textId="284F2A0C" w:rsidR="00AF4762" w:rsidRPr="0084208F" w:rsidRDefault="00AF4762" w:rsidP="001216D0">
      <w:pPr>
        <w:jc w:val="both"/>
        <w:rPr>
          <w:rFonts w:ascii="Arial" w:hAnsi="Arial" w:cs="Arial"/>
          <w:lang w:val="en-GB"/>
        </w:rPr>
      </w:pPr>
    </w:p>
    <w:p w14:paraId="000CDD90" w14:textId="77777777" w:rsidR="00FA71B6" w:rsidRPr="0084208F" w:rsidRDefault="00FA71B6" w:rsidP="001216D0">
      <w:pPr>
        <w:jc w:val="both"/>
        <w:rPr>
          <w:rFonts w:ascii="Arial" w:hAnsi="Arial" w:cs="Arial"/>
          <w:lang w:val="en-GB"/>
        </w:rPr>
      </w:pPr>
    </w:p>
    <w:p w14:paraId="1B4A4F98" w14:textId="77777777" w:rsidR="00614C33" w:rsidRPr="0084208F" w:rsidRDefault="00614C33" w:rsidP="00B70179">
      <w:pPr>
        <w:pStyle w:val="ListParagraph"/>
        <w:numPr>
          <w:ilvl w:val="0"/>
          <w:numId w:val="10"/>
        </w:numPr>
        <w:ind w:left="567" w:hanging="567"/>
        <w:jc w:val="both"/>
        <w:rPr>
          <w:rFonts w:ascii="Arial" w:hAnsi="Arial" w:cs="Arial"/>
          <w:b/>
          <w:bCs/>
          <w:i/>
          <w:iCs/>
        </w:rPr>
      </w:pPr>
      <w:r w:rsidRPr="0084208F">
        <w:rPr>
          <w:rFonts w:ascii="Arial" w:hAnsi="Arial" w:cs="Arial"/>
          <w:b/>
          <w:bCs/>
          <w:i/>
          <w:iCs/>
        </w:rPr>
        <w:t>Please provide detailed information on the number of lawyers that</w:t>
      </w:r>
      <w:r w:rsidRPr="0084208F">
        <w:rPr>
          <w:rFonts w:ascii="Arial" w:hAnsi="Arial" w:cs="Arial"/>
          <w:b/>
          <w:bCs/>
          <w:i/>
          <w:iCs/>
          <w:lang w:val="en-GB"/>
        </w:rPr>
        <w:t xml:space="preserve"> </w:t>
      </w:r>
      <w:r w:rsidRPr="0084208F">
        <w:rPr>
          <w:rFonts w:ascii="Arial" w:hAnsi="Arial" w:cs="Arial"/>
          <w:b/>
          <w:bCs/>
          <w:i/>
          <w:iCs/>
        </w:rPr>
        <w:t>have been subject to criminal, administrative or disciplinary proceedings in the last</w:t>
      </w:r>
      <w:r w:rsidRPr="0084208F">
        <w:rPr>
          <w:rFonts w:ascii="Arial" w:hAnsi="Arial" w:cs="Arial"/>
          <w:b/>
          <w:bCs/>
          <w:i/>
          <w:iCs/>
          <w:lang w:val="en-GB"/>
        </w:rPr>
        <w:t xml:space="preserve"> </w:t>
      </w:r>
      <w:r w:rsidRPr="0084208F">
        <w:rPr>
          <w:rFonts w:ascii="Arial" w:hAnsi="Arial" w:cs="Arial"/>
          <w:b/>
          <w:bCs/>
          <w:i/>
          <w:iCs/>
        </w:rPr>
        <w:t>five years for alleged violations of standards of professional conduct. How many of</w:t>
      </w:r>
      <w:r w:rsidRPr="0084208F">
        <w:rPr>
          <w:rFonts w:ascii="Arial" w:hAnsi="Arial" w:cs="Arial"/>
          <w:b/>
          <w:bCs/>
          <w:i/>
          <w:iCs/>
          <w:lang w:val="en-GB"/>
        </w:rPr>
        <w:t xml:space="preserve"> </w:t>
      </w:r>
      <w:r w:rsidRPr="0084208F">
        <w:rPr>
          <w:rFonts w:ascii="Arial" w:hAnsi="Arial" w:cs="Arial"/>
          <w:b/>
          <w:bCs/>
          <w:i/>
          <w:iCs/>
        </w:rPr>
        <w:t>them were found guilty? How many of them were found guilty? How many of them</w:t>
      </w:r>
      <w:r w:rsidRPr="0084208F">
        <w:rPr>
          <w:rFonts w:ascii="Arial" w:hAnsi="Arial" w:cs="Arial"/>
          <w:b/>
          <w:bCs/>
          <w:i/>
          <w:iCs/>
          <w:lang w:val="en-GB"/>
        </w:rPr>
        <w:t xml:space="preserve"> </w:t>
      </w:r>
      <w:r w:rsidRPr="0084208F">
        <w:rPr>
          <w:rFonts w:ascii="Arial" w:hAnsi="Arial" w:cs="Arial"/>
          <w:b/>
          <w:bCs/>
          <w:i/>
          <w:iCs/>
        </w:rPr>
        <w:t>were ultimately disbarred?</w:t>
      </w:r>
    </w:p>
    <w:p w14:paraId="76EE6A88" w14:textId="77777777" w:rsidR="00614C33" w:rsidRPr="0084208F" w:rsidRDefault="00614C33" w:rsidP="00614C33">
      <w:pPr>
        <w:pStyle w:val="ListParagraph"/>
        <w:jc w:val="both"/>
        <w:rPr>
          <w:rFonts w:ascii="Arial" w:hAnsi="Arial" w:cs="Arial"/>
          <w:b/>
          <w:bCs/>
        </w:rPr>
      </w:pPr>
    </w:p>
    <w:p w14:paraId="02B6DA89" w14:textId="27A4C659" w:rsidR="00CB36BB" w:rsidRPr="0084208F" w:rsidRDefault="00614C33" w:rsidP="003D4C60">
      <w:pPr>
        <w:pStyle w:val="ListParagraph"/>
        <w:ind w:left="567"/>
        <w:jc w:val="both"/>
        <w:rPr>
          <w:rFonts w:ascii="Arial" w:hAnsi="Arial" w:cs="Arial"/>
          <w:lang w:val="en-GB"/>
        </w:rPr>
      </w:pPr>
      <w:r w:rsidRPr="0084208F">
        <w:rPr>
          <w:rFonts w:ascii="Arial" w:hAnsi="Arial" w:cs="Arial"/>
          <w:lang w:val="en-GB"/>
        </w:rPr>
        <w:t xml:space="preserve">Proceedings for disbarment, suspension, or discipline of attorneys are taken either by the Supreme Court </w:t>
      </w:r>
      <w:r w:rsidRPr="0084208F">
        <w:rPr>
          <w:rFonts w:ascii="Arial" w:hAnsi="Arial" w:cs="Arial"/>
          <w:i/>
          <w:iCs/>
          <w:lang w:val="en-GB"/>
        </w:rPr>
        <w:t>motu propio</w:t>
      </w:r>
      <w:r w:rsidRPr="0084208F">
        <w:rPr>
          <w:rFonts w:ascii="Arial" w:hAnsi="Arial" w:cs="Arial"/>
          <w:lang w:val="en-GB"/>
        </w:rPr>
        <w:t xml:space="preserve"> or by the Integrated Bar of the Philippines (IBP) upon verified complaint of any person.</w:t>
      </w:r>
      <w:r w:rsidR="004E3C4E" w:rsidRPr="0084208F">
        <w:rPr>
          <w:rFonts w:ascii="Arial" w:hAnsi="Arial" w:cs="Arial"/>
          <w:lang w:val="en-GB"/>
        </w:rPr>
        <w:t xml:space="preserve">  </w:t>
      </w:r>
    </w:p>
    <w:p w14:paraId="1D7B1934" w14:textId="1682A042" w:rsidR="00B70DB7" w:rsidRPr="0084208F" w:rsidRDefault="00B70DB7" w:rsidP="00CB36BB">
      <w:pPr>
        <w:jc w:val="both"/>
        <w:rPr>
          <w:rFonts w:ascii="Arial" w:hAnsi="Arial" w:cs="Arial"/>
          <w:lang w:val="en-GB"/>
        </w:rPr>
      </w:pPr>
    </w:p>
    <w:p w14:paraId="4BF38A58" w14:textId="77777777" w:rsidR="005E0AA4" w:rsidRPr="0084208F" w:rsidRDefault="00B70DB7" w:rsidP="005E0AA4">
      <w:pPr>
        <w:pStyle w:val="ListParagraph"/>
        <w:numPr>
          <w:ilvl w:val="0"/>
          <w:numId w:val="10"/>
        </w:numPr>
        <w:ind w:left="567" w:hanging="567"/>
        <w:jc w:val="both"/>
        <w:rPr>
          <w:rFonts w:ascii="Arial" w:hAnsi="Arial" w:cs="Arial"/>
          <w:b/>
          <w:bCs/>
          <w:i/>
          <w:iCs/>
        </w:rPr>
      </w:pPr>
      <w:r w:rsidRPr="0084208F">
        <w:rPr>
          <w:rFonts w:ascii="Arial" w:hAnsi="Arial" w:cs="Arial"/>
          <w:b/>
          <w:bCs/>
          <w:i/>
          <w:iCs/>
          <w:lang w:val="en-GB"/>
        </w:rPr>
        <w:t xml:space="preserve">Please provide information on any case where lawyers in your country have been subject to intimidation, hindrance, harassment or improper interference, whether from State authorities or non-State actors, for action taken in accordance with their recognized professional duties.  Please also describe the measures that State authorities have taken to investigate and bring perpetrators to justice.  </w:t>
      </w:r>
    </w:p>
    <w:p w14:paraId="2A1B4720" w14:textId="77777777" w:rsidR="00E94464" w:rsidRPr="0084208F" w:rsidRDefault="00E94464" w:rsidP="0084208F">
      <w:pPr>
        <w:jc w:val="both"/>
        <w:rPr>
          <w:rFonts w:ascii="Arial" w:hAnsi="Arial" w:cs="Arial"/>
          <w:lang w:val="en-US"/>
        </w:rPr>
      </w:pPr>
    </w:p>
    <w:p w14:paraId="77D5444F" w14:textId="39DAF9D7" w:rsidR="0084208F" w:rsidRPr="0084208F" w:rsidRDefault="0084208F" w:rsidP="0084208F">
      <w:pPr>
        <w:ind w:left="567"/>
        <w:jc w:val="both"/>
        <w:rPr>
          <w:rFonts w:ascii="Arial" w:eastAsia="Times New Roman" w:hAnsi="Arial" w:cs="Arial"/>
          <w:lang w:val="en-PH"/>
        </w:rPr>
      </w:pPr>
      <w:r w:rsidRPr="0084208F">
        <w:rPr>
          <w:rFonts w:ascii="Arial" w:eastAsia="Times New Roman" w:hAnsi="Arial" w:cs="Arial"/>
          <w:lang w:val="en-PH"/>
        </w:rPr>
        <w:t xml:space="preserve">The Philippine Government has been consistent in its advocacy for the democratization of civic space and the empowerment and greater participation of a multiplicity of civil society actors especially the less-resourced grassroots community-based organizations, rights holders, and human rights defenders to include indigenous peoples, Communist Party of the Philippines-New Peoples Army-National Democratic Front (CPP-NPA-NDF) returnees reintegrated into society, parents of child combatants, rescued child combatants, and victims of CPP-NPA-NDF atrocities and their families. </w:t>
      </w:r>
    </w:p>
    <w:p w14:paraId="4BAA9444" w14:textId="77777777" w:rsidR="0084208F" w:rsidRPr="0084208F" w:rsidRDefault="0084208F" w:rsidP="0084208F">
      <w:pPr>
        <w:jc w:val="both"/>
        <w:rPr>
          <w:rFonts w:ascii="Arial" w:eastAsia="Times New Roman" w:hAnsi="Arial" w:cs="Arial"/>
          <w:lang w:val="en-PH"/>
        </w:rPr>
      </w:pPr>
    </w:p>
    <w:p w14:paraId="6A06E16C" w14:textId="5BE5FB9B" w:rsidR="0084208F" w:rsidRPr="0084208F" w:rsidRDefault="0084208F" w:rsidP="0084208F">
      <w:pPr>
        <w:ind w:firstLine="567"/>
        <w:jc w:val="both"/>
        <w:rPr>
          <w:rFonts w:ascii="Arial" w:eastAsia="Times New Roman" w:hAnsi="Arial" w:cs="Arial"/>
          <w:u w:val="single"/>
          <w:lang w:val="en-PH"/>
        </w:rPr>
      </w:pPr>
      <w:r w:rsidRPr="0084208F">
        <w:rPr>
          <w:rFonts w:ascii="Arial" w:eastAsia="Times New Roman" w:hAnsi="Arial" w:cs="Arial"/>
          <w:u w:val="single"/>
          <w:lang w:val="en-PH"/>
        </w:rPr>
        <w:t>Legal and judicial remedies</w:t>
      </w:r>
    </w:p>
    <w:p w14:paraId="20F25D4D" w14:textId="0CF20D58" w:rsidR="0084208F" w:rsidRPr="0084208F" w:rsidRDefault="0084208F" w:rsidP="0084208F">
      <w:pPr>
        <w:jc w:val="both"/>
        <w:rPr>
          <w:rFonts w:ascii="Arial" w:eastAsia="Times New Roman" w:hAnsi="Arial" w:cs="Arial"/>
          <w:u w:val="single"/>
          <w:lang w:val="en-PH"/>
        </w:rPr>
      </w:pPr>
    </w:p>
    <w:p w14:paraId="5EB9921B" w14:textId="2AB78421" w:rsidR="0084208F" w:rsidRPr="0084208F" w:rsidRDefault="0084208F" w:rsidP="0084208F">
      <w:pPr>
        <w:ind w:left="349"/>
        <w:jc w:val="both"/>
        <w:rPr>
          <w:rFonts w:ascii="Arial" w:eastAsia="Times New Roman" w:hAnsi="Arial" w:cs="Arial"/>
          <w:lang w:val="en-PH"/>
        </w:rPr>
      </w:pPr>
      <w:r w:rsidRPr="0084208F">
        <w:rPr>
          <w:rFonts w:ascii="Arial" w:eastAsia="Times New Roman" w:hAnsi="Arial" w:cs="Arial"/>
          <w:lang w:val="en-PH"/>
        </w:rPr>
        <w:t xml:space="preserve">Following are </w:t>
      </w:r>
      <w:r w:rsidRPr="0084208F">
        <w:rPr>
          <w:rFonts w:ascii="Arial" w:eastAsia="Times New Roman" w:hAnsi="Arial" w:cs="Arial"/>
          <w:b/>
          <w:lang w:val="en-PH"/>
        </w:rPr>
        <w:t xml:space="preserve">judicial remedies </w:t>
      </w:r>
      <w:r w:rsidRPr="0084208F">
        <w:rPr>
          <w:rFonts w:ascii="Arial" w:eastAsia="Times New Roman" w:hAnsi="Arial" w:cs="Arial"/>
          <w:bCs/>
          <w:lang w:val="en-PH"/>
        </w:rPr>
        <w:t>available</w:t>
      </w:r>
      <w:r w:rsidRPr="0084208F">
        <w:rPr>
          <w:rFonts w:ascii="Arial" w:eastAsia="Times New Roman" w:hAnsi="Arial" w:cs="Arial"/>
          <w:b/>
          <w:lang w:val="en-PH"/>
        </w:rPr>
        <w:t xml:space="preserve"> </w:t>
      </w:r>
      <w:r w:rsidRPr="0084208F">
        <w:rPr>
          <w:rFonts w:ascii="Arial" w:eastAsia="Times New Roman" w:hAnsi="Arial" w:cs="Arial"/>
          <w:lang w:val="en-PH"/>
        </w:rPr>
        <w:t>to persons whose constitutional rights, particularly the right to liberty, have been violated by state agents:</w:t>
      </w:r>
    </w:p>
    <w:p w14:paraId="10270681" w14:textId="77777777" w:rsidR="0084208F" w:rsidRPr="0084208F" w:rsidRDefault="0084208F" w:rsidP="0084208F">
      <w:pPr>
        <w:jc w:val="both"/>
        <w:rPr>
          <w:rFonts w:ascii="Arial" w:eastAsia="Times New Roman" w:hAnsi="Arial" w:cs="Arial"/>
          <w:lang w:val="en-PH"/>
        </w:rPr>
      </w:pPr>
    </w:p>
    <w:p w14:paraId="44313D88" w14:textId="77777777" w:rsidR="0084208F" w:rsidRPr="0084208F" w:rsidRDefault="0084208F" w:rsidP="0084208F">
      <w:pPr>
        <w:numPr>
          <w:ilvl w:val="0"/>
          <w:numId w:val="19"/>
        </w:numPr>
        <w:ind w:left="709"/>
        <w:jc w:val="both"/>
        <w:rPr>
          <w:rFonts w:ascii="Arial" w:eastAsia="Times New Roman" w:hAnsi="Arial" w:cs="Arial"/>
          <w:b/>
          <w:lang w:val="en-PH"/>
        </w:rPr>
      </w:pPr>
      <w:r w:rsidRPr="0084208F">
        <w:rPr>
          <w:rFonts w:ascii="Arial" w:eastAsia="Times New Roman" w:hAnsi="Arial" w:cs="Arial"/>
          <w:b/>
          <w:lang w:val="en-PH"/>
        </w:rPr>
        <w:t>The writ of habeas corpus</w:t>
      </w:r>
      <w:r w:rsidRPr="0084208F">
        <w:rPr>
          <w:rFonts w:ascii="Arial" w:eastAsia="Times New Roman" w:hAnsi="Arial" w:cs="Arial"/>
          <w:lang w:val="en-PH"/>
        </w:rPr>
        <w:t xml:space="preserve"> safeguards the right against arbitrary state action. It covers all cases of illegal detention by which any person is deprived of his liberty.</w:t>
      </w:r>
    </w:p>
    <w:p w14:paraId="30126CDD" w14:textId="77777777" w:rsidR="0084208F" w:rsidRPr="0084208F" w:rsidRDefault="0084208F" w:rsidP="0084208F">
      <w:pPr>
        <w:numPr>
          <w:ilvl w:val="0"/>
          <w:numId w:val="19"/>
        </w:numPr>
        <w:ind w:left="709"/>
        <w:jc w:val="both"/>
        <w:rPr>
          <w:rFonts w:ascii="Arial" w:eastAsia="Times New Roman" w:hAnsi="Arial" w:cs="Arial"/>
          <w:b/>
          <w:lang w:val="en-PH"/>
        </w:rPr>
      </w:pPr>
      <w:r w:rsidRPr="0084208F">
        <w:rPr>
          <w:rFonts w:ascii="Arial" w:eastAsia="Times New Roman" w:hAnsi="Arial" w:cs="Arial"/>
          <w:b/>
          <w:lang w:val="en-PH"/>
        </w:rPr>
        <w:t xml:space="preserve">The writ of amparo </w:t>
      </w:r>
      <w:r w:rsidRPr="0084208F">
        <w:rPr>
          <w:rFonts w:ascii="Arial" w:eastAsia="Times New Roman" w:hAnsi="Arial" w:cs="Arial"/>
          <w:lang w:val="en-PH"/>
        </w:rPr>
        <w:t>was promulgated to protect other fundamental human rights that are beyond the scope of the writ of habeas corpus. In fact, following the Rules, upon the filing of the petition for the Writ of Amparo or at any time before final judgment is rendered, the court, justice, or judge may grant any of the following interim reliefs: (1) temporary protection order; (2) inspection order; (3) production order; and (4) witness protection order.</w:t>
      </w:r>
    </w:p>
    <w:p w14:paraId="3CF6AF8D" w14:textId="3AFACB4A" w:rsidR="0084208F" w:rsidRPr="0084208F" w:rsidRDefault="0084208F" w:rsidP="0084208F">
      <w:pPr>
        <w:numPr>
          <w:ilvl w:val="0"/>
          <w:numId w:val="19"/>
        </w:numPr>
        <w:ind w:left="709"/>
        <w:jc w:val="both"/>
        <w:rPr>
          <w:rFonts w:ascii="Arial" w:eastAsia="Times New Roman" w:hAnsi="Arial" w:cs="Arial"/>
          <w:b/>
          <w:lang w:val="en-PH"/>
        </w:rPr>
      </w:pPr>
      <w:r w:rsidRPr="0084208F">
        <w:rPr>
          <w:rFonts w:ascii="Arial" w:eastAsia="Times New Roman" w:hAnsi="Arial" w:cs="Arial"/>
          <w:b/>
          <w:lang w:val="en-PH"/>
        </w:rPr>
        <w:t xml:space="preserve">writ of habeas data </w:t>
      </w:r>
      <w:r w:rsidRPr="0084208F">
        <w:rPr>
          <w:rFonts w:ascii="Arial" w:eastAsia="Times New Roman" w:hAnsi="Arial" w:cs="Arial"/>
          <w:lang w:val="en-PH"/>
        </w:rPr>
        <w:t>is a remedy available to any person whose right to privacy in life, liberty or security is violated or threatened by an unlawful act or omission of a public official or employee or of a private individual or entity engaged in gathering data or information regarding the aggrieved party.</w:t>
      </w:r>
    </w:p>
    <w:p w14:paraId="4255B903" w14:textId="77777777" w:rsidR="0084208F" w:rsidRPr="0084208F" w:rsidRDefault="0084208F" w:rsidP="0084208F">
      <w:pPr>
        <w:ind w:left="709"/>
        <w:jc w:val="both"/>
        <w:rPr>
          <w:rFonts w:ascii="Arial" w:eastAsia="Times New Roman" w:hAnsi="Arial" w:cs="Arial"/>
          <w:b/>
          <w:lang w:val="en-PH"/>
        </w:rPr>
      </w:pPr>
    </w:p>
    <w:p w14:paraId="79AE9374" w14:textId="4FF96492" w:rsidR="0084208F" w:rsidRPr="0084208F" w:rsidRDefault="0084208F" w:rsidP="0084208F">
      <w:pPr>
        <w:ind w:left="349"/>
        <w:jc w:val="both"/>
        <w:rPr>
          <w:rFonts w:ascii="Arial" w:eastAsia="Times New Roman" w:hAnsi="Arial" w:cs="Arial"/>
          <w:lang w:val="en-PH"/>
        </w:rPr>
      </w:pPr>
      <w:r w:rsidRPr="0084208F">
        <w:rPr>
          <w:rFonts w:ascii="Arial" w:eastAsia="Times New Roman" w:hAnsi="Arial" w:cs="Arial"/>
          <w:lang w:val="en-PH"/>
        </w:rPr>
        <w:lastRenderedPageBreak/>
        <w:t xml:space="preserve">Following are legal remedies in place for aggrieved parties to avail themselves. The victims could file criminal cases or complaints for the following: </w:t>
      </w:r>
    </w:p>
    <w:p w14:paraId="395BCF6A" w14:textId="77777777" w:rsidR="0084208F" w:rsidRPr="0084208F" w:rsidRDefault="0084208F" w:rsidP="0084208F">
      <w:pPr>
        <w:jc w:val="both"/>
        <w:rPr>
          <w:rFonts w:ascii="Arial" w:eastAsia="Times New Roman" w:hAnsi="Arial" w:cs="Arial"/>
          <w:lang w:val="en-PH"/>
        </w:rPr>
      </w:pPr>
    </w:p>
    <w:p w14:paraId="1230DC2B" w14:textId="77777777" w:rsidR="0084208F" w:rsidRPr="0084208F" w:rsidRDefault="0084208F" w:rsidP="0084208F">
      <w:pPr>
        <w:numPr>
          <w:ilvl w:val="0"/>
          <w:numId w:val="18"/>
        </w:numPr>
        <w:jc w:val="both"/>
        <w:rPr>
          <w:rFonts w:ascii="Arial" w:eastAsia="Times New Roman" w:hAnsi="Arial" w:cs="Arial"/>
          <w:lang w:val="en-PH"/>
        </w:rPr>
      </w:pPr>
      <w:r w:rsidRPr="0084208F">
        <w:rPr>
          <w:rFonts w:ascii="Arial" w:eastAsia="Times New Roman" w:hAnsi="Arial" w:cs="Arial"/>
          <w:b/>
          <w:lang w:val="en-PH"/>
        </w:rPr>
        <w:t>libel, slander, or cyber-libel;</w:t>
      </w:r>
    </w:p>
    <w:p w14:paraId="777B1C1C" w14:textId="77777777" w:rsidR="0084208F" w:rsidRPr="0084208F" w:rsidRDefault="0084208F" w:rsidP="0084208F">
      <w:pPr>
        <w:numPr>
          <w:ilvl w:val="0"/>
          <w:numId w:val="18"/>
        </w:numPr>
        <w:jc w:val="both"/>
        <w:rPr>
          <w:rFonts w:ascii="Arial" w:eastAsia="Times New Roman" w:hAnsi="Arial" w:cs="Arial"/>
          <w:lang w:val="en-PH"/>
        </w:rPr>
      </w:pPr>
      <w:r w:rsidRPr="0084208F">
        <w:rPr>
          <w:rFonts w:ascii="Arial" w:eastAsia="Times New Roman" w:hAnsi="Arial" w:cs="Arial"/>
          <w:lang w:val="en-PH"/>
        </w:rPr>
        <w:t>acts defined and punished under the</w:t>
      </w:r>
      <w:r w:rsidRPr="0084208F">
        <w:rPr>
          <w:rFonts w:ascii="Arial" w:eastAsia="Times New Roman" w:hAnsi="Arial" w:cs="Arial"/>
          <w:b/>
          <w:lang w:val="en-PH"/>
        </w:rPr>
        <w:t xml:space="preserve"> Revised Penal Code </w:t>
      </w:r>
      <w:r w:rsidRPr="0084208F">
        <w:rPr>
          <w:rFonts w:ascii="Arial" w:eastAsia="Times New Roman" w:hAnsi="Arial" w:cs="Arial"/>
          <w:lang w:val="en-PH"/>
        </w:rPr>
        <w:t>such as grave threats, arbitrary detention, delay in the delivery of detained persons to the proper judicial authorities, among others;</w:t>
      </w:r>
    </w:p>
    <w:p w14:paraId="48F24ABE" w14:textId="77777777" w:rsidR="0084208F" w:rsidRPr="0084208F" w:rsidRDefault="0084208F" w:rsidP="0084208F">
      <w:pPr>
        <w:numPr>
          <w:ilvl w:val="0"/>
          <w:numId w:val="18"/>
        </w:numPr>
        <w:jc w:val="both"/>
        <w:rPr>
          <w:rFonts w:ascii="Arial" w:eastAsia="Times New Roman" w:hAnsi="Arial" w:cs="Arial"/>
          <w:lang w:val="en-PH"/>
        </w:rPr>
      </w:pPr>
      <w:r w:rsidRPr="0084208F">
        <w:rPr>
          <w:rFonts w:ascii="Arial" w:eastAsia="Times New Roman" w:hAnsi="Arial" w:cs="Arial"/>
          <w:lang w:val="en-PH"/>
        </w:rPr>
        <w:t xml:space="preserve">the Philippine </w:t>
      </w:r>
      <w:r w:rsidRPr="0084208F">
        <w:rPr>
          <w:rFonts w:ascii="Arial" w:eastAsia="Times New Roman" w:hAnsi="Arial" w:cs="Arial"/>
          <w:b/>
          <w:lang w:val="en-PH"/>
        </w:rPr>
        <w:t>Act on Crimes Against International Humanitarian Law, Genocide and Other Crimes Against Humanity</w:t>
      </w:r>
      <w:r w:rsidRPr="0084208F">
        <w:rPr>
          <w:rFonts w:ascii="Arial" w:eastAsia="Times New Roman" w:hAnsi="Arial" w:cs="Arial"/>
          <w:lang w:val="en-PH"/>
        </w:rPr>
        <w:t xml:space="preserve"> or R.A. 9851;</w:t>
      </w:r>
    </w:p>
    <w:p w14:paraId="122A3C82" w14:textId="77777777" w:rsidR="0084208F" w:rsidRPr="0084208F" w:rsidRDefault="0084208F" w:rsidP="0084208F">
      <w:pPr>
        <w:numPr>
          <w:ilvl w:val="0"/>
          <w:numId w:val="18"/>
        </w:numPr>
        <w:jc w:val="both"/>
        <w:rPr>
          <w:rFonts w:ascii="Arial" w:eastAsia="Times New Roman" w:hAnsi="Arial" w:cs="Arial"/>
          <w:lang w:val="en-PH"/>
        </w:rPr>
      </w:pPr>
      <w:r w:rsidRPr="0084208F">
        <w:rPr>
          <w:rFonts w:ascii="Arial" w:eastAsia="Times New Roman" w:hAnsi="Arial" w:cs="Arial"/>
          <w:lang w:val="en-PH"/>
        </w:rPr>
        <w:t xml:space="preserve">violation of the </w:t>
      </w:r>
      <w:r w:rsidRPr="0084208F">
        <w:rPr>
          <w:rFonts w:ascii="Arial" w:eastAsia="Times New Roman" w:hAnsi="Arial" w:cs="Arial"/>
          <w:b/>
          <w:lang w:val="en-PH"/>
        </w:rPr>
        <w:t xml:space="preserve">Anti-Graft and Corrupt Practices Act </w:t>
      </w:r>
      <w:r w:rsidRPr="0084208F">
        <w:rPr>
          <w:rFonts w:ascii="Arial" w:eastAsia="Times New Roman" w:hAnsi="Arial" w:cs="Arial"/>
          <w:lang w:val="en-PH"/>
        </w:rPr>
        <w:t>under RA 3019. The law considers as corrupt practice any act that causes undue injury in the discharge of official functions, to any person or entity through manifest partiality, evident bad faith, or gross inexcusable negligence;</w:t>
      </w:r>
    </w:p>
    <w:p w14:paraId="796006C3" w14:textId="77777777" w:rsidR="0084208F" w:rsidRPr="0084208F" w:rsidRDefault="0084208F" w:rsidP="0084208F">
      <w:pPr>
        <w:numPr>
          <w:ilvl w:val="0"/>
          <w:numId w:val="18"/>
        </w:numPr>
        <w:jc w:val="both"/>
        <w:rPr>
          <w:rFonts w:ascii="Arial" w:eastAsia="Times New Roman" w:hAnsi="Arial" w:cs="Arial"/>
          <w:lang w:val="en-PH"/>
        </w:rPr>
      </w:pPr>
      <w:r w:rsidRPr="0084208F">
        <w:rPr>
          <w:rFonts w:ascii="Arial" w:eastAsia="Times New Roman" w:hAnsi="Arial" w:cs="Arial"/>
          <w:lang w:val="en-PH"/>
        </w:rPr>
        <w:t xml:space="preserve">administrative charges under the </w:t>
      </w:r>
      <w:r w:rsidRPr="0084208F">
        <w:rPr>
          <w:rFonts w:ascii="Arial" w:eastAsia="Times New Roman" w:hAnsi="Arial" w:cs="Arial"/>
          <w:b/>
          <w:lang w:val="en-PH"/>
        </w:rPr>
        <w:t>Code of Conduct and Ethical Standards for Public Officials and Employees</w:t>
      </w:r>
      <w:r w:rsidRPr="0084208F">
        <w:rPr>
          <w:rFonts w:ascii="Arial" w:eastAsia="Times New Roman" w:hAnsi="Arial" w:cs="Arial"/>
          <w:lang w:val="en-PH"/>
        </w:rPr>
        <w:t xml:space="preserve"> under RA 6713 and the Revised Rules on Administrative Cases on Civil Service (RRACCS) as alleged red-tagging by government officials and/or employees constitutes grave misconduct, administrative charges under the Code of Conduct and Ethical Standards for Public Officials and Employees under RA 6713 and the Revised Rules on Administrative Cases on Civil Service (RRACCS);</w:t>
      </w:r>
    </w:p>
    <w:p w14:paraId="73F0683D" w14:textId="77777777" w:rsidR="0084208F" w:rsidRPr="0084208F" w:rsidRDefault="0084208F" w:rsidP="0084208F">
      <w:pPr>
        <w:numPr>
          <w:ilvl w:val="0"/>
          <w:numId w:val="18"/>
        </w:numPr>
        <w:jc w:val="both"/>
        <w:rPr>
          <w:rFonts w:ascii="Arial" w:eastAsia="Times New Roman" w:hAnsi="Arial" w:cs="Arial"/>
          <w:lang w:val="en-PH"/>
        </w:rPr>
      </w:pPr>
      <w:r w:rsidRPr="0084208F">
        <w:rPr>
          <w:rFonts w:ascii="Arial" w:eastAsia="Times New Roman" w:hAnsi="Arial" w:cs="Arial"/>
          <w:lang w:val="en-PH"/>
        </w:rPr>
        <w:t xml:space="preserve">Civil actions, particularly indemnification for the damages caused, under Articles 19, 21, and 32 of the Civil Code; </w:t>
      </w:r>
    </w:p>
    <w:p w14:paraId="68DBE0AC" w14:textId="77777777" w:rsidR="0084208F" w:rsidRPr="0084208F" w:rsidRDefault="0084208F" w:rsidP="0084208F">
      <w:pPr>
        <w:ind w:left="720"/>
        <w:jc w:val="both"/>
        <w:rPr>
          <w:rFonts w:ascii="Arial" w:eastAsia="Times New Roman" w:hAnsi="Arial" w:cs="Arial"/>
          <w:lang w:val="en-PH"/>
        </w:rPr>
      </w:pPr>
    </w:p>
    <w:p w14:paraId="771B3CB9" w14:textId="77777777" w:rsidR="00EE34FF" w:rsidRPr="0084208F" w:rsidRDefault="00EE34FF" w:rsidP="005E0AA4">
      <w:pPr>
        <w:jc w:val="both"/>
        <w:rPr>
          <w:rFonts w:ascii="Arial" w:hAnsi="Arial" w:cs="Arial"/>
          <w:b/>
          <w:bCs/>
        </w:rPr>
      </w:pPr>
    </w:p>
    <w:p w14:paraId="6DE12BD7" w14:textId="6128A9C1" w:rsidR="00B70DB7" w:rsidRPr="0084208F" w:rsidRDefault="00B70DB7" w:rsidP="00B70DB7">
      <w:pPr>
        <w:pStyle w:val="ListParagraph"/>
        <w:numPr>
          <w:ilvl w:val="0"/>
          <w:numId w:val="10"/>
        </w:numPr>
        <w:ind w:left="567" w:hanging="567"/>
        <w:jc w:val="both"/>
        <w:rPr>
          <w:rFonts w:ascii="Arial" w:hAnsi="Arial" w:cs="Arial"/>
          <w:b/>
          <w:bCs/>
          <w:i/>
          <w:iCs/>
        </w:rPr>
      </w:pPr>
      <w:r w:rsidRPr="0084208F">
        <w:rPr>
          <w:rFonts w:ascii="Arial" w:hAnsi="Arial" w:cs="Arial"/>
          <w:b/>
          <w:bCs/>
          <w:i/>
          <w:iCs/>
          <w:lang w:val="en-GB"/>
        </w:rPr>
        <w:t>To what extent has, the legislation and/or measures adopted in your country because of the Covid-19 pandemic, affected the exercise of the independence of the legal profession or security of lawyers.  Please explain.</w:t>
      </w:r>
    </w:p>
    <w:p w14:paraId="637C955D" w14:textId="3D7AF364" w:rsidR="00D65C59" w:rsidRPr="0084208F" w:rsidRDefault="00D65C59" w:rsidP="00D65C59">
      <w:pPr>
        <w:jc w:val="both"/>
        <w:rPr>
          <w:rFonts w:ascii="Arial" w:hAnsi="Arial" w:cs="Arial"/>
          <w:b/>
          <w:bCs/>
          <w:lang w:val="en-GB"/>
        </w:rPr>
      </w:pPr>
    </w:p>
    <w:p w14:paraId="6E1D49B4" w14:textId="77777777" w:rsidR="00D65C59" w:rsidRPr="0084208F" w:rsidRDefault="00D65C59" w:rsidP="00D65C59">
      <w:pPr>
        <w:pStyle w:val="NoSpacing"/>
        <w:tabs>
          <w:tab w:val="left" w:pos="0"/>
        </w:tabs>
        <w:ind w:left="567"/>
        <w:jc w:val="both"/>
        <w:rPr>
          <w:rFonts w:cs="Arial"/>
          <w:sz w:val="22"/>
        </w:rPr>
      </w:pPr>
      <w:r w:rsidRPr="0084208F">
        <w:rPr>
          <w:rFonts w:cs="Arial"/>
          <w:sz w:val="22"/>
        </w:rPr>
        <w:t>The Supreme Court issued Circulars providing guidelines to comply with the measures required by the National Government, such as limiting the office capacity and court operations, conducting videoconferencing in lieu of face-to-face hearing and remote appearances.</w:t>
      </w:r>
    </w:p>
    <w:p w14:paraId="74A17872" w14:textId="77777777" w:rsidR="00D65C59" w:rsidRPr="0084208F" w:rsidRDefault="00D65C59" w:rsidP="00D65C59">
      <w:pPr>
        <w:pStyle w:val="ListParagraph"/>
        <w:ind w:left="567"/>
        <w:jc w:val="both"/>
        <w:rPr>
          <w:rFonts w:ascii="Arial" w:hAnsi="Arial" w:cs="Arial"/>
        </w:rPr>
      </w:pPr>
    </w:p>
    <w:p w14:paraId="7196A991" w14:textId="77777777" w:rsidR="00D65C59" w:rsidRPr="0084208F" w:rsidRDefault="00D65C59" w:rsidP="00D65C59">
      <w:pPr>
        <w:pStyle w:val="ListParagraph"/>
        <w:ind w:left="567"/>
        <w:jc w:val="both"/>
        <w:rPr>
          <w:rFonts w:ascii="Arial" w:hAnsi="Arial" w:cs="Arial"/>
        </w:rPr>
      </w:pPr>
      <w:r w:rsidRPr="0084208F">
        <w:rPr>
          <w:rFonts w:ascii="Arial" w:hAnsi="Arial" w:cs="Arial"/>
        </w:rPr>
        <w:t>The Bar association also harnessed “Justice Bills” to be in pace and at par with the new global standards and best practices during the pandemic.</w:t>
      </w:r>
    </w:p>
    <w:p w14:paraId="3BF41F21" w14:textId="77777777" w:rsidR="00D65C59" w:rsidRPr="0084208F" w:rsidRDefault="00D65C59" w:rsidP="00D65C59">
      <w:pPr>
        <w:pStyle w:val="ListParagraph"/>
        <w:ind w:left="567"/>
        <w:jc w:val="both"/>
        <w:rPr>
          <w:rFonts w:ascii="Arial" w:hAnsi="Arial" w:cs="Arial"/>
        </w:rPr>
      </w:pPr>
    </w:p>
    <w:p w14:paraId="1F5B0DC8" w14:textId="66DAD076" w:rsidR="00D65C59" w:rsidRPr="0084208F" w:rsidRDefault="00D65C59" w:rsidP="00D65C59">
      <w:pPr>
        <w:pStyle w:val="ListParagraph"/>
        <w:ind w:left="567"/>
        <w:jc w:val="both"/>
        <w:rPr>
          <w:rFonts w:ascii="Arial" w:hAnsi="Arial" w:cs="Arial"/>
        </w:rPr>
      </w:pPr>
      <w:r w:rsidRPr="0084208F">
        <w:rPr>
          <w:rFonts w:ascii="Arial" w:hAnsi="Arial" w:cs="Arial"/>
        </w:rPr>
        <w:t xml:space="preserve">Besides conducting remote hearings to ensure cases are heard promptly, the Court divulged that </w:t>
      </w:r>
      <w:r w:rsidRPr="0084208F">
        <w:rPr>
          <w:rFonts w:ascii="Arial" w:hAnsi="Arial" w:cs="Arial"/>
          <w:b/>
          <w:bCs/>
        </w:rPr>
        <w:t>more persons deprived of liberty (PDLs) have been released from prison amid the outbreak.</w:t>
      </w:r>
    </w:p>
    <w:p w14:paraId="63F2AE2B" w14:textId="6CC38D97" w:rsidR="00EE34FF" w:rsidRPr="0084208F" w:rsidRDefault="00EE34FF" w:rsidP="00966912">
      <w:pPr>
        <w:rPr>
          <w:rFonts w:ascii="Arial" w:hAnsi="Arial" w:cs="Arial"/>
          <w:b/>
          <w:bCs/>
        </w:rPr>
      </w:pPr>
    </w:p>
    <w:p w14:paraId="251BD185" w14:textId="77777777" w:rsidR="00424CD6" w:rsidRPr="0084208F" w:rsidRDefault="00424CD6" w:rsidP="00966912">
      <w:pPr>
        <w:rPr>
          <w:rFonts w:ascii="Arial" w:hAnsi="Arial" w:cs="Arial"/>
          <w:b/>
          <w:bCs/>
        </w:rPr>
      </w:pPr>
    </w:p>
    <w:p w14:paraId="6CA5A062" w14:textId="77777777" w:rsidR="006B37F9" w:rsidRPr="0084208F" w:rsidRDefault="00B70DB7" w:rsidP="006B37F9">
      <w:pPr>
        <w:pStyle w:val="ListParagraph"/>
        <w:numPr>
          <w:ilvl w:val="0"/>
          <w:numId w:val="10"/>
        </w:numPr>
        <w:ind w:left="567" w:hanging="567"/>
        <w:jc w:val="both"/>
        <w:rPr>
          <w:rFonts w:ascii="Arial" w:hAnsi="Arial" w:cs="Arial"/>
          <w:b/>
          <w:bCs/>
          <w:i/>
          <w:iCs/>
        </w:rPr>
      </w:pPr>
      <w:r w:rsidRPr="0084208F">
        <w:rPr>
          <w:rFonts w:ascii="Arial" w:hAnsi="Arial" w:cs="Arial"/>
          <w:b/>
          <w:bCs/>
          <w:i/>
          <w:iCs/>
          <w:lang w:val="en-GB"/>
        </w:rPr>
        <w:t xml:space="preserve">Please describe the measures and policies you would suggest to better protect and guarantee the free exercise of the legal profession. </w:t>
      </w:r>
    </w:p>
    <w:p w14:paraId="399404BF" w14:textId="3861F7EE" w:rsidR="00C023FF" w:rsidRPr="0084208F" w:rsidRDefault="00C023FF" w:rsidP="00C023FF">
      <w:pPr>
        <w:jc w:val="both"/>
        <w:rPr>
          <w:rFonts w:ascii="Arial" w:hAnsi="Arial" w:cs="Arial"/>
        </w:rPr>
      </w:pPr>
    </w:p>
    <w:p w14:paraId="60B3B765" w14:textId="5D4568CE" w:rsidR="00C023FF" w:rsidRPr="0084208F" w:rsidRDefault="00057CD0" w:rsidP="00057CD0">
      <w:pPr>
        <w:pStyle w:val="ListParagraph"/>
        <w:ind w:left="567"/>
        <w:jc w:val="both"/>
        <w:rPr>
          <w:rFonts w:ascii="Arial" w:hAnsi="Arial" w:cs="Arial"/>
          <w:color w:val="000000"/>
        </w:rPr>
      </w:pPr>
      <w:r>
        <w:rPr>
          <w:rFonts w:ascii="Arial" w:hAnsi="Arial" w:cs="Arial"/>
          <w:color w:val="000000"/>
          <w:lang w:val="en-US"/>
        </w:rPr>
        <w:t>Strengthened coordination and collaboration among actors in the justice sector would contribute to the better protection of the free exercise of the legal profession.</w:t>
      </w:r>
      <w:r w:rsidR="00C023FF" w:rsidRPr="0084208F">
        <w:rPr>
          <w:rFonts w:ascii="Arial" w:hAnsi="Arial" w:cs="Arial"/>
          <w:color w:val="000000"/>
        </w:rPr>
        <w:t xml:space="preserve"> </w:t>
      </w:r>
    </w:p>
    <w:p w14:paraId="2D18BFDF" w14:textId="77777777" w:rsidR="00C023FF" w:rsidRPr="0084208F" w:rsidRDefault="00C023FF" w:rsidP="00C023FF">
      <w:pPr>
        <w:pStyle w:val="ListParagraph"/>
        <w:ind w:left="927"/>
        <w:jc w:val="both"/>
        <w:rPr>
          <w:rFonts w:ascii="Arial" w:hAnsi="Arial" w:cs="Arial"/>
          <w:color w:val="000000"/>
        </w:rPr>
      </w:pPr>
    </w:p>
    <w:p w14:paraId="374E935B" w14:textId="77777777" w:rsidR="00C74EE7" w:rsidRPr="0084208F" w:rsidRDefault="00C74EE7" w:rsidP="00C74EE7">
      <w:pPr>
        <w:jc w:val="both"/>
        <w:rPr>
          <w:rFonts w:ascii="Arial" w:hAnsi="Arial" w:cs="Arial"/>
          <w:lang w:val="en-GB"/>
        </w:rPr>
      </w:pPr>
    </w:p>
    <w:p w14:paraId="0F1D76FF" w14:textId="1D30BF0F" w:rsidR="0093303F" w:rsidRPr="00057CD0" w:rsidRDefault="00C74EE7" w:rsidP="00057CD0">
      <w:pPr>
        <w:jc w:val="both"/>
        <w:rPr>
          <w:rFonts w:ascii="Arial" w:hAnsi="Arial" w:cs="Arial"/>
          <w:b/>
          <w:bCs/>
        </w:rPr>
      </w:pPr>
      <w:r w:rsidRPr="0084208F">
        <w:rPr>
          <w:rFonts w:ascii="Arial" w:hAnsi="Arial" w:cs="Arial"/>
          <w:lang w:val="en-GB"/>
        </w:rPr>
        <w:t>We hope that the above information would contribute to a deeper appreciation o</w:t>
      </w:r>
      <w:r w:rsidR="00057CD0">
        <w:rPr>
          <w:rFonts w:ascii="Arial" w:hAnsi="Arial" w:cs="Arial"/>
          <w:lang w:val="en-GB"/>
        </w:rPr>
        <w:t>f</w:t>
      </w:r>
      <w:r w:rsidRPr="0084208F">
        <w:rPr>
          <w:rFonts w:ascii="Arial" w:hAnsi="Arial" w:cs="Arial"/>
          <w:lang w:val="en-GB"/>
        </w:rPr>
        <w:t xml:space="preserve"> the topic</w:t>
      </w:r>
      <w:r w:rsidR="00057CD0">
        <w:rPr>
          <w:rFonts w:ascii="Arial" w:hAnsi="Arial" w:cs="Arial"/>
          <w:lang w:val="en-GB"/>
        </w:rPr>
        <w:t xml:space="preserve"> and be useful</w:t>
      </w:r>
      <w:r w:rsidRPr="0084208F">
        <w:rPr>
          <w:rFonts w:ascii="Arial" w:hAnsi="Arial" w:cs="Arial"/>
          <w:lang w:val="en-GB"/>
        </w:rPr>
        <w:t xml:space="preserve"> in the preparation of the SR’s thematic report to be presented at the 50th Regular Session of the Human Rights Council in June 2022 (pursuant to HRC resolution 44/8).  ##</w:t>
      </w:r>
    </w:p>
    <w:sectPr w:rsidR="0093303F" w:rsidRPr="00057CD0" w:rsidSect="00124143">
      <w:headerReference w:type="default" r:id="rId11"/>
      <w:footerReference w:type="default" r:id="rId12"/>
      <w:footerReference w:type="first" r:id="rId13"/>
      <w:pgSz w:w="11906" w:h="16838" w:code="9"/>
      <w:pgMar w:top="851" w:right="1247" w:bottom="567"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DAC81" w14:textId="77777777" w:rsidR="003210DD" w:rsidRDefault="003210DD" w:rsidP="00D0409D">
      <w:r>
        <w:separator/>
      </w:r>
    </w:p>
  </w:endnote>
  <w:endnote w:type="continuationSeparator" w:id="0">
    <w:p w14:paraId="647C12CF" w14:textId="77777777" w:rsidR="003210DD" w:rsidRDefault="003210DD" w:rsidP="00D0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625406"/>
      <w:docPartObj>
        <w:docPartGallery w:val="Page Numbers (Bottom of Page)"/>
        <w:docPartUnique/>
      </w:docPartObj>
    </w:sdtPr>
    <w:sdtEndPr>
      <w:rPr>
        <w:noProof/>
      </w:rPr>
    </w:sdtEndPr>
    <w:sdtContent>
      <w:p w14:paraId="19C4B561" w14:textId="55ACDBF6" w:rsidR="00D0409D" w:rsidRDefault="00D0409D">
        <w:pPr>
          <w:pStyle w:val="Footer"/>
          <w:jc w:val="right"/>
        </w:pPr>
        <w:r>
          <w:fldChar w:fldCharType="begin"/>
        </w:r>
        <w:r>
          <w:instrText xml:space="preserve"> PAGE   \* MERGEFORMAT </w:instrText>
        </w:r>
        <w:r>
          <w:fldChar w:fldCharType="separate"/>
        </w:r>
        <w:r w:rsidR="001D2E46">
          <w:rPr>
            <w:noProof/>
          </w:rPr>
          <w:t>2</w:t>
        </w:r>
        <w:r>
          <w:rPr>
            <w:noProof/>
          </w:rPr>
          <w:fldChar w:fldCharType="end"/>
        </w:r>
      </w:p>
    </w:sdtContent>
  </w:sdt>
  <w:p w14:paraId="4A06C483" w14:textId="77777777" w:rsidR="00D0409D" w:rsidRDefault="00D04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483324"/>
      <w:docPartObj>
        <w:docPartGallery w:val="Page Numbers (Bottom of Page)"/>
        <w:docPartUnique/>
      </w:docPartObj>
    </w:sdtPr>
    <w:sdtEndPr>
      <w:rPr>
        <w:noProof/>
        <w:sz w:val="16"/>
        <w:szCs w:val="16"/>
      </w:rPr>
    </w:sdtEndPr>
    <w:sdtContent>
      <w:p w14:paraId="44A91CFE" w14:textId="6A470B42" w:rsidR="00F07B4D" w:rsidRPr="00C02012" w:rsidRDefault="00F07B4D">
        <w:pPr>
          <w:pStyle w:val="Footer"/>
          <w:jc w:val="right"/>
          <w:rPr>
            <w:sz w:val="16"/>
            <w:szCs w:val="16"/>
          </w:rPr>
        </w:pPr>
        <w:r w:rsidRPr="00C02012">
          <w:rPr>
            <w:sz w:val="16"/>
            <w:szCs w:val="16"/>
          </w:rPr>
          <w:fldChar w:fldCharType="begin"/>
        </w:r>
        <w:r w:rsidRPr="00C02012">
          <w:rPr>
            <w:sz w:val="16"/>
            <w:szCs w:val="16"/>
          </w:rPr>
          <w:instrText xml:space="preserve"> PAGE   \* MERGEFORMAT </w:instrText>
        </w:r>
        <w:r w:rsidRPr="00C02012">
          <w:rPr>
            <w:sz w:val="16"/>
            <w:szCs w:val="16"/>
          </w:rPr>
          <w:fldChar w:fldCharType="separate"/>
        </w:r>
        <w:r w:rsidR="001D2E46">
          <w:rPr>
            <w:noProof/>
            <w:sz w:val="16"/>
            <w:szCs w:val="16"/>
          </w:rPr>
          <w:t>1</w:t>
        </w:r>
        <w:r w:rsidRPr="00C02012">
          <w:rPr>
            <w:noProof/>
            <w:sz w:val="16"/>
            <w:szCs w:val="16"/>
          </w:rPr>
          <w:fldChar w:fldCharType="end"/>
        </w:r>
      </w:p>
    </w:sdtContent>
  </w:sdt>
  <w:p w14:paraId="1F2E0CAD" w14:textId="77777777" w:rsidR="00F07B4D" w:rsidRDefault="00F07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7A5F6" w14:textId="77777777" w:rsidR="003210DD" w:rsidRDefault="003210DD" w:rsidP="00D0409D">
      <w:r>
        <w:separator/>
      </w:r>
    </w:p>
  </w:footnote>
  <w:footnote w:type="continuationSeparator" w:id="0">
    <w:p w14:paraId="5C8A3271" w14:textId="77777777" w:rsidR="003210DD" w:rsidRDefault="003210DD" w:rsidP="00D0409D">
      <w:r>
        <w:continuationSeparator/>
      </w:r>
    </w:p>
  </w:footnote>
  <w:footnote w:id="1">
    <w:p w14:paraId="010D6299" w14:textId="77777777" w:rsidR="00057CD0" w:rsidRPr="00B70179" w:rsidRDefault="00057CD0" w:rsidP="00057CD0">
      <w:pPr>
        <w:pStyle w:val="FootnoteText"/>
        <w:rPr>
          <w:lang w:val="en-GB"/>
        </w:rPr>
      </w:pPr>
      <w:r>
        <w:rPr>
          <w:rStyle w:val="FootnoteReference"/>
        </w:rPr>
        <w:footnoteRef/>
      </w:r>
      <w:r>
        <w:t xml:space="preserve"> </w:t>
      </w:r>
      <w:r w:rsidRPr="00B70179">
        <w:t xml:space="preserve">Article VIII, Sec. 13 of the </w:t>
      </w:r>
      <w:r>
        <w:rPr>
          <w:lang w:val="en-GB"/>
        </w:rPr>
        <w:t xml:space="preserve">Constitution </w:t>
      </w:r>
    </w:p>
  </w:footnote>
  <w:footnote w:id="2">
    <w:p w14:paraId="291A3EFB" w14:textId="76AB3E82" w:rsidR="004F1190" w:rsidRPr="004F1190" w:rsidRDefault="004F1190">
      <w:pPr>
        <w:pStyle w:val="FootnoteText"/>
        <w:rPr>
          <w:lang w:val="en-GB"/>
        </w:rPr>
      </w:pPr>
      <w:r>
        <w:rPr>
          <w:rStyle w:val="FootnoteReference"/>
        </w:rPr>
        <w:footnoteRef/>
      </w:r>
      <w:r>
        <w:t xml:space="preserve"> </w:t>
      </w:r>
      <w:r>
        <w:rPr>
          <w:rFonts w:ascii="Arial" w:hAnsi="Arial" w:cs="Arial"/>
          <w:sz w:val="17"/>
          <w:szCs w:val="17"/>
        </w:rPr>
        <w:t xml:space="preserve">Canon 21 of the Code of </w:t>
      </w:r>
      <w:r>
        <w:rPr>
          <w:rFonts w:ascii="Arial" w:hAnsi="Arial" w:cs="Arial"/>
          <w:sz w:val="17"/>
          <w:szCs w:val="17"/>
          <w:lang w:val="en-GB"/>
        </w:rPr>
        <w:t xml:space="preserve">Professional </w:t>
      </w:r>
      <w:r>
        <w:rPr>
          <w:rFonts w:ascii="Arial" w:hAnsi="Arial" w:cs="Arial"/>
          <w:sz w:val="17"/>
          <w:szCs w:val="17"/>
        </w:rPr>
        <w:t>Responsibility</w:t>
      </w:r>
    </w:p>
  </w:footnote>
  <w:footnote w:id="3">
    <w:p w14:paraId="3A6534DD" w14:textId="58DE6B88" w:rsidR="00D451B0" w:rsidRPr="00D451B0" w:rsidRDefault="00D451B0">
      <w:pPr>
        <w:pStyle w:val="FootnoteText"/>
        <w:rPr>
          <w:lang w:val="en-GB"/>
        </w:rPr>
      </w:pPr>
      <w:r>
        <w:rPr>
          <w:rStyle w:val="FootnoteReference"/>
        </w:rPr>
        <w:footnoteRef/>
      </w:r>
      <w:r>
        <w:t xml:space="preserve"> </w:t>
      </w:r>
      <w:r>
        <w:rPr>
          <w:rFonts w:ascii="Arial" w:hAnsi="Arial" w:cs="Arial"/>
          <w:sz w:val="17"/>
          <w:szCs w:val="17"/>
        </w:rPr>
        <w:t>Rule 130 Section 24 (b) of the Rules of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9E851" w14:textId="1291096E" w:rsidR="006D3741" w:rsidRDefault="00057CD0" w:rsidP="00916B77">
    <w:pPr>
      <w:rPr>
        <w:i/>
        <w:iCs/>
        <w:color w:val="4472C4" w:themeColor="accent1"/>
      </w:rPr>
    </w:pPr>
    <w:r>
      <w:rPr>
        <w:i/>
        <w:iCs/>
        <w:color w:val="4472C4" w:themeColor="accent1"/>
        <w:lang w:val="en-GB"/>
      </w:rPr>
      <w:t>The</w:t>
    </w:r>
    <w:r w:rsidR="00A50E08">
      <w:rPr>
        <w:i/>
        <w:iCs/>
        <w:color w:val="4472C4" w:themeColor="accent1"/>
        <w:lang w:val="en-GB"/>
      </w:rPr>
      <w:t xml:space="preserve"> </w:t>
    </w:r>
    <w:r w:rsidR="00916B77" w:rsidRPr="00916B77">
      <w:rPr>
        <w:i/>
        <w:iCs/>
        <w:color w:val="4472C4" w:themeColor="accent1"/>
      </w:rPr>
      <w:t xml:space="preserve">Philippines’ Contribution </w:t>
    </w:r>
    <w:r>
      <w:rPr>
        <w:i/>
        <w:iCs/>
        <w:color w:val="4472C4" w:themeColor="accent1"/>
        <w:lang w:val="en-US"/>
      </w:rPr>
      <w:t>to</w:t>
    </w:r>
    <w:r w:rsidR="00916B77" w:rsidRPr="00916B77">
      <w:rPr>
        <w:i/>
        <w:iCs/>
        <w:color w:val="4472C4" w:themeColor="accent1"/>
      </w:rPr>
      <w:t xml:space="preserve"> </w:t>
    </w:r>
    <w:r w:rsidR="00916B77">
      <w:rPr>
        <w:i/>
        <w:iCs/>
        <w:color w:val="4472C4" w:themeColor="accent1"/>
        <w:lang w:val="en-GB"/>
      </w:rPr>
      <w:t xml:space="preserve">the SR on Independence of Judges and Lawyers’ </w:t>
    </w:r>
    <w:r w:rsidR="00916B77" w:rsidRPr="00916B77">
      <w:rPr>
        <w:i/>
        <w:iCs/>
        <w:color w:val="4472C4" w:themeColor="accent1"/>
      </w:rPr>
      <w:t>Thematic Report on the Protection of Lawyers in the Free and Independent</w:t>
    </w:r>
    <w:r w:rsidR="00916B77" w:rsidRPr="00916B77">
      <w:rPr>
        <w:i/>
        <w:iCs/>
        <w:color w:val="4472C4" w:themeColor="accent1"/>
        <w:lang w:val="en-GB"/>
      </w:rPr>
      <w:t xml:space="preserve"> </w:t>
    </w:r>
    <w:r w:rsidR="00916B77" w:rsidRPr="00916B77">
      <w:rPr>
        <w:i/>
        <w:iCs/>
        <w:color w:val="4472C4" w:themeColor="accent1"/>
      </w:rPr>
      <w:t xml:space="preserve">Exercise of the Legal Profession </w:t>
    </w:r>
  </w:p>
  <w:p w14:paraId="7173DBEA" w14:textId="77777777" w:rsidR="00CB6207" w:rsidRPr="00916B77" w:rsidRDefault="00CB6207" w:rsidP="00916B77">
    <w:pPr>
      <w:rPr>
        <w:i/>
        <w:iCs/>
        <w:color w:val="4472C4"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6789"/>
    <w:multiLevelType w:val="hybridMultilevel"/>
    <w:tmpl w:val="23E8E62E"/>
    <w:lvl w:ilvl="0" w:tplc="D31EE0F2">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089310A8"/>
    <w:multiLevelType w:val="multilevel"/>
    <w:tmpl w:val="81C6FA34"/>
    <w:lvl w:ilvl="0">
      <w:start w:val="1"/>
      <w:numFmt w:val="bullet"/>
      <w:lvlText w:val="●"/>
      <w:lvlJc w:val="left"/>
      <w:pPr>
        <w:ind w:left="1800" w:hanging="360"/>
      </w:pPr>
      <w:rPr>
        <w:rFonts w:ascii="Noto Sans Symbols" w:eastAsia="Times New Roman" w:hAnsi="Noto Sans Symbols"/>
      </w:rPr>
    </w:lvl>
    <w:lvl w:ilvl="1">
      <w:start w:val="1"/>
      <w:numFmt w:val="bullet"/>
      <w:lvlText w:val="o"/>
      <w:lvlJc w:val="left"/>
      <w:pPr>
        <w:ind w:left="2520" w:hanging="360"/>
      </w:pPr>
      <w:rPr>
        <w:rFonts w:ascii="Courier New" w:eastAsia="Times New Roman" w:hAnsi="Courier New"/>
      </w:rPr>
    </w:lvl>
    <w:lvl w:ilvl="2">
      <w:start w:val="1"/>
      <w:numFmt w:val="bullet"/>
      <w:lvlText w:val="▪"/>
      <w:lvlJc w:val="left"/>
      <w:pPr>
        <w:ind w:left="3240" w:hanging="360"/>
      </w:pPr>
      <w:rPr>
        <w:rFonts w:ascii="Noto Sans Symbols" w:eastAsia="Times New Roman" w:hAnsi="Noto Sans Symbols"/>
      </w:rPr>
    </w:lvl>
    <w:lvl w:ilvl="3">
      <w:start w:val="1"/>
      <w:numFmt w:val="bullet"/>
      <w:lvlText w:val="●"/>
      <w:lvlJc w:val="left"/>
      <w:pPr>
        <w:ind w:left="3960" w:hanging="360"/>
      </w:pPr>
      <w:rPr>
        <w:rFonts w:ascii="Noto Sans Symbols" w:eastAsia="Times New Roman" w:hAnsi="Noto Sans Symbols"/>
      </w:rPr>
    </w:lvl>
    <w:lvl w:ilvl="4">
      <w:start w:val="1"/>
      <w:numFmt w:val="bullet"/>
      <w:lvlText w:val="o"/>
      <w:lvlJc w:val="left"/>
      <w:pPr>
        <w:ind w:left="4680" w:hanging="360"/>
      </w:pPr>
      <w:rPr>
        <w:rFonts w:ascii="Courier New" w:eastAsia="Times New Roman" w:hAnsi="Courier New"/>
      </w:rPr>
    </w:lvl>
    <w:lvl w:ilvl="5">
      <w:start w:val="1"/>
      <w:numFmt w:val="bullet"/>
      <w:lvlText w:val="▪"/>
      <w:lvlJc w:val="left"/>
      <w:pPr>
        <w:ind w:left="5400" w:hanging="360"/>
      </w:pPr>
      <w:rPr>
        <w:rFonts w:ascii="Noto Sans Symbols" w:eastAsia="Times New Roman" w:hAnsi="Noto Sans Symbols"/>
      </w:rPr>
    </w:lvl>
    <w:lvl w:ilvl="6">
      <w:start w:val="1"/>
      <w:numFmt w:val="bullet"/>
      <w:lvlText w:val="●"/>
      <w:lvlJc w:val="left"/>
      <w:pPr>
        <w:ind w:left="6120" w:hanging="360"/>
      </w:pPr>
      <w:rPr>
        <w:rFonts w:ascii="Noto Sans Symbols" w:eastAsia="Times New Roman" w:hAnsi="Noto Sans Symbols"/>
      </w:rPr>
    </w:lvl>
    <w:lvl w:ilvl="7">
      <w:start w:val="1"/>
      <w:numFmt w:val="bullet"/>
      <w:lvlText w:val="o"/>
      <w:lvlJc w:val="left"/>
      <w:pPr>
        <w:ind w:left="6840" w:hanging="360"/>
      </w:pPr>
      <w:rPr>
        <w:rFonts w:ascii="Courier New" w:eastAsia="Times New Roman" w:hAnsi="Courier New"/>
      </w:rPr>
    </w:lvl>
    <w:lvl w:ilvl="8">
      <w:start w:val="1"/>
      <w:numFmt w:val="bullet"/>
      <w:lvlText w:val="▪"/>
      <w:lvlJc w:val="left"/>
      <w:pPr>
        <w:ind w:left="7560" w:hanging="360"/>
      </w:pPr>
      <w:rPr>
        <w:rFonts w:ascii="Noto Sans Symbols" w:eastAsia="Times New Roman" w:hAnsi="Noto Sans Symbols"/>
      </w:rPr>
    </w:lvl>
  </w:abstractNum>
  <w:abstractNum w:abstractNumId="2" w15:restartNumberingAfterBreak="0">
    <w:nsid w:val="0D5247A3"/>
    <w:multiLevelType w:val="hybridMultilevel"/>
    <w:tmpl w:val="E81039C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15:restartNumberingAfterBreak="0">
    <w:nsid w:val="0F1B3F08"/>
    <w:multiLevelType w:val="hybridMultilevel"/>
    <w:tmpl w:val="F1E6C84A"/>
    <w:lvl w:ilvl="0" w:tplc="F482E4E6">
      <w:start w:val="1"/>
      <w:numFmt w:val="bullet"/>
      <w:lvlText w:val="-"/>
      <w:lvlJc w:val="left"/>
      <w:pPr>
        <w:ind w:left="1211" w:hanging="360"/>
      </w:pPr>
      <w:rPr>
        <w:rFonts w:ascii="Arial" w:eastAsiaTheme="minorHAnsi" w:hAnsi="Arial" w:cs="Arial" w:hint="default"/>
        <w:b w:val="0"/>
        <w:sz w:val="23"/>
      </w:rPr>
    </w:lvl>
    <w:lvl w:ilvl="1" w:tplc="20000003">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4B1781A"/>
    <w:multiLevelType w:val="hybridMultilevel"/>
    <w:tmpl w:val="2C5A089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2E20F8"/>
    <w:multiLevelType w:val="hybridMultilevel"/>
    <w:tmpl w:val="E4F2CCCE"/>
    <w:lvl w:ilvl="0" w:tplc="20000005">
      <w:start w:val="1"/>
      <w:numFmt w:val="bullet"/>
      <w:lvlText w:val=""/>
      <w:lvlJc w:val="left"/>
      <w:pPr>
        <w:ind w:left="1931" w:hanging="360"/>
      </w:pPr>
      <w:rPr>
        <w:rFonts w:ascii="Wingdings" w:hAnsi="Wingdings" w:hint="default"/>
      </w:rPr>
    </w:lvl>
    <w:lvl w:ilvl="1" w:tplc="20000003" w:tentative="1">
      <w:start w:val="1"/>
      <w:numFmt w:val="bullet"/>
      <w:lvlText w:val="o"/>
      <w:lvlJc w:val="left"/>
      <w:pPr>
        <w:ind w:left="2651" w:hanging="360"/>
      </w:pPr>
      <w:rPr>
        <w:rFonts w:ascii="Courier New" w:hAnsi="Courier New" w:cs="Courier New" w:hint="default"/>
      </w:rPr>
    </w:lvl>
    <w:lvl w:ilvl="2" w:tplc="20000005" w:tentative="1">
      <w:start w:val="1"/>
      <w:numFmt w:val="bullet"/>
      <w:lvlText w:val=""/>
      <w:lvlJc w:val="left"/>
      <w:pPr>
        <w:ind w:left="3371" w:hanging="360"/>
      </w:pPr>
      <w:rPr>
        <w:rFonts w:ascii="Wingdings" w:hAnsi="Wingdings" w:hint="default"/>
      </w:rPr>
    </w:lvl>
    <w:lvl w:ilvl="3" w:tplc="20000001" w:tentative="1">
      <w:start w:val="1"/>
      <w:numFmt w:val="bullet"/>
      <w:lvlText w:val=""/>
      <w:lvlJc w:val="left"/>
      <w:pPr>
        <w:ind w:left="4091" w:hanging="360"/>
      </w:pPr>
      <w:rPr>
        <w:rFonts w:ascii="Symbol" w:hAnsi="Symbol" w:hint="default"/>
      </w:rPr>
    </w:lvl>
    <w:lvl w:ilvl="4" w:tplc="20000003" w:tentative="1">
      <w:start w:val="1"/>
      <w:numFmt w:val="bullet"/>
      <w:lvlText w:val="o"/>
      <w:lvlJc w:val="left"/>
      <w:pPr>
        <w:ind w:left="4811" w:hanging="360"/>
      </w:pPr>
      <w:rPr>
        <w:rFonts w:ascii="Courier New" w:hAnsi="Courier New" w:cs="Courier New" w:hint="default"/>
      </w:rPr>
    </w:lvl>
    <w:lvl w:ilvl="5" w:tplc="20000005" w:tentative="1">
      <w:start w:val="1"/>
      <w:numFmt w:val="bullet"/>
      <w:lvlText w:val=""/>
      <w:lvlJc w:val="left"/>
      <w:pPr>
        <w:ind w:left="5531" w:hanging="360"/>
      </w:pPr>
      <w:rPr>
        <w:rFonts w:ascii="Wingdings" w:hAnsi="Wingdings" w:hint="default"/>
      </w:rPr>
    </w:lvl>
    <w:lvl w:ilvl="6" w:tplc="20000001" w:tentative="1">
      <w:start w:val="1"/>
      <w:numFmt w:val="bullet"/>
      <w:lvlText w:val=""/>
      <w:lvlJc w:val="left"/>
      <w:pPr>
        <w:ind w:left="6251" w:hanging="360"/>
      </w:pPr>
      <w:rPr>
        <w:rFonts w:ascii="Symbol" w:hAnsi="Symbol" w:hint="default"/>
      </w:rPr>
    </w:lvl>
    <w:lvl w:ilvl="7" w:tplc="20000003" w:tentative="1">
      <w:start w:val="1"/>
      <w:numFmt w:val="bullet"/>
      <w:lvlText w:val="o"/>
      <w:lvlJc w:val="left"/>
      <w:pPr>
        <w:ind w:left="6971" w:hanging="360"/>
      </w:pPr>
      <w:rPr>
        <w:rFonts w:ascii="Courier New" w:hAnsi="Courier New" w:cs="Courier New" w:hint="default"/>
      </w:rPr>
    </w:lvl>
    <w:lvl w:ilvl="8" w:tplc="20000005" w:tentative="1">
      <w:start w:val="1"/>
      <w:numFmt w:val="bullet"/>
      <w:lvlText w:val=""/>
      <w:lvlJc w:val="left"/>
      <w:pPr>
        <w:ind w:left="7691" w:hanging="360"/>
      </w:pPr>
      <w:rPr>
        <w:rFonts w:ascii="Wingdings" w:hAnsi="Wingdings" w:hint="default"/>
      </w:rPr>
    </w:lvl>
  </w:abstractNum>
  <w:abstractNum w:abstractNumId="6" w15:restartNumberingAfterBreak="0">
    <w:nsid w:val="29544244"/>
    <w:multiLevelType w:val="hybridMultilevel"/>
    <w:tmpl w:val="E40C2CBA"/>
    <w:lvl w:ilvl="0" w:tplc="84ECDAD6">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2B4D738B"/>
    <w:multiLevelType w:val="hybridMultilevel"/>
    <w:tmpl w:val="E8DCBE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CCC4035"/>
    <w:multiLevelType w:val="hybridMultilevel"/>
    <w:tmpl w:val="23E8E62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37296084"/>
    <w:multiLevelType w:val="hybridMultilevel"/>
    <w:tmpl w:val="261452D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44400D87"/>
    <w:multiLevelType w:val="hybridMultilevel"/>
    <w:tmpl w:val="532E79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BB51D84"/>
    <w:multiLevelType w:val="hybridMultilevel"/>
    <w:tmpl w:val="E0F6C75A"/>
    <w:lvl w:ilvl="0" w:tplc="F06AAF40">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500051B9"/>
    <w:multiLevelType w:val="hybridMultilevel"/>
    <w:tmpl w:val="C900BB7C"/>
    <w:lvl w:ilvl="0" w:tplc="F482E4E6">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4313012"/>
    <w:multiLevelType w:val="hybridMultilevel"/>
    <w:tmpl w:val="F9A6EE74"/>
    <w:lvl w:ilvl="0" w:tplc="20000005">
      <w:start w:val="1"/>
      <w:numFmt w:val="bullet"/>
      <w:lvlText w:val=""/>
      <w:lvlJc w:val="left"/>
      <w:pPr>
        <w:ind w:left="1571" w:hanging="360"/>
      </w:pPr>
      <w:rPr>
        <w:rFonts w:ascii="Wingdings" w:hAnsi="Wingdings"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14" w15:restartNumberingAfterBreak="0">
    <w:nsid w:val="726564D8"/>
    <w:multiLevelType w:val="hybridMultilevel"/>
    <w:tmpl w:val="C9E4DDA8"/>
    <w:lvl w:ilvl="0" w:tplc="4F9A245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7430192D"/>
    <w:multiLevelType w:val="hybridMultilevel"/>
    <w:tmpl w:val="9DFC6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5708FF"/>
    <w:multiLevelType w:val="multilevel"/>
    <w:tmpl w:val="793C87D8"/>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7" w15:restartNumberingAfterBreak="0">
    <w:nsid w:val="777E7ABD"/>
    <w:multiLevelType w:val="hybridMultilevel"/>
    <w:tmpl w:val="CE32CE56"/>
    <w:lvl w:ilvl="0" w:tplc="F482E4E6">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E4F7041"/>
    <w:multiLevelType w:val="hybridMultilevel"/>
    <w:tmpl w:val="9DFC6E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2"/>
  </w:num>
  <w:num w:numId="3">
    <w:abstractNumId w:val="13"/>
  </w:num>
  <w:num w:numId="4">
    <w:abstractNumId w:val="9"/>
  </w:num>
  <w:num w:numId="5">
    <w:abstractNumId w:val="3"/>
  </w:num>
  <w:num w:numId="6">
    <w:abstractNumId w:val="17"/>
  </w:num>
  <w:num w:numId="7">
    <w:abstractNumId w:val="5"/>
  </w:num>
  <w:num w:numId="8">
    <w:abstractNumId w:val="12"/>
  </w:num>
  <w:num w:numId="9">
    <w:abstractNumId w:val="7"/>
  </w:num>
  <w:num w:numId="10">
    <w:abstractNumId w:val="18"/>
  </w:num>
  <w:num w:numId="11">
    <w:abstractNumId w:val="15"/>
  </w:num>
  <w:num w:numId="12">
    <w:abstractNumId w:val="11"/>
  </w:num>
  <w:num w:numId="13">
    <w:abstractNumId w:val="0"/>
  </w:num>
  <w:num w:numId="14">
    <w:abstractNumId w:val="8"/>
  </w:num>
  <w:num w:numId="15">
    <w:abstractNumId w:val="4"/>
  </w:num>
  <w:num w:numId="16">
    <w:abstractNumId w:val="14"/>
  </w:num>
  <w:num w:numId="17">
    <w:abstractNumId w:val="6"/>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10"/>
    <w:rsid w:val="00005C86"/>
    <w:rsid w:val="00006C96"/>
    <w:rsid w:val="00007973"/>
    <w:rsid w:val="000240A2"/>
    <w:rsid w:val="00043D83"/>
    <w:rsid w:val="0005364C"/>
    <w:rsid w:val="00057CD0"/>
    <w:rsid w:val="000626F7"/>
    <w:rsid w:val="00071EBC"/>
    <w:rsid w:val="00072A6E"/>
    <w:rsid w:val="000737AF"/>
    <w:rsid w:val="000826F8"/>
    <w:rsid w:val="00084713"/>
    <w:rsid w:val="00084E53"/>
    <w:rsid w:val="00091145"/>
    <w:rsid w:val="00097645"/>
    <w:rsid w:val="000A0518"/>
    <w:rsid w:val="000B12DB"/>
    <w:rsid w:val="000B1CBB"/>
    <w:rsid w:val="000B45C2"/>
    <w:rsid w:val="000D666F"/>
    <w:rsid w:val="000D6DBB"/>
    <w:rsid w:val="000F171F"/>
    <w:rsid w:val="000F3901"/>
    <w:rsid w:val="00105F89"/>
    <w:rsid w:val="00115995"/>
    <w:rsid w:val="001216D0"/>
    <w:rsid w:val="00124143"/>
    <w:rsid w:val="00127A81"/>
    <w:rsid w:val="001409F4"/>
    <w:rsid w:val="001607A7"/>
    <w:rsid w:val="0016091B"/>
    <w:rsid w:val="00165E03"/>
    <w:rsid w:val="001759EE"/>
    <w:rsid w:val="0017652C"/>
    <w:rsid w:val="00187EB2"/>
    <w:rsid w:val="00187FDD"/>
    <w:rsid w:val="00197D5B"/>
    <w:rsid w:val="001A20EA"/>
    <w:rsid w:val="001D0649"/>
    <w:rsid w:val="001D0B2A"/>
    <w:rsid w:val="001D2E46"/>
    <w:rsid w:val="001D7990"/>
    <w:rsid w:val="001F4FEA"/>
    <w:rsid w:val="00223328"/>
    <w:rsid w:val="00250D76"/>
    <w:rsid w:val="00252F2F"/>
    <w:rsid w:val="00263B72"/>
    <w:rsid w:val="00264A7B"/>
    <w:rsid w:val="00267E3D"/>
    <w:rsid w:val="00283ABE"/>
    <w:rsid w:val="002A2C2D"/>
    <w:rsid w:val="002A2D04"/>
    <w:rsid w:val="002B1F7A"/>
    <w:rsid w:val="002B5D02"/>
    <w:rsid w:val="002B6271"/>
    <w:rsid w:val="002C3F22"/>
    <w:rsid w:val="002C74E4"/>
    <w:rsid w:val="002D0598"/>
    <w:rsid w:val="002E02BB"/>
    <w:rsid w:val="002E3223"/>
    <w:rsid w:val="002F4975"/>
    <w:rsid w:val="00303536"/>
    <w:rsid w:val="00304CE5"/>
    <w:rsid w:val="003079DE"/>
    <w:rsid w:val="003210DD"/>
    <w:rsid w:val="00323F54"/>
    <w:rsid w:val="00324965"/>
    <w:rsid w:val="00324FAF"/>
    <w:rsid w:val="003359AD"/>
    <w:rsid w:val="00345407"/>
    <w:rsid w:val="00366BBC"/>
    <w:rsid w:val="00375D8B"/>
    <w:rsid w:val="00381056"/>
    <w:rsid w:val="00383128"/>
    <w:rsid w:val="003967E7"/>
    <w:rsid w:val="003A4235"/>
    <w:rsid w:val="003B196F"/>
    <w:rsid w:val="003B4F81"/>
    <w:rsid w:val="003B57CA"/>
    <w:rsid w:val="003C46CA"/>
    <w:rsid w:val="003D4999"/>
    <w:rsid w:val="003D4AD2"/>
    <w:rsid w:val="003D4C60"/>
    <w:rsid w:val="003D70E0"/>
    <w:rsid w:val="003E3C00"/>
    <w:rsid w:val="003E3D40"/>
    <w:rsid w:val="003E6C88"/>
    <w:rsid w:val="003E782C"/>
    <w:rsid w:val="003F508F"/>
    <w:rsid w:val="004052BE"/>
    <w:rsid w:val="004052C4"/>
    <w:rsid w:val="00416747"/>
    <w:rsid w:val="00420B0E"/>
    <w:rsid w:val="00424CD6"/>
    <w:rsid w:val="004261EF"/>
    <w:rsid w:val="00451A67"/>
    <w:rsid w:val="00452428"/>
    <w:rsid w:val="00455A8F"/>
    <w:rsid w:val="00460E60"/>
    <w:rsid w:val="00481768"/>
    <w:rsid w:val="00490126"/>
    <w:rsid w:val="00491DB7"/>
    <w:rsid w:val="00496D62"/>
    <w:rsid w:val="004A2947"/>
    <w:rsid w:val="004A3530"/>
    <w:rsid w:val="004A452D"/>
    <w:rsid w:val="004A563D"/>
    <w:rsid w:val="004B749D"/>
    <w:rsid w:val="004C4115"/>
    <w:rsid w:val="004C4776"/>
    <w:rsid w:val="004C7ACB"/>
    <w:rsid w:val="004D3C85"/>
    <w:rsid w:val="004D4BAC"/>
    <w:rsid w:val="004D63CF"/>
    <w:rsid w:val="004E0AD3"/>
    <w:rsid w:val="004E3C4E"/>
    <w:rsid w:val="004E6446"/>
    <w:rsid w:val="004F1190"/>
    <w:rsid w:val="004F1AD1"/>
    <w:rsid w:val="00503D8D"/>
    <w:rsid w:val="005128C0"/>
    <w:rsid w:val="0051341A"/>
    <w:rsid w:val="005269D4"/>
    <w:rsid w:val="00533AC7"/>
    <w:rsid w:val="00537356"/>
    <w:rsid w:val="00544CAE"/>
    <w:rsid w:val="005504BB"/>
    <w:rsid w:val="0055388B"/>
    <w:rsid w:val="0055478E"/>
    <w:rsid w:val="00557C1C"/>
    <w:rsid w:val="00566999"/>
    <w:rsid w:val="00575C2B"/>
    <w:rsid w:val="00576776"/>
    <w:rsid w:val="00591AFB"/>
    <w:rsid w:val="00591E0E"/>
    <w:rsid w:val="00592DD4"/>
    <w:rsid w:val="005930FB"/>
    <w:rsid w:val="005A5941"/>
    <w:rsid w:val="005B0B32"/>
    <w:rsid w:val="005B50F9"/>
    <w:rsid w:val="005C0381"/>
    <w:rsid w:val="005C2D3D"/>
    <w:rsid w:val="005C57C9"/>
    <w:rsid w:val="005E0AA4"/>
    <w:rsid w:val="005E4280"/>
    <w:rsid w:val="005F3D0C"/>
    <w:rsid w:val="00602914"/>
    <w:rsid w:val="00614C33"/>
    <w:rsid w:val="00615298"/>
    <w:rsid w:val="00620A70"/>
    <w:rsid w:val="006331CE"/>
    <w:rsid w:val="00640BEF"/>
    <w:rsid w:val="00640C8A"/>
    <w:rsid w:val="00642BA1"/>
    <w:rsid w:val="00646568"/>
    <w:rsid w:val="00662997"/>
    <w:rsid w:val="006643FA"/>
    <w:rsid w:val="0067799A"/>
    <w:rsid w:val="0068065B"/>
    <w:rsid w:val="00681364"/>
    <w:rsid w:val="00684582"/>
    <w:rsid w:val="006947B3"/>
    <w:rsid w:val="00694CF2"/>
    <w:rsid w:val="006B37F9"/>
    <w:rsid w:val="006C4436"/>
    <w:rsid w:val="006C4AFC"/>
    <w:rsid w:val="006D0C21"/>
    <w:rsid w:val="006D3741"/>
    <w:rsid w:val="006E4B43"/>
    <w:rsid w:val="00700C53"/>
    <w:rsid w:val="00707986"/>
    <w:rsid w:val="00715F23"/>
    <w:rsid w:val="00717603"/>
    <w:rsid w:val="0072731F"/>
    <w:rsid w:val="007328AA"/>
    <w:rsid w:val="00737E4C"/>
    <w:rsid w:val="007446E4"/>
    <w:rsid w:val="00747F51"/>
    <w:rsid w:val="007514AD"/>
    <w:rsid w:val="00752CD3"/>
    <w:rsid w:val="007541DA"/>
    <w:rsid w:val="00764C07"/>
    <w:rsid w:val="007861EC"/>
    <w:rsid w:val="00794CD0"/>
    <w:rsid w:val="00795118"/>
    <w:rsid w:val="00795919"/>
    <w:rsid w:val="007A016F"/>
    <w:rsid w:val="007A0343"/>
    <w:rsid w:val="007A2A31"/>
    <w:rsid w:val="007C1E61"/>
    <w:rsid w:val="007F4517"/>
    <w:rsid w:val="00810138"/>
    <w:rsid w:val="008243F8"/>
    <w:rsid w:val="00841CE4"/>
    <w:rsid w:val="0084208F"/>
    <w:rsid w:val="00846CAE"/>
    <w:rsid w:val="0085047A"/>
    <w:rsid w:val="0085078B"/>
    <w:rsid w:val="008631EE"/>
    <w:rsid w:val="00863944"/>
    <w:rsid w:val="00872E5A"/>
    <w:rsid w:val="00881B14"/>
    <w:rsid w:val="00893B6A"/>
    <w:rsid w:val="00895AEE"/>
    <w:rsid w:val="008A0991"/>
    <w:rsid w:val="008A6706"/>
    <w:rsid w:val="008A7E20"/>
    <w:rsid w:val="008B006D"/>
    <w:rsid w:val="008B61E0"/>
    <w:rsid w:val="008C00A8"/>
    <w:rsid w:val="008C3403"/>
    <w:rsid w:val="008D1D42"/>
    <w:rsid w:val="008D23F2"/>
    <w:rsid w:val="008D3910"/>
    <w:rsid w:val="008D5C09"/>
    <w:rsid w:val="008E354B"/>
    <w:rsid w:val="008E3DC1"/>
    <w:rsid w:val="008F2E56"/>
    <w:rsid w:val="0090770E"/>
    <w:rsid w:val="0091038D"/>
    <w:rsid w:val="0091110A"/>
    <w:rsid w:val="00911E79"/>
    <w:rsid w:val="00912AD8"/>
    <w:rsid w:val="00916B77"/>
    <w:rsid w:val="009212C5"/>
    <w:rsid w:val="00921453"/>
    <w:rsid w:val="00922E14"/>
    <w:rsid w:val="009269FD"/>
    <w:rsid w:val="009276E0"/>
    <w:rsid w:val="0093303F"/>
    <w:rsid w:val="00934B4E"/>
    <w:rsid w:val="009424FE"/>
    <w:rsid w:val="0094664F"/>
    <w:rsid w:val="0095297A"/>
    <w:rsid w:val="00953BBF"/>
    <w:rsid w:val="0095502D"/>
    <w:rsid w:val="0096308C"/>
    <w:rsid w:val="00964A83"/>
    <w:rsid w:val="00965E10"/>
    <w:rsid w:val="00966339"/>
    <w:rsid w:val="00966912"/>
    <w:rsid w:val="009758E0"/>
    <w:rsid w:val="009806D4"/>
    <w:rsid w:val="00991F1B"/>
    <w:rsid w:val="009A4D8B"/>
    <w:rsid w:val="009B0152"/>
    <w:rsid w:val="009B7B71"/>
    <w:rsid w:val="009C0B60"/>
    <w:rsid w:val="009C706F"/>
    <w:rsid w:val="009D22B5"/>
    <w:rsid w:val="009D439D"/>
    <w:rsid w:val="009D4A5C"/>
    <w:rsid w:val="009D5AD5"/>
    <w:rsid w:val="009E38DE"/>
    <w:rsid w:val="009E43D5"/>
    <w:rsid w:val="009E6C04"/>
    <w:rsid w:val="009F265A"/>
    <w:rsid w:val="009F7603"/>
    <w:rsid w:val="00A340D8"/>
    <w:rsid w:val="00A346D2"/>
    <w:rsid w:val="00A50E08"/>
    <w:rsid w:val="00A530AC"/>
    <w:rsid w:val="00A5506D"/>
    <w:rsid w:val="00A57B95"/>
    <w:rsid w:val="00A607C9"/>
    <w:rsid w:val="00A669D9"/>
    <w:rsid w:val="00A67BB8"/>
    <w:rsid w:val="00A74320"/>
    <w:rsid w:val="00A755C6"/>
    <w:rsid w:val="00A81C36"/>
    <w:rsid w:val="00A90739"/>
    <w:rsid w:val="00A90F85"/>
    <w:rsid w:val="00A95669"/>
    <w:rsid w:val="00AB2A71"/>
    <w:rsid w:val="00AB49B2"/>
    <w:rsid w:val="00AC0248"/>
    <w:rsid w:val="00AD0FF6"/>
    <w:rsid w:val="00AD185A"/>
    <w:rsid w:val="00AE403A"/>
    <w:rsid w:val="00AE6739"/>
    <w:rsid w:val="00AF0DC1"/>
    <w:rsid w:val="00AF3028"/>
    <w:rsid w:val="00AF38F0"/>
    <w:rsid w:val="00AF4762"/>
    <w:rsid w:val="00AF4F6C"/>
    <w:rsid w:val="00AF7875"/>
    <w:rsid w:val="00B07017"/>
    <w:rsid w:val="00B11895"/>
    <w:rsid w:val="00B16A4F"/>
    <w:rsid w:val="00B20103"/>
    <w:rsid w:val="00B20528"/>
    <w:rsid w:val="00B41367"/>
    <w:rsid w:val="00B45971"/>
    <w:rsid w:val="00B56803"/>
    <w:rsid w:val="00B56B6B"/>
    <w:rsid w:val="00B70179"/>
    <w:rsid w:val="00B70DB7"/>
    <w:rsid w:val="00B832DE"/>
    <w:rsid w:val="00B87B73"/>
    <w:rsid w:val="00B935CC"/>
    <w:rsid w:val="00B94DD3"/>
    <w:rsid w:val="00BA0036"/>
    <w:rsid w:val="00BB58BB"/>
    <w:rsid w:val="00BC2CBC"/>
    <w:rsid w:val="00BD0184"/>
    <w:rsid w:val="00BD3952"/>
    <w:rsid w:val="00BF3815"/>
    <w:rsid w:val="00BF7ED8"/>
    <w:rsid w:val="00C00A19"/>
    <w:rsid w:val="00C02012"/>
    <w:rsid w:val="00C023FF"/>
    <w:rsid w:val="00C03A22"/>
    <w:rsid w:val="00C05753"/>
    <w:rsid w:val="00C117EE"/>
    <w:rsid w:val="00C12782"/>
    <w:rsid w:val="00C15AD4"/>
    <w:rsid w:val="00C22C3B"/>
    <w:rsid w:val="00C422EE"/>
    <w:rsid w:val="00C54633"/>
    <w:rsid w:val="00C54FCC"/>
    <w:rsid w:val="00C74EE7"/>
    <w:rsid w:val="00C778B7"/>
    <w:rsid w:val="00C849E7"/>
    <w:rsid w:val="00C926B2"/>
    <w:rsid w:val="00CA27BA"/>
    <w:rsid w:val="00CA325F"/>
    <w:rsid w:val="00CA6B8B"/>
    <w:rsid w:val="00CA6BCC"/>
    <w:rsid w:val="00CB27E8"/>
    <w:rsid w:val="00CB36BB"/>
    <w:rsid w:val="00CB48F3"/>
    <w:rsid w:val="00CB5273"/>
    <w:rsid w:val="00CB6207"/>
    <w:rsid w:val="00CC0192"/>
    <w:rsid w:val="00CC16AF"/>
    <w:rsid w:val="00CC3927"/>
    <w:rsid w:val="00CC71F5"/>
    <w:rsid w:val="00CD2BFB"/>
    <w:rsid w:val="00CD7EE2"/>
    <w:rsid w:val="00CF3FDF"/>
    <w:rsid w:val="00D03E39"/>
    <w:rsid w:val="00D0409D"/>
    <w:rsid w:val="00D10EBE"/>
    <w:rsid w:val="00D1318D"/>
    <w:rsid w:val="00D15EFF"/>
    <w:rsid w:val="00D30E76"/>
    <w:rsid w:val="00D31B67"/>
    <w:rsid w:val="00D451B0"/>
    <w:rsid w:val="00D548C6"/>
    <w:rsid w:val="00D54E86"/>
    <w:rsid w:val="00D65C59"/>
    <w:rsid w:val="00D71C86"/>
    <w:rsid w:val="00D71E10"/>
    <w:rsid w:val="00D73119"/>
    <w:rsid w:val="00D84E7E"/>
    <w:rsid w:val="00D9293C"/>
    <w:rsid w:val="00D92B9F"/>
    <w:rsid w:val="00DA3528"/>
    <w:rsid w:val="00DB0FAF"/>
    <w:rsid w:val="00DC00E4"/>
    <w:rsid w:val="00DC51E3"/>
    <w:rsid w:val="00DC5C63"/>
    <w:rsid w:val="00DD3BB9"/>
    <w:rsid w:val="00E029F9"/>
    <w:rsid w:val="00E03F57"/>
    <w:rsid w:val="00E105BF"/>
    <w:rsid w:val="00E10B78"/>
    <w:rsid w:val="00E20A3C"/>
    <w:rsid w:val="00E23743"/>
    <w:rsid w:val="00E249EE"/>
    <w:rsid w:val="00E318CA"/>
    <w:rsid w:val="00E334BB"/>
    <w:rsid w:val="00E40996"/>
    <w:rsid w:val="00E409F3"/>
    <w:rsid w:val="00E44A06"/>
    <w:rsid w:val="00E53109"/>
    <w:rsid w:val="00E564DF"/>
    <w:rsid w:val="00E64D10"/>
    <w:rsid w:val="00E67D0D"/>
    <w:rsid w:val="00E7114C"/>
    <w:rsid w:val="00E7243A"/>
    <w:rsid w:val="00E81A4C"/>
    <w:rsid w:val="00E82C4B"/>
    <w:rsid w:val="00E8308F"/>
    <w:rsid w:val="00E83480"/>
    <w:rsid w:val="00E94464"/>
    <w:rsid w:val="00ED0BFE"/>
    <w:rsid w:val="00ED2B36"/>
    <w:rsid w:val="00EE15E9"/>
    <w:rsid w:val="00EE2FF8"/>
    <w:rsid w:val="00EE34FF"/>
    <w:rsid w:val="00EF12F8"/>
    <w:rsid w:val="00EF23E2"/>
    <w:rsid w:val="00EF7FE7"/>
    <w:rsid w:val="00F00BF4"/>
    <w:rsid w:val="00F05CF5"/>
    <w:rsid w:val="00F07B4D"/>
    <w:rsid w:val="00F30991"/>
    <w:rsid w:val="00F46E62"/>
    <w:rsid w:val="00F54FDB"/>
    <w:rsid w:val="00F55EF4"/>
    <w:rsid w:val="00F562A7"/>
    <w:rsid w:val="00F629A4"/>
    <w:rsid w:val="00F71E7E"/>
    <w:rsid w:val="00F832BF"/>
    <w:rsid w:val="00F83F98"/>
    <w:rsid w:val="00F86B48"/>
    <w:rsid w:val="00F921E6"/>
    <w:rsid w:val="00F922E9"/>
    <w:rsid w:val="00FA3DB5"/>
    <w:rsid w:val="00FA71B6"/>
    <w:rsid w:val="00FB1B34"/>
    <w:rsid w:val="00FC5CE7"/>
    <w:rsid w:val="00FD1DA1"/>
    <w:rsid w:val="00FD34B6"/>
    <w:rsid w:val="00FD482F"/>
    <w:rsid w:val="00FD77CB"/>
    <w:rsid w:val="00FE188E"/>
    <w:rsid w:val="00FE20F0"/>
    <w:rsid w:val="00FE281C"/>
    <w:rsid w:val="00FE773E"/>
    <w:rsid w:val="00FF1EEA"/>
    <w:rsid w:val="00FF6BB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0E68B"/>
  <w15:chartTrackingRefBased/>
  <w15:docId w15:val="{F6933C04-9B36-4814-AC7D-81DBB0B7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D06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6B2"/>
    <w:pPr>
      <w:ind w:left="720"/>
      <w:contextualSpacing/>
    </w:pPr>
  </w:style>
  <w:style w:type="paragraph" w:styleId="Header">
    <w:name w:val="header"/>
    <w:basedOn w:val="Normal"/>
    <w:link w:val="HeaderChar"/>
    <w:uiPriority w:val="99"/>
    <w:unhideWhenUsed/>
    <w:rsid w:val="00D0409D"/>
    <w:pPr>
      <w:tabs>
        <w:tab w:val="center" w:pos="4513"/>
        <w:tab w:val="right" w:pos="9026"/>
      </w:tabs>
    </w:pPr>
  </w:style>
  <w:style w:type="character" w:customStyle="1" w:styleId="HeaderChar">
    <w:name w:val="Header Char"/>
    <w:basedOn w:val="DefaultParagraphFont"/>
    <w:link w:val="Header"/>
    <w:uiPriority w:val="99"/>
    <w:rsid w:val="00D0409D"/>
  </w:style>
  <w:style w:type="paragraph" w:styleId="Footer">
    <w:name w:val="footer"/>
    <w:basedOn w:val="Normal"/>
    <w:link w:val="FooterChar"/>
    <w:uiPriority w:val="99"/>
    <w:unhideWhenUsed/>
    <w:rsid w:val="00D0409D"/>
    <w:pPr>
      <w:tabs>
        <w:tab w:val="center" w:pos="4513"/>
        <w:tab w:val="right" w:pos="9026"/>
      </w:tabs>
    </w:pPr>
  </w:style>
  <w:style w:type="character" w:customStyle="1" w:styleId="FooterChar">
    <w:name w:val="Footer Char"/>
    <w:basedOn w:val="DefaultParagraphFont"/>
    <w:link w:val="Footer"/>
    <w:uiPriority w:val="99"/>
    <w:rsid w:val="00D0409D"/>
  </w:style>
  <w:style w:type="table" w:styleId="TableGrid">
    <w:name w:val="Table Grid"/>
    <w:basedOn w:val="TableNormal"/>
    <w:uiPriority w:val="39"/>
    <w:rsid w:val="00640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EBE"/>
    <w:rPr>
      <w:color w:val="0563C1" w:themeColor="hyperlink"/>
      <w:u w:val="single"/>
    </w:rPr>
  </w:style>
  <w:style w:type="character" w:customStyle="1" w:styleId="UnresolvedMention">
    <w:name w:val="Unresolved Mention"/>
    <w:basedOn w:val="DefaultParagraphFont"/>
    <w:uiPriority w:val="99"/>
    <w:semiHidden/>
    <w:unhideWhenUsed/>
    <w:rsid w:val="00D10EBE"/>
    <w:rPr>
      <w:color w:val="605E5C"/>
      <w:shd w:val="clear" w:color="auto" w:fill="E1DFDD"/>
    </w:rPr>
  </w:style>
  <w:style w:type="character" w:customStyle="1" w:styleId="Heading2Char">
    <w:name w:val="Heading 2 Char"/>
    <w:basedOn w:val="DefaultParagraphFont"/>
    <w:link w:val="Heading2"/>
    <w:uiPriority w:val="9"/>
    <w:rsid w:val="001D064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05C86"/>
    <w:pPr>
      <w:spacing w:before="100" w:beforeAutospacing="1" w:after="100" w:afterAutospacing="1"/>
    </w:pPr>
    <w:rPr>
      <w:rFonts w:ascii="Times New Roman" w:eastAsia="Times New Roman" w:hAnsi="Times New Roman" w:cs="Times New Roman"/>
      <w:sz w:val="24"/>
      <w:szCs w:val="24"/>
      <w:lang/>
    </w:rPr>
  </w:style>
  <w:style w:type="paragraph" w:styleId="FootnoteText">
    <w:name w:val="footnote text"/>
    <w:basedOn w:val="Normal"/>
    <w:link w:val="FootnoteTextChar"/>
    <w:uiPriority w:val="99"/>
    <w:semiHidden/>
    <w:unhideWhenUsed/>
    <w:rsid w:val="00B70179"/>
    <w:rPr>
      <w:sz w:val="20"/>
      <w:szCs w:val="20"/>
    </w:rPr>
  </w:style>
  <w:style w:type="character" w:customStyle="1" w:styleId="FootnoteTextChar">
    <w:name w:val="Footnote Text Char"/>
    <w:basedOn w:val="DefaultParagraphFont"/>
    <w:link w:val="FootnoteText"/>
    <w:uiPriority w:val="99"/>
    <w:semiHidden/>
    <w:rsid w:val="00B70179"/>
    <w:rPr>
      <w:sz w:val="20"/>
      <w:szCs w:val="20"/>
    </w:rPr>
  </w:style>
  <w:style w:type="character" w:styleId="FootnoteReference">
    <w:name w:val="footnote reference"/>
    <w:basedOn w:val="DefaultParagraphFont"/>
    <w:uiPriority w:val="99"/>
    <w:semiHidden/>
    <w:unhideWhenUsed/>
    <w:rsid w:val="00B70179"/>
    <w:rPr>
      <w:vertAlign w:val="superscript"/>
    </w:rPr>
  </w:style>
  <w:style w:type="character" w:styleId="CommentReference">
    <w:name w:val="annotation reference"/>
    <w:basedOn w:val="DefaultParagraphFont"/>
    <w:uiPriority w:val="99"/>
    <w:semiHidden/>
    <w:unhideWhenUsed/>
    <w:rsid w:val="00AE403A"/>
    <w:rPr>
      <w:sz w:val="16"/>
      <w:szCs w:val="16"/>
    </w:rPr>
  </w:style>
  <w:style w:type="paragraph" w:styleId="CommentText">
    <w:name w:val="annotation text"/>
    <w:basedOn w:val="Normal"/>
    <w:link w:val="CommentTextChar"/>
    <w:uiPriority w:val="99"/>
    <w:semiHidden/>
    <w:unhideWhenUsed/>
    <w:rsid w:val="00AE403A"/>
    <w:rPr>
      <w:sz w:val="20"/>
      <w:szCs w:val="20"/>
    </w:rPr>
  </w:style>
  <w:style w:type="character" w:customStyle="1" w:styleId="CommentTextChar">
    <w:name w:val="Comment Text Char"/>
    <w:basedOn w:val="DefaultParagraphFont"/>
    <w:link w:val="CommentText"/>
    <w:uiPriority w:val="99"/>
    <w:semiHidden/>
    <w:rsid w:val="00AE403A"/>
    <w:rPr>
      <w:sz w:val="20"/>
      <w:szCs w:val="20"/>
    </w:rPr>
  </w:style>
  <w:style w:type="paragraph" w:styleId="CommentSubject">
    <w:name w:val="annotation subject"/>
    <w:basedOn w:val="CommentText"/>
    <w:next w:val="CommentText"/>
    <w:link w:val="CommentSubjectChar"/>
    <w:uiPriority w:val="99"/>
    <w:semiHidden/>
    <w:unhideWhenUsed/>
    <w:rsid w:val="00AE403A"/>
    <w:rPr>
      <w:b/>
      <w:bCs/>
    </w:rPr>
  </w:style>
  <w:style w:type="character" w:customStyle="1" w:styleId="CommentSubjectChar">
    <w:name w:val="Comment Subject Char"/>
    <w:basedOn w:val="CommentTextChar"/>
    <w:link w:val="CommentSubject"/>
    <w:uiPriority w:val="99"/>
    <w:semiHidden/>
    <w:rsid w:val="00AE403A"/>
    <w:rPr>
      <w:b/>
      <w:bCs/>
      <w:sz w:val="20"/>
      <w:szCs w:val="20"/>
    </w:rPr>
  </w:style>
  <w:style w:type="paragraph" w:styleId="NoSpacing">
    <w:name w:val="No Spacing"/>
    <w:link w:val="NoSpacingChar"/>
    <w:uiPriority w:val="1"/>
    <w:qFormat/>
    <w:rsid w:val="004F1AD1"/>
    <w:rPr>
      <w:rFonts w:ascii="Arial" w:eastAsia="Calibri" w:hAnsi="Arial" w:cs="Times New Roman"/>
      <w:sz w:val="24"/>
      <w:lang w:val="en-US"/>
    </w:rPr>
  </w:style>
  <w:style w:type="character" w:customStyle="1" w:styleId="NoSpacingChar">
    <w:name w:val="No Spacing Char"/>
    <w:link w:val="NoSpacing"/>
    <w:uiPriority w:val="1"/>
    <w:rsid w:val="004F1AD1"/>
    <w:rPr>
      <w:rFonts w:ascii="Arial" w:eastAsia="Calibri" w:hAnsi="Arial" w:cs="Times New Roman"/>
      <w:sz w:val="24"/>
      <w:lang w:val="en-US"/>
    </w:rPr>
  </w:style>
  <w:style w:type="character" w:customStyle="1" w:styleId="yiv8692860459">
    <w:name w:val="yiv8692860459"/>
    <w:basedOn w:val="DefaultParagraphFont"/>
    <w:rsid w:val="0036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2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C82E4-DC33-4C41-AE17-F267B14FBCEB}"/>
</file>

<file path=customXml/itemProps2.xml><?xml version="1.0" encoding="utf-8"?>
<ds:datastoreItem xmlns:ds="http://schemas.openxmlformats.org/officeDocument/2006/customXml" ds:itemID="{D59F47FB-B384-41CA-9BCE-F3881B494D89}">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5E6BC265-261A-4AD4-A14C-4DA8898A7710}">
  <ds:schemaRefs>
    <ds:schemaRef ds:uri="http://schemas.microsoft.com/sharepoint/v3/contenttype/forms"/>
  </ds:schemaRefs>
</ds:datastoreItem>
</file>

<file path=customXml/itemProps4.xml><?xml version="1.0" encoding="utf-8"?>
<ds:datastoreItem xmlns:ds="http://schemas.openxmlformats.org/officeDocument/2006/customXml" ds:itemID="{326F4010-2E3D-4F30-B6DA-C1FD5872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Chona Idul-Desimpele</dc:creator>
  <cp:keywords/>
  <dc:description/>
  <cp:lastModifiedBy>SANTIZO Melanie</cp:lastModifiedBy>
  <cp:revision>2</cp:revision>
  <dcterms:created xsi:type="dcterms:W3CDTF">2022-03-01T09:18:00Z</dcterms:created>
  <dcterms:modified xsi:type="dcterms:W3CDTF">2022-03-01T09:18:00Z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