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72F2F" w14:textId="77777777" w:rsidR="00550F33" w:rsidRDefault="00550F33" w:rsidP="001D4456">
      <w:pPr>
        <w:spacing w:before="120" w:after="120" w:line="360" w:lineRule="auto"/>
        <w:contextualSpacing/>
        <w:jc w:val="center"/>
        <w:rPr>
          <w:rFonts w:asciiTheme="majorBidi" w:hAnsiTheme="majorBidi" w:cstheme="majorBidi"/>
          <w:b/>
          <w:bCs/>
        </w:rPr>
      </w:pPr>
    </w:p>
    <w:p w14:paraId="259DA116" w14:textId="77777777" w:rsidR="00550F33" w:rsidRDefault="00550F33" w:rsidP="001D4456">
      <w:pPr>
        <w:spacing w:before="120" w:after="120" w:line="360" w:lineRule="auto"/>
        <w:contextualSpacing/>
        <w:jc w:val="center"/>
        <w:rPr>
          <w:rFonts w:asciiTheme="majorBidi" w:hAnsiTheme="majorBidi" w:cstheme="majorBidi"/>
          <w:b/>
          <w:bCs/>
        </w:rPr>
      </w:pPr>
      <w:r>
        <w:rPr>
          <w:rFonts w:asciiTheme="majorBidi" w:hAnsiTheme="majorBidi" w:cstheme="majorBidi"/>
          <w:b/>
          <w:bCs/>
        </w:rPr>
        <w:t xml:space="preserve">Government of Guyana Response to </w:t>
      </w:r>
    </w:p>
    <w:p w14:paraId="3C1085BC" w14:textId="2B3998CB" w:rsidR="00555C91" w:rsidRDefault="001C146E" w:rsidP="001D4456">
      <w:pPr>
        <w:spacing w:before="120" w:after="120" w:line="360" w:lineRule="auto"/>
        <w:contextualSpacing/>
        <w:jc w:val="center"/>
        <w:rPr>
          <w:rFonts w:asciiTheme="majorBidi" w:hAnsiTheme="majorBidi" w:cstheme="majorBidi"/>
          <w:b/>
          <w:bCs/>
        </w:rPr>
      </w:pPr>
      <w:r>
        <w:rPr>
          <w:rFonts w:asciiTheme="majorBidi" w:hAnsiTheme="majorBidi" w:cstheme="majorBidi"/>
          <w:b/>
          <w:bCs/>
        </w:rPr>
        <w:t>Human Rights Council Advisory Committee</w:t>
      </w:r>
    </w:p>
    <w:p w14:paraId="2E200C2C" w14:textId="77777777" w:rsidR="00736B96" w:rsidRDefault="00736B96" w:rsidP="001D4456">
      <w:pPr>
        <w:spacing w:before="120" w:after="120" w:line="360" w:lineRule="auto"/>
        <w:contextualSpacing/>
        <w:jc w:val="center"/>
        <w:rPr>
          <w:rFonts w:asciiTheme="majorBidi" w:hAnsiTheme="majorBidi" w:cstheme="majorBidi"/>
          <w:b/>
          <w:bCs/>
        </w:rPr>
      </w:pPr>
    </w:p>
    <w:p w14:paraId="60E759D5" w14:textId="0483C438" w:rsidR="00577670" w:rsidRDefault="00E251D9" w:rsidP="001D4456">
      <w:pPr>
        <w:spacing w:before="120" w:after="120" w:line="360" w:lineRule="auto"/>
        <w:contextualSpacing/>
        <w:jc w:val="center"/>
        <w:rPr>
          <w:rFonts w:asciiTheme="majorBidi" w:hAnsiTheme="majorBidi" w:cstheme="majorBidi"/>
          <w:b/>
          <w:bCs/>
        </w:rPr>
      </w:pPr>
      <w:r>
        <w:rPr>
          <w:rFonts w:asciiTheme="majorBidi" w:hAnsiTheme="majorBidi" w:cstheme="majorBidi"/>
          <w:b/>
          <w:bCs/>
        </w:rPr>
        <w:t>Questionnaire on</w:t>
      </w:r>
      <w:r w:rsidR="009B5599" w:rsidRPr="00E251D9">
        <w:rPr>
          <w:rFonts w:asciiTheme="majorBidi" w:hAnsiTheme="majorBidi" w:cstheme="majorBidi"/>
          <w:b/>
          <w:bCs/>
        </w:rPr>
        <w:t xml:space="preserve"> </w:t>
      </w:r>
      <w:r w:rsidR="0015545B">
        <w:rPr>
          <w:rFonts w:asciiTheme="majorBidi" w:hAnsiTheme="majorBidi" w:cstheme="majorBidi"/>
          <w:b/>
          <w:bCs/>
        </w:rPr>
        <w:t xml:space="preserve">the impact of </w:t>
      </w:r>
      <w:r w:rsidR="000B2BE7" w:rsidRPr="000B2BE7">
        <w:rPr>
          <w:rFonts w:asciiTheme="majorBidi" w:hAnsiTheme="majorBidi" w:cstheme="majorBidi"/>
          <w:b/>
          <w:bCs/>
        </w:rPr>
        <w:t>new technologies for climate protection</w:t>
      </w:r>
      <w:r w:rsidR="009B5599" w:rsidRPr="00E251D9">
        <w:rPr>
          <w:rFonts w:asciiTheme="majorBidi" w:hAnsiTheme="majorBidi" w:cstheme="majorBidi"/>
          <w:b/>
          <w:bCs/>
        </w:rPr>
        <w:t xml:space="preserve"> </w:t>
      </w:r>
      <w:r w:rsidR="0015545B">
        <w:rPr>
          <w:rFonts w:asciiTheme="majorBidi" w:hAnsiTheme="majorBidi" w:cstheme="majorBidi"/>
          <w:b/>
          <w:bCs/>
        </w:rPr>
        <w:t>on the enjoyment of</w:t>
      </w:r>
      <w:r w:rsidR="0015545B" w:rsidRPr="00E251D9">
        <w:rPr>
          <w:rFonts w:asciiTheme="majorBidi" w:hAnsiTheme="majorBidi" w:cstheme="majorBidi"/>
          <w:b/>
          <w:bCs/>
        </w:rPr>
        <w:t xml:space="preserve"> </w:t>
      </w:r>
      <w:r w:rsidR="009B5599" w:rsidRPr="00E251D9">
        <w:rPr>
          <w:rFonts w:asciiTheme="majorBidi" w:hAnsiTheme="majorBidi" w:cstheme="majorBidi"/>
          <w:b/>
          <w:bCs/>
        </w:rPr>
        <w:t>human rights</w:t>
      </w:r>
      <w:r>
        <w:rPr>
          <w:rFonts w:asciiTheme="majorBidi" w:hAnsiTheme="majorBidi" w:cstheme="majorBidi"/>
          <w:b/>
          <w:bCs/>
        </w:rPr>
        <w:t xml:space="preserve"> </w:t>
      </w:r>
      <w:r w:rsidR="00AD06C6">
        <w:rPr>
          <w:rStyle w:val="FootnoteReference"/>
          <w:rFonts w:asciiTheme="majorBidi" w:hAnsiTheme="majorBidi" w:cstheme="majorBidi"/>
          <w:b/>
          <w:bCs/>
        </w:rPr>
        <w:footnoteReference w:id="1"/>
      </w:r>
    </w:p>
    <w:p w14:paraId="2D20D697" w14:textId="721B7321" w:rsidR="00550F33" w:rsidRDefault="00550F33" w:rsidP="001D4456">
      <w:pPr>
        <w:spacing w:before="120" w:after="120" w:line="360" w:lineRule="auto"/>
        <w:contextualSpacing/>
        <w:jc w:val="center"/>
        <w:rPr>
          <w:rFonts w:asciiTheme="majorBidi" w:hAnsiTheme="majorBidi" w:cstheme="majorBidi"/>
          <w:b/>
          <w:bCs/>
        </w:rPr>
      </w:pPr>
      <w:r>
        <w:rPr>
          <w:rFonts w:asciiTheme="majorBidi" w:hAnsiTheme="majorBidi" w:cstheme="majorBidi"/>
          <w:b/>
          <w:bCs/>
        </w:rPr>
        <w:t>April 29, 2022</w:t>
      </w:r>
    </w:p>
    <w:p w14:paraId="742A6478" w14:textId="77777777" w:rsidR="00AD29DD" w:rsidRDefault="00AD29DD" w:rsidP="001D4456">
      <w:pPr>
        <w:spacing w:before="120" w:after="120" w:line="360" w:lineRule="auto"/>
        <w:contextualSpacing/>
        <w:rPr>
          <w:rFonts w:asciiTheme="majorBidi" w:hAnsiTheme="majorBidi" w:cstheme="majorBidi"/>
          <w:bCs/>
          <w:i/>
          <w:color w:val="FF0000"/>
        </w:rPr>
      </w:pPr>
    </w:p>
    <w:p w14:paraId="6E432AB6" w14:textId="405C39C3" w:rsidR="009B5599" w:rsidRPr="00381474" w:rsidRDefault="00550F33" w:rsidP="001D4456">
      <w:pPr>
        <w:pStyle w:val="Heading1"/>
        <w:spacing w:line="360" w:lineRule="auto"/>
      </w:pPr>
      <w:r>
        <w:t>C</w:t>
      </w:r>
      <w:r w:rsidR="00E251D9" w:rsidRPr="00381474">
        <w:t>ore q</w:t>
      </w:r>
      <w:r w:rsidR="00AB538C" w:rsidRPr="00381474">
        <w:t>uestions</w:t>
      </w:r>
      <w:r w:rsidR="0047099C" w:rsidRPr="00381474">
        <w:t xml:space="preserve"> (for all stakeholders)</w:t>
      </w:r>
    </w:p>
    <w:p w14:paraId="07460A24" w14:textId="56722AC0" w:rsidR="00E62467" w:rsidRDefault="00E62467" w:rsidP="001D4456">
      <w:pPr>
        <w:pStyle w:val="ListParagraph"/>
        <w:numPr>
          <w:ilvl w:val="0"/>
          <w:numId w:val="1"/>
        </w:numPr>
        <w:spacing w:before="120" w:after="120" w:line="360" w:lineRule="auto"/>
        <w:ind w:left="714" w:hanging="357"/>
        <w:contextualSpacing w:val="0"/>
        <w:jc w:val="both"/>
        <w:rPr>
          <w:rFonts w:asciiTheme="majorBidi" w:hAnsiTheme="majorBidi" w:cstheme="majorBidi"/>
          <w:b/>
          <w:bCs/>
          <w:sz w:val="24"/>
          <w:szCs w:val="24"/>
          <w:u w:val="single"/>
        </w:rPr>
      </w:pPr>
      <w:r w:rsidRPr="00381474">
        <w:rPr>
          <w:rFonts w:asciiTheme="majorBidi" w:hAnsiTheme="majorBidi" w:cstheme="majorBidi"/>
          <w:b/>
          <w:bCs/>
          <w:sz w:val="24"/>
          <w:szCs w:val="24"/>
          <w:u w:val="single"/>
        </w:rPr>
        <w:t xml:space="preserve">Which new technologies for climate protection (NTCP) are of particular importance </w:t>
      </w:r>
      <w:r w:rsidR="00CD0035" w:rsidRPr="00381474">
        <w:rPr>
          <w:rFonts w:asciiTheme="majorBidi" w:hAnsiTheme="majorBidi" w:cstheme="majorBidi"/>
          <w:b/>
          <w:bCs/>
          <w:sz w:val="24"/>
          <w:szCs w:val="24"/>
          <w:u w:val="single"/>
        </w:rPr>
        <w:t>when it comes to impact on</w:t>
      </w:r>
      <w:r w:rsidRPr="00381474">
        <w:rPr>
          <w:rFonts w:asciiTheme="majorBidi" w:hAnsiTheme="majorBidi" w:cstheme="majorBidi"/>
          <w:b/>
          <w:bCs/>
          <w:sz w:val="24"/>
          <w:szCs w:val="24"/>
          <w:u w:val="single"/>
        </w:rPr>
        <w:t xml:space="preserve"> human rights? List three most relevant and explain your choice.  </w:t>
      </w:r>
    </w:p>
    <w:p w14:paraId="419D1A0C" w14:textId="779B6DC5" w:rsidR="00B02771" w:rsidRPr="00550F33" w:rsidRDefault="00B02771" w:rsidP="00B02771">
      <w:pPr>
        <w:spacing w:before="120" w:after="120" w:line="360" w:lineRule="auto"/>
        <w:jc w:val="both"/>
        <w:rPr>
          <w:rFonts w:asciiTheme="majorBidi" w:hAnsiTheme="majorBidi" w:cstheme="majorBidi"/>
        </w:rPr>
      </w:pPr>
      <w:r w:rsidRPr="00550F33">
        <w:rPr>
          <w:rFonts w:asciiTheme="majorBidi" w:hAnsiTheme="majorBidi" w:cstheme="majorBidi"/>
        </w:rPr>
        <w:t xml:space="preserve">The state party </w:t>
      </w:r>
      <w:r w:rsidR="0030674E" w:rsidRPr="00550F33">
        <w:rPr>
          <w:rFonts w:asciiTheme="majorBidi" w:hAnsiTheme="majorBidi" w:cstheme="majorBidi"/>
        </w:rPr>
        <w:t>will highlight two technologies for climate protection which are being explored in Guyana:</w:t>
      </w:r>
    </w:p>
    <w:p w14:paraId="5E8C9ED9" w14:textId="221C9E5E" w:rsidR="00EF03B6" w:rsidRPr="00AA5AFB" w:rsidRDefault="00E42D83" w:rsidP="001D4456">
      <w:pPr>
        <w:pStyle w:val="ListParagraph"/>
        <w:numPr>
          <w:ilvl w:val="0"/>
          <w:numId w:val="10"/>
        </w:numPr>
        <w:spacing w:before="120" w:after="120" w:line="360" w:lineRule="auto"/>
        <w:jc w:val="both"/>
        <w:rPr>
          <w:rFonts w:asciiTheme="majorBidi" w:hAnsiTheme="majorBidi" w:cstheme="majorBidi"/>
          <w:sz w:val="24"/>
          <w:szCs w:val="24"/>
        </w:rPr>
      </w:pPr>
      <w:r w:rsidRPr="00AA5AFB">
        <w:rPr>
          <w:rFonts w:asciiTheme="majorBidi" w:hAnsiTheme="majorBidi" w:cstheme="majorBidi"/>
          <w:b/>
          <w:bCs/>
          <w:sz w:val="24"/>
          <w:szCs w:val="24"/>
          <w:u w:val="single"/>
        </w:rPr>
        <w:t>Sustainable energy solutions</w:t>
      </w:r>
      <w:r w:rsidRPr="00AA5AFB">
        <w:rPr>
          <w:rFonts w:asciiTheme="majorBidi" w:hAnsiTheme="majorBidi" w:cstheme="majorBidi"/>
          <w:sz w:val="24"/>
          <w:szCs w:val="24"/>
        </w:rPr>
        <w:t>: Technologies in this area not only ha</w:t>
      </w:r>
      <w:r w:rsidR="00E46547" w:rsidRPr="00AA5AFB">
        <w:rPr>
          <w:rFonts w:asciiTheme="majorBidi" w:hAnsiTheme="majorBidi" w:cstheme="majorBidi"/>
          <w:sz w:val="24"/>
          <w:szCs w:val="24"/>
        </w:rPr>
        <w:t>ve</w:t>
      </w:r>
      <w:r w:rsidRPr="00AA5AFB">
        <w:rPr>
          <w:rFonts w:asciiTheme="majorBidi" w:hAnsiTheme="majorBidi" w:cstheme="majorBidi"/>
          <w:sz w:val="24"/>
          <w:szCs w:val="24"/>
        </w:rPr>
        <w:t xml:space="preserve"> the potential to reduce GHG emissions, but also ensure energy security which is needed for people </w:t>
      </w:r>
      <w:r w:rsidR="00550F33">
        <w:rPr>
          <w:rFonts w:asciiTheme="majorBidi" w:hAnsiTheme="majorBidi" w:cstheme="majorBidi"/>
          <w:sz w:val="24"/>
          <w:szCs w:val="24"/>
        </w:rPr>
        <w:t xml:space="preserve">and communities </w:t>
      </w:r>
      <w:r w:rsidRPr="00AA5AFB">
        <w:rPr>
          <w:rFonts w:asciiTheme="majorBidi" w:hAnsiTheme="majorBidi" w:cstheme="majorBidi"/>
          <w:sz w:val="24"/>
          <w:szCs w:val="24"/>
        </w:rPr>
        <w:t>to become resilient to the impacts of climate change.</w:t>
      </w:r>
      <w:r w:rsidR="00465261" w:rsidRPr="00AA5AFB">
        <w:rPr>
          <w:rFonts w:asciiTheme="majorBidi" w:hAnsiTheme="majorBidi" w:cstheme="majorBidi"/>
          <w:sz w:val="24"/>
          <w:szCs w:val="24"/>
        </w:rPr>
        <w:t xml:space="preserve"> </w:t>
      </w:r>
    </w:p>
    <w:p w14:paraId="3EF44CD9" w14:textId="77777777" w:rsidR="00550F33" w:rsidRDefault="00465261" w:rsidP="001D4456">
      <w:pPr>
        <w:pStyle w:val="ListParagraph"/>
        <w:spacing w:before="120" w:after="120" w:line="360" w:lineRule="auto"/>
        <w:jc w:val="both"/>
        <w:rPr>
          <w:rFonts w:asciiTheme="majorBidi" w:hAnsiTheme="majorBidi" w:cstheme="majorBidi"/>
          <w:sz w:val="24"/>
          <w:szCs w:val="24"/>
        </w:rPr>
      </w:pPr>
      <w:r w:rsidRPr="00AA5AFB">
        <w:rPr>
          <w:rFonts w:asciiTheme="majorBidi" w:hAnsiTheme="majorBidi" w:cstheme="majorBidi"/>
          <w:sz w:val="24"/>
          <w:szCs w:val="24"/>
        </w:rPr>
        <w:t>The transition to renewable energy solutions is a necessary step for the protection of human rights. This is especially so given that the negative effects of climate change</w:t>
      </w:r>
      <w:r w:rsidR="00FB2868" w:rsidRPr="00AA5AFB">
        <w:rPr>
          <w:rFonts w:asciiTheme="majorBidi" w:hAnsiTheme="majorBidi" w:cstheme="majorBidi"/>
          <w:sz w:val="24"/>
          <w:szCs w:val="24"/>
        </w:rPr>
        <w:t xml:space="preserve">. </w:t>
      </w:r>
    </w:p>
    <w:p w14:paraId="0EA03539" w14:textId="77777777" w:rsidR="00550F33" w:rsidRDefault="00FB2868" w:rsidP="001D4456">
      <w:pPr>
        <w:pStyle w:val="ListParagraph"/>
        <w:spacing w:before="120" w:after="120" w:line="360" w:lineRule="auto"/>
        <w:jc w:val="both"/>
        <w:rPr>
          <w:rFonts w:asciiTheme="majorBidi" w:hAnsiTheme="majorBidi" w:cstheme="majorBidi"/>
          <w:sz w:val="24"/>
          <w:szCs w:val="24"/>
        </w:rPr>
      </w:pPr>
      <w:r w:rsidRPr="00AA5AFB">
        <w:rPr>
          <w:rFonts w:asciiTheme="majorBidi" w:hAnsiTheme="majorBidi" w:cstheme="majorBidi"/>
          <w:sz w:val="24"/>
          <w:szCs w:val="24"/>
        </w:rPr>
        <w:t xml:space="preserve">Guyana is primarily prone to flooding and droughts, which have more devastating effects on rural and hinterland communities, which face greater vulnerability and lower capacity to mitigate such hazards. </w:t>
      </w:r>
      <w:r w:rsidR="00475C92" w:rsidRPr="00AA5AFB">
        <w:rPr>
          <w:rFonts w:asciiTheme="majorBidi" w:hAnsiTheme="majorBidi" w:cstheme="majorBidi"/>
          <w:sz w:val="24"/>
          <w:szCs w:val="24"/>
        </w:rPr>
        <w:t xml:space="preserve">As reported in Guyana’s first Voluntary National Review under the SDGs, providing electricity to communities in the hinterland remains difficult due to the high cost of access and infrastructure expansion. </w:t>
      </w:r>
      <w:r w:rsidR="003A7B02" w:rsidRPr="00AA5AFB">
        <w:rPr>
          <w:rFonts w:asciiTheme="majorBidi" w:hAnsiTheme="majorBidi" w:cstheme="majorBidi"/>
          <w:sz w:val="24"/>
          <w:szCs w:val="24"/>
        </w:rPr>
        <w:t>Nevertheless, e</w:t>
      </w:r>
      <w:r w:rsidR="00475C92" w:rsidRPr="00AA5AFB">
        <w:rPr>
          <w:rFonts w:asciiTheme="majorBidi" w:hAnsiTheme="majorBidi" w:cstheme="majorBidi"/>
          <w:sz w:val="24"/>
          <w:szCs w:val="24"/>
        </w:rPr>
        <w:t xml:space="preserve">lectricity provision </w:t>
      </w:r>
      <w:r w:rsidR="003A7B02" w:rsidRPr="00AA5AFB">
        <w:rPr>
          <w:rFonts w:asciiTheme="majorBidi" w:hAnsiTheme="majorBidi" w:cstheme="majorBidi"/>
          <w:sz w:val="24"/>
          <w:szCs w:val="24"/>
        </w:rPr>
        <w:t xml:space="preserve">is important for the </w:t>
      </w:r>
      <w:r w:rsidR="00550F33">
        <w:rPr>
          <w:rFonts w:asciiTheme="majorBidi" w:hAnsiTheme="majorBidi" w:cstheme="majorBidi"/>
          <w:sz w:val="24"/>
          <w:szCs w:val="24"/>
        </w:rPr>
        <w:t xml:space="preserve">overall </w:t>
      </w:r>
      <w:r w:rsidR="003A7B02" w:rsidRPr="00AA5AFB">
        <w:rPr>
          <w:rFonts w:asciiTheme="majorBidi" w:hAnsiTheme="majorBidi" w:cstheme="majorBidi"/>
          <w:sz w:val="24"/>
          <w:szCs w:val="24"/>
        </w:rPr>
        <w:t>socio-economic development of those communities,</w:t>
      </w:r>
      <w:r w:rsidR="00550F33">
        <w:rPr>
          <w:rFonts w:asciiTheme="majorBidi" w:hAnsiTheme="majorBidi" w:cstheme="majorBidi"/>
          <w:sz w:val="24"/>
          <w:szCs w:val="24"/>
        </w:rPr>
        <w:t xml:space="preserve"> equalizing </w:t>
      </w:r>
    </w:p>
    <w:p w14:paraId="696DE2C6" w14:textId="77777777" w:rsidR="00550F33" w:rsidRDefault="00550F33" w:rsidP="001D4456">
      <w:pPr>
        <w:pStyle w:val="ListParagraph"/>
        <w:spacing w:before="120" w:after="120" w:line="360" w:lineRule="auto"/>
        <w:jc w:val="both"/>
        <w:rPr>
          <w:rFonts w:asciiTheme="majorBidi" w:hAnsiTheme="majorBidi" w:cstheme="majorBidi"/>
          <w:sz w:val="24"/>
          <w:szCs w:val="24"/>
        </w:rPr>
      </w:pPr>
    </w:p>
    <w:p w14:paraId="37A1C349" w14:textId="77777777" w:rsidR="00550F33" w:rsidRDefault="00550F33" w:rsidP="001D4456">
      <w:pPr>
        <w:pStyle w:val="ListParagraph"/>
        <w:spacing w:before="120" w:after="120" w:line="360" w:lineRule="auto"/>
        <w:jc w:val="both"/>
        <w:rPr>
          <w:rFonts w:asciiTheme="majorBidi" w:hAnsiTheme="majorBidi" w:cstheme="majorBidi"/>
          <w:sz w:val="24"/>
          <w:szCs w:val="24"/>
        </w:rPr>
      </w:pPr>
    </w:p>
    <w:p w14:paraId="6583AD0D" w14:textId="120A7FBA" w:rsidR="00E42D83" w:rsidRPr="00AA5AFB" w:rsidRDefault="00550F33" w:rsidP="001D4456">
      <w:pPr>
        <w:pStyle w:val="ListParagraph"/>
        <w:spacing w:before="120" w:after="120" w:line="360" w:lineRule="auto"/>
        <w:jc w:val="both"/>
        <w:rPr>
          <w:rFonts w:asciiTheme="majorBidi" w:hAnsiTheme="majorBidi" w:cstheme="majorBidi"/>
          <w:sz w:val="24"/>
          <w:szCs w:val="24"/>
        </w:rPr>
      </w:pPr>
      <w:proofErr w:type="gramStart"/>
      <w:r>
        <w:rPr>
          <w:rFonts w:asciiTheme="majorBidi" w:hAnsiTheme="majorBidi" w:cstheme="majorBidi"/>
          <w:sz w:val="24"/>
          <w:szCs w:val="24"/>
        </w:rPr>
        <w:t>their</w:t>
      </w:r>
      <w:proofErr w:type="gramEnd"/>
      <w:r>
        <w:rPr>
          <w:rFonts w:asciiTheme="majorBidi" w:hAnsiTheme="majorBidi" w:cstheme="majorBidi"/>
          <w:sz w:val="24"/>
          <w:szCs w:val="24"/>
        </w:rPr>
        <w:t xml:space="preserve"> access to goods and services, </w:t>
      </w:r>
      <w:r w:rsidR="003A7B02" w:rsidRPr="00AA5AFB">
        <w:rPr>
          <w:rFonts w:asciiTheme="majorBidi" w:hAnsiTheme="majorBidi" w:cstheme="majorBidi"/>
          <w:sz w:val="24"/>
          <w:szCs w:val="24"/>
        </w:rPr>
        <w:t xml:space="preserve">and, as such, technologies that provide sustainable energy solutions will greatly improve both the ease and cost of providing electricity to hinterland communities. </w:t>
      </w:r>
      <w:r w:rsidR="00E35D22" w:rsidRPr="00AA5AFB">
        <w:rPr>
          <w:rFonts w:asciiTheme="majorBidi" w:hAnsiTheme="majorBidi" w:cstheme="majorBidi"/>
          <w:sz w:val="24"/>
          <w:szCs w:val="24"/>
        </w:rPr>
        <w:t xml:space="preserve">Such solutions serve the dual purpose of reducing the harmful effects of fossil fuels on the environment and providing a necessary infrastructure for the fulfillment of the economic and social rights of the citizens who </w:t>
      </w:r>
      <w:r w:rsidR="00AE6B1C" w:rsidRPr="00AA5AFB">
        <w:rPr>
          <w:rFonts w:asciiTheme="majorBidi" w:hAnsiTheme="majorBidi" w:cstheme="majorBidi"/>
          <w:sz w:val="24"/>
          <w:szCs w:val="24"/>
        </w:rPr>
        <w:t xml:space="preserve">stand to </w:t>
      </w:r>
      <w:r w:rsidR="00E35D22" w:rsidRPr="00AA5AFB">
        <w:rPr>
          <w:rFonts w:asciiTheme="majorBidi" w:hAnsiTheme="majorBidi" w:cstheme="majorBidi"/>
          <w:sz w:val="24"/>
          <w:szCs w:val="24"/>
        </w:rPr>
        <w:t xml:space="preserve">benefit. </w:t>
      </w:r>
    </w:p>
    <w:p w14:paraId="23325C61" w14:textId="38189CD6" w:rsidR="00E35D22" w:rsidRPr="00AA5AFB" w:rsidRDefault="00E35D22" w:rsidP="001D4456">
      <w:pPr>
        <w:pStyle w:val="ListParagraph"/>
        <w:spacing w:before="120" w:after="120" w:line="360" w:lineRule="auto"/>
        <w:jc w:val="both"/>
        <w:rPr>
          <w:rFonts w:asciiTheme="majorBidi" w:hAnsiTheme="majorBidi" w:cstheme="majorBidi"/>
          <w:sz w:val="24"/>
          <w:szCs w:val="24"/>
        </w:rPr>
      </w:pPr>
      <w:r w:rsidRPr="00AA5AFB">
        <w:rPr>
          <w:rFonts w:asciiTheme="majorBidi" w:hAnsiTheme="majorBidi" w:cstheme="majorBidi"/>
          <w:sz w:val="24"/>
          <w:szCs w:val="24"/>
        </w:rPr>
        <w:t xml:space="preserve">Through the </w:t>
      </w:r>
      <w:r w:rsidR="00550F33">
        <w:rPr>
          <w:rFonts w:asciiTheme="majorBidi" w:hAnsiTheme="majorBidi" w:cstheme="majorBidi"/>
          <w:sz w:val="24"/>
          <w:szCs w:val="24"/>
        </w:rPr>
        <w:t xml:space="preserve">expanded </w:t>
      </w:r>
      <w:r w:rsidRPr="00AA5AFB">
        <w:rPr>
          <w:rFonts w:asciiTheme="majorBidi" w:hAnsiTheme="majorBidi" w:cstheme="majorBidi"/>
          <w:sz w:val="24"/>
          <w:szCs w:val="24"/>
        </w:rPr>
        <w:t>Low Carbon Development Strategy</w:t>
      </w:r>
      <w:r w:rsidR="00550F33">
        <w:rPr>
          <w:rStyle w:val="FootnoteReference"/>
          <w:rFonts w:asciiTheme="majorBidi" w:hAnsiTheme="majorBidi" w:cstheme="majorBidi"/>
          <w:sz w:val="24"/>
          <w:szCs w:val="24"/>
        </w:rPr>
        <w:footnoteReference w:id="2"/>
      </w:r>
      <w:r w:rsidR="00550F33">
        <w:rPr>
          <w:rFonts w:asciiTheme="majorBidi" w:hAnsiTheme="majorBidi" w:cstheme="majorBidi"/>
          <w:sz w:val="24"/>
          <w:szCs w:val="24"/>
        </w:rPr>
        <w:t xml:space="preserve"> 2030,</w:t>
      </w:r>
      <w:r w:rsidRPr="00AA5AFB">
        <w:rPr>
          <w:rFonts w:asciiTheme="majorBidi" w:hAnsiTheme="majorBidi" w:cstheme="majorBidi"/>
          <w:sz w:val="24"/>
          <w:szCs w:val="24"/>
        </w:rPr>
        <w:t xml:space="preserve"> Guyana is aiming to undertake one of the world’s most ambitious energy transitions</w:t>
      </w:r>
      <w:r w:rsidR="00AE6B1C" w:rsidRPr="00AA5AFB">
        <w:rPr>
          <w:rFonts w:asciiTheme="majorBidi" w:hAnsiTheme="majorBidi" w:cstheme="majorBidi"/>
          <w:sz w:val="24"/>
          <w:szCs w:val="24"/>
        </w:rPr>
        <w:t xml:space="preserve"> and expanding the economy up to five-fold, while keeping greenhouse gas emissions from energy generation at their 2019 levels. This transition will be accomplished by replacing expensive, polluting, heav</w:t>
      </w:r>
      <w:r w:rsidR="00550F33">
        <w:rPr>
          <w:rFonts w:asciiTheme="majorBidi" w:hAnsiTheme="majorBidi" w:cstheme="majorBidi"/>
          <w:sz w:val="24"/>
          <w:szCs w:val="24"/>
        </w:rPr>
        <w:t>y</w:t>
      </w:r>
      <w:r w:rsidR="00AE6B1C" w:rsidRPr="00AA5AFB">
        <w:rPr>
          <w:rFonts w:asciiTheme="majorBidi" w:hAnsiTheme="majorBidi" w:cstheme="majorBidi"/>
          <w:sz w:val="24"/>
          <w:szCs w:val="24"/>
        </w:rPr>
        <w:t xml:space="preserve"> fuel oil with </w:t>
      </w:r>
      <w:r w:rsidR="00550F33">
        <w:rPr>
          <w:rFonts w:asciiTheme="majorBidi" w:hAnsiTheme="majorBidi" w:cstheme="majorBidi"/>
          <w:sz w:val="24"/>
          <w:szCs w:val="24"/>
        </w:rPr>
        <w:t xml:space="preserve">an </w:t>
      </w:r>
      <w:r w:rsidR="00550F33" w:rsidRPr="00AA5AFB">
        <w:rPr>
          <w:rFonts w:asciiTheme="majorBidi" w:hAnsiTheme="majorBidi" w:cstheme="majorBidi"/>
          <w:sz w:val="24"/>
          <w:szCs w:val="24"/>
        </w:rPr>
        <w:t xml:space="preserve">energy system built mainly </w:t>
      </w:r>
      <w:r w:rsidR="00550F33">
        <w:rPr>
          <w:rFonts w:asciiTheme="majorBidi" w:hAnsiTheme="majorBidi" w:cstheme="majorBidi"/>
          <w:sz w:val="24"/>
          <w:szCs w:val="24"/>
        </w:rPr>
        <w:t>on natural gas as a bridge with hydropower, solar and wind power.</w:t>
      </w:r>
    </w:p>
    <w:p w14:paraId="535A5CD9" w14:textId="35F58DDB" w:rsidR="00444B7A" w:rsidRPr="00AA5AFB" w:rsidRDefault="00444B7A" w:rsidP="001D4456">
      <w:pPr>
        <w:pStyle w:val="ListParagraph"/>
        <w:spacing w:before="120" w:after="120" w:line="360" w:lineRule="auto"/>
        <w:jc w:val="both"/>
        <w:rPr>
          <w:rFonts w:asciiTheme="majorBidi" w:hAnsiTheme="majorBidi" w:cstheme="majorBidi"/>
          <w:sz w:val="24"/>
          <w:szCs w:val="24"/>
        </w:rPr>
      </w:pPr>
      <w:r w:rsidRPr="00AA5AFB">
        <w:rPr>
          <w:rFonts w:asciiTheme="majorBidi" w:hAnsiTheme="majorBidi" w:cstheme="majorBidi"/>
          <w:sz w:val="24"/>
          <w:szCs w:val="24"/>
        </w:rPr>
        <w:t>Notwithstanding the benefits of renewable en</w:t>
      </w:r>
      <w:r w:rsidR="00550F33">
        <w:rPr>
          <w:rFonts w:asciiTheme="majorBidi" w:hAnsiTheme="majorBidi" w:cstheme="majorBidi"/>
          <w:sz w:val="24"/>
          <w:szCs w:val="24"/>
        </w:rPr>
        <w:t>er</w:t>
      </w:r>
      <w:r w:rsidRPr="00AA5AFB">
        <w:rPr>
          <w:rFonts w:asciiTheme="majorBidi" w:hAnsiTheme="majorBidi" w:cstheme="majorBidi"/>
          <w:sz w:val="24"/>
          <w:szCs w:val="24"/>
        </w:rPr>
        <w:t xml:space="preserve">gy transition, there is often concern surrounding the risk that they may have negative effects on indigenous land rights and, subsequently, </w:t>
      </w:r>
      <w:r w:rsidR="006C1CFB" w:rsidRPr="00AA5AFB">
        <w:rPr>
          <w:rFonts w:asciiTheme="majorBidi" w:hAnsiTheme="majorBidi" w:cstheme="majorBidi"/>
          <w:sz w:val="24"/>
          <w:szCs w:val="24"/>
        </w:rPr>
        <w:t xml:space="preserve">livelihoods of communities dependent on the lands. To mitigate these risks, the LCDS 2030 makes provisions for targeted support for Amerindian and other forest-dependent communities, with a dedicated 15 percent of revenues from forest climate services being added to other investments for </w:t>
      </w:r>
      <w:r w:rsidR="00550F33">
        <w:rPr>
          <w:rFonts w:asciiTheme="majorBidi" w:hAnsiTheme="majorBidi" w:cstheme="majorBidi"/>
          <w:sz w:val="24"/>
          <w:szCs w:val="24"/>
        </w:rPr>
        <w:t xml:space="preserve">these indigenous </w:t>
      </w:r>
      <w:r w:rsidR="006C1CFB" w:rsidRPr="00AA5AFB">
        <w:rPr>
          <w:rFonts w:asciiTheme="majorBidi" w:hAnsiTheme="majorBidi" w:cstheme="majorBidi"/>
          <w:sz w:val="24"/>
          <w:szCs w:val="24"/>
        </w:rPr>
        <w:t xml:space="preserve">communities. </w:t>
      </w:r>
    </w:p>
    <w:p w14:paraId="42BA1FFF" w14:textId="77777777" w:rsidR="00C86213" w:rsidRPr="00C86213" w:rsidRDefault="006A55C9" w:rsidP="001D4456">
      <w:pPr>
        <w:pStyle w:val="ListParagraph"/>
        <w:numPr>
          <w:ilvl w:val="0"/>
          <w:numId w:val="10"/>
        </w:numPr>
        <w:spacing w:before="120" w:after="120" w:line="360" w:lineRule="auto"/>
        <w:jc w:val="both"/>
        <w:rPr>
          <w:rFonts w:ascii="Times New Roman" w:hAnsi="Times New Roman" w:cs="Times New Roman"/>
          <w:sz w:val="24"/>
          <w:szCs w:val="24"/>
        </w:rPr>
      </w:pPr>
      <w:r w:rsidRPr="00C1164D">
        <w:rPr>
          <w:rFonts w:ascii="Times New Roman" w:hAnsi="Times New Roman" w:cs="Times New Roman"/>
          <w:b/>
          <w:bCs/>
          <w:sz w:val="24"/>
          <w:szCs w:val="24"/>
        </w:rPr>
        <w:t>Increase in natural carbon capture</w:t>
      </w:r>
      <w:r w:rsidR="004F3FD8" w:rsidRPr="00C1164D">
        <w:rPr>
          <w:rFonts w:ascii="Times New Roman" w:hAnsi="Times New Roman" w:cs="Times New Roman"/>
          <w:b/>
          <w:bCs/>
          <w:sz w:val="24"/>
          <w:szCs w:val="24"/>
        </w:rPr>
        <w:t xml:space="preserve"> and storage</w:t>
      </w:r>
      <w:r w:rsidR="00B052DF" w:rsidRPr="00C1164D">
        <w:rPr>
          <w:rFonts w:ascii="Times New Roman" w:hAnsi="Times New Roman" w:cs="Times New Roman"/>
          <w:b/>
          <w:bCs/>
          <w:sz w:val="24"/>
          <w:szCs w:val="24"/>
        </w:rPr>
        <w:t>:</w:t>
      </w:r>
      <w:r w:rsidR="00B052DF" w:rsidRPr="00C1164D">
        <w:rPr>
          <w:rFonts w:ascii="Times New Roman" w:hAnsi="Times New Roman" w:cs="Times New Roman"/>
          <w:sz w:val="24"/>
          <w:szCs w:val="24"/>
        </w:rPr>
        <w:t xml:space="preserve"> </w:t>
      </w:r>
      <w:r w:rsidR="007A174A" w:rsidRPr="00C1164D">
        <w:rPr>
          <w:rFonts w:ascii="Times New Roman" w:hAnsi="Times New Roman" w:cs="Times New Roman"/>
          <w:sz w:val="24"/>
          <w:szCs w:val="24"/>
        </w:rPr>
        <w:t>These technologies are important for sequestering carbon dioxide, along with climate regulation</w:t>
      </w:r>
      <w:r w:rsidRPr="00C1164D">
        <w:rPr>
          <w:rFonts w:ascii="Times New Roman" w:hAnsi="Times New Roman" w:cs="Times New Roman"/>
          <w:sz w:val="24"/>
          <w:szCs w:val="24"/>
        </w:rPr>
        <w:t xml:space="preserve"> and in some instances such as mangroves and forests help with reducing the impacts of climate events.</w:t>
      </w:r>
      <w:r w:rsidR="00654303" w:rsidRPr="00C1164D">
        <w:rPr>
          <w:rFonts w:ascii="Times New Roman" w:hAnsi="Times New Roman" w:cs="Times New Roman"/>
          <w:sz w:val="24"/>
          <w:szCs w:val="24"/>
        </w:rPr>
        <w:t xml:space="preserve"> The International Energy Agency (IEA) recommends t</w:t>
      </w:r>
      <w:r w:rsidR="00582001" w:rsidRPr="00C1164D">
        <w:rPr>
          <w:rFonts w:ascii="Times New Roman" w:hAnsi="Times New Roman" w:cs="Times New Roman"/>
          <w:sz w:val="24"/>
          <w:szCs w:val="24"/>
        </w:rPr>
        <w:t>he use of Carbon Capture</w:t>
      </w:r>
      <w:r w:rsidR="00AA5AFB" w:rsidRPr="00C1164D">
        <w:rPr>
          <w:rFonts w:ascii="Times New Roman" w:hAnsi="Times New Roman" w:cs="Times New Roman"/>
          <w:sz w:val="24"/>
          <w:szCs w:val="24"/>
        </w:rPr>
        <w:t>, Utilization</w:t>
      </w:r>
      <w:r w:rsidR="00582001" w:rsidRPr="00C1164D">
        <w:rPr>
          <w:rFonts w:ascii="Times New Roman" w:hAnsi="Times New Roman" w:cs="Times New Roman"/>
          <w:sz w:val="24"/>
          <w:szCs w:val="24"/>
        </w:rPr>
        <w:t xml:space="preserve"> and Storage (CC</w:t>
      </w:r>
      <w:r w:rsidR="00AA5AFB" w:rsidRPr="00C1164D">
        <w:rPr>
          <w:rFonts w:ascii="Times New Roman" w:hAnsi="Times New Roman" w:cs="Times New Roman"/>
          <w:sz w:val="24"/>
          <w:szCs w:val="24"/>
        </w:rPr>
        <w:t>U</w:t>
      </w:r>
      <w:r w:rsidR="00582001" w:rsidRPr="00C1164D">
        <w:rPr>
          <w:rFonts w:ascii="Times New Roman" w:hAnsi="Times New Roman" w:cs="Times New Roman"/>
          <w:sz w:val="24"/>
          <w:szCs w:val="24"/>
        </w:rPr>
        <w:t xml:space="preserve">S) technology by all investors involved in developing new fossil fuels </w:t>
      </w:r>
      <w:r w:rsidR="00C81AF8" w:rsidRPr="00C1164D">
        <w:rPr>
          <w:rFonts w:ascii="Times New Roman" w:hAnsi="Times New Roman" w:cs="Times New Roman"/>
          <w:sz w:val="24"/>
          <w:szCs w:val="24"/>
        </w:rPr>
        <w:t>projects to reduce emissions</w:t>
      </w:r>
      <w:r w:rsidR="00C81AF8" w:rsidRPr="00C1164D">
        <w:rPr>
          <w:rStyle w:val="FootnoteReference"/>
          <w:rFonts w:ascii="Times New Roman" w:hAnsi="Times New Roman" w:cs="Times New Roman"/>
          <w:sz w:val="24"/>
          <w:szCs w:val="24"/>
        </w:rPr>
        <w:footnoteReference w:id="3"/>
      </w:r>
      <w:r w:rsidR="00C81AF8" w:rsidRPr="00C1164D">
        <w:rPr>
          <w:rFonts w:ascii="Times New Roman" w:hAnsi="Times New Roman" w:cs="Times New Roman"/>
          <w:sz w:val="24"/>
          <w:szCs w:val="24"/>
        </w:rPr>
        <w:t xml:space="preserve">. </w:t>
      </w:r>
      <w:r w:rsidR="00AA5AFB" w:rsidRPr="00C1164D">
        <w:rPr>
          <w:rFonts w:ascii="Times New Roman" w:hAnsi="Times New Roman" w:cs="Times New Roman"/>
          <w:color w:val="000000"/>
          <w:sz w:val="24"/>
          <w:szCs w:val="24"/>
          <w:shd w:val="clear" w:color="auto" w:fill="FFFFFF"/>
        </w:rPr>
        <w:t>CCUS technology is the process of capturing, storing and sometimes utilizing CO2 that would have otherwise been emitted to the atmosphere. The CO2 is often stored in geological formations where it can be kept safely and permanently. </w:t>
      </w:r>
      <w:r w:rsidR="00B56DC3" w:rsidRPr="00C1164D">
        <w:rPr>
          <w:rFonts w:ascii="Times New Roman" w:hAnsi="Times New Roman" w:cs="Times New Roman"/>
          <w:color w:val="000000"/>
          <w:sz w:val="24"/>
          <w:szCs w:val="24"/>
          <w:shd w:val="clear" w:color="auto" w:fill="FFFFFF"/>
        </w:rPr>
        <w:t xml:space="preserve">CCUS can also be used to reduce CO2 in carbon-intensive sectors such as cement, mining, and steel. In fact, CCUS technology is still the cheapest and most </w:t>
      </w:r>
    </w:p>
    <w:p w14:paraId="7F0B813F" w14:textId="77777777" w:rsidR="00C86213" w:rsidRPr="00C86213" w:rsidRDefault="00C86213" w:rsidP="00C86213">
      <w:pPr>
        <w:spacing w:before="120" w:after="120" w:line="360" w:lineRule="auto"/>
        <w:ind w:left="360"/>
        <w:jc w:val="both"/>
      </w:pPr>
    </w:p>
    <w:p w14:paraId="1D09A6BF" w14:textId="796A5353" w:rsidR="00B56DC3" w:rsidRPr="00C86213" w:rsidRDefault="00B56DC3" w:rsidP="00C86213">
      <w:pPr>
        <w:spacing w:before="120" w:after="120" w:line="360" w:lineRule="auto"/>
        <w:ind w:left="720"/>
        <w:jc w:val="both"/>
      </w:pPr>
      <w:proofErr w:type="gramStart"/>
      <w:r w:rsidRPr="00C86213">
        <w:rPr>
          <w:color w:val="000000"/>
          <w:shd w:val="clear" w:color="auto" w:fill="FFFFFF"/>
        </w:rPr>
        <w:t>advanced</w:t>
      </w:r>
      <w:proofErr w:type="gramEnd"/>
      <w:r w:rsidRPr="00C86213">
        <w:rPr>
          <w:color w:val="000000"/>
          <w:shd w:val="clear" w:color="auto" w:fill="FFFFFF"/>
        </w:rPr>
        <w:t xml:space="preserve"> option for reducing emissions in heavy industries, raising costs by less than 10 percent compared to 35 to 70 percent for electrolytic hydrogen</w:t>
      </w:r>
      <w:r w:rsidR="00D074BB" w:rsidRPr="00C1164D">
        <w:rPr>
          <w:rStyle w:val="FootnoteReference"/>
          <w:color w:val="000000"/>
          <w:shd w:val="clear" w:color="auto" w:fill="FFFFFF"/>
        </w:rPr>
        <w:footnoteReference w:id="4"/>
      </w:r>
      <w:r w:rsidRPr="00C86213">
        <w:rPr>
          <w:color w:val="000000"/>
          <w:shd w:val="clear" w:color="auto" w:fill="FFFFFF"/>
        </w:rPr>
        <w:t>.</w:t>
      </w:r>
    </w:p>
    <w:p w14:paraId="46F53C43" w14:textId="55847206" w:rsidR="002D791E" w:rsidRPr="00C1164D" w:rsidRDefault="002D791E" w:rsidP="001D4456">
      <w:pPr>
        <w:pStyle w:val="ListParagraph"/>
        <w:spacing w:before="120" w:after="120" w:line="360" w:lineRule="auto"/>
        <w:jc w:val="both"/>
        <w:rPr>
          <w:rFonts w:ascii="Times New Roman" w:hAnsi="Times New Roman" w:cs="Times New Roman"/>
          <w:color w:val="222222"/>
          <w:sz w:val="24"/>
          <w:szCs w:val="24"/>
          <w:shd w:val="clear" w:color="auto" w:fill="FFFFFF"/>
        </w:rPr>
      </w:pPr>
      <w:r w:rsidRPr="00C1164D">
        <w:rPr>
          <w:rFonts w:ascii="Times New Roman" w:hAnsi="Times New Roman" w:cs="Times New Roman"/>
          <w:sz w:val="24"/>
          <w:szCs w:val="24"/>
        </w:rPr>
        <w:t>Guyana has integrated, as a requirement in the Environmental Permit granted to ExxonMobil for the development of the Yellowtail Project, the need for the company to provide</w:t>
      </w:r>
      <w:r w:rsidR="00C86213">
        <w:rPr>
          <w:rFonts w:ascii="Times New Roman" w:hAnsi="Times New Roman" w:cs="Times New Roman"/>
          <w:sz w:val="24"/>
          <w:szCs w:val="24"/>
        </w:rPr>
        <w:t xml:space="preserve"> the G</w:t>
      </w:r>
      <w:r w:rsidRPr="00C1164D">
        <w:rPr>
          <w:rFonts w:ascii="Times New Roman" w:hAnsi="Times New Roman" w:cs="Times New Roman"/>
          <w:sz w:val="24"/>
          <w:szCs w:val="24"/>
        </w:rPr>
        <w:t>overnment with a roadmap for emissions reduction and an examination of the feasibility of Carbon Capture, Utilization and Storage technologies</w:t>
      </w:r>
      <w:r w:rsidR="00D074BB" w:rsidRPr="00C1164D">
        <w:rPr>
          <w:rStyle w:val="FootnoteReference"/>
          <w:rFonts w:ascii="Times New Roman" w:hAnsi="Times New Roman" w:cs="Times New Roman"/>
          <w:color w:val="222222"/>
          <w:sz w:val="24"/>
          <w:szCs w:val="24"/>
          <w:shd w:val="clear" w:color="auto" w:fill="FFFFFF"/>
        </w:rPr>
        <w:footnoteReference w:id="5"/>
      </w:r>
      <w:r w:rsidR="00D074BB" w:rsidRPr="00C1164D">
        <w:rPr>
          <w:rFonts w:ascii="Times New Roman" w:hAnsi="Times New Roman" w:cs="Times New Roman"/>
          <w:color w:val="222222"/>
          <w:sz w:val="24"/>
          <w:szCs w:val="24"/>
          <w:shd w:val="clear" w:color="auto" w:fill="FFFFFF"/>
        </w:rPr>
        <w:t>. The provisions of the permit state at Section 3.22 that</w:t>
      </w:r>
    </w:p>
    <w:p w14:paraId="7B627443" w14:textId="3A1EA7F4" w:rsidR="002D791E" w:rsidRPr="00C1164D" w:rsidRDefault="002D791E" w:rsidP="001D4456">
      <w:pPr>
        <w:pStyle w:val="ListParagraph"/>
        <w:spacing w:before="120" w:after="120" w:line="360" w:lineRule="auto"/>
        <w:ind w:right="720"/>
        <w:jc w:val="both"/>
        <w:rPr>
          <w:rFonts w:ascii="Times New Roman" w:hAnsi="Times New Roman" w:cs="Times New Roman"/>
          <w:color w:val="222222"/>
          <w:sz w:val="24"/>
          <w:szCs w:val="24"/>
          <w:shd w:val="clear" w:color="auto" w:fill="FFFFFF"/>
        </w:rPr>
      </w:pPr>
      <w:r w:rsidRPr="00C1164D">
        <w:rPr>
          <w:rFonts w:ascii="Times New Roman" w:hAnsi="Times New Roman" w:cs="Times New Roman"/>
          <w:i/>
          <w:iCs/>
          <w:color w:val="222222"/>
          <w:sz w:val="24"/>
          <w:szCs w:val="24"/>
          <w:shd w:val="clear" w:color="auto" w:fill="FFFFFF"/>
        </w:rPr>
        <w:t>“</w:t>
      </w:r>
      <w:r w:rsidR="00D074BB" w:rsidRPr="00C1164D">
        <w:rPr>
          <w:rFonts w:ascii="Times New Roman" w:hAnsi="Times New Roman" w:cs="Times New Roman"/>
          <w:i/>
          <w:iCs/>
          <w:color w:val="222222"/>
          <w:sz w:val="24"/>
          <w:szCs w:val="24"/>
          <w:shd w:val="clear" w:color="auto" w:fill="FFFFFF"/>
        </w:rPr>
        <w:t>within 90 calendar days of the said document being awarded, ExxonMobil’s affiliate, Esso Exploration and Production Guyana Limited (EEPGL), must submit a work plan, including the schedule of activities for the conduct of a roadmap towards greenhouse gas intensity reduction in respect to its petroleum operations; the potential of CCUS technologies and systems in Guyana; the potential deployment or investment in carbon sinks, renewable energy projects, carbon negative technologies, or application of high quality carbon credits or offsets generated from within or outside of Guyana; and any other area of study that is beneficial for collaboration. This includes market mechanisms to promote innovation and supportive policies</w:t>
      </w:r>
      <w:r w:rsidRPr="00C1164D">
        <w:rPr>
          <w:rFonts w:ascii="Times New Roman" w:hAnsi="Times New Roman" w:cs="Times New Roman"/>
          <w:color w:val="222222"/>
          <w:sz w:val="24"/>
          <w:szCs w:val="24"/>
          <w:shd w:val="clear" w:color="auto" w:fill="FFFFFF"/>
        </w:rPr>
        <w:t>”</w:t>
      </w:r>
      <w:r w:rsidR="00D074BB" w:rsidRPr="00C1164D">
        <w:rPr>
          <w:rStyle w:val="FootnoteReference"/>
          <w:rFonts w:ascii="Times New Roman" w:hAnsi="Times New Roman" w:cs="Times New Roman"/>
          <w:color w:val="222222"/>
          <w:sz w:val="24"/>
          <w:szCs w:val="24"/>
          <w:shd w:val="clear" w:color="auto" w:fill="FFFFFF"/>
        </w:rPr>
        <w:footnoteReference w:id="6"/>
      </w:r>
      <w:r w:rsidR="00D074BB" w:rsidRPr="00C1164D">
        <w:rPr>
          <w:rFonts w:ascii="Times New Roman" w:hAnsi="Times New Roman" w:cs="Times New Roman"/>
          <w:color w:val="222222"/>
          <w:sz w:val="24"/>
          <w:szCs w:val="24"/>
          <w:shd w:val="clear" w:color="auto" w:fill="FFFFFF"/>
        </w:rPr>
        <w:t>.</w:t>
      </w:r>
      <w:r w:rsidR="00EC48D6" w:rsidRPr="00C1164D">
        <w:rPr>
          <w:rFonts w:ascii="Times New Roman" w:hAnsi="Times New Roman" w:cs="Times New Roman"/>
          <w:color w:val="222222"/>
          <w:sz w:val="24"/>
          <w:szCs w:val="24"/>
          <w:shd w:val="clear" w:color="auto" w:fill="FFFFFF"/>
        </w:rPr>
        <w:t xml:space="preserve"> </w:t>
      </w:r>
    </w:p>
    <w:p w14:paraId="502BA251" w14:textId="289F096A" w:rsidR="003A4D92" w:rsidRPr="00C1164D" w:rsidRDefault="00C1164D" w:rsidP="00C86213">
      <w:pPr>
        <w:spacing w:before="120" w:after="120" w:line="360" w:lineRule="auto"/>
        <w:ind w:left="720"/>
        <w:jc w:val="both"/>
      </w:pPr>
      <w:r w:rsidRPr="00C1164D">
        <w:rPr>
          <w:color w:val="222222"/>
          <w:shd w:val="clear" w:color="auto" w:fill="FFFFFF"/>
        </w:rPr>
        <w:t xml:space="preserve">To this end, ExxonMobil has applied for, and received permission from </w:t>
      </w:r>
      <w:r w:rsidR="00C86213">
        <w:rPr>
          <w:color w:val="222222"/>
          <w:shd w:val="clear" w:color="auto" w:fill="FFFFFF"/>
        </w:rPr>
        <w:t>the G</w:t>
      </w:r>
      <w:r w:rsidRPr="00C1164D">
        <w:rPr>
          <w:color w:val="222222"/>
          <w:shd w:val="clear" w:color="auto" w:fill="FFFFFF"/>
        </w:rPr>
        <w:t xml:space="preserve">overnment </w:t>
      </w:r>
      <w:r w:rsidR="00EC48D6" w:rsidRPr="00C1164D">
        <w:rPr>
          <w:color w:val="222222"/>
          <w:shd w:val="clear" w:color="auto" w:fill="FFFFFF"/>
        </w:rPr>
        <w:t>to conduct studies on carbon capture and storage (CCS) so that the company may utilize it in its local operations</w:t>
      </w:r>
      <w:r w:rsidR="00EC48D6" w:rsidRPr="00C1164D">
        <w:rPr>
          <w:rStyle w:val="FootnoteReference"/>
          <w:color w:val="222222"/>
          <w:shd w:val="clear" w:color="auto" w:fill="FFFFFF"/>
        </w:rPr>
        <w:footnoteReference w:id="7"/>
      </w:r>
      <w:r w:rsidR="00EC48D6" w:rsidRPr="00C1164D">
        <w:rPr>
          <w:color w:val="222222"/>
          <w:shd w:val="clear" w:color="auto" w:fill="FFFFFF"/>
        </w:rPr>
        <w:t>.</w:t>
      </w:r>
    </w:p>
    <w:p w14:paraId="7DFC9BE3" w14:textId="77777777" w:rsidR="00C86213" w:rsidRDefault="00AC4B21" w:rsidP="00C86213">
      <w:pPr>
        <w:spacing w:before="120" w:after="120" w:line="360" w:lineRule="auto"/>
        <w:ind w:left="720"/>
        <w:jc w:val="both"/>
      </w:pPr>
      <w:r w:rsidRPr="002D791E">
        <w:t>The most substantial risk associated with Carbon Capture and Storage technologies is the potential for leakage of CO</w:t>
      </w:r>
      <w:r w:rsidRPr="00FD4F77">
        <w:rPr>
          <w:vertAlign w:val="subscript"/>
        </w:rPr>
        <w:t>2</w:t>
      </w:r>
      <w:r w:rsidRPr="002D791E">
        <w:t xml:space="preserve"> from the storage sites.</w:t>
      </w:r>
      <w:r w:rsidR="00C224E2" w:rsidRPr="002D791E">
        <w:t xml:space="preserve"> </w:t>
      </w:r>
      <w:r w:rsidR="00C86213" w:rsidRPr="002D791E">
        <w:t>Although there has been some experience with storing CO</w:t>
      </w:r>
      <w:r w:rsidR="00C86213" w:rsidRPr="00FD4F77">
        <w:rPr>
          <w:vertAlign w:val="subscript"/>
        </w:rPr>
        <w:t>2</w:t>
      </w:r>
      <w:r w:rsidR="00C86213" w:rsidRPr="002D791E">
        <w:t xml:space="preserve"> and natural gas for short periods, the long-term storage of such gases is still a relatively new idea.  Thus, </w:t>
      </w:r>
      <w:r w:rsidR="00C86213">
        <w:t xml:space="preserve">the Government recognizes that </w:t>
      </w:r>
      <w:r w:rsidR="00C86213" w:rsidRPr="002D791E">
        <w:t xml:space="preserve">it is important </w:t>
      </w:r>
      <w:r w:rsidR="00C86213">
        <w:t>t</w:t>
      </w:r>
      <w:r w:rsidR="00C86213" w:rsidRPr="002D791E">
        <w:t xml:space="preserve">hat the findings of the studies being done by ExxonMobil are carefully </w:t>
      </w:r>
    </w:p>
    <w:p w14:paraId="01B4DA2F" w14:textId="77777777" w:rsidR="00C86213" w:rsidRDefault="00C86213" w:rsidP="00C86213">
      <w:pPr>
        <w:spacing w:before="120" w:after="120" w:line="360" w:lineRule="auto"/>
        <w:ind w:left="720"/>
        <w:jc w:val="both"/>
      </w:pPr>
    </w:p>
    <w:p w14:paraId="1222EEFB" w14:textId="77777777" w:rsidR="00C86213" w:rsidRDefault="00C86213" w:rsidP="00C86213">
      <w:pPr>
        <w:spacing w:before="120" w:after="120" w:line="360" w:lineRule="auto"/>
        <w:ind w:left="720"/>
        <w:jc w:val="both"/>
      </w:pPr>
    </w:p>
    <w:p w14:paraId="51BFCD0F" w14:textId="2795E313" w:rsidR="00B052DF" w:rsidRPr="00B02771" w:rsidRDefault="00C86213" w:rsidP="00C86213">
      <w:pPr>
        <w:spacing w:before="120" w:after="120" w:line="360" w:lineRule="auto"/>
        <w:ind w:left="720"/>
        <w:jc w:val="both"/>
        <w:rPr>
          <w:rFonts w:asciiTheme="majorBidi" w:hAnsiTheme="majorBidi" w:cstheme="majorBidi"/>
        </w:rPr>
      </w:pPr>
      <w:proofErr w:type="gramStart"/>
      <w:r w:rsidRPr="002D791E">
        <w:t>studied</w:t>
      </w:r>
      <w:proofErr w:type="gramEnd"/>
      <w:r w:rsidRPr="002D791E">
        <w:t xml:space="preserve">, and that storage locations are carefully selected so as to reduce any potential human impact of an abrupt </w:t>
      </w:r>
      <w:r>
        <w:t>leakage on their rights and a healthy environment.</w:t>
      </w:r>
    </w:p>
    <w:p w14:paraId="5E02FB57" w14:textId="35F8F309" w:rsidR="000E1F6F" w:rsidRPr="00513AA7" w:rsidRDefault="000E1F6F" w:rsidP="001D4456">
      <w:pPr>
        <w:pStyle w:val="ListParagraph"/>
        <w:numPr>
          <w:ilvl w:val="0"/>
          <w:numId w:val="1"/>
        </w:numPr>
        <w:spacing w:before="120" w:after="120" w:line="360" w:lineRule="auto"/>
        <w:jc w:val="both"/>
        <w:rPr>
          <w:rFonts w:asciiTheme="majorBidi" w:hAnsiTheme="majorBidi" w:cstheme="majorBidi"/>
          <w:b/>
          <w:bCs/>
          <w:u w:val="single"/>
        </w:rPr>
      </w:pPr>
      <w:r w:rsidRPr="00513AA7">
        <w:rPr>
          <w:rFonts w:asciiTheme="majorBidi" w:hAnsiTheme="majorBidi" w:cstheme="majorBidi"/>
          <w:b/>
          <w:bCs/>
          <w:u w:val="single"/>
        </w:rPr>
        <w:t xml:space="preserve">What kind of NTCP may contribute to human rights promotion and protection? Please, explain how. </w:t>
      </w:r>
    </w:p>
    <w:p w14:paraId="106B94C9" w14:textId="576DB55D" w:rsidR="006A55C9" w:rsidRPr="006A55C9" w:rsidRDefault="004F3FD8" w:rsidP="001D4456">
      <w:pPr>
        <w:spacing w:before="120" w:after="120" w:line="360" w:lineRule="auto"/>
        <w:ind w:left="714"/>
        <w:jc w:val="both"/>
        <w:rPr>
          <w:rFonts w:asciiTheme="majorBidi" w:hAnsiTheme="majorBidi" w:cstheme="majorBidi"/>
        </w:rPr>
      </w:pPr>
      <w:r>
        <w:rPr>
          <w:rFonts w:asciiTheme="majorBidi" w:hAnsiTheme="majorBidi" w:cstheme="majorBidi"/>
        </w:rPr>
        <w:t xml:space="preserve">Question similar to the above. </w:t>
      </w:r>
    </w:p>
    <w:p w14:paraId="03F91942" w14:textId="57845CD3" w:rsidR="004F3FD8" w:rsidRPr="00381474" w:rsidRDefault="00E62467" w:rsidP="001D4456">
      <w:pPr>
        <w:pStyle w:val="ListParagraph"/>
        <w:numPr>
          <w:ilvl w:val="0"/>
          <w:numId w:val="1"/>
        </w:numPr>
        <w:spacing w:before="120" w:after="120" w:line="360" w:lineRule="auto"/>
        <w:ind w:left="714" w:hanging="357"/>
        <w:contextualSpacing w:val="0"/>
        <w:jc w:val="both"/>
        <w:rPr>
          <w:rFonts w:asciiTheme="majorBidi" w:hAnsiTheme="majorBidi" w:cstheme="majorBidi"/>
          <w:b/>
          <w:bCs/>
          <w:sz w:val="24"/>
          <w:szCs w:val="24"/>
          <w:u w:val="single"/>
        </w:rPr>
      </w:pPr>
      <w:r w:rsidRPr="00381474">
        <w:rPr>
          <w:rFonts w:asciiTheme="majorBidi" w:hAnsiTheme="majorBidi" w:cstheme="majorBidi"/>
          <w:b/>
          <w:bCs/>
          <w:sz w:val="24"/>
          <w:szCs w:val="24"/>
          <w:u w:val="single"/>
        </w:rPr>
        <w:t xml:space="preserve">What specific human rights may be affected by the use of NTCP? Please, explain how. Who are the rights-holders that potentially would be the most affected by the use of NTCP? Are they also the most affected by climate change? </w:t>
      </w:r>
      <w:r w:rsidRPr="008B336F">
        <w:rPr>
          <w:rFonts w:asciiTheme="majorBidi" w:hAnsiTheme="majorBidi" w:cstheme="majorBidi"/>
          <w:b/>
          <w:bCs/>
          <w:sz w:val="24"/>
          <w:szCs w:val="24"/>
          <w:u w:val="single"/>
        </w:rPr>
        <w:t>How could they and the society at large be engaged in the decision-making process?</w:t>
      </w:r>
      <w:r w:rsidRPr="00381474">
        <w:rPr>
          <w:rFonts w:asciiTheme="majorBidi" w:hAnsiTheme="majorBidi" w:cstheme="majorBidi"/>
          <w:b/>
          <w:bCs/>
          <w:sz w:val="24"/>
          <w:szCs w:val="24"/>
          <w:u w:val="single"/>
        </w:rPr>
        <w:t xml:space="preserve"> </w:t>
      </w:r>
    </w:p>
    <w:p w14:paraId="0BE9EE3C" w14:textId="2BEE4047" w:rsidR="00381474" w:rsidRPr="004D5C49" w:rsidRDefault="00381474" w:rsidP="00C86213">
      <w:pPr>
        <w:spacing w:before="120" w:after="120" w:line="360" w:lineRule="auto"/>
        <w:ind w:left="714"/>
        <w:jc w:val="both"/>
        <w:rPr>
          <w:rFonts w:asciiTheme="majorBidi" w:hAnsiTheme="majorBidi" w:cstheme="majorBidi"/>
        </w:rPr>
      </w:pPr>
      <w:r w:rsidRPr="004D5C49">
        <w:rPr>
          <w:rFonts w:asciiTheme="majorBidi" w:hAnsiTheme="majorBidi" w:cstheme="majorBidi"/>
        </w:rPr>
        <w:t xml:space="preserve">The </w:t>
      </w:r>
      <w:r w:rsidRPr="004D5C49">
        <w:rPr>
          <w:rFonts w:asciiTheme="majorBidi" w:hAnsiTheme="majorBidi" w:cstheme="majorBidi"/>
          <w:b/>
          <w:bCs/>
          <w:i/>
          <w:iCs/>
        </w:rPr>
        <w:t>Constitution of Guyana, Cap 1:01</w:t>
      </w:r>
      <w:r w:rsidRPr="004D5C49">
        <w:rPr>
          <w:rFonts w:asciiTheme="majorBidi" w:hAnsiTheme="majorBidi" w:cstheme="majorBidi"/>
        </w:rPr>
        <w:t xml:space="preserve">, confers on all citizens the right to a healthy environment. This is a fundamental right enforceable through judicial action in a court of law. </w:t>
      </w:r>
      <w:r w:rsidR="00D71EBC" w:rsidRPr="004D5C49">
        <w:rPr>
          <w:rFonts w:asciiTheme="majorBidi" w:hAnsiTheme="majorBidi" w:cstheme="majorBidi"/>
          <w:b/>
          <w:bCs/>
        </w:rPr>
        <w:t>A</w:t>
      </w:r>
      <w:r w:rsidRPr="004D5C49">
        <w:rPr>
          <w:rFonts w:asciiTheme="majorBidi" w:hAnsiTheme="majorBidi" w:cstheme="majorBidi"/>
          <w:b/>
          <w:bCs/>
        </w:rPr>
        <w:t>rticle 149J(1)</w:t>
      </w:r>
      <w:r w:rsidRPr="004D5C49">
        <w:rPr>
          <w:rFonts w:asciiTheme="majorBidi" w:hAnsiTheme="majorBidi" w:cstheme="majorBidi"/>
        </w:rPr>
        <w:t xml:space="preserve"> specifies that everyone has the right to an environment that is not harmful to his or her health or wellbeing. </w:t>
      </w:r>
      <w:r w:rsidR="00D71EBC" w:rsidRPr="004D5C49">
        <w:rPr>
          <w:rFonts w:asciiTheme="majorBidi" w:hAnsiTheme="majorBidi" w:cstheme="majorBidi"/>
          <w:b/>
          <w:bCs/>
        </w:rPr>
        <w:t>Subsection (2) of Article 149J</w:t>
      </w:r>
      <w:r w:rsidR="00D71EBC" w:rsidRPr="004D5C49">
        <w:rPr>
          <w:rFonts w:asciiTheme="majorBidi" w:hAnsiTheme="majorBidi" w:cstheme="majorBidi"/>
        </w:rPr>
        <w:t xml:space="preserve"> places an obligation on the State to protect the environment for the benefit of present and future generations, through reasonable legislative and other measures designed to: </w:t>
      </w:r>
    </w:p>
    <w:p w14:paraId="6E24A8F3" w14:textId="5A6B1EBF" w:rsidR="00D71EBC" w:rsidRPr="004D5C49" w:rsidRDefault="00D71EBC" w:rsidP="00C86213">
      <w:pPr>
        <w:pStyle w:val="ListParagraph"/>
        <w:numPr>
          <w:ilvl w:val="0"/>
          <w:numId w:val="11"/>
        </w:numPr>
        <w:spacing w:before="120" w:after="120" w:line="360" w:lineRule="auto"/>
        <w:ind w:left="1434"/>
        <w:jc w:val="both"/>
        <w:rPr>
          <w:rFonts w:asciiTheme="majorBidi" w:hAnsiTheme="majorBidi" w:cstheme="majorBidi"/>
          <w:sz w:val="24"/>
          <w:szCs w:val="24"/>
        </w:rPr>
      </w:pPr>
      <w:r w:rsidRPr="004D5C49">
        <w:rPr>
          <w:rFonts w:asciiTheme="majorBidi" w:hAnsiTheme="majorBidi" w:cstheme="majorBidi"/>
          <w:sz w:val="24"/>
          <w:szCs w:val="24"/>
        </w:rPr>
        <w:t xml:space="preserve">Prevent pollution and ecological degradation; </w:t>
      </w:r>
    </w:p>
    <w:p w14:paraId="5A876D50" w14:textId="4EDE7F4A" w:rsidR="00D71EBC" w:rsidRPr="004D5C49" w:rsidRDefault="00D71EBC" w:rsidP="00C86213">
      <w:pPr>
        <w:pStyle w:val="ListParagraph"/>
        <w:numPr>
          <w:ilvl w:val="0"/>
          <w:numId w:val="11"/>
        </w:numPr>
        <w:spacing w:before="120" w:after="120" w:line="360" w:lineRule="auto"/>
        <w:ind w:left="1434"/>
        <w:jc w:val="both"/>
        <w:rPr>
          <w:rFonts w:asciiTheme="majorBidi" w:hAnsiTheme="majorBidi" w:cstheme="majorBidi"/>
          <w:sz w:val="24"/>
          <w:szCs w:val="24"/>
        </w:rPr>
      </w:pPr>
      <w:r w:rsidRPr="004D5C49">
        <w:rPr>
          <w:rFonts w:asciiTheme="majorBidi" w:hAnsiTheme="majorBidi" w:cstheme="majorBidi"/>
          <w:sz w:val="24"/>
          <w:szCs w:val="24"/>
        </w:rPr>
        <w:t xml:space="preserve">Promote conservation; </w:t>
      </w:r>
    </w:p>
    <w:p w14:paraId="48C62388" w14:textId="74FBC214" w:rsidR="00D71EBC" w:rsidRPr="004D5C49" w:rsidRDefault="00D71EBC" w:rsidP="00C86213">
      <w:pPr>
        <w:pStyle w:val="ListParagraph"/>
        <w:numPr>
          <w:ilvl w:val="0"/>
          <w:numId w:val="11"/>
        </w:numPr>
        <w:spacing w:before="120" w:after="120" w:line="360" w:lineRule="auto"/>
        <w:ind w:left="1434"/>
        <w:jc w:val="both"/>
        <w:rPr>
          <w:rFonts w:asciiTheme="majorBidi" w:hAnsiTheme="majorBidi" w:cstheme="majorBidi"/>
          <w:sz w:val="24"/>
          <w:szCs w:val="24"/>
        </w:rPr>
      </w:pPr>
      <w:r w:rsidRPr="004D5C49">
        <w:rPr>
          <w:rFonts w:asciiTheme="majorBidi" w:hAnsiTheme="majorBidi" w:cstheme="majorBidi"/>
          <w:sz w:val="24"/>
          <w:szCs w:val="24"/>
        </w:rPr>
        <w:t xml:space="preserve">Secure sustainable development and use of natural resources while promoting justifiable economic and social development. </w:t>
      </w:r>
    </w:p>
    <w:p w14:paraId="39873DE4" w14:textId="37EA2A9F" w:rsidR="00382737" w:rsidRPr="004D5C49" w:rsidRDefault="00D71EBC" w:rsidP="00C86213">
      <w:pPr>
        <w:spacing w:before="120" w:after="120" w:line="360" w:lineRule="auto"/>
        <w:ind w:left="714"/>
        <w:jc w:val="both"/>
        <w:rPr>
          <w:rFonts w:asciiTheme="majorBidi" w:hAnsiTheme="majorBidi" w:cstheme="majorBidi"/>
        </w:rPr>
      </w:pPr>
      <w:r w:rsidRPr="004D5C49">
        <w:rPr>
          <w:rFonts w:asciiTheme="majorBidi" w:hAnsiTheme="majorBidi" w:cstheme="majorBidi"/>
        </w:rPr>
        <w:t xml:space="preserve">Notwithstanding the right conferred above, </w:t>
      </w:r>
      <w:r w:rsidRPr="004D5C49">
        <w:rPr>
          <w:rFonts w:asciiTheme="majorBidi" w:hAnsiTheme="majorBidi" w:cstheme="majorBidi"/>
          <w:b/>
          <w:bCs/>
        </w:rPr>
        <w:t>Article 149J(3)</w:t>
      </w:r>
      <w:r w:rsidRPr="004D5C49">
        <w:rPr>
          <w:rFonts w:asciiTheme="majorBidi" w:hAnsiTheme="majorBidi" w:cstheme="majorBidi"/>
        </w:rPr>
        <w:t xml:space="preserve"> provides that an individual’s rights under subsection (1) will not be considered as infringed upon if, by reason only of an allergic reaction or other peculiarity, the environment is harmful to that person’s health or wellbeing. </w:t>
      </w:r>
    </w:p>
    <w:p w14:paraId="4E35E8EF" w14:textId="1C5FEB44" w:rsidR="002368F3" w:rsidRDefault="006C49D8" w:rsidP="00C86213">
      <w:pPr>
        <w:spacing w:before="120" w:after="120" w:line="360" w:lineRule="auto"/>
        <w:ind w:left="714"/>
        <w:jc w:val="both"/>
        <w:rPr>
          <w:rFonts w:asciiTheme="majorBidi" w:hAnsiTheme="majorBidi" w:cstheme="majorBidi"/>
        </w:rPr>
      </w:pPr>
      <w:r w:rsidRPr="004D5C49">
        <w:rPr>
          <w:rFonts w:asciiTheme="majorBidi" w:hAnsiTheme="majorBidi" w:cstheme="majorBidi"/>
          <w:b/>
          <w:bCs/>
        </w:rPr>
        <w:t xml:space="preserve">Article </w:t>
      </w:r>
      <w:r w:rsidR="00A91107" w:rsidRPr="004D5C49">
        <w:rPr>
          <w:rFonts w:asciiTheme="majorBidi" w:hAnsiTheme="majorBidi" w:cstheme="majorBidi"/>
          <w:b/>
          <w:bCs/>
        </w:rPr>
        <w:t>154</w:t>
      </w:r>
      <w:r w:rsidR="00A91107" w:rsidRPr="004D5C49">
        <w:rPr>
          <w:rFonts w:asciiTheme="majorBidi" w:hAnsiTheme="majorBidi" w:cstheme="majorBidi"/>
        </w:rPr>
        <w:t xml:space="preserve"> provides for the incorporation of the rights enshrined in the human rights treaties that have been incorporated into the </w:t>
      </w:r>
      <w:r w:rsidR="002368F3">
        <w:rPr>
          <w:rFonts w:asciiTheme="majorBidi" w:hAnsiTheme="majorBidi" w:cstheme="majorBidi"/>
        </w:rPr>
        <w:t>F</w:t>
      </w:r>
      <w:r w:rsidR="00A91107" w:rsidRPr="004D5C49">
        <w:rPr>
          <w:rFonts w:asciiTheme="majorBidi" w:hAnsiTheme="majorBidi" w:cstheme="majorBidi"/>
        </w:rPr>
        <w:t xml:space="preserve">ourth schedule of the Constitution. The following Treaties have been incorporated into the </w:t>
      </w:r>
      <w:r w:rsidR="002368F3">
        <w:rPr>
          <w:rFonts w:asciiTheme="majorBidi" w:hAnsiTheme="majorBidi" w:cstheme="majorBidi"/>
        </w:rPr>
        <w:t>F</w:t>
      </w:r>
      <w:r w:rsidR="00A91107" w:rsidRPr="004D5C49">
        <w:rPr>
          <w:rFonts w:asciiTheme="majorBidi" w:hAnsiTheme="majorBidi" w:cstheme="majorBidi"/>
        </w:rPr>
        <w:t>ourth schedule</w:t>
      </w:r>
      <w:r w:rsidR="003A7C0F" w:rsidRPr="004D5C49">
        <w:rPr>
          <w:rFonts w:asciiTheme="majorBidi" w:hAnsiTheme="majorBidi" w:cstheme="majorBidi"/>
        </w:rPr>
        <w:t xml:space="preserve"> which are relevant to this discussion are the Covenant on </w:t>
      </w:r>
      <w:r w:rsidR="002368F3">
        <w:rPr>
          <w:rFonts w:asciiTheme="majorBidi" w:hAnsiTheme="majorBidi" w:cstheme="majorBidi"/>
        </w:rPr>
        <w:t xml:space="preserve">Civil and Political Rights, Covenant on </w:t>
      </w:r>
      <w:r w:rsidR="003A7C0F" w:rsidRPr="004D5C49">
        <w:rPr>
          <w:rFonts w:asciiTheme="majorBidi" w:hAnsiTheme="majorBidi" w:cstheme="majorBidi"/>
        </w:rPr>
        <w:t>Economic, Cultural and Social Rights</w:t>
      </w:r>
      <w:r w:rsidR="004A18A6" w:rsidRPr="004D5C49">
        <w:rPr>
          <w:rFonts w:asciiTheme="majorBidi" w:hAnsiTheme="majorBidi" w:cstheme="majorBidi"/>
        </w:rPr>
        <w:t xml:space="preserve"> (CESCR)</w:t>
      </w:r>
      <w:r w:rsidR="003A7C0F" w:rsidRPr="004D5C49">
        <w:rPr>
          <w:rFonts w:asciiTheme="majorBidi" w:hAnsiTheme="majorBidi" w:cstheme="majorBidi"/>
        </w:rPr>
        <w:t xml:space="preserve">, the Convention on the Rights of the </w:t>
      </w:r>
      <w:r w:rsidR="004A18A6" w:rsidRPr="004D5C49">
        <w:rPr>
          <w:rFonts w:asciiTheme="majorBidi" w:hAnsiTheme="majorBidi" w:cstheme="majorBidi"/>
        </w:rPr>
        <w:t>Child (CRC),</w:t>
      </w:r>
      <w:r w:rsidR="003A7C0F" w:rsidRPr="004D5C49">
        <w:rPr>
          <w:rFonts w:asciiTheme="majorBidi" w:hAnsiTheme="majorBidi" w:cstheme="majorBidi"/>
        </w:rPr>
        <w:t xml:space="preserve"> </w:t>
      </w:r>
    </w:p>
    <w:p w14:paraId="035D41E8" w14:textId="77777777" w:rsidR="002368F3" w:rsidRDefault="002368F3" w:rsidP="00C86213">
      <w:pPr>
        <w:spacing w:before="120" w:after="120" w:line="360" w:lineRule="auto"/>
        <w:ind w:left="714"/>
        <w:jc w:val="both"/>
        <w:rPr>
          <w:rFonts w:asciiTheme="majorBidi" w:hAnsiTheme="majorBidi" w:cstheme="majorBidi"/>
        </w:rPr>
      </w:pPr>
    </w:p>
    <w:p w14:paraId="399FEBDE" w14:textId="338E9629" w:rsidR="004A18A6" w:rsidRPr="004D5C49" w:rsidRDefault="003A7C0F" w:rsidP="00C86213">
      <w:pPr>
        <w:spacing w:before="120" w:after="120" w:line="360" w:lineRule="auto"/>
        <w:ind w:left="714"/>
        <w:jc w:val="both"/>
        <w:rPr>
          <w:rFonts w:asciiTheme="majorBidi" w:hAnsiTheme="majorBidi" w:cstheme="majorBidi"/>
        </w:rPr>
      </w:pPr>
      <w:proofErr w:type="gramStart"/>
      <w:r w:rsidRPr="004D5C49">
        <w:rPr>
          <w:rFonts w:asciiTheme="majorBidi" w:hAnsiTheme="majorBidi" w:cstheme="majorBidi"/>
        </w:rPr>
        <w:t>and</w:t>
      </w:r>
      <w:proofErr w:type="gramEnd"/>
      <w:r w:rsidRPr="004D5C49">
        <w:rPr>
          <w:rFonts w:asciiTheme="majorBidi" w:hAnsiTheme="majorBidi" w:cstheme="majorBidi"/>
        </w:rPr>
        <w:t xml:space="preserve"> the Convention on the Elimination of all forms of Discrimination Against Women</w:t>
      </w:r>
      <w:r w:rsidR="004A18A6" w:rsidRPr="004D5C49">
        <w:rPr>
          <w:rFonts w:asciiTheme="majorBidi" w:hAnsiTheme="majorBidi" w:cstheme="majorBidi"/>
        </w:rPr>
        <w:t xml:space="preserve"> (CEDAW)</w:t>
      </w:r>
      <w:r w:rsidR="002368F3">
        <w:rPr>
          <w:rFonts w:asciiTheme="majorBidi" w:hAnsiTheme="majorBidi" w:cstheme="majorBidi"/>
        </w:rPr>
        <w:t>.</w:t>
      </w:r>
    </w:p>
    <w:p w14:paraId="778331A6" w14:textId="77777777" w:rsidR="004A18A6" w:rsidRPr="004D5C49" w:rsidRDefault="004A18A6" w:rsidP="002368F3">
      <w:pPr>
        <w:spacing w:before="120" w:after="120" w:line="360" w:lineRule="auto"/>
        <w:ind w:left="720"/>
        <w:jc w:val="both"/>
        <w:rPr>
          <w:rFonts w:asciiTheme="majorBidi" w:hAnsiTheme="majorBidi" w:cstheme="majorBidi"/>
        </w:rPr>
      </w:pPr>
      <w:r w:rsidRPr="004D5C49">
        <w:rPr>
          <w:rFonts w:asciiTheme="majorBidi" w:hAnsiTheme="majorBidi" w:cstheme="majorBidi"/>
        </w:rPr>
        <w:t xml:space="preserve">Based on the discussion above, specific rights under the CESCR which may be affected by technologies for the sustainable energy solutions and carbon capture and storage technologies in particular include: </w:t>
      </w:r>
    </w:p>
    <w:p w14:paraId="4EF7C44B" w14:textId="77777777" w:rsidR="004A18A6" w:rsidRPr="004D5C49" w:rsidRDefault="004A18A6" w:rsidP="002368F3">
      <w:pPr>
        <w:pStyle w:val="ListParagraph"/>
        <w:numPr>
          <w:ilvl w:val="0"/>
          <w:numId w:val="13"/>
        </w:numPr>
        <w:spacing w:before="120" w:after="120" w:line="360" w:lineRule="auto"/>
        <w:ind w:left="1440"/>
        <w:jc w:val="both"/>
        <w:rPr>
          <w:rFonts w:asciiTheme="majorBidi" w:hAnsiTheme="majorBidi" w:cstheme="majorBidi"/>
          <w:sz w:val="24"/>
          <w:szCs w:val="24"/>
        </w:rPr>
      </w:pPr>
      <w:r w:rsidRPr="004D5C49">
        <w:rPr>
          <w:rFonts w:asciiTheme="majorBidi" w:hAnsiTheme="majorBidi" w:cstheme="majorBidi"/>
          <w:b/>
          <w:bCs/>
          <w:sz w:val="24"/>
          <w:szCs w:val="24"/>
        </w:rPr>
        <w:t>Article one</w:t>
      </w:r>
      <w:r w:rsidRPr="004D5C49">
        <w:rPr>
          <w:rFonts w:asciiTheme="majorBidi" w:hAnsiTheme="majorBidi" w:cstheme="majorBidi"/>
          <w:sz w:val="24"/>
          <w:szCs w:val="24"/>
        </w:rPr>
        <w:t xml:space="preserve">: the right to freely dispose of natural wealth and resources without prejudice to any obligations arising out of international economic cooperation. </w:t>
      </w:r>
    </w:p>
    <w:p w14:paraId="1BFC2690" w14:textId="77777777" w:rsidR="004D27BF" w:rsidRPr="004D5C49" w:rsidRDefault="004D27BF" w:rsidP="002368F3">
      <w:pPr>
        <w:pStyle w:val="ListParagraph"/>
        <w:numPr>
          <w:ilvl w:val="0"/>
          <w:numId w:val="13"/>
        </w:numPr>
        <w:spacing w:before="120" w:after="120" w:line="360" w:lineRule="auto"/>
        <w:ind w:left="1440"/>
        <w:jc w:val="both"/>
        <w:rPr>
          <w:rFonts w:asciiTheme="majorBidi" w:hAnsiTheme="majorBidi" w:cstheme="majorBidi"/>
          <w:sz w:val="24"/>
          <w:szCs w:val="24"/>
        </w:rPr>
      </w:pPr>
      <w:r w:rsidRPr="004D5C49">
        <w:rPr>
          <w:rFonts w:asciiTheme="majorBidi" w:hAnsiTheme="majorBidi" w:cstheme="majorBidi"/>
          <w:b/>
          <w:bCs/>
          <w:sz w:val="24"/>
          <w:szCs w:val="24"/>
        </w:rPr>
        <w:t>Article six</w:t>
      </w:r>
      <w:r w:rsidRPr="004D5C49">
        <w:rPr>
          <w:rFonts w:asciiTheme="majorBidi" w:hAnsiTheme="majorBidi" w:cstheme="majorBidi"/>
          <w:sz w:val="24"/>
          <w:szCs w:val="24"/>
        </w:rPr>
        <w:t xml:space="preserve">: the right to work. This right may be affected, where, for instance, carbon capture and storage technologies result in natural disasters that affect citizens’ ability to be gainfully employed in the profession of their choice. </w:t>
      </w:r>
    </w:p>
    <w:p w14:paraId="0D71A18C" w14:textId="77777777" w:rsidR="00FA170C" w:rsidRPr="004D5C49" w:rsidRDefault="004D27BF" w:rsidP="002368F3">
      <w:pPr>
        <w:pStyle w:val="ListParagraph"/>
        <w:numPr>
          <w:ilvl w:val="0"/>
          <w:numId w:val="13"/>
        </w:numPr>
        <w:spacing w:before="120" w:after="120" w:line="360" w:lineRule="auto"/>
        <w:ind w:left="1440"/>
        <w:jc w:val="both"/>
        <w:rPr>
          <w:rFonts w:asciiTheme="majorBidi" w:hAnsiTheme="majorBidi" w:cstheme="majorBidi"/>
          <w:sz w:val="24"/>
          <w:szCs w:val="24"/>
        </w:rPr>
      </w:pPr>
      <w:r w:rsidRPr="004D5C49">
        <w:rPr>
          <w:rFonts w:asciiTheme="majorBidi" w:hAnsiTheme="majorBidi" w:cstheme="majorBidi"/>
          <w:b/>
          <w:bCs/>
          <w:sz w:val="24"/>
          <w:szCs w:val="24"/>
        </w:rPr>
        <w:t>Article 7</w:t>
      </w:r>
      <w:r w:rsidRPr="004D5C49">
        <w:rPr>
          <w:rFonts w:asciiTheme="majorBidi" w:hAnsiTheme="majorBidi" w:cstheme="majorBidi"/>
          <w:sz w:val="24"/>
          <w:szCs w:val="24"/>
        </w:rPr>
        <w:t xml:space="preserve">: the right to safe and healthy working conditions. This right is relevant as there is the possibility that technologies aimed at reducing emissions can result in harmful pollution if not carefully managed. </w:t>
      </w:r>
    </w:p>
    <w:p w14:paraId="2D71E6C3" w14:textId="2A583028" w:rsidR="006C49D8" w:rsidRPr="004D5C49" w:rsidRDefault="00FA170C" w:rsidP="002368F3">
      <w:pPr>
        <w:pStyle w:val="ListParagraph"/>
        <w:numPr>
          <w:ilvl w:val="0"/>
          <w:numId w:val="13"/>
        </w:numPr>
        <w:spacing w:before="120" w:after="120" w:line="360" w:lineRule="auto"/>
        <w:ind w:left="1440"/>
        <w:jc w:val="both"/>
        <w:rPr>
          <w:rFonts w:ascii="Times New Roman" w:hAnsi="Times New Roman" w:cs="Times New Roman"/>
          <w:sz w:val="24"/>
          <w:szCs w:val="24"/>
        </w:rPr>
      </w:pPr>
      <w:r w:rsidRPr="004D5C49">
        <w:rPr>
          <w:rFonts w:asciiTheme="majorBidi" w:hAnsiTheme="majorBidi" w:cstheme="majorBidi"/>
          <w:b/>
          <w:bCs/>
          <w:sz w:val="24"/>
          <w:szCs w:val="24"/>
        </w:rPr>
        <w:t>Article 11</w:t>
      </w:r>
      <w:r w:rsidRPr="004D5C49">
        <w:rPr>
          <w:rFonts w:asciiTheme="majorBidi" w:hAnsiTheme="majorBidi" w:cstheme="majorBidi"/>
          <w:sz w:val="24"/>
          <w:szCs w:val="24"/>
        </w:rPr>
        <w:t xml:space="preserve">: </w:t>
      </w:r>
      <w:r w:rsidRPr="004D5C49">
        <w:rPr>
          <w:rFonts w:ascii="Times New Roman" w:hAnsi="Times New Roman" w:cs="Times New Roman"/>
          <w:color w:val="4A4A4A"/>
          <w:spacing w:val="4"/>
          <w:sz w:val="24"/>
          <w:szCs w:val="24"/>
        </w:rPr>
        <w:t>the right of everyone to an adequate standard of living for himself and his family, including adequate food, clothing, and housing, and to the continuous improvement of living conditions.</w:t>
      </w:r>
      <w:r w:rsidR="003A7C0F" w:rsidRPr="004D5C49">
        <w:rPr>
          <w:rFonts w:ascii="Times New Roman" w:hAnsi="Times New Roman" w:cs="Times New Roman"/>
          <w:sz w:val="24"/>
          <w:szCs w:val="24"/>
        </w:rPr>
        <w:t xml:space="preserve"> </w:t>
      </w:r>
      <w:r w:rsidR="00A91107" w:rsidRPr="004D5C49">
        <w:rPr>
          <w:rFonts w:ascii="Times New Roman" w:hAnsi="Times New Roman" w:cs="Times New Roman"/>
          <w:sz w:val="24"/>
          <w:szCs w:val="24"/>
        </w:rPr>
        <w:t xml:space="preserve"> </w:t>
      </w:r>
      <w:r w:rsidRPr="004D5C49">
        <w:rPr>
          <w:rFonts w:ascii="Times New Roman" w:hAnsi="Times New Roman" w:cs="Times New Roman"/>
          <w:sz w:val="24"/>
          <w:szCs w:val="24"/>
        </w:rPr>
        <w:t xml:space="preserve">In this case, the technologies discussed above have  the potential to enable the fulfillment and expansion of this right but can in turn negatively impact the enjoyment of this right if not carefully managed. </w:t>
      </w:r>
    </w:p>
    <w:p w14:paraId="14392892" w14:textId="77777777" w:rsidR="002368F3" w:rsidRDefault="00FA170C" w:rsidP="002368F3">
      <w:pPr>
        <w:spacing w:before="120" w:after="120" w:line="360" w:lineRule="auto"/>
        <w:ind w:left="1080"/>
        <w:jc w:val="both"/>
      </w:pPr>
      <w:r w:rsidRPr="004D5C49">
        <w:rPr>
          <w:rFonts w:asciiTheme="majorBidi" w:hAnsiTheme="majorBidi" w:cstheme="majorBidi"/>
        </w:rPr>
        <w:t xml:space="preserve">The rights under the Convention on the Rights of the Child and the Convention on the Elimination of all Forms of Discrimination Against Women (CEDAW) become relevant, as, often times, climate change and the resulting harmful effects, disproportionately affects women and children, and other vulnerable groups. </w:t>
      </w:r>
      <w:r w:rsidR="00CD7D0B" w:rsidRPr="00601D57">
        <w:t>Although the impact of disasters cuts across national, racial, ethnic, socio-economic and sex/gender boundaries, Guyana’s Country Assessment report</w:t>
      </w:r>
      <w:r w:rsidR="00CD7D0B">
        <w:t>, 2009</w:t>
      </w:r>
      <w:r w:rsidR="00CD7D0B">
        <w:rPr>
          <w:rStyle w:val="FootnoteReference"/>
        </w:rPr>
        <w:footnoteReference w:id="8"/>
      </w:r>
      <w:r w:rsidR="00CD7D0B" w:rsidRPr="00601D57">
        <w:t xml:space="preserve"> found that the impact of disasters is generally greater on women. Cultural norms generally exclude women from formal planning and decision-making in their communities, and </w:t>
      </w:r>
    </w:p>
    <w:p w14:paraId="042D8456" w14:textId="77777777" w:rsidR="002368F3" w:rsidRDefault="002368F3" w:rsidP="002368F3">
      <w:pPr>
        <w:spacing w:before="120" w:after="120" w:line="360" w:lineRule="auto"/>
        <w:ind w:left="1080"/>
        <w:jc w:val="both"/>
      </w:pPr>
    </w:p>
    <w:p w14:paraId="797BD6FC" w14:textId="5D60584F" w:rsidR="00CD7D0B" w:rsidRPr="004D5C49" w:rsidRDefault="00CD7D0B" w:rsidP="002368F3">
      <w:pPr>
        <w:spacing w:before="120" w:after="120" w:line="360" w:lineRule="auto"/>
        <w:ind w:left="1080"/>
        <w:jc w:val="both"/>
        <w:rPr>
          <w:rFonts w:asciiTheme="majorBidi" w:hAnsiTheme="majorBidi" w:cstheme="majorBidi"/>
        </w:rPr>
      </w:pPr>
      <w:proofErr w:type="gramStart"/>
      <w:r w:rsidRPr="00601D57">
        <w:t>they</w:t>
      </w:r>
      <w:proofErr w:type="gramEnd"/>
      <w:r w:rsidRPr="00601D57">
        <w:t xml:space="preserve"> generally do not have the flexible resources that could facilitate their recovery from disasters. In addition, women’s position in the family puts a greater burden of </w:t>
      </w:r>
      <w:r>
        <w:t>household</w:t>
      </w:r>
      <w:r w:rsidRPr="00601D57">
        <w:t xml:space="preserve"> </w:t>
      </w:r>
      <w:r w:rsidR="002368F3">
        <w:t xml:space="preserve">responsibilities </w:t>
      </w:r>
      <w:r w:rsidRPr="00601D57">
        <w:t xml:space="preserve">(household work, caring for the young and elderly, </w:t>
      </w:r>
      <w:r w:rsidR="002368F3">
        <w:t xml:space="preserve">ill, </w:t>
      </w:r>
      <w:r w:rsidRPr="00601D57">
        <w:t xml:space="preserve">etc.) on them, and this in turn reduces their ability to </w:t>
      </w:r>
      <w:r w:rsidR="002368F3">
        <w:t xml:space="preserve">quickly recover </w:t>
      </w:r>
      <w:r w:rsidRPr="00601D57">
        <w:t xml:space="preserve">during </w:t>
      </w:r>
      <w:r w:rsidR="002368F3">
        <w:t xml:space="preserve">and following </w:t>
      </w:r>
      <w:r w:rsidRPr="00601D57">
        <w:t>disasters.</w:t>
      </w:r>
      <w:r w:rsidR="002368F3">
        <w:t xml:space="preserve"> The large number of female headed households exacerbates these problems.</w:t>
      </w:r>
    </w:p>
    <w:p w14:paraId="46DB5DA4" w14:textId="77777777" w:rsidR="003A7C0F" w:rsidRPr="00D71EBC" w:rsidRDefault="003A7C0F" w:rsidP="001D4456">
      <w:pPr>
        <w:spacing w:before="120" w:after="120" w:line="360" w:lineRule="auto"/>
        <w:jc w:val="both"/>
        <w:rPr>
          <w:rFonts w:asciiTheme="majorBidi" w:hAnsiTheme="majorBidi" w:cstheme="majorBidi"/>
        </w:rPr>
      </w:pPr>
    </w:p>
    <w:p w14:paraId="3595E331" w14:textId="7419B77A" w:rsidR="00A6344D" w:rsidRPr="006F23C2" w:rsidRDefault="0049646B" w:rsidP="001D4456">
      <w:pPr>
        <w:pStyle w:val="ListParagraph"/>
        <w:numPr>
          <w:ilvl w:val="0"/>
          <w:numId w:val="1"/>
        </w:numPr>
        <w:spacing w:before="120" w:after="120" w:line="360" w:lineRule="auto"/>
        <w:ind w:left="714" w:hanging="357"/>
        <w:contextualSpacing w:val="0"/>
        <w:jc w:val="both"/>
        <w:rPr>
          <w:rFonts w:asciiTheme="majorBidi" w:hAnsiTheme="majorBidi" w:cstheme="majorBidi"/>
          <w:b/>
          <w:bCs/>
          <w:sz w:val="24"/>
          <w:szCs w:val="24"/>
          <w:u w:val="single"/>
        </w:rPr>
      </w:pPr>
      <w:r w:rsidRPr="006F23C2">
        <w:rPr>
          <w:rFonts w:asciiTheme="majorBidi" w:hAnsiTheme="majorBidi" w:cstheme="majorBidi"/>
          <w:b/>
          <w:bCs/>
          <w:sz w:val="24"/>
          <w:szCs w:val="24"/>
          <w:u w:val="single"/>
        </w:rPr>
        <w:t xml:space="preserve">Is the existing </w:t>
      </w:r>
      <w:r w:rsidR="00123C8E" w:rsidRPr="006F23C2">
        <w:rPr>
          <w:rFonts w:asciiTheme="majorBidi" w:hAnsiTheme="majorBidi" w:cstheme="majorBidi"/>
          <w:b/>
          <w:bCs/>
          <w:sz w:val="24"/>
          <w:szCs w:val="24"/>
          <w:u w:val="single"/>
        </w:rPr>
        <w:t xml:space="preserve">international </w:t>
      </w:r>
      <w:r w:rsidR="00502DFE" w:rsidRPr="006F23C2">
        <w:rPr>
          <w:rFonts w:asciiTheme="majorBidi" w:hAnsiTheme="majorBidi" w:cstheme="majorBidi"/>
          <w:b/>
          <w:bCs/>
          <w:sz w:val="24"/>
          <w:szCs w:val="24"/>
          <w:u w:val="single"/>
        </w:rPr>
        <w:t xml:space="preserve">and your national </w:t>
      </w:r>
      <w:r w:rsidRPr="006F23C2">
        <w:rPr>
          <w:rFonts w:asciiTheme="majorBidi" w:hAnsiTheme="majorBidi" w:cstheme="majorBidi"/>
          <w:b/>
          <w:bCs/>
          <w:sz w:val="24"/>
          <w:szCs w:val="24"/>
          <w:u w:val="single"/>
        </w:rPr>
        <w:t>human rights framework adequate to safeguard</w:t>
      </w:r>
      <w:r w:rsidR="00CD0035" w:rsidRPr="006F23C2">
        <w:rPr>
          <w:rFonts w:asciiTheme="majorBidi" w:hAnsiTheme="majorBidi" w:cstheme="majorBidi"/>
          <w:b/>
          <w:bCs/>
          <w:sz w:val="24"/>
          <w:szCs w:val="24"/>
          <w:u w:val="single"/>
        </w:rPr>
        <w:t>ing</w:t>
      </w:r>
      <w:r w:rsidRPr="006F23C2">
        <w:rPr>
          <w:rFonts w:asciiTheme="majorBidi" w:hAnsiTheme="majorBidi" w:cstheme="majorBidi"/>
          <w:b/>
          <w:bCs/>
          <w:sz w:val="24"/>
          <w:szCs w:val="24"/>
          <w:u w:val="single"/>
        </w:rPr>
        <w:t xml:space="preserve"> human rights </w:t>
      </w:r>
      <w:r w:rsidR="00C239AA" w:rsidRPr="006F23C2">
        <w:rPr>
          <w:rFonts w:asciiTheme="majorBidi" w:hAnsiTheme="majorBidi" w:cstheme="majorBidi"/>
          <w:b/>
          <w:bCs/>
          <w:sz w:val="24"/>
          <w:szCs w:val="24"/>
          <w:u w:val="single"/>
        </w:rPr>
        <w:t>of those affected by the use of</w:t>
      </w:r>
      <w:r w:rsidR="00CD528E" w:rsidRPr="006F23C2">
        <w:rPr>
          <w:rFonts w:asciiTheme="majorBidi" w:hAnsiTheme="majorBidi" w:cstheme="majorBidi"/>
          <w:b/>
          <w:bCs/>
          <w:sz w:val="24"/>
          <w:szCs w:val="24"/>
          <w:u w:val="single"/>
        </w:rPr>
        <w:t xml:space="preserve"> </w:t>
      </w:r>
      <w:r w:rsidR="003B7BDA" w:rsidRPr="006F23C2">
        <w:rPr>
          <w:rFonts w:asciiTheme="majorBidi" w:hAnsiTheme="majorBidi" w:cstheme="majorBidi"/>
          <w:b/>
          <w:bCs/>
          <w:sz w:val="24"/>
          <w:szCs w:val="24"/>
          <w:u w:val="single"/>
        </w:rPr>
        <w:t>NTCP</w:t>
      </w:r>
      <w:r w:rsidRPr="006F23C2">
        <w:rPr>
          <w:rFonts w:asciiTheme="majorBidi" w:hAnsiTheme="majorBidi" w:cstheme="majorBidi"/>
          <w:b/>
          <w:bCs/>
          <w:sz w:val="24"/>
          <w:szCs w:val="24"/>
          <w:u w:val="single"/>
        </w:rPr>
        <w:t xml:space="preserve">? Why or why not? </w:t>
      </w:r>
      <w:r w:rsidR="00E27EA1" w:rsidRPr="006F23C2">
        <w:rPr>
          <w:rFonts w:asciiTheme="majorBidi" w:hAnsiTheme="majorBidi" w:cstheme="majorBidi"/>
          <w:b/>
          <w:bCs/>
          <w:sz w:val="24"/>
          <w:szCs w:val="24"/>
          <w:u w:val="single"/>
        </w:rPr>
        <w:t xml:space="preserve">If not, what principles may be identified in order to address the gaps? </w:t>
      </w:r>
      <w:r w:rsidR="00297483" w:rsidRPr="006F23C2">
        <w:rPr>
          <w:rFonts w:asciiTheme="majorBidi" w:hAnsiTheme="majorBidi" w:cstheme="majorBidi"/>
          <w:b/>
          <w:bCs/>
          <w:sz w:val="24"/>
          <w:szCs w:val="24"/>
          <w:u w:val="single"/>
        </w:rPr>
        <w:t xml:space="preserve"> </w:t>
      </w:r>
      <w:r w:rsidR="00502DFE" w:rsidRPr="006F23C2">
        <w:rPr>
          <w:rFonts w:asciiTheme="majorBidi" w:hAnsiTheme="majorBidi" w:cstheme="majorBidi"/>
          <w:b/>
          <w:bCs/>
          <w:sz w:val="24"/>
          <w:szCs w:val="24"/>
          <w:u w:val="single"/>
        </w:rPr>
        <w:t>List them</w:t>
      </w:r>
      <w:r w:rsidR="00F0218A" w:rsidRPr="006F23C2">
        <w:rPr>
          <w:rFonts w:asciiTheme="majorBidi" w:hAnsiTheme="majorBidi" w:cstheme="majorBidi"/>
          <w:b/>
          <w:bCs/>
          <w:sz w:val="24"/>
          <w:szCs w:val="24"/>
          <w:u w:val="single"/>
        </w:rPr>
        <w:t xml:space="preserve"> according to priority.</w:t>
      </w:r>
    </w:p>
    <w:p w14:paraId="0BD48D03" w14:textId="77777777" w:rsidR="008F7232" w:rsidRDefault="006F23C2" w:rsidP="002368F3">
      <w:pPr>
        <w:spacing w:before="120" w:after="120" w:line="360" w:lineRule="auto"/>
        <w:ind w:left="714"/>
        <w:jc w:val="both"/>
        <w:rPr>
          <w:rFonts w:asciiTheme="majorBidi" w:hAnsiTheme="majorBidi" w:cstheme="majorBidi"/>
        </w:rPr>
      </w:pPr>
      <w:r w:rsidRPr="003D58EB">
        <w:rPr>
          <w:rFonts w:asciiTheme="majorBidi" w:hAnsiTheme="majorBidi" w:cstheme="majorBidi"/>
        </w:rPr>
        <w:t>The 2015 Paris Agreement to the United Nations Framework Convention on Climate Change (UNFCC)</w:t>
      </w:r>
      <w:r w:rsidR="003D58EB" w:rsidRPr="003D58EB">
        <w:rPr>
          <w:rFonts w:asciiTheme="majorBidi" w:hAnsiTheme="majorBidi" w:cstheme="majorBidi"/>
        </w:rPr>
        <w:t xml:space="preserve"> has been lauded for being the first climate change instrument and one of the first environmental agreements to explicitly recognize the relevance of human rights in the context of climate change policymaking</w:t>
      </w:r>
      <w:r w:rsidR="003D58EB">
        <w:rPr>
          <w:rStyle w:val="FootnoteReference"/>
          <w:rFonts w:asciiTheme="majorBidi" w:hAnsiTheme="majorBidi" w:cstheme="majorBidi"/>
        </w:rPr>
        <w:footnoteReference w:id="9"/>
      </w:r>
      <w:r w:rsidR="003D58EB" w:rsidRPr="003D58EB">
        <w:rPr>
          <w:rFonts w:asciiTheme="majorBidi" w:hAnsiTheme="majorBidi" w:cstheme="majorBidi"/>
        </w:rPr>
        <w:t>.</w:t>
      </w:r>
      <w:r w:rsidR="003D58EB">
        <w:rPr>
          <w:rFonts w:asciiTheme="majorBidi" w:hAnsiTheme="majorBidi" w:cstheme="majorBidi"/>
        </w:rPr>
        <w:t xml:space="preserve"> The preamble to the Agreement </w:t>
      </w:r>
      <w:r w:rsidR="008F7232">
        <w:rPr>
          <w:rFonts w:asciiTheme="majorBidi" w:hAnsiTheme="majorBidi" w:cstheme="majorBidi"/>
        </w:rPr>
        <w:t xml:space="preserve">specifies that: </w:t>
      </w:r>
    </w:p>
    <w:p w14:paraId="23FAD25E" w14:textId="77777777" w:rsidR="008F7232" w:rsidRDefault="008F7232" w:rsidP="002368F3">
      <w:pPr>
        <w:spacing w:before="120" w:after="120" w:line="360" w:lineRule="auto"/>
        <w:ind w:left="714"/>
        <w:jc w:val="both"/>
        <w:rPr>
          <w:rFonts w:asciiTheme="majorBidi" w:hAnsiTheme="majorBidi" w:cstheme="majorBidi"/>
        </w:rPr>
      </w:pPr>
      <w:r>
        <w:rPr>
          <w:rFonts w:asciiTheme="majorBidi" w:hAnsiTheme="majorBidi" w:cstheme="majorBidi"/>
        </w:rPr>
        <w:t xml:space="preserve">“Parties should, when taking action to address climate change, respect, promote and consider their respective obligations on human rights, the right to health, the rights of indigenous peoples, local communities, migrants, children, persons with disabilities, and people in vulnerable situations and the right to development, as well as gender equality, empowerment of women and intergenerational equity.” </w:t>
      </w:r>
    </w:p>
    <w:p w14:paraId="39CD65AA" w14:textId="77777777" w:rsidR="002368F3" w:rsidRDefault="008F7232" w:rsidP="002368F3">
      <w:pPr>
        <w:spacing w:before="120" w:after="120" w:line="360" w:lineRule="auto"/>
        <w:ind w:left="714"/>
        <w:jc w:val="both"/>
        <w:rPr>
          <w:rFonts w:asciiTheme="majorBidi" w:hAnsiTheme="majorBidi" w:cstheme="majorBidi"/>
        </w:rPr>
      </w:pPr>
      <w:r>
        <w:rPr>
          <w:rFonts w:asciiTheme="majorBidi" w:hAnsiTheme="majorBidi" w:cstheme="majorBidi"/>
        </w:rPr>
        <w:t>While the Agreement is historic in this regard, it still leaves several gaps, due to the fact that (</w:t>
      </w:r>
      <w:proofErr w:type="spellStart"/>
      <w:r>
        <w:rPr>
          <w:rFonts w:asciiTheme="majorBidi" w:hAnsiTheme="majorBidi" w:cstheme="majorBidi"/>
        </w:rPr>
        <w:t>i</w:t>
      </w:r>
      <w:proofErr w:type="spellEnd"/>
      <w:r>
        <w:rPr>
          <w:rFonts w:asciiTheme="majorBidi" w:hAnsiTheme="majorBidi" w:cstheme="majorBidi"/>
        </w:rPr>
        <w:t xml:space="preserve">) it is </w:t>
      </w:r>
      <w:r w:rsidR="002368F3">
        <w:rPr>
          <w:rFonts w:asciiTheme="majorBidi" w:hAnsiTheme="majorBidi" w:cstheme="majorBidi"/>
        </w:rPr>
        <w:t xml:space="preserve">a </w:t>
      </w:r>
      <w:r>
        <w:rPr>
          <w:rFonts w:asciiTheme="majorBidi" w:hAnsiTheme="majorBidi" w:cstheme="majorBidi"/>
        </w:rPr>
        <w:t xml:space="preserve">voluntary agreement and is therefore not legally binding on any state to fully adopt or implement, (ii) the preamble to a document is usually not immediately enforceable, as it serves mainly </w:t>
      </w:r>
      <w:r w:rsidR="00DB4156">
        <w:rPr>
          <w:rFonts w:asciiTheme="majorBidi" w:hAnsiTheme="majorBidi" w:cstheme="majorBidi"/>
        </w:rPr>
        <w:t xml:space="preserve">to set the tone for the document and provide guidance on the way the rest of the document is to be interpreted, and (iii) there is still a need to </w:t>
      </w:r>
    </w:p>
    <w:p w14:paraId="07150BD4" w14:textId="77777777" w:rsidR="002368F3" w:rsidRDefault="002368F3" w:rsidP="002368F3">
      <w:pPr>
        <w:spacing w:before="120" w:after="120" w:line="360" w:lineRule="auto"/>
        <w:ind w:left="714"/>
        <w:jc w:val="both"/>
        <w:rPr>
          <w:rFonts w:asciiTheme="majorBidi" w:hAnsiTheme="majorBidi" w:cstheme="majorBidi"/>
        </w:rPr>
      </w:pPr>
    </w:p>
    <w:p w14:paraId="4D7386C7" w14:textId="77777777" w:rsidR="002368F3" w:rsidRDefault="002368F3" w:rsidP="002368F3">
      <w:pPr>
        <w:spacing w:before="120" w:after="120" w:line="360" w:lineRule="auto"/>
        <w:ind w:left="714"/>
        <w:jc w:val="both"/>
        <w:rPr>
          <w:rFonts w:asciiTheme="majorBidi" w:hAnsiTheme="majorBidi" w:cstheme="majorBidi"/>
        </w:rPr>
      </w:pPr>
    </w:p>
    <w:p w14:paraId="19A0AEFF" w14:textId="17C1F65D" w:rsidR="006F23C2" w:rsidRDefault="00DB4156" w:rsidP="002368F3">
      <w:pPr>
        <w:spacing w:before="120" w:after="120" w:line="360" w:lineRule="auto"/>
        <w:ind w:left="714"/>
        <w:jc w:val="both"/>
        <w:rPr>
          <w:rFonts w:asciiTheme="majorBidi" w:hAnsiTheme="majorBidi" w:cstheme="majorBidi"/>
        </w:rPr>
      </w:pPr>
      <w:proofErr w:type="gramStart"/>
      <w:r>
        <w:rPr>
          <w:rFonts w:asciiTheme="majorBidi" w:hAnsiTheme="majorBidi" w:cstheme="majorBidi"/>
        </w:rPr>
        <w:t>translate</w:t>
      </w:r>
      <w:proofErr w:type="gramEnd"/>
      <w:r>
        <w:rPr>
          <w:rFonts w:asciiTheme="majorBidi" w:hAnsiTheme="majorBidi" w:cstheme="majorBidi"/>
        </w:rPr>
        <w:t xml:space="preserve"> this provision in a way that allows for the integration of human rights into practical actions in specific climate change policies</w:t>
      </w:r>
      <w:r>
        <w:rPr>
          <w:rStyle w:val="FootnoteReference"/>
          <w:rFonts w:asciiTheme="majorBidi" w:hAnsiTheme="majorBidi" w:cstheme="majorBidi"/>
        </w:rPr>
        <w:footnoteReference w:id="10"/>
      </w:r>
      <w:r>
        <w:rPr>
          <w:rFonts w:asciiTheme="majorBidi" w:hAnsiTheme="majorBidi" w:cstheme="majorBidi"/>
        </w:rPr>
        <w:t xml:space="preserve">. </w:t>
      </w:r>
      <w:r w:rsidR="008F7232">
        <w:rPr>
          <w:rFonts w:asciiTheme="majorBidi" w:hAnsiTheme="majorBidi" w:cstheme="majorBidi"/>
        </w:rPr>
        <w:t xml:space="preserve"> </w:t>
      </w:r>
    </w:p>
    <w:p w14:paraId="01961727" w14:textId="79C10B20" w:rsidR="00DB4156" w:rsidRDefault="00DB4156" w:rsidP="002368F3">
      <w:pPr>
        <w:spacing w:before="120" w:after="120" w:line="360" w:lineRule="auto"/>
        <w:ind w:left="714"/>
        <w:jc w:val="both"/>
        <w:rPr>
          <w:rFonts w:asciiTheme="majorBidi" w:hAnsiTheme="majorBidi" w:cstheme="majorBidi"/>
        </w:rPr>
      </w:pPr>
      <w:r>
        <w:rPr>
          <w:rFonts w:asciiTheme="majorBidi" w:hAnsiTheme="majorBidi" w:cstheme="majorBidi"/>
        </w:rPr>
        <w:t>Guyana’s national framework includes the Constitution and the fundamental rights and fre</w:t>
      </w:r>
      <w:r w:rsidR="0085473F">
        <w:rPr>
          <w:rFonts w:asciiTheme="majorBidi" w:hAnsiTheme="majorBidi" w:cstheme="majorBidi"/>
        </w:rPr>
        <w:t xml:space="preserve">edoms </w:t>
      </w:r>
      <w:r w:rsidR="00952C8E">
        <w:rPr>
          <w:rFonts w:asciiTheme="majorBidi" w:hAnsiTheme="majorBidi" w:cstheme="majorBidi"/>
        </w:rPr>
        <w:t xml:space="preserve">enshrined therein. There </w:t>
      </w:r>
      <w:r w:rsidR="0055457D">
        <w:rPr>
          <w:rFonts w:asciiTheme="majorBidi" w:hAnsiTheme="majorBidi" w:cstheme="majorBidi"/>
        </w:rPr>
        <w:t>is</w:t>
      </w:r>
      <w:r w:rsidR="00952C8E">
        <w:rPr>
          <w:rFonts w:asciiTheme="majorBidi" w:hAnsiTheme="majorBidi" w:cstheme="majorBidi"/>
        </w:rPr>
        <w:t xml:space="preserve"> also a </w:t>
      </w:r>
      <w:r w:rsidR="002368F3">
        <w:rPr>
          <w:rFonts w:asciiTheme="majorBidi" w:hAnsiTheme="majorBidi" w:cstheme="majorBidi"/>
        </w:rPr>
        <w:t xml:space="preserve">plethora </w:t>
      </w:r>
      <w:r w:rsidR="00952C8E">
        <w:rPr>
          <w:rFonts w:asciiTheme="majorBidi" w:hAnsiTheme="majorBidi" w:cstheme="majorBidi"/>
        </w:rPr>
        <w:t xml:space="preserve">of other </w:t>
      </w:r>
      <w:r w:rsidR="002368F3">
        <w:rPr>
          <w:rFonts w:asciiTheme="majorBidi" w:hAnsiTheme="majorBidi" w:cstheme="majorBidi"/>
        </w:rPr>
        <w:t xml:space="preserve">statutes </w:t>
      </w:r>
      <w:r w:rsidR="00952C8E">
        <w:rPr>
          <w:rFonts w:asciiTheme="majorBidi" w:hAnsiTheme="majorBidi" w:cstheme="majorBidi"/>
        </w:rPr>
        <w:t xml:space="preserve">which </w:t>
      </w:r>
      <w:r w:rsidR="00AF7759">
        <w:rPr>
          <w:rFonts w:asciiTheme="majorBidi" w:hAnsiTheme="majorBidi" w:cstheme="majorBidi"/>
        </w:rPr>
        <w:t xml:space="preserve">serve to protect the rights and freedoms of citizens from harmful use of the environment. These include: </w:t>
      </w:r>
    </w:p>
    <w:p w14:paraId="45838932" w14:textId="0CE8D733" w:rsidR="00AF7759" w:rsidRDefault="00190730" w:rsidP="002368F3">
      <w:pPr>
        <w:pStyle w:val="ListParagraph"/>
        <w:numPr>
          <w:ilvl w:val="0"/>
          <w:numId w:val="14"/>
        </w:numPr>
        <w:spacing w:before="120" w:after="120" w:line="360" w:lineRule="auto"/>
        <w:ind w:left="1434"/>
        <w:jc w:val="both"/>
        <w:rPr>
          <w:rFonts w:asciiTheme="majorBidi" w:hAnsiTheme="majorBidi" w:cstheme="majorBidi"/>
        </w:rPr>
      </w:pPr>
      <w:r>
        <w:rPr>
          <w:rFonts w:asciiTheme="majorBidi" w:hAnsiTheme="majorBidi" w:cstheme="majorBidi"/>
        </w:rPr>
        <w:t>The Environmental Protection Agency Act</w:t>
      </w:r>
    </w:p>
    <w:p w14:paraId="69183E84" w14:textId="1B04B24A" w:rsidR="00190730" w:rsidRDefault="00190730" w:rsidP="002368F3">
      <w:pPr>
        <w:pStyle w:val="ListParagraph"/>
        <w:numPr>
          <w:ilvl w:val="0"/>
          <w:numId w:val="14"/>
        </w:numPr>
        <w:spacing w:before="120" w:after="120" w:line="360" w:lineRule="auto"/>
        <w:ind w:left="1434"/>
        <w:jc w:val="both"/>
        <w:rPr>
          <w:rFonts w:asciiTheme="majorBidi" w:hAnsiTheme="majorBidi" w:cstheme="majorBidi"/>
        </w:rPr>
      </w:pPr>
      <w:r>
        <w:rPr>
          <w:rFonts w:asciiTheme="majorBidi" w:hAnsiTheme="majorBidi" w:cstheme="majorBidi"/>
        </w:rPr>
        <w:t>The Mining Act</w:t>
      </w:r>
    </w:p>
    <w:p w14:paraId="76A9A108" w14:textId="4E75C8D5" w:rsidR="00190730" w:rsidRDefault="00190730" w:rsidP="002368F3">
      <w:pPr>
        <w:pStyle w:val="ListParagraph"/>
        <w:numPr>
          <w:ilvl w:val="0"/>
          <w:numId w:val="14"/>
        </w:numPr>
        <w:spacing w:before="120" w:after="120" w:line="360" w:lineRule="auto"/>
        <w:ind w:left="1434"/>
        <w:jc w:val="both"/>
        <w:rPr>
          <w:rFonts w:asciiTheme="majorBidi" w:hAnsiTheme="majorBidi" w:cstheme="majorBidi"/>
        </w:rPr>
      </w:pPr>
      <w:r>
        <w:rPr>
          <w:rFonts w:asciiTheme="majorBidi" w:hAnsiTheme="majorBidi" w:cstheme="majorBidi"/>
        </w:rPr>
        <w:t>The Petrol</w:t>
      </w:r>
      <w:r w:rsidR="00032E2D">
        <w:rPr>
          <w:rFonts w:asciiTheme="majorBidi" w:hAnsiTheme="majorBidi" w:cstheme="majorBidi"/>
        </w:rPr>
        <w:t>eum Act</w:t>
      </w:r>
    </w:p>
    <w:p w14:paraId="66BBAEE2" w14:textId="1C615D23" w:rsidR="00032E2D" w:rsidRDefault="00032E2D" w:rsidP="002368F3">
      <w:pPr>
        <w:pStyle w:val="ListParagraph"/>
        <w:numPr>
          <w:ilvl w:val="0"/>
          <w:numId w:val="14"/>
        </w:numPr>
        <w:spacing w:before="120" w:after="120" w:line="360" w:lineRule="auto"/>
        <w:ind w:left="1434"/>
        <w:jc w:val="both"/>
        <w:rPr>
          <w:rFonts w:asciiTheme="majorBidi" w:hAnsiTheme="majorBidi" w:cstheme="majorBidi"/>
        </w:rPr>
      </w:pPr>
      <w:r>
        <w:rPr>
          <w:rFonts w:asciiTheme="majorBidi" w:hAnsiTheme="majorBidi" w:cstheme="majorBidi"/>
        </w:rPr>
        <w:t xml:space="preserve">The Amerindian Act </w:t>
      </w:r>
    </w:p>
    <w:p w14:paraId="2801D414" w14:textId="76FFF0E2" w:rsidR="00032E2D" w:rsidRDefault="00032E2D" w:rsidP="002368F3">
      <w:pPr>
        <w:pStyle w:val="ListParagraph"/>
        <w:numPr>
          <w:ilvl w:val="0"/>
          <w:numId w:val="14"/>
        </w:numPr>
        <w:spacing w:before="120" w:after="120" w:line="360" w:lineRule="auto"/>
        <w:ind w:left="1434"/>
        <w:jc w:val="both"/>
        <w:rPr>
          <w:rFonts w:asciiTheme="majorBidi" w:hAnsiTheme="majorBidi" w:cstheme="majorBidi"/>
        </w:rPr>
      </w:pPr>
      <w:r>
        <w:rPr>
          <w:rFonts w:asciiTheme="majorBidi" w:hAnsiTheme="majorBidi" w:cstheme="majorBidi"/>
        </w:rPr>
        <w:t xml:space="preserve">The Public Health Ordinance </w:t>
      </w:r>
    </w:p>
    <w:p w14:paraId="6011D338" w14:textId="01F99551" w:rsidR="00032E2D" w:rsidRDefault="00032E2D" w:rsidP="002368F3">
      <w:pPr>
        <w:pStyle w:val="ListParagraph"/>
        <w:numPr>
          <w:ilvl w:val="0"/>
          <w:numId w:val="14"/>
        </w:numPr>
        <w:spacing w:before="120" w:after="120" w:line="360" w:lineRule="auto"/>
        <w:ind w:left="1434"/>
        <w:jc w:val="both"/>
        <w:rPr>
          <w:rFonts w:asciiTheme="majorBidi" w:hAnsiTheme="majorBidi" w:cstheme="majorBidi"/>
        </w:rPr>
      </w:pPr>
      <w:r>
        <w:rPr>
          <w:rFonts w:asciiTheme="majorBidi" w:hAnsiTheme="majorBidi" w:cstheme="majorBidi"/>
        </w:rPr>
        <w:t xml:space="preserve">The Occupational Safety and Health Act </w:t>
      </w:r>
    </w:p>
    <w:p w14:paraId="7DD4CF3F" w14:textId="4028DA7A" w:rsidR="002368F3" w:rsidRDefault="002368F3" w:rsidP="002368F3">
      <w:pPr>
        <w:pStyle w:val="ListParagraph"/>
        <w:numPr>
          <w:ilvl w:val="0"/>
          <w:numId w:val="14"/>
        </w:numPr>
        <w:spacing w:before="120" w:after="120" w:line="360" w:lineRule="auto"/>
        <w:ind w:left="1434"/>
        <w:jc w:val="both"/>
        <w:rPr>
          <w:rFonts w:asciiTheme="majorBidi" w:hAnsiTheme="majorBidi" w:cstheme="majorBidi"/>
        </w:rPr>
      </w:pPr>
      <w:r>
        <w:rPr>
          <w:rFonts w:asciiTheme="majorBidi" w:hAnsiTheme="majorBidi" w:cstheme="majorBidi"/>
        </w:rPr>
        <w:t>The Forests Act</w:t>
      </w:r>
    </w:p>
    <w:p w14:paraId="2405CB6D" w14:textId="751C7665" w:rsidR="00D04407" w:rsidRDefault="00D04407" w:rsidP="002368F3">
      <w:pPr>
        <w:pStyle w:val="ListParagraph"/>
        <w:numPr>
          <w:ilvl w:val="0"/>
          <w:numId w:val="14"/>
        </w:numPr>
        <w:spacing w:before="120" w:after="120" w:line="360" w:lineRule="auto"/>
        <w:ind w:left="1434"/>
        <w:jc w:val="both"/>
        <w:rPr>
          <w:rFonts w:asciiTheme="majorBidi" w:hAnsiTheme="majorBidi" w:cstheme="majorBidi"/>
        </w:rPr>
      </w:pPr>
      <w:r>
        <w:rPr>
          <w:rFonts w:asciiTheme="majorBidi" w:hAnsiTheme="majorBidi" w:cstheme="majorBidi"/>
        </w:rPr>
        <w:t>The Protected Areas Commission Act</w:t>
      </w:r>
    </w:p>
    <w:p w14:paraId="49896217" w14:textId="6AF5D601" w:rsidR="0055457D" w:rsidRPr="002368F3" w:rsidRDefault="00E80F8B" w:rsidP="005E7968">
      <w:pPr>
        <w:spacing w:before="120" w:after="120" w:line="360" w:lineRule="auto"/>
        <w:ind w:left="720"/>
        <w:jc w:val="both"/>
        <w:rPr>
          <w:rFonts w:asciiTheme="majorBidi" w:hAnsiTheme="majorBidi" w:cstheme="majorBidi"/>
        </w:rPr>
      </w:pPr>
      <w:r w:rsidRPr="002368F3">
        <w:rPr>
          <w:rFonts w:asciiTheme="majorBidi" w:hAnsiTheme="majorBidi" w:cstheme="majorBidi"/>
        </w:rPr>
        <w:t>Nevertheless, as the use of New Technolog</w:t>
      </w:r>
      <w:r w:rsidR="00D04407">
        <w:rPr>
          <w:rFonts w:asciiTheme="majorBidi" w:hAnsiTheme="majorBidi" w:cstheme="majorBidi"/>
        </w:rPr>
        <w:t>ies</w:t>
      </w:r>
      <w:r w:rsidRPr="002368F3">
        <w:rPr>
          <w:rFonts w:asciiTheme="majorBidi" w:hAnsiTheme="majorBidi" w:cstheme="majorBidi"/>
        </w:rPr>
        <w:t xml:space="preserve"> for Climate Protection </w:t>
      </w:r>
      <w:r w:rsidR="00D04407">
        <w:rPr>
          <w:rFonts w:asciiTheme="majorBidi" w:hAnsiTheme="majorBidi" w:cstheme="majorBidi"/>
        </w:rPr>
        <w:t xml:space="preserve">globally and in Guyana </w:t>
      </w:r>
      <w:r w:rsidRPr="002368F3">
        <w:rPr>
          <w:rFonts w:asciiTheme="majorBidi" w:hAnsiTheme="majorBidi" w:cstheme="majorBidi"/>
        </w:rPr>
        <w:t>are still in their infancy stage</w:t>
      </w:r>
      <w:r w:rsidR="00D04407">
        <w:rPr>
          <w:rFonts w:asciiTheme="majorBidi" w:hAnsiTheme="majorBidi" w:cstheme="majorBidi"/>
        </w:rPr>
        <w:t xml:space="preserve">, there will be, by necessity, </w:t>
      </w:r>
      <w:r w:rsidR="009422FA" w:rsidRPr="002368F3">
        <w:rPr>
          <w:rFonts w:asciiTheme="majorBidi" w:hAnsiTheme="majorBidi" w:cstheme="majorBidi"/>
        </w:rPr>
        <w:t>the constant updating of our laws in tandem with the development and use of these technologies</w:t>
      </w:r>
      <w:r w:rsidR="0055457D" w:rsidRPr="002368F3">
        <w:rPr>
          <w:rFonts w:asciiTheme="majorBidi" w:hAnsiTheme="majorBidi" w:cstheme="majorBidi"/>
        </w:rPr>
        <w:t xml:space="preserve"> to ensure that the rights of all citizens, particularly those most vulnerable to the effects of climate change continue to the protected. </w:t>
      </w:r>
    </w:p>
    <w:p w14:paraId="2B6C2E8F" w14:textId="77777777" w:rsidR="0055457D" w:rsidRPr="00032E2D" w:rsidRDefault="0055457D" w:rsidP="002368F3">
      <w:pPr>
        <w:spacing w:before="120" w:after="120" w:line="360" w:lineRule="auto"/>
        <w:ind w:left="714"/>
        <w:jc w:val="both"/>
        <w:rPr>
          <w:rFonts w:asciiTheme="majorBidi" w:hAnsiTheme="majorBidi" w:cstheme="majorBidi"/>
        </w:rPr>
      </w:pPr>
    </w:p>
    <w:p w14:paraId="10B08565" w14:textId="0AA2C557" w:rsidR="00A735AA" w:rsidRPr="00B2711E" w:rsidRDefault="00A735AA" w:rsidP="001D4456">
      <w:pPr>
        <w:pStyle w:val="ListParagraph"/>
        <w:numPr>
          <w:ilvl w:val="0"/>
          <w:numId w:val="1"/>
        </w:numPr>
        <w:spacing w:before="120" w:after="120" w:line="360" w:lineRule="auto"/>
        <w:ind w:left="714" w:hanging="357"/>
        <w:contextualSpacing w:val="0"/>
        <w:jc w:val="both"/>
        <w:rPr>
          <w:rFonts w:asciiTheme="majorBidi" w:hAnsiTheme="majorBidi" w:cstheme="majorBidi"/>
          <w:b/>
          <w:bCs/>
          <w:sz w:val="24"/>
          <w:szCs w:val="24"/>
          <w:u w:val="single"/>
        </w:rPr>
      </w:pPr>
      <w:r w:rsidRPr="00B2711E">
        <w:rPr>
          <w:rFonts w:asciiTheme="majorBidi" w:hAnsiTheme="majorBidi" w:cstheme="majorBidi"/>
          <w:b/>
          <w:bCs/>
          <w:sz w:val="24"/>
          <w:szCs w:val="24"/>
          <w:u w:val="single"/>
        </w:rPr>
        <w:t>Given that NTCP may present potential risks for the enjoyment of human rights, to what extent do human rights legal obligations require the States to pursue other climate protection policies presenting less risks of harm, including mitigation and adaptation measures?</w:t>
      </w:r>
    </w:p>
    <w:p w14:paraId="741FC398" w14:textId="77777777" w:rsidR="00D04407" w:rsidRDefault="00235254" w:rsidP="00D04407">
      <w:pPr>
        <w:spacing w:before="120" w:after="120" w:line="360" w:lineRule="auto"/>
        <w:ind w:left="714"/>
        <w:jc w:val="both"/>
        <w:rPr>
          <w:rFonts w:asciiTheme="majorBidi" w:hAnsiTheme="majorBidi" w:cstheme="majorBidi"/>
        </w:rPr>
      </w:pPr>
      <w:r w:rsidRPr="00C51B4B">
        <w:rPr>
          <w:rFonts w:asciiTheme="majorBidi" w:hAnsiTheme="majorBidi" w:cstheme="majorBidi"/>
        </w:rPr>
        <w:t xml:space="preserve">There is undoubtedly a need for States to pursue other climate protection policies that present less harm to citizens. In this regard, Guyana has taken a </w:t>
      </w:r>
      <w:r w:rsidR="00B2711E" w:rsidRPr="00C51B4B">
        <w:rPr>
          <w:rFonts w:asciiTheme="majorBidi" w:hAnsiTheme="majorBidi" w:cstheme="majorBidi"/>
        </w:rPr>
        <w:t>step in the right direction with the development of our Low Carbon Development Strategy</w:t>
      </w:r>
      <w:r w:rsidR="001A7BB6">
        <w:rPr>
          <w:rFonts w:asciiTheme="majorBidi" w:hAnsiTheme="majorBidi" w:cstheme="majorBidi"/>
        </w:rPr>
        <w:t xml:space="preserve"> 2030</w:t>
      </w:r>
      <w:r w:rsidR="00A066F7">
        <w:rPr>
          <w:rFonts w:asciiTheme="majorBidi" w:hAnsiTheme="majorBidi" w:cstheme="majorBidi"/>
        </w:rPr>
        <w:t xml:space="preserve"> (LCDS)</w:t>
      </w:r>
      <w:r w:rsidR="00B2711E" w:rsidRPr="00C51B4B">
        <w:rPr>
          <w:rFonts w:asciiTheme="majorBidi" w:hAnsiTheme="majorBidi" w:cstheme="majorBidi"/>
        </w:rPr>
        <w:t>.</w:t>
      </w:r>
      <w:r w:rsidR="001A7BB6">
        <w:rPr>
          <w:rFonts w:asciiTheme="majorBidi" w:hAnsiTheme="majorBidi" w:cstheme="majorBidi"/>
        </w:rPr>
        <w:t xml:space="preserve"> </w:t>
      </w:r>
      <w:r w:rsidR="00096633">
        <w:rPr>
          <w:rFonts w:asciiTheme="majorBidi" w:hAnsiTheme="majorBidi" w:cstheme="majorBidi"/>
        </w:rPr>
        <w:t xml:space="preserve">The State Party has </w:t>
      </w:r>
      <w:r w:rsidR="00685897">
        <w:rPr>
          <w:rFonts w:asciiTheme="majorBidi" w:hAnsiTheme="majorBidi" w:cstheme="majorBidi"/>
        </w:rPr>
        <w:t>developed a Climate Resilience and Adaptation Strategy</w:t>
      </w:r>
      <w:r w:rsidR="001C7796">
        <w:rPr>
          <w:rFonts w:asciiTheme="majorBidi" w:hAnsiTheme="majorBidi" w:cstheme="majorBidi"/>
        </w:rPr>
        <w:t xml:space="preserve"> which sets out a </w:t>
      </w:r>
    </w:p>
    <w:p w14:paraId="62C9EFC6" w14:textId="77777777" w:rsidR="00D04407" w:rsidRDefault="00D04407" w:rsidP="00D04407">
      <w:pPr>
        <w:spacing w:before="120" w:after="120" w:line="360" w:lineRule="auto"/>
        <w:ind w:left="714"/>
        <w:jc w:val="both"/>
        <w:rPr>
          <w:rFonts w:asciiTheme="majorBidi" w:hAnsiTheme="majorBidi" w:cstheme="majorBidi"/>
        </w:rPr>
      </w:pPr>
    </w:p>
    <w:p w14:paraId="535CF395" w14:textId="019F9954" w:rsidR="0055457D" w:rsidRDefault="001C7796" w:rsidP="00D04407">
      <w:pPr>
        <w:spacing w:before="120" w:after="120" w:line="360" w:lineRule="auto"/>
        <w:ind w:left="714"/>
        <w:jc w:val="both"/>
        <w:rPr>
          <w:rFonts w:asciiTheme="majorBidi" w:hAnsiTheme="majorBidi" w:cstheme="majorBidi"/>
        </w:rPr>
      </w:pPr>
      <w:proofErr w:type="gramStart"/>
      <w:r>
        <w:rPr>
          <w:rFonts w:asciiTheme="majorBidi" w:hAnsiTheme="majorBidi" w:cstheme="majorBidi"/>
        </w:rPr>
        <w:t>comprehensive</w:t>
      </w:r>
      <w:proofErr w:type="gramEnd"/>
      <w:r>
        <w:rPr>
          <w:rFonts w:asciiTheme="majorBidi" w:hAnsiTheme="majorBidi" w:cstheme="majorBidi"/>
        </w:rPr>
        <w:t xml:space="preserve"> and overarching framework for adapting and building resilience </w:t>
      </w:r>
      <w:r w:rsidR="00A066F7">
        <w:rPr>
          <w:rFonts w:asciiTheme="majorBidi" w:hAnsiTheme="majorBidi" w:cstheme="majorBidi"/>
        </w:rPr>
        <w:t xml:space="preserve">to climate change impacts. The core elements of this Strategy have been incorporated into the </w:t>
      </w:r>
      <w:r w:rsidR="00B2711E" w:rsidRPr="00C51B4B">
        <w:rPr>
          <w:rFonts w:asciiTheme="majorBidi" w:hAnsiTheme="majorBidi" w:cstheme="majorBidi"/>
        </w:rPr>
        <w:t xml:space="preserve"> </w:t>
      </w:r>
      <w:r w:rsidR="00A066F7">
        <w:rPr>
          <w:rFonts w:asciiTheme="majorBidi" w:hAnsiTheme="majorBidi" w:cstheme="majorBidi"/>
        </w:rPr>
        <w:t>LCDS</w:t>
      </w:r>
      <w:r w:rsidR="00806987">
        <w:rPr>
          <w:rFonts w:asciiTheme="majorBidi" w:hAnsiTheme="majorBidi" w:cstheme="majorBidi"/>
        </w:rPr>
        <w:t xml:space="preserve">, which is the overarching development strategy for the country. </w:t>
      </w:r>
      <w:r w:rsidR="00945BD7">
        <w:rPr>
          <w:rFonts w:asciiTheme="majorBidi" w:hAnsiTheme="majorBidi" w:cstheme="majorBidi"/>
        </w:rPr>
        <w:t xml:space="preserve">The key mitigation and adaptation measures to be completed under the strategy </w:t>
      </w:r>
      <w:r w:rsidR="0041431B">
        <w:rPr>
          <w:rFonts w:asciiTheme="majorBidi" w:hAnsiTheme="majorBidi" w:cstheme="majorBidi"/>
        </w:rPr>
        <w:t xml:space="preserve">include: </w:t>
      </w:r>
    </w:p>
    <w:p w14:paraId="01B58AC5" w14:textId="77777777" w:rsidR="008B336F" w:rsidRDefault="008B336F" w:rsidP="001D4456">
      <w:pPr>
        <w:spacing w:before="120" w:after="120" w:line="360" w:lineRule="auto"/>
        <w:jc w:val="both"/>
        <w:rPr>
          <w:rFonts w:asciiTheme="majorBidi" w:hAnsiTheme="majorBidi" w:cstheme="majorBidi"/>
        </w:rPr>
      </w:pPr>
    </w:p>
    <w:p w14:paraId="32E628BB" w14:textId="77777777" w:rsidR="00F95D0A" w:rsidRPr="004112EA" w:rsidRDefault="0041431B" w:rsidP="001D4456">
      <w:pPr>
        <w:pStyle w:val="ListParagraph"/>
        <w:numPr>
          <w:ilvl w:val="0"/>
          <w:numId w:val="15"/>
        </w:numPr>
        <w:spacing w:before="120" w:after="120" w:line="360" w:lineRule="auto"/>
        <w:jc w:val="both"/>
        <w:rPr>
          <w:rFonts w:asciiTheme="majorBidi" w:hAnsiTheme="majorBidi" w:cstheme="majorBidi"/>
          <w:b/>
          <w:bCs/>
        </w:rPr>
      </w:pPr>
      <w:r w:rsidRPr="004112EA">
        <w:rPr>
          <w:rFonts w:asciiTheme="majorBidi" w:hAnsiTheme="majorBidi" w:cstheme="majorBidi"/>
          <w:b/>
          <w:bCs/>
        </w:rPr>
        <w:t>Sea defense enhancement and maintenance:</w:t>
      </w:r>
    </w:p>
    <w:p w14:paraId="4864FC10" w14:textId="2235238C" w:rsidR="0041431B" w:rsidRDefault="008600BB" w:rsidP="00D04407">
      <w:pPr>
        <w:spacing w:before="120" w:after="120" w:line="360" w:lineRule="auto"/>
        <w:ind w:left="720"/>
        <w:jc w:val="both"/>
        <w:rPr>
          <w:rFonts w:asciiTheme="majorBidi" w:hAnsiTheme="majorBidi" w:cstheme="majorBidi"/>
        </w:rPr>
      </w:pPr>
      <w:r>
        <w:rPr>
          <w:rFonts w:asciiTheme="majorBidi" w:hAnsiTheme="majorBidi" w:cstheme="majorBidi"/>
        </w:rPr>
        <w:t xml:space="preserve">Although Guyana has </w:t>
      </w:r>
      <w:r w:rsidR="006052AE">
        <w:rPr>
          <w:rFonts w:asciiTheme="majorBidi" w:hAnsiTheme="majorBidi" w:cstheme="majorBidi"/>
        </w:rPr>
        <w:t xml:space="preserve">a land mass </w:t>
      </w:r>
      <w:r w:rsidR="004432E4">
        <w:rPr>
          <w:rFonts w:asciiTheme="majorBidi" w:hAnsiTheme="majorBidi" w:cstheme="majorBidi"/>
        </w:rPr>
        <w:t>of 214,970km</w:t>
      </w:r>
      <w:r w:rsidR="004432E4" w:rsidRPr="004432E4">
        <w:rPr>
          <w:rFonts w:asciiTheme="majorBidi" w:hAnsiTheme="majorBidi" w:cstheme="majorBidi"/>
          <w:vertAlign w:val="superscript"/>
        </w:rPr>
        <w:t>2</w:t>
      </w:r>
      <w:r w:rsidR="004432E4">
        <w:rPr>
          <w:rFonts w:asciiTheme="majorBidi" w:hAnsiTheme="majorBidi" w:cstheme="majorBidi"/>
        </w:rPr>
        <w:t xml:space="preserve">, </w:t>
      </w:r>
      <w:r w:rsidR="003E3D99">
        <w:rPr>
          <w:rFonts w:asciiTheme="majorBidi" w:hAnsiTheme="majorBidi" w:cstheme="majorBidi"/>
        </w:rPr>
        <w:t>approximately 90 percent of the population resides along the 15,000</w:t>
      </w:r>
      <w:r w:rsidR="0041431B" w:rsidRPr="004432E4">
        <w:rPr>
          <w:rFonts w:asciiTheme="majorBidi" w:hAnsiTheme="majorBidi" w:cstheme="majorBidi"/>
          <w:vertAlign w:val="superscript"/>
        </w:rPr>
        <w:t xml:space="preserve"> </w:t>
      </w:r>
      <w:r w:rsidR="003E3D99">
        <w:rPr>
          <w:rFonts w:asciiTheme="majorBidi" w:hAnsiTheme="majorBidi" w:cstheme="majorBidi"/>
        </w:rPr>
        <w:t>km</w:t>
      </w:r>
      <w:r w:rsidR="003E3D99" w:rsidRPr="004432E4">
        <w:rPr>
          <w:rFonts w:asciiTheme="majorBidi" w:hAnsiTheme="majorBidi" w:cstheme="majorBidi"/>
          <w:vertAlign w:val="superscript"/>
        </w:rPr>
        <w:t>2</w:t>
      </w:r>
      <w:r w:rsidR="004C4CBB">
        <w:rPr>
          <w:rFonts w:asciiTheme="majorBidi" w:hAnsiTheme="majorBidi" w:cstheme="majorBidi"/>
        </w:rPr>
        <w:t xml:space="preserve"> close to the </w:t>
      </w:r>
      <w:r w:rsidR="00EF544E">
        <w:rPr>
          <w:rFonts w:asciiTheme="majorBidi" w:hAnsiTheme="majorBidi" w:cstheme="majorBidi"/>
        </w:rPr>
        <w:t xml:space="preserve">low-lying coastline of approximately 459 km. </w:t>
      </w:r>
      <w:r w:rsidR="00D04407">
        <w:rPr>
          <w:rFonts w:asciiTheme="majorBidi" w:hAnsiTheme="majorBidi" w:cstheme="majorBidi"/>
        </w:rPr>
        <w:t xml:space="preserve">This area is also the largest primary agricultural developed area in the country. However, the </w:t>
      </w:r>
      <w:r w:rsidR="00433990">
        <w:rPr>
          <w:rFonts w:asciiTheme="majorBidi" w:hAnsiTheme="majorBidi" w:cstheme="majorBidi"/>
        </w:rPr>
        <w:t>majority of the coastal zone is below sea-level and relies heavily on engineered seawalls and rip raps, natural mangroves</w:t>
      </w:r>
      <w:r w:rsidR="005E7968">
        <w:rPr>
          <w:rFonts w:asciiTheme="majorBidi" w:hAnsiTheme="majorBidi" w:cstheme="majorBidi"/>
        </w:rPr>
        <w:t>, and mechanical pumps,</w:t>
      </w:r>
      <w:r w:rsidR="00532FD8">
        <w:rPr>
          <w:rFonts w:asciiTheme="majorBidi" w:hAnsiTheme="majorBidi" w:cstheme="majorBidi"/>
        </w:rPr>
        <w:t xml:space="preserve"> to provide protection from the Atlantic Ocean</w:t>
      </w:r>
      <w:r w:rsidR="0050297D">
        <w:rPr>
          <w:rStyle w:val="FootnoteReference"/>
          <w:rFonts w:asciiTheme="majorBidi" w:hAnsiTheme="majorBidi" w:cstheme="majorBidi"/>
        </w:rPr>
        <w:footnoteReference w:id="11"/>
      </w:r>
      <w:r w:rsidR="00532FD8">
        <w:rPr>
          <w:rFonts w:asciiTheme="majorBidi" w:hAnsiTheme="majorBidi" w:cstheme="majorBidi"/>
        </w:rPr>
        <w:t xml:space="preserve">. </w:t>
      </w:r>
      <w:r w:rsidR="0055095F">
        <w:rPr>
          <w:rFonts w:asciiTheme="majorBidi" w:hAnsiTheme="majorBidi" w:cstheme="majorBidi"/>
        </w:rPr>
        <w:t>Despite significant investment</w:t>
      </w:r>
      <w:r w:rsidR="004112EA">
        <w:rPr>
          <w:rFonts w:asciiTheme="majorBidi" w:hAnsiTheme="majorBidi" w:cstheme="majorBidi"/>
        </w:rPr>
        <w:t xml:space="preserve"> </w:t>
      </w:r>
      <w:r w:rsidR="00EC7442">
        <w:rPr>
          <w:rFonts w:asciiTheme="majorBidi" w:hAnsiTheme="majorBidi" w:cstheme="majorBidi"/>
        </w:rPr>
        <w:t xml:space="preserve">to rehabilitate and maintain sea defense structures, a </w:t>
      </w:r>
      <w:r w:rsidR="00577DCB">
        <w:rPr>
          <w:rFonts w:asciiTheme="majorBidi" w:hAnsiTheme="majorBidi" w:cstheme="majorBidi"/>
        </w:rPr>
        <w:t xml:space="preserve">recent survey found that there is an urgent need for </w:t>
      </w:r>
      <w:r w:rsidR="00D04407">
        <w:rPr>
          <w:rFonts w:asciiTheme="majorBidi" w:hAnsiTheme="majorBidi" w:cstheme="majorBidi"/>
        </w:rPr>
        <w:t xml:space="preserve">significant </w:t>
      </w:r>
      <w:r w:rsidR="00577DCB">
        <w:rPr>
          <w:rFonts w:asciiTheme="majorBidi" w:hAnsiTheme="majorBidi" w:cstheme="majorBidi"/>
        </w:rPr>
        <w:t xml:space="preserve">investments </w:t>
      </w:r>
      <w:r w:rsidR="00A65DFC">
        <w:rPr>
          <w:rFonts w:asciiTheme="majorBidi" w:hAnsiTheme="majorBidi" w:cstheme="majorBidi"/>
        </w:rPr>
        <w:t xml:space="preserve">to </w:t>
      </w:r>
      <w:r w:rsidR="009D09AA">
        <w:rPr>
          <w:rFonts w:asciiTheme="majorBidi" w:hAnsiTheme="majorBidi" w:cstheme="majorBidi"/>
        </w:rPr>
        <w:t xml:space="preserve">these </w:t>
      </w:r>
      <w:r w:rsidR="00A65DFC">
        <w:rPr>
          <w:rFonts w:asciiTheme="majorBidi" w:hAnsiTheme="majorBidi" w:cstheme="majorBidi"/>
        </w:rPr>
        <w:t>structure</w:t>
      </w:r>
      <w:r w:rsidR="009D09AA">
        <w:rPr>
          <w:rFonts w:asciiTheme="majorBidi" w:hAnsiTheme="majorBidi" w:cstheme="majorBidi"/>
        </w:rPr>
        <w:t xml:space="preserve">s. Further, mangroves are highly vulnerable to </w:t>
      </w:r>
      <w:r w:rsidR="006C5438">
        <w:rPr>
          <w:rFonts w:asciiTheme="majorBidi" w:hAnsiTheme="majorBidi" w:cstheme="majorBidi"/>
        </w:rPr>
        <w:t xml:space="preserve">climate change, particularly sea level rise, </w:t>
      </w:r>
      <w:r w:rsidR="00437566">
        <w:rPr>
          <w:rFonts w:asciiTheme="majorBidi" w:hAnsiTheme="majorBidi" w:cstheme="majorBidi"/>
        </w:rPr>
        <w:t xml:space="preserve">which could destroy or damage mangroves and, with it, coastal </w:t>
      </w:r>
      <w:r w:rsidR="0019759D">
        <w:rPr>
          <w:rFonts w:asciiTheme="majorBidi" w:hAnsiTheme="majorBidi" w:cstheme="majorBidi"/>
        </w:rPr>
        <w:t>habitats,</w:t>
      </w:r>
      <w:r w:rsidR="00437566">
        <w:rPr>
          <w:rFonts w:asciiTheme="majorBidi" w:hAnsiTheme="majorBidi" w:cstheme="majorBidi"/>
        </w:rPr>
        <w:t xml:space="preserve"> and fisheries infrastructure</w:t>
      </w:r>
      <w:r w:rsidR="00761F7D">
        <w:rPr>
          <w:rFonts w:asciiTheme="majorBidi" w:hAnsiTheme="majorBidi" w:cstheme="majorBidi"/>
        </w:rPr>
        <w:t xml:space="preserve"> such as landing sites. </w:t>
      </w:r>
      <w:r w:rsidR="001A0D03">
        <w:rPr>
          <w:rFonts w:asciiTheme="majorBidi" w:hAnsiTheme="majorBidi" w:cstheme="majorBidi"/>
        </w:rPr>
        <w:t xml:space="preserve">Through the LCDS, Guyana’s government will undertake targeted actions to </w:t>
      </w:r>
      <w:r w:rsidR="00A54F0D">
        <w:rPr>
          <w:rFonts w:asciiTheme="majorBidi" w:hAnsiTheme="majorBidi" w:cstheme="majorBidi"/>
        </w:rPr>
        <w:t>ensure that the sea-defense system is more resilient to climate change, that they are restored and retrofitted</w:t>
      </w:r>
      <w:r w:rsidR="00A62B35">
        <w:rPr>
          <w:rFonts w:asciiTheme="majorBidi" w:hAnsiTheme="majorBidi" w:cstheme="majorBidi"/>
        </w:rPr>
        <w:t xml:space="preserve">, that mangroves are restored and protected, that coastal communities are protected against flooding, and that </w:t>
      </w:r>
      <w:r w:rsidR="0029213E">
        <w:rPr>
          <w:rFonts w:asciiTheme="majorBidi" w:hAnsiTheme="majorBidi" w:cstheme="majorBidi"/>
        </w:rPr>
        <w:t xml:space="preserve">there is greater awareness of the importance of mangrove eco-systems to the sea-defense mechanism and </w:t>
      </w:r>
      <w:r w:rsidR="00111C33">
        <w:rPr>
          <w:rFonts w:asciiTheme="majorBidi" w:hAnsiTheme="majorBidi" w:cstheme="majorBidi"/>
        </w:rPr>
        <w:t>livelihood among the general public</w:t>
      </w:r>
      <w:r w:rsidR="00E67CB6">
        <w:rPr>
          <w:rStyle w:val="FootnoteReference"/>
          <w:rFonts w:asciiTheme="majorBidi" w:hAnsiTheme="majorBidi" w:cstheme="majorBidi"/>
        </w:rPr>
        <w:footnoteReference w:id="12"/>
      </w:r>
      <w:r w:rsidR="00111C33">
        <w:rPr>
          <w:rFonts w:asciiTheme="majorBidi" w:hAnsiTheme="majorBidi" w:cstheme="majorBidi"/>
        </w:rPr>
        <w:t xml:space="preserve">. </w:t>
      </w:r>
    </w:p>
    <w:p w14:paraId="5EF5FFAB" w14:textId="77777777" w:rsidR="00712CC0" w:rsidRPr="003E3D99" w:rsidRDefault="00712CC0" w:rsidP="00D04407">
      <w:pPr>
        <w:spacing w:before="120" w:after="120" w:line="360" w:lineRule="auto"/>
        <w:ind w:left="720"/>
        <w:jc w:val="both"/>
        <w:rPr>
          <w:rFonts w:asciiTheme="majorBidi" w:hAnsiTheme="majorBidi" w:cstheme="majorBidi"/>
        </w:rPr>
      </w:pPr>
    </w:p>
    <w:p w14:paraId="7130D065" w14:textId="34A304E3" w:rsidR="0041431B" w:rsidRPr="00161E79" w:rsidRDefault="0041431B" w:rsidP="001D4456">
      <w:pPr>
        <w:pStyle w:val="ListParagraph"/>
        <w:numPr>
          <w:ilvl w:val="0"/>
          <w:numId w:val="15"/>
        </w:numPr>
        <w:spacing w:before="120" w:after="120" w:line="360" w:lineRule="auto"/>
        <w:jc w:val="both"/>
        <w:rPr>
          <w:rFonts w:asciiTheme="majorBidi" w:hAnsiTheme="majorBidi" w:cstheme="majorBidi"/>
          <w:b/>
          <w:bCs/>
        </w:rPr>
      </w:pPr>
      <w:r w:rsidRPr="00161E79">
        <w:rPr>
          <w:rFonts w:asciiTheme="majorBidi" w:hAnsiTheme="majorBidi" w:cstheme="majorBidi"/>
          <w:b/>
          <w:bCs/>
        </w:rPr>
        <w:t xml:space="preserve">Strengthening drainage and irrigation systems </w:t>
      </w:r>
    </w:p>
    <w:p w14:paraId="4137315D" w14:textId="77777777" w:rsidR="00D04407" w:rsidRDefault="00D26677" w:rsidP="00D04407">
      <w:pPr>
        <w:spacing w:before="120" w:after="120" w:line="360" w:lineRule="auto"/>
        <w:ind w:left="720"/>
        <w:jc w:val="both"/>
        <w:rPr>
          <w:rFonts w:asciiTheme="majorBidi" w:hAnsiTheme="majorBidi" w:cstheme="majorBidi"/>
        </w:rPr>
      </w:pPr>
      <w:r>
        <w:rPr>
          <w:rFonts w:asciiTheme="majorBidi" w:hAnsiTheme="majorBidi" w:cstheme="majorBidi"/>
        </w:rPr>
        <w:t>Guyana’s Drainage and Irrigation (D</w:t>
      </w:r>
      <w:r w:rsidR="00F95EC7">
        <w:rPr>
          <w:rFonts w:asciiTheme="majorBidi" w:hAnsiTheme="majorBidi" w:cstheme="majorBidi"/>
        </w:rPr>
        <w:t>&amp;I) system</w:t>
      </w:r>
      <w:r>
        <w:rPr>
          <w:rFonts w:asciiTheme="majorBidi" w:hAnsiTheme="majorBidi" w:cstheme="majorBidi"/>
        </w:rPr>
        <w:t xml:space="preserve"> </w:t>
      </w:r>
      <w:r w:rsidR="00D52CCE">
        <w:rPr>
          <w:rFonts w:asciiTheme="majorBidi" w:hAnsiTheme="majorBidi" w:cstheme="majorBidi"/>
        </w:rPr>
        <w:t xml:space="preserve">is connected to over 150 sluices/kokers located along the </w:t>
      </w:r>
      <w:r w:rsidR="005C475A">
        <w:rPr>
          <w:rFonts w:asciiTheme="majorBidi" w:hAnsiTheme="majorBidi" w:cstheme="majorBidi"/>
        </w:rPr>
        <w:t>seawalls and</w:t>
      </w:r>
      <w:r w:rsidR="00393EE9">
        <w:rPr>
          <w:rFonts w:asciiTheme="majorBidi" w:hAnsiTheme="majorBidi" w:cstheme="majorBidi"/>
        </w:rPr>
        <w:t xml:space="preserve"> is therefore intricately linked to </w:t>
      </w:r>
      <w:r w:rsidR="00FA31E7">
        <w:rPr>
          <w:rFonts w:asciiTheme="majorBidi" w:hAnsiTheme="majorBidi" w:cstheme="majorBidi"/>
        </w:rPr>
        <w:t xml:space="preserve">sea-defense challenges outlined above. </w:t>
      </w:r>
      <w:r w:rsidR="00740A93">
        <w:rPr>
          <w:rFonts w:asciiTheme="majorBidi" w:hAnsiTheme="majorBidi" w:cstheme="majorBidi"/>
        </w:rPr>
        <w:t>Since rising sea levels have been reducing the number of low-tide day</w:t>
      </w:r>
      <w:r w:rsidR="00AD46B5">
        <w:rPr>
          <w:rFonts w:asciiTheme="majorBidi" w:hAnsiTheme="majorBidi" w:cstheme="majorBidi"/>
        </w:rPr>
        <w:t xml:space="preserve">s, </w:t>
      </w:r>
    </w:p>
    <w:p w14:paraId="70E4C209" w14:textId="77777777" w:rsidR="00D04407" w:rsidRDefault="00D04407" w:rsidP="00D04407">
      <w:pPr>
        <w:spacing w:before="120" w:after="120" w:line="360" w:lineRule="auto"/>
        <w:ind w:left="720"/>
        <w:jc w:val="both"/>
        <w:rPr>
          <w:rFonts w:asciiTheme="majorBidi" w:hAnsiTheme="majorBidi" w:cstheme="majorBidi"/>
        </w:rPr>
      </w:pPr>
    </w:p>
    <w:p w14:paraId="7CA854C6" w14:textId="2EE0CA8E" w:rsidR="005C475A" w:rsidRDefault="00AD46B5" w:rsidP="00D04407">
      <w:pPr>
        <w:spacing w:before="120" w:after="120" w:line="360" w:lineRule="auto"/>
        <w:ind w:left="720"/>
        <w:jc w:val="both"/>
        <w:rPr>
          <w:rFonts w:asciiTheme="majorBidi" w:hAnsiTheme="majorBidi" w:cstheme="majorBidi"/>
        </w:rPr>
      </w:pPr>
      <w:proofErr w:type="gramStart"/>
      <w:r>
        <w:rPr>
          <w:rFonts w:asciiTheme="majorBidi" w:hAnsiTheme="majorBidi" w:cstheme="majorBidi"/>
        </w:rPr>
        <w:t>opening</w:t>
      </w:r>
      <w:proofErr w:type="gramEnd"/>
      <w:r>
        <w:rPr>
          <w:rFonts w:asciiTheme="majorBidi" w:hAnsiTheme="majorBidi" w:cstheme="majorBidi"/>
        </w:rPr>
        <w:t xml:space="preserve"> of the </w:t>
      </w:r>
      <w:r w:rsidR="0050297D">
        <w:rPr>
          <w:rFonts w:asciiTheme="majorBidi" w:hAnsiTheme="majorBidi" w:cstheme="majorBidi"/>
        </w:rPr>
        <w:t>sluicegates</w:t>
      </w:r>
      <w:r>
        <w:rPr>
          <w:rFonts w:asciiTheme="majorBidi" w:hAnsiTheme="majorBidi" w:cstheme="majorBidi"/>
        </w:rPr>
        <w:t xml:space="preserve"> to expel water to the sea is becoming increasingly restricted</w:t>
      </w:r>
      <w:r w:rsidR="005E7304">
        <w:rPr>
          <w:rFonts w:asciiTheme="majorBidi" w:hAnsiTheme="majorBidi" w:cstheme="majorBidi"/>
        </w:rPr>
        <w:t xml:space="preserve">, which increases the risks of flooding and further exposes Guyana’s population and </w:t>
      </w:r>
      <w:r w:rsidR="00D0596B">
        <w:rPr>
          <w:rFonts w:asciiTheme="majorBidi" w:hAnsiTheme="majorBidi" w:cstheme="majorBidi"/>
        </w:rPr>
        <w:t xml:space="preserve">assets located in </w:t>
      </w:r>
      <w:r w:rsidR="00CF36CD">
        <w:rPr>
          <w:rFonts w:asciiTheme="majorBidi" w:hAnsiTheme="majorBidi" w:cstheme="majorBidi"/>
        </w:rPr>
        <w:t xml:space="preserve">low-lying coastal regions. </w:t>
      </w:r>
      <w:r w:rsidR="0079330B">
        <w:rPr>
          <w:rFonts w:asciiTheme="majorBidi" w:hAnsiTheme="majorBidi" w:cstheme="majorBidi"/>
        </w:rPr>
        <w:t>Numerous economic activities</w:t>
      </w:r>
      <w:r w:rsidR="0096095E">
        <w:rPr>
          <w:rFonts w:asciiTheme="majorBidi" w:hAnsiTheme="majorBidi" w:cstheme="majorBidi"/>
        </w:rPr>
        <w:t xml:space="preserve">, livelihoods, and communities are dependent </w:t>
      </w:r>
      <w:r w:rsidR="001E506C">
        <w:rPr>
          <w:rFonts w:asciiTheme="majorBidi" w:hAnsiTheme="majorBidi" w:cstheme="majorBidi"/>
        </w:rPr>
        <w:t>on Drainage and Irrigation systems, not only for flood control and surface water drainage, but also to provide water for agricult</w:t>
      </w:r>
      <w:r w:rsidR="005C475A">
        <w:rPr>
          <w:rFonts w:asciiTheme="majorBidi" w:hAnsiTheme="majorBidi" w:cstheme="majorBidi"/>
        </w:rPr>
        <w:t xml:space="preserve">ural, domestic, and other purposes. </w:t>
      </w:r>
      <w:r w:rsidR="003A40B3">
        <w:rPr>
          <w:rFonts w:asciiTheme="majorBidi" w:hAnsiTheme="majorBidi" w:cstheme="majorBidi"/>
        </w:rPr>
        <w:t>Consequently, targeted actions will be taken to ensure that the functional relationship between Drainage and Irrigation and sea-</w:t>
      </w:r>
      <w:proofErr w:type="spellStart"/>
      <w:r w:rsidR="003A40B3">
        <w:rPr>
          <w:rFonts w:asciiTheme="majorBidi" w:hAnsiTheme="majorBidi" w:cstheme="majorBidi"/>
        </w:rPr>
        <w:t>defence</w:t>
      </w:r>
      <w:proofErr w:type="spellEnd"/>
      <w:r w:rsidR="003A40B3">
        <w:rPr>
          <w:rFonts w:asciiTheme="majorBidi" w:hAnsiTheme="majorBidi" w:cstheme="majorBidi"/>
        </w:rPr>
        <w:t xml:space="preserve"> is optimized</w:t>
      </w:r>
      <w:r w:rsidR="00BB0586">
        <w:rPr>
          <w:rFonts w:asciiTheme="majorBidi" w:hAnsiTheme="majorBidi" w:cstheme="majorBidi"/>
        </w:rPr>
        <w:t xml:space="preserve"> so that both can operate efficiently</w:t>
      </w:r>
      <w:r w:rsidR="00BC0903">
        <w:rPr>
          <w:rStyle w:val="FootnoteReference"/>
          <w:rFonts w:asciiTheme="majorBidi" w:hAnsiTheme="majorBidi" w:cstheme="majorBidi"/>
        </w:rPr>
        <w:footnoteReference w:id="13"/>
      </w:r>
      <w:r w:rsidR="00BB0586">
        <w:rPr>
          <w:rFonts w:asciiTheme="majorBidi" w:hAnsiTheme="majorBidi" w:cstheme="majorBidi"/>
        </w:rPr>
        <w:t xml:space="preserve">. </w:t>
      </w:r>
    </w:p>
    <w:p w14:paraId="13FB7304" w14:textId="77777777" w:rsidR="008B336F" w:rsidRPr="00111C33" w:rsidRDefault="008B336F" w:rsidP="001D4456">
      <w:pPr>
        <w:spacing w:before="120" w:after="120" w:line="360" w:lineRule="auto"/>
        <w:jc w:val="both"/>
        <w:rPr>
          <w:rFonts w:asciiTheme="majorBidi" w:hAnsiTheme="majorBidi" w:cstheme="majorBidi"/>
        </w:rPr>
      </w:pPr>
    </w:p>
    <w:p w14:paraId="66935230" w14:textId="77777777" w:rsidR="000254E7" w:rsidRPr="00F42FB1" w:rsidRDefault="00F95D0A" w:rsidP="001D4456">
      <w:pPr>
        <w:pStyle w:val="ListParagraph"/>
        <w:numPr>
          <w:ilvl w:val="0"/>
          <w:numId w:val="15"/>
        </w:numPr>
        <w:spacing w:before="120" w:after="120" w:line="360" w:lineRule="auto"/>
        <w:jc w:val="both"/>
        <w:rPr>
          <w:rFonts w:asciiTheme="majorBidi" w:hAnsiTheme="majorBidi" w:cstheme="majorBidi"/>
          <w:b/>
          <w:bCs/>
        </w:rPr>
      </w:pPr>
      <w:r w:rsidRPr="00F42FB1">
        <w:rPr>
          <w:rFonts w:asciiTheme="majorBidi" w:hAnsiTheme="majorBidi" w:cstheme="majorBidi"/>
          <w:b/>
          <w:bCs/>
        </w:rPr>
        <w:t>Building climate-resilient agricultural systems</w:t>
      </w:r>
    </w:p>
    <w:p w14:paraId="4308ECBD" w14:textId="12EC2B8D" w:rsidR="004B6513" w:rsidRDefault="00F95D0A" w:rsidP="005E7968">
      <w:pPr>
        <w:spacing w:before="120" w:after="120" w:line="360" w:lineRule="auto"/>
        <w:ind w:left="720"/>
        <w:jc w:val="both"/>
        <w:rPr>
          <w:rFonts w:asciiTheme="majorBidi" w:hAnsiTheme="majorBidi" w:cstheme="majorBidi"/>
        </w:rPr>
      </w:pPr>
      <w:r w:rsidRPr="000254E7">
        <w:rPr>
          <w:rFonts w:asciiTheme="majorBidi" w:hAnsiTheme="majorBidi" w:cstheme="majorBidi"/>
        </w:rPr>
        <w:t xml:space="preserve"> </w:t>
      </w:r>
      <w:r w:rsidR="0050297D">
        <w:rPr>
          <w:rFonts w:asciiTheme="majorBidi" w:hAnsiTheme="majorBidi" w:cstheme="majorBidi"/>
        </w:rPr>
        <w:t>Guyana’s agricultural sector</w:t>
      </w:r>
      <w:r w:rsidR="00F5182A">
        <w:rPr>
          <w:rFonts w:asciiTheme="majorBidi" w:hAnsiTheme="majorBidi" w:cstheme="majorBidi"/>
        </w:rPr>
        <w:t xml:space="preserve"> contributes significantly to non-oil GDP, employ</w:t>
      </w:r>
      <w:r w:rsidR="005E7968">
        <w:rPr>
          <w:rFonts w:asciiTheme="majorBidi" w:hAnsiTheme="majorBidi" w:cstheme="majorBidi"/>
        </w:rPr>
        <w:t>ing</w:t>
      </w:r>
      <w:r w:rsidR="00F5182A">
        <w:rPr>
          <w:rFonts w:asciiTheme="majorBidi" w:hAnsiTheme="majorBidi" w:cstheme="majorBidi"/>
        </w:rPr>
        <w:t xml:space="preserve"> approximately 17 percent of the </w:t>
      </w:r>
      <w:r w:rsidR="005E7968">
        <w:rPr>
          <w:rFonts w:asciiTheme="majorBidi" w:hAnsiTheme="majorBidi" w:cstheme="majorBidi"/>
        </w:rPr>
        <w:t xml:space="preserve">direct </w:t>
      </w:r>
      <w:proofErr w:type="spellStart"/>
      <w:r w:rsidR="00F5182A">
        <w:rPr>
          <w:rFonts w:asciiTheme="majorBidi" w:hAnsiTheme="majorBidi" w:cstheme="majorBidi"/>
        </w:rPr>
        <w:t>labour</w:t>
      </w:r>
      <w:proofErr w:type="spellEnd"/>
      <w:r w:rsidR="00F5182A">
        <w:rPr>
          <w:rFonts w:asciiTheme="majorBidi" w:hAnsiTheme="majorBidi" w:cstheme="majorBidi"/>
        </w:rPr>
        <w:t xml:space="preserve"> force and </w:t>
      </w:r>
      <w:r w:rsidR="00C91624">
        <w:rPr>
          <w:rFonts w:asciiTheme="majorBidi" w:hAnsiTheme="majorBidi" w:cstheme="majorBidi"/>
        </w:rPr>
        <w:t>generated 21.3 percent of Guyana’s non-oil exports</w:t>
      </w:r>
      <w:r w:rsidR="009936D4">
        <w:rPr>
          <w:rFonts w:asciiTheme="majorBidi" w:hAnsiTheme="majorBidi" w:cstheme="majorBidi"/>
        </w:rPr>
        <w:t xml:space="preserve">. </w:t>
      </w:r>
      <w:r w:rsidR="007624A4">
        <w:rPr>
          <w:rFonts w:asciiTheme="majorBidi" w:hAnsiTheme="majorBidi" w:cstheme="majorBidi"/>
        </w:rPr>
        <w:t>However</w:t>
      </w:r>
      <w:r w:rsidR="009936D4">
        <w:rPr>
          <w:rFonts w:asciiTheme="majorBidi" w:hAnsiTheme="majorBidi" w:cstheme="majorBidi"/>
        </w:rPr>
        <w:t xml:space="preserve">, the conditions </w:t>
      </w:r>
      <w:r w:rsidR="007624A4">
        <w:rPr>
          <w:rFonts w:asciiTheme="majorBidi" w:hAnsiTheme="majorBidi" w:cstheme="majorBidi"/>
        </w:rPr>
        <w:t xml:space="preserve">associated with climate change </w:t>
      </w:r>
      <w:r w:rsidR="00AF6628">
        <w:rPr>
          <w:rFonts w:asciiTheme="majorBidi" w:hAnsiTheme="majorBidi" w:cstheme="majorBidi"/>
        </w:rPr>
        <w:t xml:space="preserve">will have adverse effects on the agricultural sector, and by extension, Guyana’s economy. </w:t>
      </w:r>
      <w:r w:rsidR="00713141">
        <w:rPr>
          <w:rFonts w:asciiTheme="majorBidi" w:hAnsiTheme="majorBidi" w:cstheme="majorBidi"/>
        </w:rPr>
        <w:t>For example, sea level rise could increase salinity in rice fields, temperature increase could reduce rice yields</w:t>
      </w:r>
      <w:r w:rsidR="007232CF">
        <w:rPr>
          <w:rFonts w:asciiTheme="majorBidi" w:hAnsiTheme="majorBidi" w:cstheme="majorBidi"/>
        </w:rPr>
        <w:t xml:space="preserve">, </w:t>
      </w:r>
      <w:proofErr w:type="gramStart"/>
      <w:r w:rsidR="007232CF">
        <w:rPr>
          <w:rFonts w:asciiTheme="majorBidi" w:hAnsiTheme="majorBidi" w:cstheme="majorBidi"/>
        </w:rPr>
        <w:t>changes</w:t>
      </w:r>
      <w:proofErr w:type="gramEnd"/>
      <w:r w:rsidR="007232CF">
        <w:rPr>
          <w:rFonts w:asciiTheme="majorBidi" w:hAnsiTheme="majorBidi" w:cstheme="majorBidi"/>
        </w:rPr>
        <w:t xml:space="preserve"> in growing conditions can result in increased weed and pest infestation</w:t>
      </w:r>
      <w:r w:rsidR="004E3718">
        <w:rPr>
          <w:rFonts w:asciiTheme="majorBidi" w:hAnsiTheme="majorBidi" w:cstheme="majorBidi"/>
        </w:rPr>
        <w:t>, among other devastating effects</w:t>
      </w:r>
      <w:r w:rsidR="005E7968">
        <w:rPr>
          <w:rFonts w:asciiTheme="majorBidi" w:hAnsiTheme="majorBidi" w:cstheme="majorBidi"/>
        </w:rPr>
        <w:t xml:space="preserve"> with other agriculture and livestock production.</w:t>
      </w:r>
      <w:r w:rsidR="004E3718">
        <w:rPr>
          <w:rFonts w:asciiTheme="majorBidi" w:hAnsiTheme="majorBidi" w:cstheme="majorBidi"/>
        </w:rPr>
        <w:t xml:space="preserve"> </w:t>
      </w:r>
      <w:r w:rsidR="00F42FB1">
        <w:rPr>
          <w:rFonts w:asciiTheme="majorBidi" w:hAnsiTheme="majorBidi" w:cstheme="majorBidi"/>
        </w:rPr>
        <w:t xml:space="preserve">To mitigate these risks, </w:t>
      </w:r>
      <w:r w:rsidR="005E7968">
        <w:rPr>
          <w:rFonts w:asciiTheme="majorBidi" w:hAnsiTheme="majorBidi" w:cstheme="majorBidi"/>
        </w:rPr>
        <w:t>the G</w:t>
      </w:r>
      <w:r w:rsidR="00F42FB1">
        <w:rPr>
          <w:rFonts w:asciiTheme="majorBidi" w:hAnsiTheme="majorBidi" w:cstheme="majorBidi"/>
        </w:rPr>
        <w:t xml:space="preserve">overnment is committed to </w:t>
      </w:r>
      <w:r w:rsidR="00C065D1">
        <w:rPr>
          <w:rFonts w:asciiTheme="majorBidi" w:hAnsiTheme="majorBidi" w:cstheme="majorBidi"/>
        </w:rPr>
        <w:t>investing in actions that will strengthen the sea and river defense system, improve flood control and water-management</w:t>
      </w:r>
      <w:r w:rsidR="00493883">
        <w:rPr>
          <w:rFonts w:asciiTheme="majorBidi" w:hAnsiTheme="majorBidi" w:cstheme="majorBidi"/>
        </w:rPr>
        <w:t xml:space="preserve">, address drought prevention, </w:t>
      </w:r>
      <w:r w:rsidR="000663DB">
        <w:rPr>
          <w:rFonts w:asciiTheme="majorBidi" w:hAnsiTheme="majorBidi" w:cstheme="majorBidi"/>
        </w:rPr>
        <w:t xml:space="preserve">adopt climate smart agricultural techniques, and strengthen the institutions responsible for </w:t>
      </w:r>
      <w:r w:rsidR="00725921">
        <w:rPr>
          <w:rFonts w:asciiTheme="majorBidi" w:hAnsiTheme="majorBidi" w:cstheme="majorBidi"/>
        </w:rPr>
        <w:t>the management of these sectors</w:t>
      </w:r>
      <w:r w:rsidR="00725921">
        <w:rPr>
          <w:rStyle w:val="FootnoteReference"/>
          <w:rFonts w:asciiTheme="majorBidi" w:hAnsiTheme="majorBidi" w:cstheme="majorBidi"/>
        </w:rPr>
        <w:footnoteReference w:id="14"/>
      </w:r>
      <w:r w:rsidR="00725921">
        <w:rPr>
          <w:rFonts w:asciiTheme="majorBidi" w:hAnsiTheme="majorBidi" w:cstheme="majorBidi"/>
        </w:rPr>
        <w:t>.</w:t>
      </w:r>
    </w:p>
    <w:p w14:paraId="6FA8A87F" w14:textId="77777777" w:rsidR="00FF2F64" w:rsidRDefault="00FF2F64" w:rsidP="001D4456">
      <w:pPr>
        <w:spacing w:before="120" w:after="120" w:line="360" w:lineRule="auto"/>
        <w:jc w:val="both"/>
        <w:rPr>
          <w:rFonts w:asciiTheme="majorBidi" w:hAnsiTheme="majorBidi" w:cstheme="majorBidi"/>
        </w:rPr>
      </w:pPr>
    </w:p>
    <w:p w14:paraId="6C372CFB" w14:textId="6BDB1443" w:rsidR="00F95D0A" w:rsidRPr="00403ED8" w:rsidRDefault="00F95D0A" w:rsidP="001D4456">
      <w:pPr>
        <w:pStyle w:val="ListParagraph"/>
        <w:numPr>
          <w:ilvl w:val="0"/>
          <w:numId w:val="15"/>
        </w:numPr>
        <w:spacing w:before="120" w:after="120" w:line="360" w:lineRule="auto"/>
        <w:jc w:val="both"/>
        <w:rPr>
          <w:rFonts w:asciiTheme="majorBidi" w:hAnsiTheme="majorBidi" w:cstheme="majorBidi"/>
          <w:b/>
          <w:bCs/>
          <w:u w:val="single"/>
        </w:rPr>
      </w:pPr>
      <w:r w:rsidRPr="00403ED8">
        <w:rPr>
          <w:rFonts w:asciiTheme="majorBidi" w:hAnsiTheme="majorBidi" w:cstheme="majorBidi"/>
          <w:b/>
          <w:bCs/>
          <w:u w:val="single"/>
        </w:rPr>
        <w:t xml:space="preserve">Public health adaptation to climate change </w:t>
      </w:r>
    </w:p>
    <w:p w14:paraId="4B40A217" w14:textId="77777777" w:rsidR="005E7968" w:rsidRDefault="00065DE8" w:rsidP="005E7968">
      <w:pPr>
        <w:spacing w:before="120" w:after="120" w:line="360" w:lineRule="auto"/>
        <w:ind w:left="714"/>
        <w:jc w:val="both"/>
        <w:rPr>
          <w:rFonts w:asciiTheme="majorBidi" w:hAnsiTheme="majorBidi" w:cstheme="majorBidi"/>
        </w:rPr>
      </w:pPr>
      <w:r w:rsidRPr="00403ED8">
        <w:rPr>
          <w:rFonts w:asciiTheme="majorBidi" w:hAnsiTheme="majorBidi" w:cstheme="majorBidi"/>
        </w:rPr>
        <w:t xml:space="preserve">Health facilities </w:t>
      </w:r>
      <w:r w:rsidR="004C2F0F" w:rsidRPr="00403ED8">
        <w:rPr>
          <w:rFonts w:asciiTheme="majorBidi" w:hAnsiTheme="majorBidi" w:cstheme="majorBidi"/>
        </w:rPr>
        <w:t xml:space="preserve">which </w:t>
      </w:r>
      <w:r w:rsidRPr="00403ED8">
        <w:rPr>
          <w:rFonts w:asciiTheme="majorBidi" w:hAnsiTheme="majorBidi" w:cstheme="majorBidi"/>
        </w:rPr>
        <w:t>are vital to responding to risks in vulnerable communities</w:t>
      </w:r>
      <w:r w:rsidR="004C2F0F" w:rsidRPr="00403ED8">
        <w:rPr>
          <w:rFonts w:asciiTheme="majorBidi" w:hAnsiTheme="majorBidi" w:cstheme="majorBidi"/>
        </w:rPr>
        <w:t>, are themselves currently vulnerable to climate change risks</w:t>
      </w:r>
      <w:r w:rsidR="00403ED8" w:rsidRPr="00403ED8">
        <w:rPr>
          <w:rFonts w:asciiTheme="majorBidi" w:hAnsiTheme="majorBidi" w:cstheme="majorBidi"/>
        </w:rPr>
        <w:t xml:space="preserve"> due to their locations. </w:t>
      </w:r>
      <w:r w:rsidR="00C642B4">
        <w:rPr>
          <w:rFonts w:asciiTheme="majorBidi" w:hAnsiTheme="majorBidi" w:cstheme="majorBidi"/>
        </w:rPr>
        <w:t xml:space="preserve">In addition, climate change </w:t>
      </w:r>
      <w:r w:rsidR="003C1007">
        <w:rPr>
          <w:rFonts w:asciiTheme="majorBidi" w:hAnsiTheme="majorBidi" w:cstheme="majorBidi"/>
        </w:rPr>
        <w:t>may exacerbate the incidence of vector and water-borne diseases</w:t>
      </w:r>
      <w:r w:rsidR="003763CB">
        <w:rPr>
          <w:rFonts w:asciiTheme="majorBidi" w:hAnsiTheme="majorBidi" w:cstheme="majorBidi"/>
        </w:rPr>
        <w:t>, including malaria</w:t>
      </w:r>
      <w:r w:rsidR="00447B2B">
        <w:rPr>
          <w:rFonts w:asciiTheme="majorBidi" w:hAnsiTheme="majorBidi" w:cstheme="majorBidi"/>
        </w:rPr>
        <w:t>, dengue and chikungunya</w:t>
      </w:r>
      <w:r w:rsidR="00386CAF">
        <w:rPr>
          <w:rFonts w:asciiTheme="majorBidi" w:hAnsiTheme="majorBidi" w:cstheme="majorBidi"/>
        </w:rPr>
        <w:t xml:space="preserve">, as greater rainfall intensity increases the </w:t>
      </w:r>
    </w:p>
    <w:p w14:paraId="09F117B0" w14:textId="77777777" w:rsidR="005E7968" w:rsidRDefault="005E7968" w:rsidP="005E7968">
      <w:pPr>
        <w:spacing w:before="120" w:after="120" w:line="360" w:lineRule="auto"/>
        <w:ind w:left="714"/>
        <w:jc w:val="both"/>
        <w:rPr>
          <w:rFonts w:asciiTheme="majorBidi" w:hAnsiTheme="majorBidi" w:cstheme="majorBidi"/>
        </w:rPr>
      </w:pPr>
    </w:p>
    <w:p w14:paraId="27371FF7" w14:textId="542A2E28" w:rsidR="00E04F7A" w:rsidRDefault="00386CAF" w:rsidP="005E7968">
      <w:pPr>
        <w:spacing w:before="120" w:after="120" w:line="360" w:lineRule="auto"/>
        <w:ind w:left="714"/>
        <w:jc w:val="both"/>
        <w:rPr>
          <w:rFonts w:asciiTheme="majorBidi" w:hAnsiTheme="majorBidi" w:cstheme="majorBidi"/>
        </w:rPr>
      </w:pPr>
      <w:proofErr w:type="gramStart"/>
      <w:r>
        <w:rPr>
          <w:rFonts w:asciiTheme="majorBidi" w:hAnsiTheme="majorBidi" w:cstheme="majorBidi"/>
        </w:rPr>
        <w:t>number</w:t>
      </w:r>
      <w:proofErr w:type="gramEnd"/>
      <w:r>
        <w:rPr>
          <w:rFonts w:asciiTheme="majorBidi" w:hAnsiTheme="majorBidi" w:cstheme="majorBidi"/>
        </w:rPr>
        <w:t xml:space="preserve"> of breeding grounds for </w:t>
      </w:r>
      <w:r w:rsidR="005E7968">
        <w:rPr>
          <w:rFonts w:asciiTheme="majorBidi" w:hAnsiTheme="majorBidi" w:cstheme="majorBidi"/>
        </w:rPr>
        <w:t>these vectors.</w:t>
      </w:r>
      <w:r>
        <w:rPr>
          <w:rFonts w:asciiTheme="majorBidi" w:hAnsiTheme="majorBidi" w:cstheme="majorBidi"/>
        </w:rPr>
        <w:t xml:space="preserve"> </w:t>
      </w:r>
      <w:r w:rsidR="009C26F2">
        <w:rPr>
          <w:rFonts w:asciiTheme="majorBidi" w:hAnsiTheme="majorBidi" w:cstheme="majorBidi"/>
        </w:rPr>
        <w:t xml:space="preserve">These diseases represent a significant </w:t>
      </w:r>
      <w:r w:rsidR="00CF48A3">
        <w:rPr>
          <w:rFonts w:asciiTheme="majorBidi" w:hAnsiTheme="majorBidi" w:cstheme="majorBidi"/>
        </w:rPr>
        <w:t xml:space="preserve">economic burden for Guyana and prevention, therefore, will be beneficial for both </w:t>
      </w:r>
      <w:r w:rsidR="00D7218A">
        <w:rPr>
          <w:rFonts w:asciiTheme="majorBidi" w:hAnsiTheme="majorBidi" w:cstheme="majorBidi"/>
        </w:rPr>
        <w:t xml:space="preserve">improving quality of life but also reducing the costs associated with their treatment </w:t>
      </w:r>
      <w:proofErr w:type="gramStart"/>
      <w:r w:rsidR="00D7218A">
        <w:rPr>
          <w:rFonts w:asciiTheme="majorBidi" w:hAnsiTheme="majorBidi" w:cstheme="majorBidi"/>
        </w:rPr>
        <w:t>and  lost</w:t>
      </w:r>
      <w:proofErr w:type="gramEnd"/>
      <w:r w:rsidR="00D7218A">
        <w:rPr>
          <w:rFonts w:asciiTheme="majorBidi" w:hAnsiTheme="majorBidi" w:cstheme="majorBidi"/>
        </w:rPr>
        <w:t xml:space="preserve"> productivity. </w:t>
      </w:r>
      <w:r w:rsidR="00F54C9A">
        <w:rPr>
          <w:rFonts w:asciiTheme="majorBidi" w:hAnsiTheme="majorBidi" w:cstheme="majorBidi"/>
        </w:rPr>
        <w:t xml:space="preserve">Through the LCDS, the government will support the improvement of public health adaptation infrastructure, </w:t>
      </w:r>
      <w:r w:rsidR="004754F1">
        <w:rPr>
          <w:rFonts w:asciiTheme="majorBidi" w:hAnsiTheme="majorBidi" w:cstheme="majorBidi"/>
        </w:rPr>
        <w:t>improving planning and resource capability of the health sector to climate</w:t>
      </w:r>
      <w:r w:rsidR="003A1C20">
        <w:rPr>
          <w:rFonts w:asciiTheme="majorBidi" w:hAnsiTheme="majorBidi" w:cstheme="majorBidi"/>
        </w:rPr>
        <w:t xml:space="preserve">-related impacts, and the development and implementation of </w:t>
      </w:r>
      <w:r w:rsidR="00E04F7A">
        <w:rPr>
          <w:rFonts w:asciiTheme="majorBidi" w:hAnsiTheme="majorBidi" w:cstheme="majorBidi"/>
        </w:rPr>
        <w:t xml:space="preserve">programmes to tackle climate-related illnesses. </w:t>
      </w:r>
    </w:p>
    <w:p w14:paraId="5CFE5ACA" w14:textId="095F4718" w:rsidR="00C51B4B" w:rsidRPr="00403ED8" w:rsidRDefault="00447B2B" w:rsidP="001D4456">
      <w:pPr>
        <w:spacing w:before="120" w:after="120" w:line="360" w:lineRule="auto"/>
        <w:jc w:val="both"/>
        <w:rPr>
          <w:rFonts w:asciiTheme="majorBidi" w:hAnsiTheme="majorBidi" w:cstheme="majorBidi"/>
        </w:rPr>
      </w:pPr>
      <w:r>
        <w:rPr>
          <w:rFonts w:asciiTheme="majorBidi" w:hAnsiTheme="majorBidi" w:cstheme="majorBidi"/>
        </w:rPr>
        <w:t xml:space="preserve"> </w:t>
      </w:r>
    </w:p>
    <w:p w14:paraId="6D4374B3" w14:textId="16A9E0DF" w:rsidR="00DF6DDF" w:rsidRPr="00C07D8F" w:rsidRDefault="00AE0FD0" w:rsidP="001D4456">
      <w:pPr>
        <w:pStyle w:val="ListParagraph"/>
        <w:numPr>
          <w:ilvl w:val="0"/>
          <w:numId w:val="1"/>
        </w:numPr>
        <w:spacing w:before="120" w:after="120" w:line="360" w:lineRule="auto"/>
        <w:ind w:left="714" w:hanging="357"/>
        <w:contextualSpacing w:val="0"/>
        <w:jc w:val="both"/>
        <w:rPr>
          <w:rFonts w:asciiTheme="majorBidi" w:hAnsiTheme="majorBidi" w:cstheme="majorBidi"/>
          <w:b/>
          <w:bCs/>
          <w:sz w:val="24"/>
          <w:szCs w:val="24"/>
          <w:u w:val="single"/>
        </w:rPr>
      </w:pPr>
      <w:r w:rsidRPr="00C07D8F">
        <w:rPr>
          <w:rFonts w:asciiTheme="majorBidi" w:hAnsiTheme="majorBidi" w:cstheme="majorBidi"/>
          <w:b/>
          <w:bCs/>
          <w:sz w:val="24"/>
          <w:szCs w:val="24"/>
          <w:u w:val="single"/>
        </w:rPr>
        <w:t>As opposed to focusing on select</w:t>
      </w:r>
      <w:r w:rsidR="00577C45" w:rsidRPr="00C07D8F">
        <w:rPr>
          <w:rFonts w:asciiTheme="majorBidi" w:hAnsiTheme="majorBidi" w:cstheme="majorBidi"/>
          <w:b/>
          <w:bCs/>
          <w:sz w:val="24"/>
          <w:szCs w:val="24"/>
          <w:u w:val="single"/>
        </w:rPr>
        <w:t>ed</w:t>
      </w:r>
      <w:r w:rsidRPr="00C07D8F">
        <w:rPr>
          <w:rFonts w:asciiTheme="majorBidi" w:hAnsiTheme="majorBidi" w:cstheme="majorBidi"/>
          <w:b/>
          <w:bCs/>
          <w:sz w:val="24"/>
          <w:szCs w:val="24"/>
          <w:u w:val="single"/>
        </w:rPr>
        <w:t xml:space="preserve"> few technologies, do you think</w:t>
      </w:r>
      <w:r w:rsidR="008933CB" w:rsidRPr="00C07D8F">
        <w:rPr>
          <w:rFonts w:asciiTheme="majorBidi" w:hAnsiTheme="majorBidi" w:cstheme="majorBidi"/>
          <w:b/>
          <w:bCs/>
          <w:sz w:val="24"/>
          <w:szCs w:val="24"/>
          <w:u w:val="single"/>
        </w:rPr>
        <w:t xml:space="preserve"> a holistic and inclusive approach </w:t>
      </w:r>
      <w:r w:rsidRPr="00C07D8F">
        <w:rPr>
          <w:rFonts w:asciiTheme="majorBidi" w:hAnsiTheme="majorBidi" w:cstheme="majorBidi"/>
          <w:b/>
          <w:bCs/>
          <w:sz w:val="24"/>
          <w:szCs w:val="24"/>
          <w:u w:val="single"/>
        </w:rPr>
        <w:t xml:space="preserve">will </w:t>
      </w:r>
      <w:r w:rsidR="008933CB" w:rsidRPr="00C07D8F">
        <w:rPr>
          <w:rFonts w:asciiTheme="majorBidi" w:hAnsiTheme="majorBidi" w:cstheme="majorBidi"/>
          <w:b/>
          <w:bCs/>
          <w:sz w:val="24"/>
          <w:szCs w:val="24"/>
          <w:u w:val="single"/>
        </w:rPr>
        <w:t xml:space="preserve">help reduce any gaps in the existing system for addressing human rights challenges from </w:t>
      </w:r>
      <w:r w:rsidR="003B7BDA" w:rsidRPr="00C07D8F">
        <w:rPr>
          <w:rFonts w:asciiTheme="majorBidi" w:hAnsiTheme="majorBidi" w:cstheme="majorBidi"/>
          <w:b/>
          <w:bCs/>
          <w:sz w:val="24"/>
          <w:szCs w:val="24"/>
          <w:u w:val="single"/>
        </w:rPr>
        <w:t>NTCP</w:t>
      </w:r>
      <w:r w:rsidR="008933CB" w:rsidRPr="00C07D8F">
        <w:rPr>
          <w:rFonts w:asciiTheme="majorBidi" w:hAnsiTheme="majorBidi" w:cstheme="majorBidi"/>
          <w:b/>
          <w:bCs/>
          <w:sz w:val="24"/>
          <w:szCs w:val="24"/>
          <w:u w:val="single"/>
        </w:rPr>
        <w:t>?</w:t>
      </w:r>
    </w:p>
    <w:p w14:paraId="30AF8DCA" w14:textId="77777777" w:rsidR="00B2764C" w:rsidRDefault="00A935AF" w:rsidP="005E7968">
      <w:pPr>
        <w:spacing w:before="120" w:after="120" w:line="360" w:lineRule="auto"/>
        <w:ind w:left="714"/>
        <w:jc w:val="both"/>
        <w:rPr>
          <w:rFonts w:asciiTheme="majorBidi" w:hAnsiTheme="majorBidi" w:cstheme="majorBidi"/>
        </w:rPr>
      </w:pPr>
      <w:r w:rsidRPr="00C07D8F">
        <w:rPr>
          <w:rFonts w:asciiTheme="majorBidi" w:hAnsiTheme="majorBidi" w:cstheme="majorBidi"/>
        </w:rPr>
        <w:t>Without a doubt, a mor</w:t>
      </w:r>
      <w:r w:rsidR="00447AAC">
        <w:rPr>
          <w:rFonts w:asciiTheme="majorBidi" w:hAnsiTheme="majorBidi" w:cstheme="majorBidi"/>
        </w:rPr>
        <w:t>e</w:t>
      </w:r>
      <w:r w:rsidRPr="00C07D8F">
        <w:rPr>
          <w:rFonts w:asciiTheme="majorBidi" w:hAnsiTheme="majorBidi" w:cstheme="majorBidi"/>
        </w:rPr>
        <w:t xml:space="preserve"> holistic approach to the consideration of New Technology for Climate Protection </w:t>
      </w:r>
      <w:r w:rsidR="006359EE" w:rsidRPr="00C07D8F">
        <w:rPr>
          <w:rFonts w:asciiTheme="majorBidi" w:hAnsiTheme="majorBidi" w:cstheme="majorBidi"/>
        </w:rPr>
        <w:t xml:space="preserve">would </w:t>
      </w:r>
      <w:r w:rsidR="00C07D8F" w:rsidRPr="00C07D8F">
        <w:rPr>
          <w:rFonts w:asciiTheme="majorBidi" w:hAnsiTheme="majorBidi" w:cstheme="majorBidi"/>
        </w:rPr>
        <w:t>be a positive step towards addressing the gaps in the global framework for the protection of human rights.</w:t>
      </w:r>
      <w:r w:rsidR="00447AAC">
        <w:rPr>
          <w:rFonts w:asciiTheme="majorBidi" w:hAnsiTheme="majorBidi" w:cstheme="majorBidi"/>
        </w:rPr>
        <w:t xml:space="preserve"> Such an approach can be led by the UN Framework Convention for </w:t>
      </w:r>
      <w:r w:rsidR="00EC7A1B">
        <w:rPr>
          <w:rFonts w:asciiTheme="majorBidi" w:hAnsiTheme="majorBidi" w:cstheme="majorBidi"/>
        </w:rPr>
        <w:t>Climate Change and must include State Parties, corporations involved in the indust</w:t>
      </w:r>
      <w:r w:rsidR="00327E82">
        <w:rPr>
          <w:rFonts w:asciiTheme="majorBidi" w:hAnsiTheme="majorBidi" w:cstheme="majorBidi"/>
        </w:rPr>
        <w:t xml:space="preserve">ries that contribute heavily to climate change, corporations and </w:t>
      </w:r>
      <w:r w:rsidR="005E7968">
        <w:rPr>
          <w:rFonts w:asciiTheme="majorBidi" w:hAnsiTheme="majorBidi" w:cstheme="majorBidi"/>
        </w:rPr>
        <w:t xml:space="preserve">research institutions and </w:t>
      </w:r>
      <w:r w:rsidR="00327E82">
        <w:rPr>
          <w:rFonts w:asciiTheme="majorBidi" w:hAnsiTheme="majorBidi" w:cstheme="majorBidi"/>
        </w:rPr>
        <w:t xml:space="preserve">others involved in the development and use of New Technologies for Climate Protection, academia, vulnerable groups, and </w:t>
      </w:r>
      <w:r w:rsidR="00636BD4">
        <w:rPr>
          <w:rFonts w:asciiTheme="majorBidi" w:hAnsiTheme="majorBidi" w:cstheme="majorBidi"/>
        </w:rPr>
        <w:t xml:space="preserve">civil society. </w:t>
      </w:r>
      <w:r w:rsidR="005E7968">
        <w:rPr>
          <w:rFonts w:asciiTheme="majorBidi" w:hAnsiTheme="majorBidi" w:cstheme="majorBidi"/>
        </w:rPr>
        <w:t>The state parties, especially the most vulnerable, would need to be given the scientific and financial support quickly in order to introduce and establish these new NTCPs.</w:t>
      </w:r>
    </w:p>
    <w:p w14:paraId="3A83E7D5" w14:textId="31A2AA09" w:rsidR="005E7968" w:rsidRDefault="00B2764C" w:rsidP="005E7968">
      <w:pPr>
        <w:spacing w:before="120" w:after="120" w:line="360" w:lineRule="auto"/>
        <w:ind w:left="714"/>
        <w:jc w:val="both"/>
        <w:rPr>
          <w:rFonts w:asciiTheme="majorBidi" w:hAnsiTheme="majorBidi" w:cstheme="majorBidi"/>
        </w:rPr>
      </w:pPr>
      <w:r>
        <w:rPr>
          <w:rFonts w:asciiTheme="majorBidi" w:hAnsiTheme="majorBidi" w:cstheme="majorBidi"/>
        </w:rPr>
        <w:t xml:space="preserve">Like the vaccines developed in the shortest possible time conceivable during the </w:t>
      </w:r>
      <w:proofErr w:type="spellStart"/>
      <w:r>
        <w:rPr>
          <w:rFonts w:asciiTheme="majorBidi" w:hAnsiTheme="majorBidi" w:cstheme="majorBidi"/>
        </w:rPr>
        <w:t>Covid</w:t>
      </w:r>
      <w:proofErr w:type="spellEnd"/>
      <w:r>
        <w:rPr>
          <w:rFonts w:asciiTheme="majorBidi" w:hAnsiTheme="majorBidi" w:cstheme="majorBidi"/>
        </w:rPr>
        <w:t xml:space="preserve"> 19 pandemic, where all long term repercussions could not have been known </w:t>
      </w:r>
      <w:proofErr w:type="gramStart"/>
      <w:r>
        <w:rPr>
          <w:rFonts w:asciiTheme="majorBidi" w:hAnsiTheme="majorBidi" w:cstheme="majorBidi"/>
        </w:rPr>
        <w:t>( and</w:t>
      </w:r>
      <w:proofErr w:type="gramEnd"/>
      <w:r>
        <w:rPr>
          <w:rFonts w:asciiTheme="majorBidi" w:hAnsiTheme="majorBidi" w:cstheme="majorBidi"/>
        </w:rPr>
        <w:t xml:space="preserve"> still is not)  but the objective to save lives trumped some of these considerations, so too, with  some of the NTCP (and those  still to be developed), something has to be done with haste to prepare for the worsening impact of climate change and to protect the most vulnerable states in the world. </w:t>
      </w:r>
      <w:r w:rsidR="005E7968">
        <w:rPr>
          <w:rFonts w:asciiTheme="majorBidi" w:hAnsiTheme="majorBidi" w:cstheme="majorBidi"/>
        </w:rPr>
        <w:t xml:space="preserve"> </w:t>
      </w:r>
      <w:r w:rsidR="00C07D8F" w:rsidRPr="00C07D8F">
        <w:rPr>
          <w:rFonts w:asciiTheme="majorBidi" w:hAnsiTheme="majorBidi" w:cstheme="majorBidi"/>
        </w:rPr>
        <w:t xml:space="preserve"> </w:t>
      </w:r>
    </w:p>
    <w:p w14:paraId="4CF9FEAA" w14:textId="7161A161" w:rsidR="00B2711E" w:rsidRDefault="00C51B4B" w:rsidP="005E7968">
      <w:pPr>
        <w:spacing w:before="120" w:after="120" w:line="360" w:lineRule="auto"/>
        <w:ind w:left="714"/>
        <w:jc w:val="both"/>
        <w:rPr>
          <w:rFonts w:asciiTheme="majorBidi" w:hAnsiTheme="majorBidi" w:cstheme="majorBidi"/>
        </w:rPr>
      </w:pPr>
      <w:r>
        <w:rPr>
          <w:rFonts w:asciiTheme="majorBidi" w:hAnsiTheme="majorBidi" w:cstheme="majorBidi"/>
        </w:rPr>
        <w:t xml:space="preserve"> </w:t>
      </w:r>
      <w:r w:rsidR="00636BD4">
        <w:rPr>
          <w:rFonts w:asciiTheme="majorBidi" w:hAnsiTheme="majorBidi" w:cstheme="majorBidi"/>
        </w:rPr>
        <w:t xml:space="preserve"> </w:t>
      </w:r>
    </w:p>
    <w:p w14:paraId="4861DAE2" w14:textId="77777777" w:rsidR="00B2764C" w:rsidRDefault="00B2764C" w:rsidP="005E7968">
      <w:pPr>
        <w:spacing w:before="120" w:after="120" w:line="360" w:lineRule="auto"/>
        <w:ind w:left="714"/>
        <w:jc w:val="both"/>
        <w:rPr>
          <w:rFonts w:asciiTheme="majorBidi" w:hAnsiTheme="majorBidi" w:cstheme="majorBidi"/>
        </w:rPr>
      </w:pPr>
    </w:p>
    <w:p w14:paraId="6D16F21B" w14:textId="77777777" w:rsidR="00B2764C" w:rsidRDefault="00B2764C" w:rsidP="005E7968">
      <w:pPr>
        <w:spacing w:before="120" w:after="120" w:line="360" w:lineRule="auto"/>
        <w:ind w:left="714"/>
        <w:jc w:val="both"/>
        <w:rPr>
          <w:rFonts w:asciiTheme="majorBidi" w:hAnsiTheme="majorBidi" w:cstheme="majorBidi"/>
        </w:rPr>
      </w:pPr>
    </w:p>
    <w:p w14:paraId="01296A43" w14:textId="291889BF" w:rsidR="000A5343" w:rsidRPr="009107D1" w:rsidRDefault="00DF6DDF" w:rsidP="001D4456">
      <w:pPr>
        <w:pStyle w:val="ListParagraph"/>
        <w:numPr>
          <w:ilvl w:val="0"/>
          <w:numId w:val="1"/>
        </w:numPr>
        <w:spacing w:before="120" w:after="120" w:line="360" w:lineRule="auto"/>
        <w:ind w:left="714" w:hanging="357"/>
        <w:contextualSpacing w:val="0"/>
        <w:jc w:val="both"/>
        <w:rPr>
          <w:rFonts w:asciiTheme="majorBidi" w:hAnsiTheme="majorBidi" w:cstheme="majorBidi"/>
          <w:b/>
          <w:bCs/>
          <w:sz w:val="24"/>
          <w:szCs w:val="24"/>
          <w:u w:val="single"/>
        </w:rPr>
      </w:pPr>
      <w:r w:rsidRPr="009107D1">
        <w:rPr>
          <w:rFonts w:asciiTheme="majorBidi" w:hAnsiTheme="majorBidi" w:cstheme="majorBidi"/>
          <w:b/>
          <w:bCs/>
          <w:sz w:val="24"/>
          <w:szCs w:val="24"/>
          <w:u w:val="single"/>
        </w:rPr>
        <w:t xml:space="preserve">What </w:t>
      </w:r>
      <w:r w:rsidR="006F16C2" w:rsidRPr="009107D1">
        <w:rPr>
          <w:rFonts w:asciiTheme="majorBidi" w:hAnsiTheme="majorBidi" w:cstheme="majorBidi"/>
          <w:b/>
          <w:bCs/>
          <w:sz w:val="24"/>
          <w:szCs w:val="24"/>
          <w:u w:val="single"/>
        </w:rPr>
        <w:t>should be the responsibilities of key stakeholders (</w:t>
      </w:r>
      <w:r w:rsidR="008D0105" w:rsidRPr="009107D1">
        <w:rPr>
          <w:rFonts w:asciiTheme="majorBidi" w:hAnsiTheme="majorBidi" w:cstheme="majorBidi"/>
          <w:b/>
          <w:bCs/>
          <w:sz w:val="24"/>
          <w:szCs w:val="24"/>
          <w:u w:val="single"/>
        </w:rPr>
        <w:t>UN agencies, states, NHRIs, civil society, technical community and academia, private sector</w:t>
      </w:r>
      <w:r w:rsidR="006F16C2" w:rsidRPr="009107D1">
        <w:rPr>
          <w:rFonts w:asciiTheme="majorBidi" w:hAnsiTheme="majorBidi" w:cstheme="majorBidi"/>
          <w:b/>
          <w:bCs/>
          <w:sz w:val="24"/>
          <w:szCs w:val="24"/>
          <w:u w:val="single"/>
        </w:rPr>
        <w:t>) in mitigating the risks of NTCP to human rights</w:t>
      </w:r>
      <w:r w:rsidR="00E27EA1" w:rsidRPr="009107D1">
        <w:rPr>
          <w:rFonts w:asciiTheme="majorBidi" w:hAnsiTheme="majorBidi" w:cstheme="majorBidi"/>
          <w:b/>
          <w:bCs/>
          <w:sz w:val="24"/>
          <w:szCs w:val="24"/>
          <w:u w:val="single"/>
        </w:rPr>
        <w:t xml:space="preserve"> and/or fostering its protection?</w:t>
      </w:r>
    </w:p>
    <w:p w14:paraId="071D844B" w14:textId="23F2B251" w:rsidR="006A55C9" w:rsidRPr="006A55C9" w:rsidRDefault="005E7968" w:rsidP="001D4456">
      <w:pPr>
        <w:pStyle w:val="ListParagraph"/>
        <w:spacing w:before="120" w:after="120" w:line="360" w:lineRule="auto"/>
        <w:ind w:left="714"/>
        <w:contextualSpacing w:val="0"/>
        <w:jc w:val="both"/>
        <w:rPr>
          <w:rFonts w:asciiTheme="majorBidi" w:hAnsiTheme="majorBidi" w:cstheme="majorBidi"/>
          <w:sz w:val="24"/>
          <w:szCs w:val="24"/>
        </w:rPr>
      </w:pPr>
      <w:r>
        <w:rPr>
          <w:rFonts w:asciiTheme="majorBidi" w:hAnsiTheme="majorBidi" w:cstheme="majorBidi"/>
          <w:sz w:val="24"/>
          <w:szCs w:val="24"/>
        </w:rPr>
        <w:t xml:space="preserve">This question should have been </w:t>
      </w:r>
      <w:r w:rsidR="00B2764C">
        <w:rPr>
          <w:rFonts w:asciiTheme="majorBidi" w:hAnsiTheme="majorBidi" w:cstheme="majorBidi"/>
          <w:sz w:val="24"/>
          <w:szCs w:val="24"/>
        </w:rPr>
        <w:t xml:space="preserve">disaggregated </w:t>
      </w:r>
      <w:r>
        <w:rPr>
          <w:rFonts w:asciiTheme="majorBidi" w:hAnsiTheme="majorBidi" w:cstheme="majorBidi"/>
          <w:sz w:val="24"/>
          <w:szCs w:val="24"/>
        </w:rPr>
        <w:t xml:space="preserve">as each entity named </w:t>
      </w:r>
      <w:r w:rsidR="00B2764C">
        <w:rPr>
          <w:rFonts w:asciiTheme="majorBidi" w:hAnsiTheme="majorBidi" w:cstheme="majorBidi"/>
          <w:sz w:val="24"/>
          <w:szCs w:val="24"/>
        </w:rPr>
        <w:t xml:space="preserve">above </w:t>
      </w:r>
      <w:r>
        <w:rPr>
          <w:rFonts w:asciiTheme="majorBidi" w:hAnsiTheme="majorBidi" w:cstheme="majorBidi"/>
          <w:sz w:val="24"/>
          <w:szCs w:val="24"/>
        </w:rPr>
        <w:t xml:space="preserve">plays a different role and functions </w:t>
      </w:r>
      <w:r w:rsidR="00B2764C">
        <w:rPr>
          <w:rFonts w:asciiTheme="majorBidi" w:hAnsiTheme="majorBidi" w:cstheme="majorBidi"/>
          <w:sz w:val="24"/>
          <w:szCs w:val="24"/>
        </w:rPr>
        <w:t>in mitigating the risks of NTCP to human rights and/or fostering its protection.</w:t>
      </w:r>
    </w:p>
    <w:p w14:paraId="683E481B" w14:textId="46773B8C" w:rsidR="00C04469" w:rsidRPr="00E251D9" w:rsidRDefault="00C04469" w:rsidP="001D4456">
      <w:pPr>
        <w:pStyle w:val="Heading1"/>
        <w:spacing w:line="360" w:lineRule="auto"/>
      </w:pPr>
      <w:r w:rsidRPr="00E251D9">
        <w:t xml:space="preserve">Specific </w:t>
      </w:r>
      <w:r w:rsidR="00F259B5">
        <w:t>q</w:t>
      </w:r>
      <w:r w:rsidR="00525D52" w:rsidRPr="00E251D9">
        <w:t>uestions for States</w:t>
      </w:r>
    </w:p>
    <w:p w14:paraId="38613536" w14:textId="6AAD4EEC" w:rsidR="00323AB7" w:rsidRPr="005A008D" w:rsidRDefault="0060497E" w:rsidP="001D4456">
      <w:pPr>
        <w:pStyle w:val="ListParagraph"/>
        <w:numPr>
          <w:ilvl w:val="0"/>
          <w:numId w:val="6"/>
        </w:numPr>
        <w:spacing w:before="120" w:after="120" w:line="360" w:lineRule="auto"/>
        <w:ind w:left="714" w:hanging="357"/>
        <w:contextualSpacing w:val="0"/>
        <w:jc w:val="both"/>
        <w:rPr>
          <w:rFonts w:asciiTheme="majorBidi" w:hAnsiTheme="majorBidi" w:cstheme="majorBidi"/>
          <w:b/>
          <w:bCs/>
          <w:sz w:val="24"/>
          <w:szCs w:val="24"/>
          <w:u w:val="single"/>
        </w:rPr>
      </w:pPr>
      <w:r w:rsidRPr="005A008D">
        <w:rPr>
          <w:rFonts w:asciiTheme="majorBidi" w:hAnsiTheme="majorBidi" w:cstheme="majorBidi"/>
          <w:b/>
          <w:bCs/>
          <w:sz w:val="24"/>
          <w:szCs w:val="24"/>
          <w:u w:val="single"/>
        </w:rPr>
        <w:t xml:space="preserve">In your country, what are the main human rights challenges arising from the implementation of climate change national plans and policies? </w:t>
      </w:r>
      <w:r w:rsidR="008D0105" w:rsidRPr="005A008D">
        <w:rPr>
          <w:rFonts w:asciiTheme="majorBidi" w:hAnsiTheme="majorBidi" w:cstheme="majorBidi"/>
          <w:b/>
          <w:bCs/>
          <w:sz w:val="24"/>
          <w:szCs w:val="24"/>
          <w:u w:val="single"/>
        </w:rPr>
        <w:t>List and describe them briefly.</w:t>
      </w:r>
    </w:p>
    <w:p w14:paraId="5B73CB0A" w14:textId="6B3F09BD" w:rsidR="003C3D8B" w:rsidRDefault="00CB1C76" w:rsidP="001D4456">
      <w:pPr>
        <w:pStyle w:val="ListParagraph"/>
        <w:numPr>
          <w:ilvl w:val="0"/>
          <w:numId w:val="18"/>
        </w:numPr>
        <w:autoSpaceDE w:val="0"/>
        <w:autoSpaceDN w:val="0"/>
        <w:adjustRightInd w:val="0"/>
        <w:spacing w:after="0" w:line="360" w:lineRule="auto"/>
        <w:jc w:val="both"/>
        <w:rPr>
          <w:rFonts w:ascii="Times New Roman" w:hAnsi="Times New Roman" w:cs="Times New Roman"/>
        </w:rPr>
      </w:pPr>
      <w:r w:rsidRPr="003C3D8B">
        <w:rPr>
          <w:rFonts w:ascii="Times New Roman" w:hAnsi="Times New Roman" w:cs="Times New Roman"/>
          <w:b/>
          <w:bCs/>
        </w:rPr>
        <w:t>Economic and social rights</w:t>
      </w:r>
    </w:p>
    <w:p w14:paraId="563DCE7B" w14:textId="77777777" w:rsidR="00B322D1" w:rsidRDefault="00B2764C" w:rsidP="001D4456">
      <w:pPr>
        <w:autoSpaceDE w:val="0"/>
        <w:autoSpaceDN w:val="0"/>
        <w:adjustRightInd w:val="0"/>
        <w:spacing w:line="360" w:lineRule="auto"/>
        <w:ind w:left="720"/>
        <w:jc w:val="both"/>
      </w:pPr>
      <w:r>
        <w:t xml:space="preserve">The greatest challenge to Guyana is climate change. It suffered the worse flood in decades in 2005 which impacted on 300,000 people and damage </w:t>
      </w:r>
      <w:r w:rsidR="00B322D1">
        <w:t xml:space="preserve">67% of the economy. Whilst trying to recover, another flood followed in 2006 with slightly lesser consequences. Whilst there have been annual floods geographically specific, in 2021 floods caused by heavy rain, high seas, and the over-spilling of the connected river systems in the Guiana Shield which led to floods for the first time in all 10 Administrative Regions between May to July, affecting over 50,000 people but having </w:t>
      </w:r>
      <w:proofErr w:type="spellStart"/>
      <w:r w:rsidR="00B322D1">
        <w:t>a</w:t>
      </w:r>
      <w:proofErr w:type="spellEnd"/>
      <w:r w:rsidR="00B322D1">
        <w:t xml:space="preserve"> enormous impact on the agricultural, mining and forestry sectors. </w:t>
      </w:r>
    </w:p>
    <w:p w14:paraId="63652A55" w14:textId="77777777" w:rsidR="00B322D1" w:rsidRDefault="00B322D1" w:rsidP="001D4456">
      <w:pPr>
        <w:autoSpaceDE w:val="0"/>
        <w:autoSpaceDN w:val="0"/>
        <w:adjustRightInd w:val="0"/>
        <w:spacing w:line="360" w:lineRule="auto"/>
        <w:ind w:left="720"/>
        <w:jc w:val="both"/>
      </w:pPr>
      <w:r>
        <w:t>The greatest threat is to economic and social rights.</w:t>
      </w:r>
    </w:p>
    <w:p w14:paraId="73FE71CE" w14:textId="751B66EE" w:rsidR="003C3D8B" w:rsidRDefault="00B322D1" w:rsidP="001D4456">
      <w:pPr>
        <w:autoSpaceDE w:val="0"/>
        <w:autoSpaceDN w:val="0"/>
        <w:adjustRightInd w:val="0"/>
        <w:spacing w:line="360" w:lineRule="auto"/>
        <w:ind w:left="720"/>
        <w:jc w:val="both"/>
      </w:pPr>
      <w:r>
        <w:t xml:space="preserve">In response, </w:t>
      </w:r>
      <w:r w:rsidR="0071686A" w:rsidRPr="003C3D8B">
        <w:t>Guyana is a recipient of the Enabling Gender-Responsive Disaster Recovery, Climate and Environmental Resilience (</w:t>
      </w:r>
      <w:proofErr w:type="spellStart"/>
      <w:r w:rsidR="0071686A" w:rsidRPr="003C3D8B">
        <w:t>EnGenDER</w:t>
      </w:r>
      <w:proofErr w:type="spellEnd"/>
      <w:r w:rsidR="0071686A" w:rsidRPr="003C3D8B">
        <w:t>) Project that began in 2019 and ends in 2023 and is ongoing across nine (9) Caribbean countries. The project is aimed at improving climate resilience for women and girls and key vulnerable populations and future generations in the Caribbean, through enhanced practices of relevant actors for the sustainable implementation of gender-responsive climate change action and disaster recovery and improved national capacity for gender-responsive climate change planning and implementation among state and non-state actors in the target countries.</w:t>
      </w:r>
      <w:r w:rsidR="003C3D8B" w:rsidRPr="003C3D8B">
        <w:t xml:space="preserve"> </w:t>
      </w:r>
    </w:p>
    <w:p w14:paraId="441FCDF0" w14:textId="77777777" w:rsidR="00A35FA3" w:rsidRDefault="00A35FA3" w:rsidP="001D4456">
      <w:pPr>
        <w:autoSpaceDE w:val="0"/>
        <w:autoSpaceDN w:val="0"/>
        <w:adjustRightInd w:val="0"/>
        <w:spacing w:line="360" w:lineRule="auto"/>
        <w:ind w:left="720"/>
        <w:jc w:val="both"/>
      </w:pPr>
    </w:p>
    <w:p w14:paraId="66F2C68D" w14:textId="7F9AE2DF" w:rsidR="0071686A" w:rsidRDefault="0071686A" w:rsidP="001D4456">
      <w:pPr>
        <w:autoSpaceDE w:val="0"/>
        <w:autoSpaceDN w:val="0"/>
        <w:adjustRightInd w:val="0"/>
        <w:spacing w:line="360" w:lineRule="auto"/>
        <w:ind w:left="720"/>
        <w:jc w:val="both"/>
      </w:pPr>
      <w:r w:rsidRPr="003C3D8B">
        <w:t>A key activity under the project was the development of a Gender-based Climate Resilience Analysis for Guyana</w:t>
      </w:r>
      <w:r>
        <w:rPr>
          <w:rStyle w:val="FootnoteReference"/>
        </w:rPr>
        <w:footnoteReference w:id="15"/>
      </w:r>
      <w:r w:rsidRPr="003C3D8B">
        <w:t>, which was completed and published in February 2021. The report describes the existing gender and social inequities and the ways in which climate change will impact on the vulnerabilities among men, women, and key vulnerable groups. Importantly, it also highlights key gaps, opportunities, and challenges for two priority sectors for Guyana, i.e., agriculture and health, and provides recommendations for developing gender-responsive and socially inclusive policies and plans to build climate resilience in the priority sectors identified for Guyana.</w:t>
      </w:r>
    </w:p>
    <w:p w14:paraId="2452E621" w14:textId="77777777" w:rsidR="00B2764C" w:rsidRDefault="00B2764C" w:rsidP="001D4456">
      <w:pPr>
        <w:autoSpaceDE w:val="0"/>
        <w:autoSpaceDN w:val="0"/>
        <w:adjustRightInd w:val="0"/>
        <w:spacing w:line="360" w:lineRule="auto"/>
        <w:ind w:left="720"/>
        <w:jc w:val="both"/>
      </w:pPr>
    </w:p>
    <w:p w14:paraId="26F789EF" w14:textId="44359D23" w:rsidR="008F2112" w:rsidRPr="007E14C1" w:rsidRDefault="008F2112" w:rsidP="001D4456">
      <w:pPr>
        <w:pStyle w:val="ListParagraph"/>
        <w:numPr>
          <w:ilvl w:val="0"/>
          <w:numId w:val="6"/>
        </w:numPr>
        <w:spacing w:before="120" w:after="120" w:line="360" w:lineRule="auto"/>
        <w:ind w:left="714" w:hanging="357"/>
        <w:contextualSpacing w:val="0"/>
        <w:jc w:val="both"/>
        <w:rPr>
          <w:rFonts w:asciiTheme="majorBidi" w:hAnsiTheme="majorBidi" w:cstheme="majorBidi"/>
          <w:b/>
          <w:bCs/>
          <w:sz w:val="24"/>
          <w:szCs w:val="24"/>
          <w:u w:val="single"/>
        </w:rPr>
      </w:pPr>
      <w:bookmarkStart w:id="0" w:name="_GoBack"/>
      <w:bookmarkEnd w:id="0"/>
      <w:r w:rsidRPr="007E14C1">
        <w:rPr>
          <w:rFonts w:asciiTheme="majorBidi" w:hAnsiTheme="majorBidi" w:cstheme="majorBidi"/>
          <w:b/>
          <w:bCs/>
          <w:sz w:val="24"/>
          <w:szCs w:val="24"/>
          <w:u w:val="single"/>
        </w:rPr>
        <w:t>Is your country involved</w:t>
      </w:r>
      <w:r w:rsidR="0060497E" w:rsidRPr="007E14C1">
        <w:rPr>
          <w:rFonts w:asciiTheme="majorBidi" w:hAnsiTheme="majorBidi" w:cstheme="majorBidi"/>
          <w:b/>
          <w:bCs/>
          <w:sz w:val="24"/>
          <w:szCs w:val="24"/>
          <w:u w:val="single"/>
        </w:rPr>
        <w:t xml:space="preserve"> in</w:t>
      </w:r>
      <w:r w:rsidRPr="007E14C1">
        <w:rPr>
          <w:rFonts w:asciiTheme="majorBidi" w:hAnsiTheme="majorBidi" w:cstheme="majorBidi"/>
          <w:b/>
          <w:bCs/>
          <w:sz w:val="24"/>
          <w:szCs w:val="24"/>
          <w:u w:val="single"/>
        </w:rPr>
        <w:t xml:space="preserve"> </w:t>
      </w:r>
      <w:r w:rsidR="0060497E" w:rsidRPr="007E14C1">
        <w:rPr>
          <w:rFonts w:asciiTheme="majorBidi" w:hAnsiTheme="majorBidi" w:cstheme="majorBidi"/>
          <w:b/>
          <w:bCs/>
          <w:sz w:val="24"/>
          <w:szCs w:val="24"/>
          <w:u w:val="single"/>
        </w:rPr>
        <w:t xml:space="preserve">or supports </w:t>
      </w:r>
      <w:r w:rsidRPr="007E14C1">
        <w:rPr>
          <w:rFonts w:asciiTheme="majorBidi" w:hAnsiTheme="majorBidi" w:cstheme="majorBidi"/>
          <w:b/>
          <w:bCs/>
          <w:sz w:val="24"/>
          <w:szCs w:val="24"/>
          <w:u w:val="single"/>
        </w:rPr>
        <w:t>in any way the development</w:t>
      </w:r>
      <w:r w:rsidR="0060497E" w:rsidRPr="007E14C1">
        <w:rPr>
          <w:rFonts w:asciiTheme="majorBidi" w:hAnsiTheme="majorBidi" w:cstheme="majorBidi"/>
          <w:b/>
          <w:bCs/>
          <w:sz w:val="24"/>
          <w:szCs w:val="24"/>
          <w:u w:val="single"/>
        </w:rPr>
        <w:t xml:space="preserve">, </w:t>
      </w:r>
      <w:r w:rsidR="00E31781" w:rsidRPr="007E14C1">
        <w:rPr>
          <w:rFonts w:asciiTheme="majorBidi" w:hAnsiTheme="majorBidi" w:cstheme="majorBidi"/>
          <w:b/>
          <w:bCs/>
          <w:sz w:val="24"/>
          <w:szCs w:val="24"/>
          <w:u w:val="single"/>
        </w:rPr>
        <w:t>implementation,</w:t>
      </w:r>
      <w:r w:rsidRPr="007E14C1">
        <w:rPr>
          <w:rFonts w:asciiTheme="majorBidi" w:hAnsiTheme="majorBidi" w:cstheme="majorBidi"/>
          <w:b/>
          <w:bCs/>
          <w:sz w:val="24"/>
          <w:szCs w:val="24"/>
          <w:u w:val="single"/>
        </w:rPr>
        <w:t xml:space="preserve"> </w:t>
      </w:r>
      <w:r w:rsidR="0060497E" w:rsidRPr="007E14C1">
        <w:rPr>
          <w:rFonts w:asciiTheme="majorBidi" w:hAnsiTheme="majorBidi" w:cstheme="majorBidi"/>
          <w:b/>
          <w:bCs/>
          <w:sz w:val="24"/>
          <w:szCs w:val="24"/>
          <w:u w:val="single"/>
        </w:rPr>
        <w:t xml:space="preserve">or use </w:t>
      </w:r>
      <w:r w:rsidRPr="007E14C1">
        <w:rPr>
          <w:rFonts w:asciiTheme="majorBidi" w:hAnsiTheme="majorBidi" w:cstheme="majorBidi"/>
          <w:b/>
          <w:bCs/>
          <w:sz w:val="24"/>
          <w:szCs w:val="24"/>
          <w:u w:val="single"/>
        </w:rPr>
        <w:t>of NTCP?</w:t>
      </w:r>
    </w:p>
    <w:p w14:paraId="30B8EC4B" w14:textId="36893096" w:rsidR="00CF355E" w:rsidRDefault="00CF355E" w:rsidP="00B322D1">
      <w:pPr>
        <w:spacing w:before="120" w:after="120" w:line="360" w:lineRule="auto"/>
        <w:ind w:left="714"/>
        <w:jc w:val="both"/>
        <w:rPr>
          <w:rFonts w:asciiTheme="majorBidi" w:hAnsiTheme="majorBidi" w:cstheme="majorBidi"/>
        </w:rPr>
      </w:pPr>
      <w:r w:rsidRPr="00F355FA">
        <w:rPr>
          <w:rFonts w:asciiTheme="majorBidi" w:hAnsiTheme="majorBidi" w:cstheme="majorBidi"/>
        </w:rPr>
        <w:t>As outlined in the first section, Guyana is currently undertaking</w:t>
      </w:r>
      <w:r w:rsidR="00172B48" w:rsidRPr="00F355FA">
        <w:rPr>
          <w:rFonts w:asciiTheme="majorBidi" w:hAnsiTheme="majorBidi" w:cstheme="majorBidi"/>
        </w:rPr>
        <w:t xml:space="preserve"> </w:t>
      </w:r>
      <w:r w:rsidR="00F355FA" w:rsidRPr="00F355FA">
        <w:rPr>
          <w:rFonts w:asciiTheme="majorBidi" w:hAnsiTheme="majorBidi" w:cstheme="majorBidi"/>
        </w:rPr>
        <w:t xml:space="preserve">two forms of New Technologies for Climate Protection. </w:t>
      </w:r>
      <w:r w:rsidRPr="00F355FA">
        <w:rPr>
          <w:rFonts w:asciiTheme="majorBidi" w:hAnsiTheme="majorBidi" w:cstheme="majorBidi"/>
        </w:rPr>
        <w:t xml:space="preserve"> </w:t>
      </w:r>
    </w:p>
    <w:p w14:paraId="1DB5B17E" w14:textId="77777777" w:rsidR="00F72A58" w:rsidRDefault="00F72A58" w:rsidP="001D4456">
      <w:pPr>
        <w:pStyle w:val="ListParagraph"/>
        <w:spacing w:before="120" w:after="120" w:line="360" w:lineRule="auto"/>
        <w:jc w:val="both"/>
        <w:rPr>
          <w:rFonts w:asciiTheme="majorBidi" w:hAnsiTheme="majorBidi" w:cstheme="majorBidi"/>
          <w:sz w:val="24"/>
          <w:szCs w:val="24"/>
        </w:rPr>
      </w:pPr>
      <w:r w:rsidRPr="00F72A58">
        <w:rPr>
          <w:rFonts w:asciiTheme="majorBidi" w:hAnsiTheme="majorBidi" w:cstheme="majorBidi"/>
          <w:b/>
          <w:bCs/>
          <w:sz w:val="24"/>
          <w:szCs w:val="24"/>
        </w:rPr>
        <w:t>Sustainable energy technologies</w:t>
      </w:r>
      <w:r>
        <w:rPr>
          <w:rFonts w:asciiTheme="majorBidi" w:hAnsiTheme="majorBidi" w:cstheme="majorBidi"/>
        </w:rPr>
        <w:t xml:space="preserve">: </w:t>
      </w:r>
      <w:r w:rsidRPr="00AA5AFB">
        <w:rPr>
          <w:rFonts w:asciiTheme="majorBidi" w:hAnsiTheme="majorBidi" w:cstheme="majorBidi"/>
          <w:sz w:val="24"/>
          <w:szCs w:val="24"/>
        </w:rPr>
        <w:t xml:space="preserve">Through the Low Carbon Development Strategy, Guyana is aiming to undertake one of the world’s most ambitious energy transitions and expanding the economy up to five-fold, while keeping greenhouse gas emissions from energy generation at their 2019 levels. This transition will be accomplished by replacing expensive, polluting, heave fuel oil with natural gas as a bridge to an energy system built mainly from hydropower, solar, and wind power. </w:t>
      </w:r>
    </w:p>
    <w:p w14:paraId="65DBE600" w14:textId="4CF0759A" w:rsidR="00F72A58" w:rsidRPr="00AA5AFB" w:rsidRDefault="00D53540" w:rsidP="001D4456">
      <w:pPr>
        <w:pStyle w:val="ListParagraph"/>
        <w:spacing w:before="120" w:after="120" w:line="360" w:lineRule="auto"/>
        <w:jc w:val="both"/>
        <w:rPr>
          <w:rFonts w:asciiTheme="majorBidi" w:hAnsiTheme="majorBidi" w:cstheme="majorBidi"/>
          <w:sz w:val="24"/>
          <w:szCs w:val="24"/>
        </w:rPr>
      </w:pPr>
      <w:r>
        <w:rPr>
          <w:rFonts w:asciiTheme="majorBidi" w:hAnsiTheme="majorBidi" w:cstheme="majorBidi"/>
          <w:b/>
          <w:bCs/>
          <w:sz w:val="24"/>
          <w:szCs w:val="24"/>
        </w:rPr>
        <w:t>Carbon  capture and storage:</w:t>
      </w:r>
      <w:r>
        <w:rPr>
          <w:rFonts w:asciiTheme="majorBidi" w:hAnsiTheme="majorBidi" w:cstheme="majorBidi"/>
          <w:sz w:val="24"/>
          <w:szCs w:val="24"/>
        </w:rPr>
        <w:t xml:space="preserve"> </w:t>
      </w:r>
      <w:r w:rsidRPr="00C1164D">
        <w:rPr>
          <w:rFonts w:ascii="Times New Roman" w:hAnsi="Times New Roman" w:cs="Times New Roman"/>
          <w:sz w:val="24"/>
          <w:szCs w:val="24"/>
        </w:rPr>
        <w:t>Guyana has integrated, as a requirement in the Environmental Permit granted to ExxonMobil for the development of the Yellowtail Project, the need for the company to provide our government with a roadmap for emissions reduction and an examination of the feasibility of Carbon Capture, Utilization and Storage technologies</w:t>
      </w:r>
      <w:r w:rsidRPr="00C1164D">
        <w:rPr>
          <w:rStyle w:val="FootnoteReference"/>
          <w:rFonts w:ascii="Times New Roman" w:hAnsi="Times New Roman" w:cs="Times New Roman"/>
          <w:color w:val="222222"/>
          <w:sz w:val="24"/>
          <w:szCs w:val="24"/>
          <w:shd w:val="clear" w:color="auto" w:fill="FFFFFF"/>
        </w:rPr>
        <w:footnoteReference w:id="16"/>
      </w:r>
      <w:r w:rsidRPr="00C1164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002C0FB0">
        <w:rPr>
          <w:rFonts w:ascii="Times New Roman" w:hAnsi="Times New Roman" w:cs="Times New Roman"/>
          <w:color w:val="222222"/>
          <w:sz w:val="24"/>
          <w:szCs w:val="24"/>
          <w:shd w:val="clear" w:color="auto" w:fill="FFFFFF"/>
        </w:rPr>
        <w:t xml:space="preserve">This form of technology is still in the exploratory stage, as permission was granted in the latter part of 2021 </w:t>
      </w:r>
      <w:r w:rsidR="00533169">
        <w:rPr>
          <w:rFonts w:ascii="Times New Roman" w:hAnsi="Times New Roman" w:cs="Times New Roman"/>
          <w:color w:val="222222"/>
          <w:sz w:val="24"/>
          <w:szCs w:val="24"/>
          <w:shd w:val="clear" w:color="auto" w:fill="FFFFFF"/>
        </w:rPr>
        <w:t xml:space="preserve">for ExxonMobil to conduct studies on </w:t>
      </w:r>
      <w:r w:rsidR="0027371D">
        <w:rPr>
          <w:rFonts w:ascii="Times New Roman" w:hAnsi="Times New Roman" w:cs="Times New Roman"/>
          <w:color w:val="222222"/>
          <w:sz w:val="24"/>
          <w:szCs w:val="24"/>
          <w:shd w:val="clear" w:color="auto" w:fill="FFFFFF"/>
        </w:rPr>
        <w:t xml:space="preserve">carbon capture, utilization and storage with a view to incorporating these into their local operations in Guyana. </w:t>
      </w:r>
    </w:p>
    <w:p w14:paraId="2D58608E" w14:textId="5E66EC96" w:rsidR="00F72A58" w:rsidRPr="00F72A58" w:rsidRDefault="00F72A58" w:rsidP="001D4456">
      <w:pPr>
        <w:pStyle w:val="ListParagraph"/>
        <w:spacing w:before="120" w:after="120" w:line="360" w:lineRule="auto"/>
        <w:jc w:val="both"/>
        <w:rPr>
          <w:rFonts w:asciiTheme="majorBidi" w:hAnsiTheme="majorBidi" w:cstheme="majorBidi"/>
        </w:rPr>
      </w:pPr>
    </w:p>
    <w:p w14:paraId="106A0252" w14:textId="77777777" w:rsidR="008B1E4A" w:rsidRPr="003F6690" w:rsidRDefault="008B1E4A" w:rsidP="001D4456">
      <w:pPr>
        <w:pStyle w:val="ListParagraph"/>
        <w:spacing w:before="120" w:after="120" w:line="360" w:lineRule="auto"/>
        <w:jc w:val="both"/>
        <w:rPr>
          <w:rFonts w:asciiTheme="majorBidi" w:hAnsiTheme="majorBidi" w:cstheme="majorBidi"/>
          <w:highlight w:val="yellow"/>
        </w:rPr>
      </w:pPr>
    </w:p>
    <w:p w14:paraId="04433229" w14:textId="1B217B33" w:rsidR="00C04469" w:rsidRPr="005C759E" w:rsidRDefault="00525D52" w:rsidP="001D4456">
      <w:pPr>
        <w:pStyle w:val="ListParagraph"/>
        <w:numPr>
          <w:ilvl w:val="0"/>
          <w:numId w:val="6"/>
        </w:numPr>
        <w:spacing w:before="120" w:after="120" w:line="360" w:lineRule="auto"/>
        <w:ind w:left="714" w:hanging="357"/>
        <w:contextualSpacing w:val="0"/>
        <w:jc w:val="both"/>
        <w:rPr>
          <w:rFonts w:asciiTheme="majorBidi" w:hAnsiTheme="majorBidi" w:cstheme="majorBidi"/>
          <w:b/>
          <w:bCs/>
          <w:sz w:val="24"/>
          <w:szCs w:val="24"/>
          <w:u w:val="single"/>
        </w:rPr>
      </w:pPr>
      <w:r w:rsidRPr="005C759E">
        <w:rPr>
          <w:rFonts w:asciiTheme="majorBidi" w:hAnsiTheme="majorBidi" w:cstheme="majorBidi"/>
          <w:b/>
          <w:bCs/>
          <w:sz w:val="24"/>
          <w:szCs w:val="24"/>
          <w:u w:val="single"/>
        </w:rPr>
        <w:t xml:space="preserve">What measures, if any, (legislative, administrative, institutional, or other) have been put in place to </w:t>
      </w:r>
      <w:r w:rsidR="0060497E" w:rsidRPr="005C759E">
        <w:rPr>
          <w:rFonts w:asciiTheme="majorBidi" w:hAnsiTheme="majorBidi" w:cstheme="majorBidi"/>
          <w:b/>
          <w:bCs/>
          <w:sz w:val="24"/>
          <w:szCs w:val="24"/>
          <w:u w:val="single"/>
        </w:rPr>
        <w:t xml:space="preserve">regulate </w:t>
      </w:r>
      <w:r w:rsidR="00621FCA" w:rsidRPr="005C759E">
        <w:rPr>
          <w:rFonts w:asciiTheme="majorBidi" w:hAnsiTheme="majorBidi" w:cstheme="majorBidi"/>
          <w:b/>
          <w:bCs/>
          <w:sz w:val="24"/>
          <w:szCs w:val="24"/>
          <w:u w:val="single"/>
        </w:rPr>
        <w:t xml:space="preserve">the </w:t>
      </w:r>
      <w:r w:rsidR="008B323E" w:rsidRPr="005C759E">
        <w:rPr>
          <w:rFonts w:asciiTheme="majorBidi" w:hAnsiTheme="majorBidi" w:cstheme="majorBidi"/>
          <w:b/>
          <w:bCs/>
          <w:sz w:val="24"/>
          <w:szCs w:val="24"/>
          <w:u w:val="single"/>
        </w:rPr>
        <w:t>use</w:t>
      </w:r>
      <w:r w:rsidR="000F14F2" w:rsidRPr="005C759E">
        <w:rPr>
          <w:rFonts w:asciiTheme="majorBidi" w:hAnsiTheme="majorBidi" w:cstheme="majorBidi"/>
          <w:b/>
          <w:bCs/>
          <w:sz w:val="24"/>
          <w:szCs w:val="24"/>
          <w:u w:val="single"/>
        </w:rPr>
        <w:t xml:space="preserve"> </w:t>
      </w:r>
      <w:r w:rsidR="00621FCA" w:rsidRPr="005C759E">
        <w:rPr>
          <w:rFonts w:asciiTheme="majorBidi" w:hAnsiTheme="majorBidi" w:cstheme="majorBidi"/>
          <w:b/>
          <w:bCs/>
          <w:sz w:val="24"/>
          <w:szCs w:val="24"/>
          <w:u w:val="single"/>
        </w:rPr>
        <w:t xml:space="preserve">of </w:t>
      </w:r>
      <w:r w:rsidR="008F2112" w:rsidRPr="005C759E">
        <w:rPr>
          <w:rFonts w:asciiTheme="majorBidi" w:hAnsiTheme="majorBidi" w:cstheme="majorBidi"/>
          <w:b/>
          <w:bCs/>
          <w:sz w:val="24"/>
          <w:szCs w:val="24"/>
          <w:u w:val="single"/>
        </w:rPr>
        <w:t>NTCP</w:t>
      </w:r>
      <w:r w:rsidR="000F14F2" w:rsidRPr="005C759E">
        <w:rPr>
          <w:rFonts w:asciiTheme="majorBidi" w:hAnsiTheme="majorBidi" w:cstheme="majorBidi"/>
          <w:b/>
          <w:bCs/>
          <w:sz w:val="24"/>
          <w:szCs w:val="24"/>
          <w:u w:val="single"/>
        </w:rPr>
        <w:t xml:space="preserve">? </w:t>
      </w:r>
      <w:r w:rsidR="00FF53E0" w:rsidRPr="005C759E">
        <w:rPr>
          <w:rFonts w:asciiTheme="majorBidi" w:hAnsiTheme="majorBidi" w:cstheme="majorBidi"/>
          <w:b/>
          <w:bCs/>
          <w:sz w:val="24"/>
          <w:szCs w:val="24"/>
          <w:u w:val="single"/>
        </w:rPr>
        <w:t>Have</w:t>
      </w:r>
      <w:r w:rsidR="000F14F2" w:rsidRPr="005C759E">
        <w:rPr>
          <w:rFonts w:asciiTheme="majorBidi" w:hAnsiTheme="majorBidi" w:cstheme="majorBidi"/>
          <w:b/>
          <w:bCs/>
          <w:sz w:val="24"/>
          <w:szCs w:val="24"/>
          <w:u w:val="single"/>
        </w:rPr>
        <w:t xml:space="preserve"> the </w:t>
      </w:r>
      <w:r w:rsidR="00326C1E" w:rsidRPr="005C759E">
        <w:rPr>
          <w:rFonts w:asciiTheme="majorBidi" w:hAnsiTheme="majorBidi" w:cstheme="majorBidi"/>
          <w:b/>
          <w:bCs/>
          <w:sz w:val="24"/>
          <w:szCs w:val="24"/>
          <w:u w:val="single"/>
        </w:rPr>
        <w:t xml:space="preserve">human rights </w:t>
      </w:r>
      <w:r w:rsidR="008D0105" w:rsidRPr="005C759E">
        <w:rPr>
          <w:rFonts w:asciiTheme="majorBidi" w:hAnsiTheme="majorBidi" w:cstheme="majorBidi"/>
          <w:b/>
          <w:bCs/>
          <w:sz w:val="24"/>
          <w:szCs w:val="24"/>
          <w:u w:val="single"/>
        </w:rPr>
        <w:t xml:space="preserve">challenges </w:t>
      </w:r>
      <w:r w:rsidR="00326C1E" w:rsidRPr="005C759E">
        <w:rPr>
          <w:rFonts w:asciiTheme="majorBidi" w:hAnsiTheme="majorBidi" w:cstheme="majorBidi"/>
          <w:b/>
          <w:bCs/>
          <w:sz w:val="24"/>
          <w:szCs w:val="24"/>
          <w:u w:val="single"/>
        </w:rPr>
        <w:t xml:space="preserve">arising from </w:t>
      </w:r>
      <w:r w:rsidR="00621FCA" w:rsidRPr="005C759E">
        <w:rPr>
          <w:rFonts w:asciiTheme="majorBidi" w:hAnsiTheme="majorBidi" w:cstheme="majorBidi"/>
          <w:b/>
          <w:bCs/>
          <w:sz w:val="24"/>
          <w:szCs w:val="24"/>
          <w:u w:val="single"/>
        </w:rPr>
        <w:t>such activity</w:t>
      </w:r>
      <w:r w:rsidR="000F14F2" w:rsidRPr="005C759E">
        <w:rPr>
          <w:rFonts w:asciiTheme="majorBidi" w:hAnsiTheme="majorBidi" w:cstheme="majorBidi"/>
          <w:b/>
          <w:bCs/>
          <w:sz w:val="24"/>
          <w:szCs w:val="24"/>
          <w:u w:val="single"/>
        </w:rPr>
        <w:t xml:space="preserve"> </w:t>
      </w:r>
      <w:r w:rsidR="00FF53E0" w:rsidRPr="005C759E">
        <w:rPr>
          <w:rFonts w:asciiTheme="majorBidi" w:hAnsiTheme="majorBidi" w:cstheme="majorBidi"/>
          <w:b/>
          <w:bCs/>
          <w:sz w:val="24"/>
          <w:szCs w:val="24"/>
          <w:u w:val="single"/>
        </w:rPr>
        <w:t xml:space="preserve">been </w:t>
      </w:r>
      <w:r w:rsidR="000F14F2" w:rsidRPr="005C759E">
        <w:rPr>
          <w:rFonts w:asciiTheme="majorBidi" w:hAnsiTheme="majorBidi" w:cstheme="majorBidi"/>
          <w:b/>
          <w:bCs/>
          <w:sz w:val="24"/>
          <w:szCs w:val="24"/>
          <w:u w:val="single"/>
        </w:rPr>
        <w:t>taken into account</w:t>
      </w:r>
      <w:r w:rsidR="00621FCA" w:rsidRPr="005C759E">
        <w:rPr>
          <w:rFonts w:asciiTheme="majorBidi" w:hAnsiTheme="majorBidi" w:cstheme="majorBidi"/>
          <w:b/>
          <w:bCs/>
          <w:sz w:val="24"/>
          <w:szCs w:val="24"/>
          <w:u w:val="single"/>
        </w:rPr>
        <w:t xml:space="preserve"> </w:t>
      </w:r>
      <w:r w:rsidR="00F0218A" w:rsidRPr="005C759E">
        <w:rPr>
          <w:rFonts w:asciiTheme="majorBidi" w:hAnsiTheme="majorBidi" w:cstheme="majorBidi"/>
          <w:b/>
          <w:bCs/>
          <w:sz w:val="24"/>
          <w:szCs w:val="24"/>
          <w:u w:val="single"/>
        </w:rPr>
        <w:t>in their adoption</w:t>
      </w:r>
      <w:r w:rsidR="00326C1E" w:rsidRPr="005C759E">
        <w:rPr>
          <w:rFonts w:asciiTheme="majorBidi" w:hAnsiTheme="majorBidi" w:cstheme="majorBidi"/>
          <w:b/>
          <w:bCs/>
          <w:sz w:val="24"/>
          <w:szCs w:val="24"/>
          <w:u w:val="single"/>
        </w:rPr>
        <w:t>?</w:t>
      </w:r>
      <w:r w:rsidR="00AE0FD0" w:rsidRPr="005C759E">
        <w:rPr>
          <w:rFonts w:asciiTheme="majorBidi" w:hAnsiTheme="majorBidi" w:cstheme="majorBidi"/>
          <w:b/>
          <w:bCs/>
          <w:sz w:val="24"/>
          <w:szCs w:val="24"/>
          <w:u w:val="single"/>
        </w:rPr>
        <w:t xml:space="preserve"> </w:t>
      </w:r>
    </w:p>
    <w:p w14:paraId="374F5427" w14:textId="77777777" w:rsidR="00CA0C98" w:rsidRDefault="00276567" w:rsidP="001D4456">
      <w:pPr>
        <w:pStyle w:val="ListParagraph"/>
        <w:numPr>
          <w:ilvl w:val="0"/>
          <w:numId w:val="21"/>
        </w:numPr>
        <w:spacing w:before="120" w:after="120" w:line="360" w:lineRule="auto"/>
        <w:contextualSpacing w:val="0"/>
        <w:jc w:val="both"/>
        <w:rPr>
          <w:rFonts w:asciiTheme="majorBidi" w:hAnsiTheme="majorBidi" w:cstheme="majorBidi"/>
          <w:sz w:val="24"/>
          <w:szCs w:val="24"/>
        </w:rPr>
      </w:pPr>
      <w:r w:rsidRPr="00D67E8C">
        <w:rPr>
          <w:rFonts w:asciiTheme="majorBidi" w:hAnsiTheme="majorBidi" w:cstheme="majorBidi"/>
          <w:b/>
          <w:bCs/>
          <w:sz w:val="24"/>
          <w:szCs w:val="24"/>
        </w:rPr>
        <w:t>Sustainable energy technologies:</w:t>
      </w:r>
      <w:r>
        <w:rPr>
          <w:rFonts w:asciiTheme="majorBidi" w:hAnsiTheme="majorBidi" w:cstheme="majorBidi"/>
          <w:sz w:val="24"/>
          <w:szCs w:val="24"/>
        </w:rPr>
        <w:t xml:space="preserve"> </w:t>
      </w:r>
    </w:p>
    <w:p w14:paraId="0264211A" w14:textId="711F49C2" w:rsidR="007608CE" w:rsidRDefault="00693677" w:rsidP="00B322D1">
      <w:pPr>
        <w:spacing w:before="120" w:after="120" w:line="360" w:lineRule="auto"/>
        <w:ind w:left="714"/>
        <w:jc w:val="both"/>
        <w:rPr>
          <w:rFonts w:asciiTheme="majorBidi" w:hAnsiTheme="majorBidi" w:cstheme="majorBidi"/>
        </w:rPr>
      </w:pPr>
      <w:r w:rsidRPr="00CA0C98">
        <w:rPr>
          <w:rFonts w:asciiTheme="majorBidi" w:hAnsiTheme="majorBidi" w:cstheme="majorBidi"/>
        </w:rPr>
        <w:t>Mechanisms for the implementation and management of the renewable energy transition are also outlined in detail in the Low Carbon Development Strategy 2030</w:t>
      </w:r>
      <w:r w:rsidR="00296A11" w:rsidRPr="00CA0C98">
        <w:rPr>
          <w:rFonts w:asciiTheme="majorBidi" w:hAnsiTheme="majorBidi" w:cstheme="majorBidi"/>
        </w:rPr>
        <w:t xml:space="preserve">, which outlines the </w:t>
      </w:r>
      <w:r w:rsidR="00D16228" w:rsidRPr="00CA0C98">
        <w:rPr>
          <w:rFonts w:asciiTheme="majorBidi" w:hAnsiTheme="majorBidi" w:cstheme="majorBidi"/>
        </w:rPr>
        <w:t>specific actions and targets for transforming Guyana’s energy mix</w:t>
      </w:r>
      <w:r w:rsidR="00256BA9" w:rsidRPr="00CA0C98">
        <w:rPr>
          <w:rFonts w:asciiTheme="majorBidi" w:hAnsiTheme="majorBidi" w:cstheme="majorBidi"/>
        </w:rPr>
        <w:t xml:space="preserve">. </w:t>
      </w:r>
      <w:r w:rsidR="00CA0C98" w:rsidRPr="00CA0C98">
        <w:rPr>
          <w:rFonts w:asciiTheme="majorBidi" w:hAnsiTheme="majorBidi" w:cstheme="majorBidi"/>
        </w:rPr>
        <w:t>A specialized fund, the Guyana REDD+ Investment Fund (GRIF)</w:t>
      </w:r>
      <w:r w:rsidR="00CA0C98">
        <w:rPr>
          <w:rFonts w:asciiTheme="majorBidi" w:hAnsiTheme="majorBidi" w:cstheme="majorBidi"/>
        </w:rPr>
        <w:t xml:space="preserve"> </w:t>
      </w:r>
      <w:r w:rsidR="00CA0C98" w:rsidRPr="00CA0C98">
        <w:rPr>
          <w:rFonts w:asciiTheme="majorBidi" w:hAnsiTheme="majorBidi" w:cstheme="majorBidi"/>
        </w:rPr>
        <w:t xml:space="preserve">was created in 2010 following a 2009 Memorandum of Understanding between the Governments of Guyana and Norway as a means to channel international financing for avoided deforestation. </w:t>
      </w:r>
      <w:r w:rsidR="00D16228" w:rsidRPr="00CA0C98">
        <w:rPr>
          <w:rFonts w:asciiTheme="majorBidi" w:hAnsiTheme="majorBidi" w:cstheme="majorBidi"/>
        </w:rPr>
        <w:t xml:space="preserve"> </w:t>
      </w:r>
      <w:r w:rsidR="004A0FC3" w:rsidRPr="004A0FC3">
        <w:rPr>
          <w:rFonts w:asciiTheme="majorBidi" w:hAnsiTheme="majorBidi" w:cstheme="majorBidi"/>
        </w:rPr>
        <w:t>As part of the</w:t>
      </w:r>
      <w:r w:rsidR="004A0FC3">
        <w:rPr>
          <w:rFonts w:asciiTheme="majorBidi" w:hAnsiTheme="majorBidi" w:cstheme="majorBidi"/>
        </w:rPr>
        <w:t xml:space="preserve"> first iteration of the</w:t>
      </w:r>
      <w:r w:rsidR="004A0FC3" w:rsidRPr="004A0FC3">
        <w:rPr>
          <w:rFonts w:asciiTheme="majorBidi" w:hAnsiTheme="majorBidi" w:cstheme="majorBidi"/>
        </w:rPr>
        <w:t xml:space="preserve"> Low Carbon Development Strategy</w:t>
      </w:r>
      <w:r w:rsidR="004A0FC3">
        <w:rPr>
          <w:rFonts w:asciiTheme="majorBidi" w:hAnsiTheme="majorBidi" w:cstheme="majorBidi"/>
        </w:rPr>
        <w:t xml:space="preserve"> (2010)</w:t>
      </w:r>
      <w:r w:rsidR="004A0FC3" w:rsidRPr="004A0FC3">
        <w:rPr>
          <w:rFonts w:asciiTheme="majorBidi" w:hAnsiTheme="majorBidi" w:cstheme="majorBidi"/>
        </w:rPr>
        <w:t>, the Hinterland Renewable Energy project was initiated to support the energy needs of rural households without access to the national grid. The project was financed with funds from the GRIF. As of 2014, 11,540 home systems had been installed in nearly 200 communities. The project also resulted in the training of 400 people, mostly Amerindians</w:t>
      </w:r>
      <w:r w:rsidR="004A0FC3">
        <w:rPr>
          <w:rFonts w:asciiTheme="majorBidi" w:hAnsiTheme="majorBidi" w:cstheme="majorBidi"/>
        </w:rPr>
        <w:t xml:space="preserve"> </w:t>
      </w:r>
      <w:r w:rsidR="004A0FC3" w:rsidRPr="004A0FC3">
        <w:rPr>
          <w:rFonts w:asciiTheme="majorBidi" w:hAnsiTheme="majorBidi" w:cstheme="majorBidi"/>
        </w:rPr>
        <w:t>for installation and maintenance of the systems.</w:t>
      </w:r>
      <w:r w:rsidR="00DB2753">
        <w:rPr>
          <w:rFonts w:asciiTheme="majorBidi" w:hAnsiTheme="majorBidi" w:cstheme="majorBidi"/>
        </w:rPr>
        <w:t xml:space="preserve"> </w:t>
      </w:r>
      <w:r w:rsidR="00B004A1">
        <w:rPr>
          <w:rFonts w:asciiTheme="majorBidi" w:hAnsiTheme="majorBidi" w:cstheme="majorBidi"/>
        </w:rPr>
        <w:t xml:space="preserve">The agencies with responsibility for the implementation of these programs will be outlined in the response to the </w:t>
      </w:r>
      <w:r w:rsidR="00EC6211">
        <w:rPr>
          <w:rFonts w:asciiTheme="majorBidi" w:hAnsiTheme="majorBidi" w:cstheme="majorBidi"/>
        </w:rPr>
        <w:t xml:space="preserve">question below. </w:t>
      </w:r>
    </w:p>
    <w:p w14:paraId="52064CD8" w14:textId="3E33E3A9" w:rsidR="00DB2753" w:rsidRPr="00DB2753" w:rsidRDefault="00DB2753" w:rsidP="001D4456">
      <w:pPr>
        <w:pStyle w:val="ListParagraph"/>
        <w:numPr>
          <w:ilvl w:val="0"/>
          <w:numId w:val="21"/>
        </w:numPr>
        <w:spacing w:before="120" w:after="120" w:line="360" w:lineRule="auto"/>
        <w:jc w:val="both"/>
        <w:rPr>
          <w:rFonts w:asciiTheme="majorBidi" w:hAnsiTheme="majorBidi" w:cstheme="majorBidi"/>
          <w:b/>
          <w:bCs/>
        </w:rPr>
      </w:pPr>
      <w:r w:rsidRPr="00DB2753">
        <w:rPr>
          <w:rFonts w:asciiTheme="majorBidi" w:hAnsiTheme="majorBidi" w:cstheme="majorBidi"/>
          <w:b/>
          <w:bCs/>
        </w:rPr>
        <w:t>Carbon capture, utilization, and storage</w:t>
      </w:r>
    </w:p>
    <w:p w14:paraId="452CEA41" w14:textId="7089EADF" w:rsidR="00DB2753" w:rsidRDefault="003806E6" w:rsidP="00B322D1">
      <w:pPr>
        <w:spacing w:before="120" w:after="120" w:line="360" w:lineRule="auto"/>
        <w:ind w:left="714"/>
        <w:jc w:val="both"/>
        <w:rPr>
          <w:rFonts w:asciiTheme="majorBidi" w:hAnsiTheme="majorBidi" w:cstheme="majorBidi"/>
        </w:rPr>
      </w:pPr>
      <w:r>
        <w:rPr>
          <w:rFonts w:asciiTheme="majorBidi" w:hAnsiTheme="majorBidi" w:cstheme="majorBidi"/>
        </w:rPr>
        <w:t xml:space="preserve">The use of the CCUS technologies </w:t>
      </w:r>
      <w:r w:rsidR="00EC6211">
        <w:rPr>
          <w:rFonts w:asciiTheme="majorBidi" w:hAnsiTheme="majorBidi" w:cstheme="majorBidi"/>
        </w:rPr>
        <w:t>is</w:t>
      </w:r>
      <w:r>
        <w:rPr>
          <w:rFonts w:asciiTheme="majorBidi" w:hAnsiTheme="majorBidi" w:cstheme="majorBidi"/>
        </w:rPr>
        <w:t xml:space="preserve"> now being explored in Guyana</w:t>
      </w:r>
      <w:r w:rsidR="00D91D51">
        <w:rPr>
          <w:rFonts w:asciiTheme="majorBidi" w:hAnsiTheme="majorBidi" w:cstheme="majorBidi"/>
        </w:rPr>
        <w:t xml:space="preserve">, and, as the data becomes available regarding their feasibility, measures will be instituted to regulate their use. </w:t>
      </w:r>
    </w:p>
    <w:p w14:paraId="37489D3E" w14:textId="77777777" w:rsidR="00B322D1" w:rsidRPr="00DB2753" w:rsidRDefault="00B322D1" w:rsidP="00B322D1">
      <w:pPr>
        <w:spacing w:before="120" w:after="120" w:line="360" w:lineRule="auto"/>
        <w:ind w:left="714"/>
        <w:jc w:val="both"/>
        <w:rPr>
          <w:rFonts w:asciiTheme="majorBidi" w:hAnsiTheme="majorBidi" w:cstheme="majorBidi"/>
        </w:rPr>
      </w:pPr>
    </w:p>
    <w:p w14:paraId="0008E42E" w14:textId="7BE0874F" w:rsidR="00EC6EB5" w:rsidRPr="007608CE" w:rsidRDefault="00EC6EB5" w:rsidP="001D4456">
      <w:pPr>
        <w:pStyle w:val="ListParagraph"/>
        <w:numPr>
          <w:ilvl w:val="0"/>
          <w:numId w:val="6"/>
        </w:numPr>
        <w:spacing w:before="120" w:after="120" w:line="360" w:lineRule="auto"/>
        <w:ind w:left="714" w:hanging="357"/>
        <w:contextualSpacing w:val="0"/>
        <w:jc w:val="both"/>
        <w:rPr>
          <w:rFonts w:asciiTheme="majorBidi" w:hAnsiTheme="majorBidi" w:cstheme="majorBidi"/>
          <w:b/>
          <w:bCs/>
          <w:sz w:val="24"/>
          <w:szCs w:val="24"/>
          <w:u w:val="single"/>
        </w:rPr>
      </w:pPr>
      <w:r w:rsidRPr="007608CE">
        <w:rPr>
          <w:rFonts w:asciiTheme="majorBidi" w:hAnsiTheme="majorBidi" w:cstheme="majorBidi"/>
          <w:b/>
          <w:bCs/>
          <w:sz w:val="24"/>
          <w:szCs w:val="24"/>
          <w:u w:val="single"/>
        </w:rPr>
        <w:t xml:space="preserve">In your country, which government agency has </w:t>
      </w:r>
      <w:r w:rsidR="00CD0035" w:rsidRPr="007608CE">
        <w:rPr>
          <w:rFonts w:asciiTheme="majorBidi" w:hAnsiTheme="majorBidi" w:cstheme="majorBidi"/>
          <w:b/>
          <w:bCs/>
          <w:sz w:val="24"/>
          <w:szCs w:val="24"/>
          <w:u w:val="single"/>
        </w:rPr>
        <w:t>the</w:t>
      </w:r>
      <w:r w:rsidRPr="007608CE">
        <w:rPr>
          <w:rFonts w:asciiTheme="majorBidi" w:hAnsiTheme="majorBidi" w:cstheme="majorBidi"/>
          <w:b/>
          <w:bCs/>
          <w:sz w:val="24"/>
          <w:szCs w:val="24"/>
          <w:u w:val="single"/>
        </w:rPr>
        <w:t xml:space="preserve"> initiative in the decision-making </w:t>
      </w:r>
      <w:r w:rsidR="007A3E89" w:rsidRPr="007608CE">
        <w:rPr>
          <w:rFonts w:asciiTheme="majorBidi" w:hAnsiTheme="majorBidi" w:cstheme="majorBidi"/>
          <w:b/>
          <w:bCs/>
          <w:sz w:val="24"/>
          <w:szCs w:val="24"/>
          <w:u w:val="single"/>
        </w:rPr>
        <w:t>related to</w:t>
      </w:r>
      <w:r w:rsidR="000F14F2" w:rsidRPr="007608CE">
        <w:rPr>
          <w:rFonts w:asciiTheme="majorBidi" w:hAnsiTheme="majorBidi" w:cstheme="majorBidi"/>
          <w:b/>
          <w:bCs/>
          <w:sz w:val="24"/>
          <w:szCs w:val="24"/>
          <w:u w:val="single"/>
        </w:rPr>
        <w:t xml:space="preserve"> </w:t>
      </w:r>
      <w:r w:rsidR="00F0218A" w:rsidRPr="007608CE">
        <w:rPr>
          <w:rFonts w:asciiTheme="majorBidi" w:hAnsiTheme="majorBidi" w:cstheme="majorBidi"/>
          <w:b/>
          <w:bCs/>
          <w:sz w:val="24"/>
          <w:szCs w:val="24"/>
          <w:u w:val="single"/>
        </w:rPr>
        <w:t>NTCP</w:t>
      </w:r>
      <w:r w:rsidRPr="007608CE">
        <w:rPr>
          <w:rFonts w:asciiTheme="majorBidi" w:hAnsiTheme="majorBidi" w:cstheme="majorBidi"/>
          <w:b/>
          <w:bCs/>
          <w:sz w:val="24"/>
          <w:szCs w:val="24"/>
          <w:u w:val="single"/>
        </w:rPr>
        <w:t xml:space="preserve"> policies? If so, </w:t>
      </w:r>
      <w:r w:rsidR="00091DD5" w:rsidRPr="007608CE">
        <w:rPr>
          <w:rFonts w:asciiTheme="majorBidi" w:hAnsiTheme="majorBidi" w:cstheme="majorBidi"/>
          <w:b/>
          <w:bCs/>
          <w:sz w:val="24"/>
          <w:szCs w:val="24"/>
          <w:u w:val="single"/>
        </w:rPr>
        <w:t>to what exten</w:t>
      </w:r>
      <w:r w:rsidR="0024198C" w:rsidRPr="007608CE">
        <w:rPr>
          <w:rFonts w:asciiTheme="majorBidi" w:hAnsiTheme="majorBidi" w:cstheme="majorBidi"/>
          <w:b/>
          <w:bCs/>
          <w:sz w:val="24"/>
          <w:szCs w:val="24"/>
          <w:u w:val="single"/>
        </w:rPr>
        <w:t>t</w:t>
      </w:r>
      <w:r w:rsidR="00091DD5" w:rsidRPr="007608CE">
        <w:rPr>
          <w:rFonts w:asciiTheme="majorBidi" w:hAnsiTheme="majorBidi" w:cstheme="majorBidi"/>
          <w:b/>
          <w:bCs/>
          <w:sz w:val="24"/>
          <w:szCs w:val="24"/>
          <w:u w:val="single"/>
        </w:rPr>
        <w:t xml:space="preserve"> </w:t>
      </w:r>
      <w:r w:rsidR="00AE0FD0" w:rsidRPr="007608CE">
        <w:rPr>
          <w:rFonts w:asciiTheme="majorBidi" w:hAnsiTheme="majorBidi" w:cstheme="majorBidi"/>
          <w:b/>
          <w:bCs/>
          <w:sz w:val="24"/>
          <w:szCs w:val="24"/>
          <w:u w:val="single"/>
        </w:rPr>
        <w:t xml:space="preserve">does </w:t>
      </w:r>
      <w:r w:rsidRPr="007608CE">
        <w:rPr>
          <w:rFonts w:asciiTheme="majorBidi" w:hAnsiTheme="majorBidi" w:cstheme="majorBidi"/>
          <w:b/>
          <w:bCs/>
          <w:sz w:val="24"/>
          <w:szCs w:val="24"/>
          <w:u w:val="single"/>
        </w:rPr>
        <w:t>the agency take the human rights issues in</w:t>
      </w:r>
      <w:r w:rsidR="00AE0FD0" w:rsidRPr="007608CE">
        <w:rPr>
          <w:rFonts w:asciiTheme="majorBidi" w:hAnsiTheme="majorBidi" w:cstheme="majorBidi"/>
          <w:b/>
          <w:bCs/>
          <w:sz w:val="24"/>
          <w:szCs w:val="24"/>
          <w:u w:val="single"/>
        </w:rPr>
        <w:t>to account in</w:t>
      </w:r>
      <w:r w:rsidRPr="007608CE">
        <w:rPr>
          <w:rFonts w:asciiTheme="majorBidi" w:hAnsiTheme="majorBidi" w:cstheme="majorBidi"/>
          <w:b/>
          <w:bCs/>
          <w:sz w:val="24"/>
          <w:szCs w:val="24"/>
          <w:u w:val="single"/>
        </w:rPr>
        <w:t xml:space="preserve"> its agenda</w:t>
      </w:r>
      <w:r w:rsidR="008D0105" w:rsidRPr="007608CE">
        <w:rPr>
          <w:rFonts w:asciiTheme="majorBidi" w:hAnsiTheme="majorBidi" w:cstheme="majorBidi"/>
          <w:b/>
          <w:bCs/>
          <w:sz w:val="24"/>
          <w:szCs w:val="24"/>
          <w:u w:val="single"/>
        </w:rPr>
        <w:t xml:space="preserve"> and decisions</w:t>
      </w:r>
      <w:r w:rsidRPr="007608CE">
        <w:rPr>
          <w:rFonts w:asciiTheme="majorBidi" w:hAnsiTheme="majorBidi" w:cstheme="majorBidi"/>
          <w:b/>
          <w:bCs/>
          <w:sz w:val="24"/>
          <w:szCs w:val="24"/>
          <w:u w:val="single"/>
        </w:rPr>
        <w:t xml:space="preserve">? </w:t>
      </w:r>
    </w:p>
    <w:p w14:paraId="2637710D" w14:textId="47139ED9" w:rsidR="007067FD" w:rsidRDefault="00EC6211" w:rsidP="00B322D1">
      <w:pPr>
        <w:spacing w:before="120" w:after="120" w:line="360" w:lineRule="auto"/>
        <w:ind w:left="714"/>
        <w:contextualSpacing/>
        <w:jc w:val="both"/>
        <w:rPr>
          <w:rFonts w:asciiTheme="majorBidi" w:hAnsiTheme="majorBidi" w:cstheme="majorBidi"/>
        </w:rPr>
      </w:pPr>
      <w:r w:rsidRPr="00F67ABC">
        <w:rPr>
          <w:rFonts w:asciiTheme="majorBidi" w:hAnsiTheme="majorBidi" w:cstheme="majorBidi"/>
        </w:rPr>
        <w:t xml:space="preserve">There are </w:t>
      </w:r>
      <w:r w:rsidR="00F67ABC">
        <w:rPr>
          <w:rFonts w:asciiTheme="majorBidi" w:hAnsiTheme="majorBidi" w:cstheme="majorBidi"/>
        </w:rPr>
        <w:t>several</w:t>
      </w:r>
      <w:r w:rsidRPr="00F67ABC">
        <w:rPr>
          <w:rFonts w:asciiTheme="majorBidi" w:hAnsiTheme="majorBidi" w:cstheme="majorBidi"/>
        </w:rPr>
        <w:t xml:space="preserve"> government agencies with responsibility for </w:t>
      </w:r>
      <w:r w:rsidR="00187FCB" w:rsidRPr="00F67ABC">
        <w:rPr>
          <w:rFonts w:asciiTheme="majorBidi" w:hAnsiTheme="majorBidi" w:cstheme="majorBidi"/>
        </w:rPr>
        <w:t xml:space="preserve">decision-making in relation to the use of NTCP. </w:t>
      </w:r>
      <w:r w:rsidR="00756A78">
        <w:rPr>
          <w:rFonts w:asciiTheme="majorBidi" w:hAnsiTheme="majorBidi" w:cstheme="majorBidi"/>
        </w:rPr>
        <w:t xml:space="preserve"> Ultimately, the final decision maker is the executive that is the Cabinet of the Government of Guyana.</w:t>
      </w:r>
    </w:p>
    <w:p w14:paraId="0B8219E6" w14:textId="77777777" w:rsidR="00756A78" w:rsidRDefault="00F67ABC" w:rsidP="00B322D1">
      <w:pPr>
        <w:spacing w:before="120" w:after="120" w:line="360" w:lineRule="auto"/>
        <w:ind w:left="714"/>
        <w:contextualSpacing/>
        <w:jc w:val="both"/>
        <w:rPr>
          <w:rFonts w:asciiTheme="majorBidi" w:hAnsiTheme="majorBidi" w:cstheme="majorBidi"/>
        </w:rPr>
      </w:pPr>
      <w:r>
        <w:rPr>
          <w:rFonts w:asciiTheme="majorBidi" w:hAnsiTheme="majorBidi" w:cstheme="majorBidi"/>
        </w:rPr>
        <w:lastRenderedPageBreak/>
        <w:t xml:space="preserve">The </w:t>
      </w:r>
      <w:r w:rsidRPr="003C52C5">
        <w:rPr>
          <w:rFonts w:asciiTheme="majorBidi" w:hAnsiTheme="majorBidi" w:cstheme="majorBidi"/>
          <w:u w:val="single"/>
        </w:rPr>
        <w:t>Office of the Vice-President</w:t>
      </w:r>
      <w:r w:rsidR="00215013">
        <w:rPr>
          <w:rFonts w:asciiTheme="majorBidi" w:hAnsiTheme="majorBidi" w:cstheme="majorBidi"/>
          <w:u w:val="single"/>
        </w:rPr>
        <w:t xml:space="preserve">, through the </w:t>
      </w:r>
      <w:r w:rsidR="00B322D1">
        <w:rPr>
          <w:rFonts w:asciiTheme="majorBidi" w:hAnsiTheme="majorBidi" w:cstheme="majorBidi"/>
          <w:u w:val="single"/>
        </w:rPr>
        <w:t xml:space="preserve">Department of Environment and Climate Change </w:t>
      </w:r>
      <w:r w:rsidR="00553ACF">
        <w:rPr>
          <w:rFonts w:asciiTheme="majorBidi" w:hAnsiTheme="majorBidi" w:cstheme="majorBidi"/>
        </w:rPr>
        <w:t>is the lead agency for the development and implementation of the Low Carbon Development Strategy</w:t>
      </w:r>
      <w:r w:rsidR="005F767B">
        <w:rPr>
          <w:rFonts w:asciiTheme="majorBidi" w:hAnsiTheme="majorBidi" w:cstheme="majorBidi"/>
        </w:rPr>
        <w:t>, which is the primary development strategy for Guyana</w:t>
      </w:r>
      <w:r w:rsidR="00553ACF">
        <w:rPr>
          <w:rFonts w:asciiTheme="majorBidi" w:hAnsiTheme="majorBidi" w:cstheme="majorBidi"/>
        </w:rPr>
        <w:t>.</w:t>
      </w:r>
      <w:r w:rsidR="005F767B">
        <w:rPr>
          <w:rFonts w:asciiTheme="majorBidi" w:hAnsiTheme="majorBidi" w:cstheme="majorBidi"/>
        </w:rPr>
        <w:t xml:space="preserve"> As stated earlier, the LCDS outlines the goals and targets related to the </w:t>
      </w:r>
      <w:r w:rsidR="00DF7FA0">
        <w:rPr>
          <w:rFonts w:asciiTheme="majorBidi" w:hAnsiTheme="majorBidi" w:cstheme="majorBidi"/>
        </w:rPr>
        <w:t xml:space="preserve">transition to the sustainable energy solutions, but also includes </w:t>
      </w:r>
      <w:r w:rsidR="00086D2B">
        <w:rPr>
          <w:rFonts w:asciiTheme="majorBidi" w:hAnsiTheme="majorBidi" w:cstheme="majorBidi"/>
        </w:rPr>
        <w:t xml:space="preserve">development of a market-mechanism for forest climate services. </w:t>
      </w:r>
      <w:r w:rsidR="00553ACF">
        <w:rPr>
          <w:rFonts w:asciiTheme="majorBidi" w:hAnsiTheme="majorBidi" w:cstheme="majorBidi"/>
        </w:rPr>
        <w:t xml:space="preserve"> </w:t>
      </w:r>
      <w:r w:rsidR="003C52C5">
        <w:rPr>
          <w:rFonts w:asciiTheme="majorBidi" w:hAnsiTheme="majorBidi" w:cstheme="majorBidi"/>
        </w:rPr>
        <w:t>This agency therefore takes the lead in the development of the policies and plans</w:t>
      </w:r>
      <w:r w:rsidR="0043463F">
        <w:rPr>
          <w:rFonts w:asciiTheme="majorBidi" w:hAnsiTheme="majorBidi" w:cstheme="majorBidi"/>
        </w:rPr>
        <w:t xml:space="preserve"> to operationalize the LCDS</w:t>
      </w:r>
      <w:r w:rsidR="003C52C5">
        <w:rPr>
          <w:rFonts w:asciiTheme="majorBidi" w:hAnsiTheme="majorBidi" w:cstheme="majorBidi"/>
        </w:rPr>
        <w:t>, but also in the</w:t>
      </w:r>
      <w:r w:rsidR="0043463F">
        <w:rPr>
          <w:rFonts w:asciiTheme="majorBidi" w:hAnsiTheme="majorBidi" w:cstheme="majorBidi"/>
        </w:rPr>
        <w:t xml:space="preserve">ir implementation, monitoring and evaluation. As stated earlier, the LCDS addresses </w:t>
      </w:r>
      <w:r w:rsidR="00F56783">
        <w:rPr>
          <w:rFonts w:asciiTheme="majorBidi" w:hAnsiTheme="majorBidi" w:cstheme="majorBidi"/>
        </w:rPr>
        <w:t>potential human rights issues</w:t>
      </w:r>
      <w:r w:rsidR="00756A78" w:rsidRPr="00756A78">
        <w:rPr>
          <w:rFonts w:asciiTheme="majorBidi" w:hAnsiTheme="majorBidi" w:cstheme="majorBidi"/>
        </w:rPr>
        <w:t xml:space="preserve"> </w:t>
      </w:r>
      <w:r w:rsidR="00756A78">
        <w:rPr>
          <w:rFonts w:asciiTheme="majorBidi" w:hAnsiTheme="majorBidi" w:cstheme="majorBidi"/>
        </w:rPr>
        <w:t xml:space="preserve">and incorporates measures for building climate resilience in ways that will mitigate harmful impacts to the basic rights of persons living in vulnerable communities, including along the coastline, as well as </w:t>
      </w:r>
      <w:r w:rsidR="00F56783">
        <w:rPr>
          <w:rFonts w:asciiTheme="majorBidi" w:hAnsiTheme="majorBidi" w:cstheme="majorBidi"/>
        </w:rPr>
        <w:t xml:space="preserve">Amerindian land rights and the issue of Free, Prior and Informed Consent. </w:t>
      </w:r>
    </w:p>
    <w:p w14:paraId="67D902A2" w14:textId="41DDDBC6" w:rsidR="00582B4D" w:rsidRPr="001D4456" w:rsidRDefault="000110AD" w:rsidP="00B322D1">
      <w:pPr>
        <w:spacing w:before="120" w:after="120" w:line="360" w:lineRule="auto"/>
        <w:ind w:left="714"/>
        <w:contextualSpacing/>
        <w:jc w:val="both"/>
      </w:pPr>
      <w:r>
        <w:rPr>
          <w:rFonts w:asciiTheme="majorBidi" w:hAnsiTheme="majorBidi" w:cstheme="majorBidi"/>
        </w:rPr>
        <w:t>The work of this office is supported by a number of other agencies including t</w:t>
      </w:r>
      <w:r w:rsidR="00582B4D">
        <w:rPr>
          <w:rFonts w:asciiTheme="majorBidi" w:hAnsiTheme="majorBidi" w:cstheme="majorBidi"/>
        </w:rPr>
        <w:t xml:space="preserve">he </w:t>
      </w:r>
      <w:r w:rsidR="00582B4D" w:rsidRPr="00582B4D">
        <w:rPr>
          <w:rFonts w:asciiTheme="majorBidi" w:hAnsiTheme="majorBidi" w:cstheme="majorBidi"/>
          <w:u w:val="single"/>
        </w:rPr>
        <w:t>Guyana Energy Agency</w:t>
      </w:r>
      <w:r w:rsidR="007912BC">
        <w:rPr>
          <w:rFonts w:asciiTheme="majorBidi" w:hAnsiTheme="majorBidi" w:cstheme="majorBidi"/>
        </w:rPr>
        <w:t xml:space="preserve"> which is the </w:t>
      </w:r>
      <w:r w:rsidR="003F643C">
        <w:rPr>
          <w:rFonts w:asciiTheme="majorBidi" w:hAnsiTheme="majorBidi" w:cstheme="majorBidi"/>
        </w:rPr>
        <w:t>agency responsible for mon</w:t>
      </w:r>
      <w:r w:rsidR="0003486E">
        <w:rPr>
          <w:rFonts w:asciiTheme="majorBidi" w:hAnsiTheme="majorBidi" w:cstheme="majorBidi"/>
        </w:rPr>
        <w:t>itoring the performance of the energy sector in Guyana</w:t>
      </w:r>
      <w:r w:rsidR="007912BC">
        <w:rPr>
          <w:rFonts w:asciiTheme="majorBidi" w:hAnsiTheme="majorBidi" w:cstheme="majorBidi"/>
        </w:rPr>
        <w:t>, t</w:t>
      </w:r>
      <w:r w:rsidR="00582B4D">
        <w:rPr>
          <w:rFonts w:asciiTheme="majorBidi" w:hAnsiTheme="majorBidi" w:cstheme="majorBidi"/>
        </w:rPr>
        <w:t xml:space="preserve">he </w:t>
      </w:r>
      <w:r w:rsidR="00582B4D" w:rsidRPr="00582B4D">
        <w:rPr>
          <w:rFonts w:asciiTheme="majorBidi" w:hAnsiTheme="majorBidi" w:cstheme="majorBidi"/>
          <w:u w:val="single"/>
        </w:rPr>
        <w:t xml:space="preserve">Guyana Power and </w:t>
      </w:r>
      <w:r w:rsidR="00582B4D" w:rsidRPr="00756A78">
        <w:rPr>
          <w:rFonts w:asciiTheme="majorBidi" w:hAnsiTheme="majorBidi" w:cstheme="majorBidi"/>
          <w:u w:val="single"/>
        </w:rPr>
        <w:t xml:space="preserve">Light </w:t>
      </w:r>
      <w:proofErr w:type="spellStart"/>
      <w:r w:rsidR="00756A78" w:rsidRPr="00756A78">
        <w:rPr>
          <w:rFonts w:asciiTheme="majorBidi" w:hAnsiTheme="majorBidi" w:cstheme="majorBidi"/>
          <w:u w:val="single"/>
        </w:rPr>
        <w:t>Inc</w:t>
      </w:r>
      <w:r w:rsidR="00756A78" w:rsidRPr="00756A78">
        <w:rPr>
          <w:rFonts w:asciiTheme="majorBidi" w:hAnsiTheme="majorBidi" w:cstheme="majorBidi"/>
        </w:rPr>
        <w:t>.</w:t>
      </w:r>
      <w:proofErr w:type="gramStart"/>
      <w:r w:rsidR="00756A78" w:rsidRPr="00756A78">
        <w:rPr>
          <w:rFonts w:asciiTheme="majorBidi" w:hAnsiTheme="majorBidi" w:cstheme="majorBidi"/>
        </w:rPr>
        <w:t>,</w:t>
      </w:r>
      <w:r w:rsidR="00582B4D">
        <w:rPr>
          <w:rFonts w:asciiTheme="majorBidi" w:hAnsiTheme="majorBidi" w:cstheme="majorBidi"/>
        </w:rPr>
        <w:t>is</w:t>
      </w:r>
      <w:proofErr w:type="spellEnd"/>
      <w:proofErr w:type="gramEnd"/>
      <w:r w:rsidR="00582B4D">
        <w:rPr>
          <w:rFonts w:asciiTheme="majorBidi" w:hAnsiTheme="majorBidi" w:cstheme="majorBidi"/>
        </w:rPr>
        <w:t xml:space="preserve"> </w:t>
      </w:r>
      <w:r w:rsidR="008848B0">
        <w:rPr>
          <w:rFonts w:asciiTheme="majorBidi" w:hAnsiTheme="majorBidi" w:cstheme="majorBidi"/>
        </w:rPr>
        <w:t xml:space="preserve">a state-owned corporation and is </w:t>
      </w:r>
      <w:r w:rsidR="00582B4D">
        <w:rPr>
          <w:rFonts w:asciiTheme="majorBidi" w:hAnsiTheme="majorBidi" w:cstheme="majorBidi"/>
        </w:rPr>
        <w:t>the</w:t>
      </w:r>
      <w:r w:rsidR="00522B18">
        <w:rPr>
          <w:rFonts w:asciiTheme="majorBidi" w:hAnsiTheme="majorBidi" w:cstheme="majorBidi"/>
        </w:rPr>
        <w:t xml:space="preserve"> largest electricity supplier in Guyana</w:t>
      </w:r>
      <w:r w:rsidR="008848B0">
        <w:rPr>
          <w:rFonts w:asciiTheme="majorBidi" w:hAnsiTheme="majorBidi" w:cstheme="majorBidi"/>
        </w:rPr>
        <w:t xml:space="preserve">, </w:t>
      </w:r>
      <w:r w:rsidR="00A16675">
        <w:rPr>
          <w:rFonts w:asciiTheme="majorBidi" w:hAnsiTheme="majorBidi" w:cstheme="majorBidi"/>
        </w:rPr>
        <w:t xml:space="preserve">and the </w:t>
      </w:r>
      <w:r w:rsidR="00A16675" w:rsidRPr="001D4456">
        <w:rPr>
          <w:rFonts w:asciiTheme="majorBidi" w:hAnsiTheme="majorBidi" w:cstheme="majorBidi"/>
          <w:u w:val="single"/>
        </w:rPr>
        <w:t>Environmental Protection Agency</w:t>
      </w:r>
      <w:r w:rsidR="001D4456">
        <w:rPr>
          <w:rFonts w:asciiTheme="majorBidi" w:hAnsiTheme="majorBidi" w:cstheme="majorBidi"/>
        </w:rPr>
        <w:t xml:space="preserve"> which is a </w:t>
      </w:r>
      <w:r w:rsidR="001D4456" w:rsidRPr="001D4456">
        <w:rPr>
          <w:shd w:val="clear" w:color="auto" w:fill="FFFFFF"/>
        </w:rPr>
        <w:t xml:space="preserve">regulatory </w:t>
      </w:r>
      <w:r w:rsidR="001D4456">
        <w:rPr>
          <w:shd w:val="clear" w:color="auto" w:fill="FFFFFF"/>
        </w:rPr>
        <w:t xml:space="preserve">agency </w:t>
      </w:r>
      <w:r w:rsidR="001D4456" w:rsidRPr="001D4456">
        <w:rPr>
          <w:shd w:val="clear" w:color="auto" w:fill="FFFFFF"/>
        </w:rPr>
        <w:t>with authority to grant or not grant permits for developmental project that will impact on the environment.</w:t>
      </w:r>
      <w:r w:rsidR="00522B18" w:rsidRPr="001D4456">
        <w:t xml:space="preserve"> </w:t>
      </w:r>
      <w:r w:rsidR="00582B4D" w:rsidRPr="001D4456">
        <w:t xml:space="preserve"> </w:t>
      </w:r>
    </w:p>
    <w:p w14:paraId="4FCAC810" w14:textId="785CE467" w:rsidR="007067FD" w:rsidRPr="00AD29DD" w:rsidRDefault="007067FD" w:rsidP="001D4456">
      <w:pPr>
        <w:pStyle w:val="ListParagraph"/>
        <w:spacing w:before="120" w:after="120" w:line="360" w:lineRule="auto"/>
        <w:ind w:left="714"/>
        <w:contextualSpacing w:val="0"/>
        <w:jc w:val="center"/>
        <w:rPr>
          <w:rFonts w:asciiTheme="majorBidi" w:hAnsiTheme="majorBidi" w:cstheme="majorBidi"/>
          <w:sz w:val="24"/>
          <w:szCs w:val="24"/>
        </w:rPr>
      </w:pPr>
      <w:r>
        <w:rPr>
          <w:rFonts w:asciiTheme="majorBidi" w:hAnsiTheme="majorBidi" w:cstheme="majorBidi"/>
          <w:sz w:val="24"/>
          <w:szCs w:val="24"/>
        </w:rPr>
        <w:t>***</w:t>
      </w:r>
    </w:p>
    <w:sectPr w:rsidR="007067FD" w:rsidRPr="00AD29DD" w:rsidSect="00F52ED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AD6CB" w14:textId="77777777" w:rsidR="00DA4A2F" w:rsidRDefault="00DA4A2F" w:rsidP="00E251D9">
      <w:r>
        <w:separator/>
      </w:r>
    </w:p>
  </w:endnote>
  <w:endnote w:type="continuationSeparator" w:id="0">
    <w:p w14:paraId="405305F0" w14:textId="77777777" w:rsidR="00DA4A2F" w:rsidRDefault="00DA4A2F" w:rsidP="00E2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A797A" w14:textId="77777777" w:rsidR="00732B4C" w:rsidRDefault="00732B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396458"/>
      <w:docPartObj>
        <w:docPartGallery w:val="Page Numbers (Bottom of Page)"/>
        <w:docPartUnique/>
      </w:docPartObj>
    </w:sdtPr>
    <w:sdtEndPr>
      <w:rPr>
        <w:rFonts w:asciiTheme="majorBidi" w:hAnsiTheme="majorBidi" w:cstheme="majorBidi"/>
        <w:noProof/>
      </w:rPr>
    </w:sdtEndPr>
    <w:sdtContent>
      <w:p w14:paraId="05A9D8ED" w14:textId="435C7115" w:rsidR="00375496" w:rsidRDefault="00FE17C4">
        <w:pPr>
          <w:pStyle w:val="Footer"/>
          <w:jc w:val="center"/>
        </w:pPr>
        <w:r>
          <w:fldChar w:fldCharType="begin"/>
        </w:r>
        <w:r>
          <w:instrText xml:space="preserve"> PAGE   \* MERGEFORMAT </w:instrText>
        </w:r>
        <w:r>
          <w:fldChar w:fldCharType="separate"/>
        </w:r>
        <w:r w:rsidR="00A35FA3">
          <w:rPr>
            <w:noProof/>
          </w:rPr>
          <w:t>14</w:t>
        </w:r>
        <w:r>
          <w:rPr>
            <w:noProof/>
          </w:rPr>
          <w:fldChar w:fldCharType="end"/>
        </w:r>
      </w:p>
    </w:sdtContent>
  </w:sdt>
  <w:p w14:paraId="5FF3A5C2" w14:textId="77777777" w:rsidR="00375496" w:rsidRDefault="003754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036ED" w14:textId="77777777" w:rsidR="00732B4C" w:rsidRDefault="00732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7CE45" w14:textId="77777777" w:rsidR="00DA4A2F" w:rsidRDefault="00DA4A2F" w:rsidP="00E251D9">
      <w:r>
        <w:separator/>
      </w:r>
    </w:p>
  </w:footnote>
  <w:footnote w:type="continuationSeparator" w:id="0">
    <w:p w14:paraId="49051D0B" w14:textId="77777777" w:rsidR="00DA4A2F" w:rsidRDefault="00DA4A2F" w:rsidP="00E251D9">
      <w:r>
        <w:continuationSeparator/>
      </w:r>
    </w:p>
  </w:footnote>
  <w:footnote w:id="1">
    <w:p w14:paraId="64035F77" w14:textId="4ADFBC60" w:rsidR="00AD06C6" w:rsidRPr="001C146E" w:rsidRDefault="00AD06C6" w:rsidP="001C146E">
      <w:pPr>
        <w:pStyle w:val="FootnoteText"/>
        <w:jc w:val="both"/>
        <w:rPr>
          <w:lang w:val="en-GB"/>
        </w:rPr>
      </w:pPr>
      <w:r>
        <w:rPr>
          <w:rStyle w:val="FootnoteReference"/>
        </w:rPr>
        <w:footnoteRef/>
      </w:r>
      <w:r>
        <w:t xml:space="preserve"> </w:t>
      </w:r>
      <w:r>
        <w:rPr>
          <w:rFonts w:asciiTheme="majorBidi" w:hAnsiTheme="majorBidi" w:cstheme="majorBidi"/>
        </w:rPr>
        <w:t>The term</w:t>
      </w:r>
      <w:r w:rsidRPr="000B2BE7">
        <w:rPr>
          <w:rFonts w:asciiTheme="majorBidi" w:hAnsiTheme="majorBidi" w:cstheme="majorBidi"/>
          <w:i/>
          <w:iCs/>
        </w:rPr>
        <w:t xml:space="preserve"> new technologies for climate protection</w:t>
      </w:r>
      <w:r>
        <w:rPr>
          <w:rFonts w:asciiTheme="majorBidi" w:hAnsiTheme="majorBidi" w:cstheme="majorBidi"/>
          <w:i/>
          <w:iCs/>
        </w:rPr>
        <w:t xml:space="preserve"> </w:t>
      </w:r>
      <w:r>
        <w:rPr>
          <w:rFonts w:asciiTheme="majorBidi" w:hAnsiTheme="majorBidi" w:cstheme="majorBidi"/>
          <w:iCs/>
        </w:rPr>
        <w:t xml:space="preserve">for the purpose of this questionnaire </w:t>
      </w:r>
      <w:r w:rsidRPr="00E251D9">
        <w:rPr>
          <w:rFonts w:asciiTheme="majorBidi" w:hAnsiTheme="majorBidi" w:cstheme="majorBidi"/>
        </w:rPr>
        <w:t xml:space="preserve">broadly </w:t>
      </w:r>
      <w:r w:rsidRPr="0012689A">
        <w:rPr>
          <w:rFonts w:asciiTheme="majorBidi" w:hAnsiTheme="majorBidi" w:cstheme="majorBidi"/>
        </w:rPr>
        <w:t xml:space="preserve">refers to techniques of deliberate intervention in the Earth’s </w:t>
      </w:r>
      <w:r>
        <w:rPr>
          <w:rFonts w:asciiTheme="majorBidi" w:hAnsiTheme="majorBidi" w:cstheme="majorBidi"/>
        </w:rPr>
        <w:t>natural</w:t>
      </w:r>
      <w:r w:rsidRPr="0012689A">
        <w:rPr>
          <w:rFonts w:asciiTheme="majorBidi" w:hAnsiTheme="majorBidi" w:cstheme="majorBidi"/>
        </w:rPr>
        <w:t xml:space="preserve"> system in order to prevent further climate change or reverse it. </w:t>
      </w:r>
      <w:r>
        <w:rPr>
          <w:rFonts w:asciiTheme="majorBidi" w:hAnsiTheme="majorBidi" w:cstheme="majorBidi"/>
        </w:rPr>
        <w:t>The two main kinds are (1) Solar Radiation Management SRM (i.e. stratospheric aerosols) and (2) Carbon Dioxide Removal CDR. CDR solutions can be nature-based (forestation, soil carbon sequestration, biochar, etc.) or technological (e</w:t>
      </w:r>
      <w:r w:rsidRPr="003F28F2">
        <w:rPr>
          <w:rFonts w:asciiTheme="majorBidi" w:hAnsiTheme="majorBidi" w:cstheme="majorBidi"/>
        </w:rPr>
        <w:t>nhanced weathering</w:t>
      </w:r>
      <w:r>
        <w:rPr>
          <w:rFonts w:asciiTheme="majorBidi" w:hAnsiTheme="majorBidi" w:cstheme="majorBidi"/>
        </w:rPr>
        <w:t>, b</w:t>
      </w:r>
      <w:r w:rsidRPr="003F28F2">
        <w:rPr>
          <w:rFonts w:asciiTheme="majorBidi" w:hAnsiTheme="majorBidi" w:cstheme="majorBidi"/>
        </w:rPr>
        <w:t>ioenergy with carbon capture and storage</w:t>
      </w:r>
      <w:r>
        <w:rPr>
          <w:rFonts w:asciiTheme="majorBidi" w:hAnsiTheme="majorBidi" w:cstheme="majorBidi"/>
        </w:rPr>
        <w:t>, d</w:t>
      </w:r>
      <w:r w:rsidRPr="003F28F2">
        <w:rPr>
          <w:rFonts w:asciiTheme="majorBidi" w:hAnsiTheme="majorBidi" w:cstheme="majorBidi"/>
        </w:rPr>
        <w:t>irect air capture and storage</w:t>
      </w:r>
      <w:r>
        <w:rPr>
          <w:rFonts w:asciiTheme="majorBidi" w:hAnsiTheme="majorBidi" w:cstheme="majorBidi"/>
        </w:rPr>
        <w:t>, etc.).</w:t>
      </w:r>
    </w:p>
  </w:footnote>
  <w:footnote w:id="2">
    <w:p w14:paraId="5DA09E8C" w14:textId="1F7CB7EA" w:rsidR="00550F33" w:rsidRDefault="00550F33">
      <w:pPr>
        <w:pStyle w:val="FootnoteText"/>
      </w:pPr>
      <w:r>
        <w:rPr>
          <w:rStyle w:val="FootnoteReference"/>
        </w:rPr>
        <w:footnoteRef/>
      </w:r>
      <w:r>
        <w:t xml:space="preserve"> Guyana initiated the first Low Carbon Development Strategy in 2010 which emanated from countrywide consultations and approved in the National Assembly in the same year. The expanded LCDS 2030 is going through country wide consultations at this time. </w:t>
      </w:r>
    </w:p>
  </w:footnote>
  <w:footnote w:id="3">
    <w:p w14:paraId="384101C8" w14:textId="5E977E6A" w:rsidR="00C81AF8" w:rsidRDefault="00C81AF8">
      <w:pPr>
        <w:pStyle w:val="FootnoteText"/>
      </w:pPr>
      <w:r>
        <w:rPr>
          <w:rStyle w:val="FootnoteReference"/>
        </w:rPr>
        <w:footnoteRef/>
      </w:r>
      <w:r>
        <w:t xml:space="preserve"> </w:t>
      </w:r>
      <w:proofErr w:type="spellStart"/>
      <w:r>
        <w:t>Stabroek</w:t>
      </w:r>
      <w:proofErr w:type="spellEnd"/>
      <w:r>
        <w:t xml:space="preserve"> News (202</w:t>
      </w:r>
      <w:r w:rsidR="00A2111D">
        <w:t>1, October 13)</w:t>
      </w:r>
    </w:p>
  </w:footnote>
  <w:footnote w:id="4">
    <w:p w14:paraId="6E482498" w14:textId="5882EA3E" w:rsidR="00D074BB" w:rsidRDefault="00D074BB">
      <w:pPr>
        <w:pStyle w:val="FootnoteText"/>
      </w:pPr>
      <w:r>
        <w:rPr>
          <w:rStyle w:val="FootnoteReference"/>
        </w:rPr>
        <w:footnoteRef/>
      </w:r>
      <w:r>
        <w:t xml:space="preserve"> Ibid </w:t>
      </w:r>
    </w:p>
  </w:footnote>
  <w:footnote w:id="5">
    <w:p w14:paraId="7229C72D" w14:textId="774336A7" w:rsidR="00D074BB" w:rsidRDefault="00D074BB">
      <w:pPr>
        <w:pStyle w:val="FootnoteText"/>
      </w:pPr>
      <w:r>
        <w:rPr>
          <w:rStyle w:val="FootnoteReference"/>
        </w:rPr>
        <w:footnoteRef/>
      </w:r>
      <w:r>
        <w:t xml:space="preserve"> </w:t>
      </w:r>
      <w:hyperlink r:id="rId1" w:history="1">
        <w:r w:rsidRPr="007A7152">
          <w:rPr>
            <w:rStyle w:val="Hyperlink"/>
          </w:rPr>
          <w:t>https://oilnow.gy/featured/exxon-to-provide-guyana-with-carbon-capture-roadmap-for-us10b-yellowtail-project/</w:t>
        </w:r>
      </w:hyperlink>
      <w:r>
        <w:t xml:space="preserve"> </w:t>
      </w:r>
    </w:p>
  </w:footnote>
  <w:footnote w:id="6">
    <w:p w14:paraId="7F7DB4D4" w14:textId="7AB0A1CB" w:rsidR="00D074BB" w:rsidRDefault="00D074BB">
      <w:pPr>
        <w:pStyle w:val="FootnoteText"/>
      </w:pPr>
      <w:r>
        <w:rPr>
          <w:rStyle w:val="FootnoteReference"/>
        </w:rPr>
        <w:footnoteRef/>
      </w:r>
      <w:r>
        <w:t xml:space="preserve"> Ibid </w:t>
      </w:r>
    </w:p>
  </w:footnote>
  <w:footnote w:id="7">
    <w:p w14:paraId="0B5F9502" w14:textId="51862D41" w:rsidR="00EC48D6" w:rsidRDefault="00EC48D6">
      <w:pPr>
        <w:pStyle w:val="FootnoteText"/>
      </w:pPr>
      <w:r>
        <w:rPr>
          <w:rStyle w:val="FootnoteReference"/>
        </w:rPr>
        <w:footnoteRef/>
      </w:r>
      <w:r>
        <w:t xml:space="preserve"> </w:t>
      </w:r>
      <w:hyperlink r:id="rId2" w:history="1">
        <w:r w:rsidRPr="007A7152">
          <w:rPr>
            <w:rStyle w:val="Hyperlink"/>
          </w:rPr>
          <w:t>https://oilnow.gy/featured/exxon-granted-approval-from-guyana-to-conduct-carbon-capture-study-vp-jagdeo/</w:t>
        </w:r>
      </w:hyperlink>
      <w:r>
        <w:t xml:space="preserve"> </w:t>
      </w:r>
    </w:p>
  </w:footnote>
  <w:footnote w:id="8">
    <w:p w14:paraId="7D7523B3" w14:textId="77777777" w:rsidR="00CD7D0B" w:rsidRDefault="00CD7D0B" w:rsidP="00CD7D0B">
      <w:pPr>
        <w:pStyle w:val="FootnoteText"/>
      </w:pPr>
      <w:r>
        <w:rPr>
          <w:rStyle w:val="FootnoteReference"/>
        </w:rPr>
        <w:footnoteRef/>
      </w:r>
      <w:r>
        <w:t xml:space="preserve"> UNDP (2009) Enhancing Gender Visibility in Disaster Risk Management and Climate Change in the Caribbean: Country Assessment Report for Guyana.</w:t>
      </w:r>
    </w:p>
  </w:footnote>
  <w:footnote w:id="9">
    <w:p w14:paraId="743FCED0" w14:textId="75C27C6C" w:rsidR="003D58EB" w:rsidRDefault="003D58EB">
      <w:pPr>
        <w:pStyle w:val="FootnoteText"/>
      </w:pPr>
      <w:r>
        <w:rPr>
          <w:rStyle w:val="FootnoteReference"/>
        </w:rPr>
        <w:footnoteRef/>
      </w:r>
      <w:r>
        <w:t xml:space="preserve"> Abate, R. (2016) Climate Justice: Case Studies in Global and Regional Governance Challenges. Environmental Law Institute, Washington, D.C.  </w:t>
      </w:r>
    </w:p>
  </w:footnote>
  <w:footnote w:id="10">
    <w:p w14:paraId="2BD36F37" w14:textId="021D6436" w:rsidR="00DB4156" w:rsidRDefault="00DB4156">
      <w:pPr>
        <w:pStyle w:val="FootnoteText"/>
      </w:pPr>
      <w:r>
        <w:rPr>
          <w:rStyle w:val="FootnoteReference"/>
        </w:rPr>
        <w:footnoteRef/>
      </w:r>
      <w:r>
        <w:t xml:space="preserve"> Ibid, </w:t>
      </w:r>
      <w:proofErr w:type="spellStart"/>
      <w:r>
        <w:t>pg</w:t>
      </w:r>
      <w:proofErr w:type="spellEnd"/>
      <w:r>
        <w:t xml:space="preserve"> 151 </w:t>
      </w:r>
    </w:p>
  </w:footnote>
  <w:footnote w:id="11">
    <w:p w14:paraId="456E73D3" w14:textId="7934C6F5" w:rsidR="0050297D" w:rsidRDefault="0050297D">
      <w:pPr>
        <w:pStyle w:val="FootnoteText"/>
      </w:pPr>
      <w:r>
        <w:rPr>
          <w:rStyle w:val="FootnoteReference"/>
        </w:rPr>
        <w:footnoteRef/>
      </w:r>
      <w:r>
        <w:t xml:space="preserve"> </w:t>
      </w:r>
      <w:r w:rsidR="0008548B">
        <w:t xml:space="preserve">Guyana’s Low-Carbon Development Strategy 2030, </w:t>
      </w:r>
      <w:proofErr w:type="spellStart"/>
      <w:r w:rsidR="0008548B">
        <w:t>pg</w:t>
      </w:r>
      <w:proofErr w:type="spellEnd"/>
      <w:r w:rsidR="0008548B">
        <w:t xml:space="preserve"> </w:t>
      </w:r>
      <w:r w:rsidR="00E67CB6">
        <w:t>71</w:t>
      </w:r>
    </w:p>
  </w:footnote>
  <w:footnote w:id="12">
    <w:p w14:paraId="3564F12D" w14:textId="7E3D580A" w:rsidR="00E67CB6" w:rsidRDefault="00E67CB6">
      <w:pPr>
        <w:pStyle w:val="FootnoteText"/>
      </w:pPr>
      <w:r>
        <w:rPr>
          <w:rStyle w:val="FootnoteReference"/>
        </w:rPr>
        <w:footnoteRef/>
      </w:r>
      <w:r>
        <w:t xml:space="preserve"> Guyana’s Low Carbon Development Strategy 2030, </w:t>
      </w:r>
      <w:proofErr w:type="spellStart"/>
      <w:r>
        <w:t>pg</w:t>
      </w:r>
      <w:proofErr w:type="spellEnd"/>
      <w:r>
        <w:t xml:space="preserve"> </w:t>
      </w:r>
      <w:r w:rsidR="00BC0903">
        <w:t>7</w:t>
      </w:r>
      <w:r w:rsidR="00725921">
        <w:t>1</w:t>
      </w:r>
    </w:p>
  </w:footnote>
  <w:footnote w:id="13">
    <w:p w14:paraId="4FC51AD3" w14:textId="266D1E7E" w:rsidR="00BC0903" w:rsidRDefault="00BC0903">
      <w:pPr>
        <w:pStyle w:val="FootnoteText"/>
      </w:pPr>
      <w:r>
        <w:rPr>
          <w:rStyle w:val="FootnoteReference"/>
        </w:rPr>
        <w:footnoteRef/>
      </w:r>
      <w:r>
        <w:t xml:space="preserve"> Ibid, </w:t>
      </w:r>
      <w:proofErr w:type="spellStart"/>
      <w:r>
        <w:t>pg</w:t>
      </w:r>
      <w:proofErr w:type="spellEnd"/>
      <w:r>
        <w:t xml:space="preserve"> 7</w:t>
      </w:r>
      <w:r w:rsidR="00725921">
        <w:t>2</w:t>
      </w:r>
    </w:p>
  </w:footnote>
  <w:footnote w:id="14">
    <w:p w14:paraId="437A2CAC" w14:textId="68049EDC" w:rsidR="00725921" w:rsidRDefault="00725921">
      <w:pPr>
        <w:pStyle w:val="FootnoteText"/>
      </w:pPr>
      <w:r>
        <w:rPr>
          <w:rStyle w:val="FootnoteReference"/>
        </w:rPr>
        <w:footnoteRef/>
      </w:r>
      <w:r>
        <w:t xml:space="preserve"> Ibid, </w:t>
      </w:r>
      <w:proofErr w:type="spellStart"/>
      <w:r>
        <w:t>pg</w:t>
      </w:r>
      <w:proofErr w:type="spellEnd"/>
      <w:r>
        <w:t xml:space="preserve"> </w:t>
      </w:r>
      <w:r w:rsidR="004B6513">
        <w:t>72-3</w:t>
      </w:r>
    </w:p>
  </w:footnote>
  <w:footnote w:id="15">
    <w:p w14:paraId="0AB801B7" w14:textId="77777777" w:rsidR="0071686A" w:rsidRPr="00B157F7" w:rsidRDefault="0071686A" w:rsidP="0071686A">
      <w:pPr>
        <w:pStyle w:val="FootnoteText"/>
      </w:pPr>
      <w:r>
        <w:rPr>
          <w:rStyle w:val="FootnoteReference"/>
        </w:rPr>
        <w:footnoteRef/>
      </w:r>
      <w:r w:rsidRPr="00B157F7">
        <w:t xml:space="preserve"> https://www.bb.undp.org/content/barbados/en/home/engender/country-reports.html</w:t>
      </w:r>
    </w:p>
  </w:footnote>
  <w:footnote w:id="16">
    <w:p w14:paraId="29930E7C" w14:textId="77777777" w:rsidR="00D53540" w:rsidRDefault="00D53540" w:rsidP="00D53540">
      <w:pPr>
        <w:pStyle w:val="FootnoteText"/>
      </w:pPr>
      <w:r>
        <w:rPr>
          <w:rStyle w:val="FootnoteReference"/>
        </w:rPr>
        <w:footnoteRef/>
      </w:r>
      <w:r>
        <w:t xml:space="preserve"> </w:t>
      </w:r>
      <w:hyperlink r:id="rId3" w:history="1">
        <w:r w:rsidRPr="007A7152">
          <w:rPr>
            <w:rStyle w:val="Hyperlink"/>
          </w:rPr>
          <w:t>https://oilnow.gy/featured/exxon-to-provide-guyana-with-carbon-capture-roadmap-for-us10b-yellowtail-project/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0DFB2" w14:textId="77777777" w:rsidR="00732B4C" w:rsidRDefault="00732B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84EEB" w14:textId="1E5E1A57" w:rsidR="00732B4C" w:rsidRDefault="00732B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FD32C" w14:textId="77777777" w:rsidR="00732B4C" w:rsidRDefault="00732B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236C"/>
    <w:multiLevelType w:val="hybridMultilevel"/>
    <w:tmpl w:val="5CB60DDE"/>
    <w:lvl w:ilvl="0" w:tplc="04090001">
      <w:start w:val="1"/>
      <w:numFmt w:val="bullet"/>
      <w:lvlText w:val=""/>
      <w:lvlJc w:val="left"/>
      <w:pPr>
        <w:ind w:left="1074" w:hanging="360"/>
      </w:pPr>
      <w:rPr>
        <w:rFonts w:ascii="Symbol" w:hAnsi="Symbol"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
    <w:nsid w:val="10996093"/>
    <w:multiLevelType w:val="hybridMultilevel"/>
    <w:tmpl w:val="35905D60"/>
    <w:lvl w:ilvl="0" w:tplc="3A508F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D79DC"/>
    <w:multiLevelType w:val="hybridMultilevel"/>
    <w:tmpl w:val="A27E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12031"/>
    <w:multiLevelType w:val="hybridMultilevel"/>
    <w:tmpl w:val="D03298B4"/>
    <w:lvl w:ilvl="0" w:tplc="3C4210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616848"/>
    <w:multiLevelType w:val="hybridMultilevel"/>
    <w:tmpl w:val="0564396C"/>
    <w:lvl w:ilvl="0" w:tplc="1EC6E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762910"/>
    <w:multiLevelType w:val="hybridMultilevel"/>
    <w:tmpl w:val="01CEAB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39355D61"/>
    <w:multiLevelType w:val="hybridMultilevel"/>
    <w:tmpl w:val="89D42C12"/>
    <w:lvl w:ilvl="0" w:tplc="3C9CB0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9D6B0B"/>
    <w:multiLevelType w:val="hybridMultilevel"/>
    <w:tmpl w:val="0FFEEA8A"/>
    <w:lvl w:ilvl="0" w:tplc="FE36E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746C97"/>
    <w:multiLevelType w:val="hybridMultilevel"/>
    <w:tmpl w:val="538A4C2C"/>
    <w:lvl w:ilvl="0" w:tplc="8B5823BC">
      <w:start w:val="1"/>
      <w:numFmt w:val="decimal"/>
      <w:lvlText w:val="%1."/>
      <w:lvlJc w:val="left"/>
      <w:pPr>
        <w:ind w:left="292" w:hanging="360"/>
      </w:pPr>
      <w:rPr>
        <w:rFonts w:hint="default"/>
      </w:rPr>
    </w:lvl>
    <w:lvl w:ilvl="1" w:tplc="20000019" w:tentative="1">
      <w:start w:val="1"/>
      <w:numFmt w:val="lowerLetter"/>
      <w:lvlText w:val="%2."/>
      <w:lvlJc w:val="left"/>
      <w:pPr>
        <w:ind w:left="1012" w:hanging="360"/>
      </w:pPr>
    </w:lvl>
    <w:lvl w:ilvl="2" w:tplc="2000001B" w:tentative="1">
      <w:start w:val="1"/>
      <w:numFmt w:val="lowerRoman"/>
      <w:lvlText w:val="%3."/>
      <w:lvlJc w:val="right"/>
      <w:pPr>
        <w:ind w:left="1732" w:hanging="180"/>
      </w:pPr>
    </w:lvl>
    <w:lvl w:ilvl="3" w:tplc="2000000F" w:tentative="1">
      <w:start w:val="1"/>
      <w:numFmt w:val="decimal"/>
      <w:lvlText w:val="%4."/>
      <w:lvlJc w:val="left"/>
      <w:pPr>
        <w:ind w:left="2452" w:hanging="360"/>
      </w:pPr>
    </w:lvl>
    <w:lvl w:ilvl="4" w:tplc="20000019" w:tentative="1">
      <w:start w:val="1"/>
      <w:numFmt w:val="lowerLetter"/>
      <w:lvlText w:val="%5."/>
      <w:lvlJc w:val="left"/>
      <w:pPr>
        <w:ind w:left="3172" w:hanging="360"/>
      </w:pPr>
    </w:lvl>
    <w:lvl w:ilvl="5" w:tplc="2000001B" w:tentative="1">
      <w:start w:val="1"/>
      <w:numFmt w:val="lowerRoman"/>
      <w:lvlText w:val="%6."/>
      <w:lvlJc w:val="right"/>
      <w:pPr>
        <w:ind w:left="3892" w:hanging="180"/>
      </w:pPr>
    </w:lvl>
    <w:lvl w:ilvl="6" w:tplc="2000000F" w:tentative="1">
      <w:start w:val="1"/>
      <w:numFmt w:val="decimal"/>
      <w:lvlText w:val="%7."/>
      <w:lvlJc w:val="left"/>
      <w:pPr>
        <w:ind w:left="4612" w:hanging="360"/>
      </w:pPr>
    </w:lvl>
    <w:lvl w:ilvl="7" w:tplc="20000019" w:tentative="1">
      <w:start w:val="1"/>
      <w:numFmt w:val="lowerLetter"/>
      <w:lvlText w:val="%8."/>
      <w:lvlJc w:val="left"/>
      <w:pPr>
        <w:ind w:left="5332" w:hanging="360"/>
      </w:pPr>
    </w:lvl>
    <w:lvl w:ilvl="8" w:tplc="2000001B" w:tentative="1">
      <w:start w:val="1"/>
      <w:numFmt w:val="lowerRoman"/>
      <w:lvlText w:val="%9."/>
      <w:lvlJc w:val="right"/>
      <w:pPr>
        <w:ind w:left="6052" w:hanging="180"/>
      </w:pPr>
    </w:lvl>
  </w:abstractNum>
  <w:abstractNum w:abstractNumId="9">
    <w:nsid w:val="5368763A"/>
    <w:multiLevelType w:val="hybridMultilevel"/>
    <w:tmpl w:val="72CC7DB4"/>
    <w:lvl w:ilvl="0" w:tplc="6A8CD5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FB344E"/>
    <w:multiLevelType w:val="hybridMultilevel"/>
    <w:tmpl w:val="A27E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685F9E"/>
    <w:multiLevelType w:val="hybridMultilevel"/>
    <w:tmpl w:val="FE84D632"/>
    <w:lvl w:ilvl="0" w:tplc="C6E23E36">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2">
    <w:nsid w:val="636E2CC8"/>
    <w:multiLevelType w:val="hybridMultilevel"/>
    <w:tmpl w:val="ABE4CC74"/>
    <w:lvl w:ilvl="0" w:tplc="45D8E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4142EEA"/>
    <w:multiLevelType w:val="hybridMultilevel"/>
    <w:tmpl w:val="858CCF1C"/>
    <w:lvl w:ilvl="0" w:tplc="57AA7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635D94"/>
    <w:multiLevelType w:val="hybridMultilevel"/>
    <w:tmpl w:val="38A2309C"/>
    <w:lvl w:ilvl="0" w:tplc="F8C2C4C4">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591143"/>
    <w:multiLevelType w:val="hybridMultilevel"/>
    <w:tmpl w:val="90B8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A77E31"/>
    <w:multiLevelType w:val="hybridMultilevel"/>
    <w:tmpl w:val="1F205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D51A6A"/>
    <w:multiLevelType w:val="hybridMultilevel"/>
    <w:tmpl w:val="5AE0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2532C8"/>
    <w:multiLevelType w:val="hybridMultilevel"/>
    <w:tmpl w:val="90B8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D367C5"/>
    <w:multiLevelType w:val="hybridMultilevel"/>
    <w:tmpl w:val="851CE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251B02"/>
    <w:multiLevelType w:val="hybridMultilevel"/>
    <w:tmpl w:val="A27E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10"/>
  </w:num>
  <w:num w:numId="4">
    <w:abstractNumId w:val="15"/>
  </w:num>
  <w:num w:numId="5">
    <w:abstractNumId w:val="18"/>
  </w:num>
  <w:num w:numId="6">
    <w:abstractNumId w:val="17"/>
  </w:num>
  <w:num w:numId="7">
    <w:abstractNumId w:val="20"/>
  </w:num>
  <w:num w:numId="8">
    <w:abstractNumId w:val="2"/>
  </w:num>
  <w:num w:numId="9">
    <w:abstractNumId w:val="0"/>
  </w:num>
  <w:num w:numId="10">
    <w:abstractNumId w:val="14"/>
  </w:num>
  <w:num w:numId="11">
    <w:abstractNumId w:val="1"/>
  </w:num>
  <w:num w:numId="12">
    <w:abstractNumId w:val="13"/>
  </w:num>
  <w:num w:numId="13">
    <w:abstractNumId w:val="7"/>
  </w:num>
  <w:num w:numId="14">
    <w:abstractNumId w:val="9"/>
  </w:num>
  <w:num w:numId="15">
    <w:abstractNumId w:val="6"/>
  </w:num>
  <w:num w:numId="16">
    <w:abstractNumId w:val="3"/>
  </w:num>
  <w:num w:numId="17">
    <w:abstractNumId w:val="5"/>
  </w:num>
  <w:num w:numId="18">
    <w:abstractNumId w:val="12"/>
  </w:num>
  <w:num w:numId="19">
    <w:abstractNumId w:val="8"/>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UxMTE0tzQzN7M0NzFQ0lEKTi0uzszPAykwqgUAz63M2SwAAAA="/>
  </w:docVars>
  <w:rsids>
    <w:rsidRoot w:val="009B5599"/>
    <w:rsid w:val="0000079A"/>
    <w:rsid w:val="000043DD"/>
    <w:rsid w:val="0000671F"/>
    <w:rsid w:val="00010C10"/>
    <w:rsid w:val="000110AD"/>
    <w:rsid w:val="00011EC6"/>
    <w:rsid w:val="000254E7"/>
    <w:rsid w:val="00030779"/>
    <w:rsid w:val="00032A6B"/>
    <w:rsid w:val="00032E2D"/>
    <w:rsid w:val="0003486E"/>
    <w:rsid w:val="00035604"/>
    <w:rsid w:val="000542DF"/>
    <w:rsid w:val="00056626"/>
    <w:rsid w:val="00065DE8"/>
    <w:rsid w:val="000663DB"/>
    <w:rsid w:val="000701F8"/>
    <w:rsid w:val="000717B4"/>
    <w:rsid w:val="00082B80"/>
    <w:rsid w:val="0008548B"/>
    <w:rsid w:val="00086096"/>
    <w:rsid w:val="00086D2B"/>
    <w:rsid w:val="00090695"/>
    <w:rsid w:val="00091DD5"/>
    <w:rsid w:val="00096633"/>
    <w:rsid w:val="000A0F9B"/>
    <w:rsid w:val="000A15DB"/>
    <w:rsid w:val="000A5343"/>
    <w:rsid w:val="000B2BE7"/>
    <w:rsid w:val="000B6AD8"/>
    <w:rsid w:val="000C1A8F"/>
    <w:rsid w:val="000E1F6F"/>
    <w:rsid w:val="000F098D"/>
    <w:rsid w:val="000F14F2"/>
    <w:rsid w:val="000F3254"/>
    <w:rsid w:val="000F7B89"/>
    <w:rsid w:val="0011038A"/>
    <w:rsid w:val="00111C33"/>
    <w:rsid w:val="00123C8E"/>
    <w:rsid w:val="0012543A"/>
    <w:rsid w:val="0012689A"/>
    <w:rsid w:val="0013097E"/>
    <w:rsid w:val="00142F7B"/>
    <w:rsid w:val="0015545B"/>
    <w:rsid w:val="00161E79"/>
    <w:rsid w:val="00171C9C"/>
    <w:rsid w:val="00172B48"/>
    <w:rsid w:val="00176B17"/>
    <w:rsid w:val="0017707E"/>
    <w:rsid w:val="001865E4"/>
    <w:rsid w:val="00187FCB"/>
    <w:rsid w:val="00190730"/>
    <w:rsid w:val="00190E89"/>
    <w:rsid w:val="0019759D"/>
    <w:rsid w:val="001A0D03"/>
    <w:rsid w:val="001A7BB6"/>
    <w:rsid w:val="001B253C"/>
    <w:rsid w:val="001C146E"/>
    <w:rsid w:val="001C7796"/>
    <w:rsid w:val="001D4456"/>
    <w:rsid w:val="001D4CDA"/>
    <w:rsid w:val="001E21E6"/>
    <w:rsid w:val="001E506C"/>
    <w:rsid w:val="001F2AAC"/>
    <w:rsid w:val="001F6854"/>
    <w:rsid w:val="002044F7"/>
    <w:rsid w:val="00215013"/>
    <w:rsid w:val="00217D49"/>
    <w:rsid w:val="00223AF0"/>
    <w:rsid w:val="00235254"/>
    <w:rsid w:val="00235BF2"/>
    <w:rsid w:val="002368F3"/>
    <w:rsid w:val="002415F7"/>
    <w:rsid w:val="0024198C"/>
    <w:rsid w:val="00242FD4"/>
    <w:rsid w:val="00255D67"/>
    <w:rsid w:val="00256BA9"/>
    <w:rsid w:val="002572AB"/>
    <w:rsid w:val="0025771B"/>
    <w:rsid w:val="00271160"/>
    <w:rsid w:val="00271C76"/>
    <w:rsid w:val="0027371D"/>
    <w:rsid w:val="002751B8"/>
    <w:rsid w:val="00276567"/>
    <w:rsid w:val="002812AA"/>
    <w:rsid w:val="0028242F"/>
    <w:rsid w:val="00282F82"/>
    <w:rsid w:val="002849FF"/>
    <w:rsid w:val="002920B8"/>
    <w:rsid w:val="0029213E"/>
    <w:rsid w:val="00295146"/>
    <w:rsid w:val="00296A11"/>
    <w:rsid w:val="00297483"/>
    <w:rsid w:val="002A0055"/>
    <w:rsid w:val="002B5741"/>
    <w:rsid w:val="002B654E"/>
    <w:rsid w:val="002C0FB0"/>
    <w:rsid w:val="002D312A"/>
    <w:rsid w:val="002D791E"/>
    <w:rsid w:val="002E59F1"/>
    <w:rsid w:val="002F6293"/>
    <w:rsid w:val="0030674E"/>
    <w:rsid w:val="00317C23"/>
    <w:rsid w:val="00323AB7"/>
    <w:rsid w:val="00324EC5"/>
    <w:rsid w:val="00326C1E"/>
    <w:rsid w:val="00327E82"/>
    <w:rsid w:val="00343AAB"/>
    <w:rsid w:val="00350198"/>
    <w:rsid w:val="00370A93"/>
    <w:rsid w:val="00372DEA"/>
    <w:rsid w:val="00375496"/>
    <w:rsid w:val="003763CB"/>
    <w:rsid w:val="003806E6"/>
    <w:rsid w:val="00380E02"/>
    <w:rsid w:val="0038146D"/>
    <w:rsid w:val="00381474"/>
    <w:rsid w:val="00381E69"/>
    <w:rsid w:val="0038213C"/>
    <w:rsid w:val="00382737"/>
    <w:rsid w:val="0038502E"/>
    <w:rsid w:val="00386CAF"/>
    <w:rsid w:val="00393EE9"/>
    <w:rsid w:val="003A1C20"/>
    <w:rsid w:val="003A40B3"/>
    <w:rsid w:val="003A4770"/>
    <w:rsid w:val="003A4D92"/>
    <w:rsid w:val="003A7B02"/>
    <w:rsid w:val="003A7C0F"/>
    <w:rsid w:val="003A7D2E"/>
    <w:rsid w:val="003B1FA0"/>
    <w:rsid w:val="003B7BDA"/>
    <w:rsid w:val="003C1007"/>
    <w:rsid w:val="003C224F"/>
    <w:rsid w:val="003C2801"/>
    <w:rsid w:val="003C3D8B"/>
    <w:rsid w:val="003C495C"/>
    <w:rsid w:val="003C52C5"/>
    <w:rsid w:val="003C6768"/>
    <w:rsid w:val="003D58EB"/>
    <w:rsid w:val="003E2D7A"/>
    <w:rsid w:val="003E3AE9"/>
    <w:rsid w:val="003E3D99"/>
    <w:rsid w:val="003E4748"/>
    <w:rsid w:val="003F18E9"/>
    <w:rsid w:val="003F28F2"/>
    <w:rsid w:val="003F4469"/>
    <w:rsid w:val="003F643C"/>
    <w:rsid w:val="003F6690"/>
    <w:rsid w:val="00400600"/>
    <w:rsid w:val="00403ED8"/>
    <w:rsid w:val="004112EA"/>
    <w:rsid w:val="0041431B"/>
    <w:rsid w:val="00422B0D"/>
    <w:rsid w:val="0043088F"/>
    <w:rsid w:val="00433990"/>
    <w:rsid w:val="004343C8"/>
    <w:rsid w:val="0043463F"/>
    <w:rsid w:val="00437566"/>
    <w:rsid w:val="004432E4"/>
    <w:rsid w:val="004442BF"/>
    <w:rsid w:val="00444B7A"/>
    <w:rsid w:val="00446416"/>
    <w:rsid w:val="00447AAC"/>
    <w:rsid w:val="00447B2B"/>
    <w:rsid w:val="00452E39"/>
    <w:rsid w:val="00465261"/>
    <w:rsid w:val="00465289"/>
    <w:rsid w:val="00470757"/>
    <w:rsid w:val="0047099C"/>
    <w:rsid w:val="004754F1"/>
    <w:rsid w:val="00475C92"/>
    <w:rsid w:val="00476D6E"/>
    <w:rsid w:val="00493883"/>
    <w:rsid w:val="0049646B"/>
    <w:rsid w:val="004A0FC3"/>
    <w:rsid w:val="004A18A6"/>
    <w:rsid w:val="004A4B28"/>
    <w:rsid w:val="004B0340"/>
    <w:rsid w:val="004B281D"/>
    <w:rsid w:val="004B6008"/>
    <w:rsid w:val="004B6513"/>
    <w:rsid w:val="004C2F0F"/>
    <w:rsid w:val="004C4CBB"/>
    <w:rsid w:val="004C4D01"/>
    <w:rsid w:val="004D1FED"/>
    <w:rsid w:val="004D27BF"/>
    <w:rsid w:val="004D5C49"/>
    <w:rsid w:val="004E19C1"/>
    <w:rsid w:val="004E3718"/>
    <w:rsid w:val="004E434A"/>
    <w:rsid w:val="004E6CCC"/>
    <w:rsid w:val="004F1516"/>
    <w:rsid w:val="004F3FD8"/>
    <w:rsid w:val="004F4898"/>
    <w:rsid w:val="0050297D"/>
    <w:rsid w:val="00502DB2"/>
    <w:rsid w:val="00502DFE"/>
    <w:rsid w:val="00513AA7"/>
    <w:rsid w:val="00522B18"/>
    <w:rsid w:val="00525D52"/>
    <w:rsid w:val="00527C4A"/>
    <w:rsid w:val="00532FD8"/>
    <w:rsid w:val="00533169"/>
    <w:rsid w:val="00536594"/>
    <w:rsid w:val="00547DCC"/>
    <w:rsid w:val="0055095F"/>
    <w:rsid w:val="00550F33"/>
    <w:rsid w:val="00553ACF"/>
    <w:rsid w:val="0055413A"/>
    <w:rsid w:val="0055457D"/>
    <w:rsid w:val="00555C91"/>
    <w:rsid w:val="00557B88"/>
    <w:rsid w:val="0056754B"/>
    <w:rsid w:val="00572E84"/>
    <w:rsid w:val="00577670"/>
    <w:rsid w:val="00577C45"/>
    <w:rsid w:val="00577DCB"/>
    <w:rsid w:val="00582001"/>
    <w:rsid w:val="005820BB"/>
    <w:rsid w:val="0058287F"/>
    <w:rsid w:val="00582B4D"/>
    <w:rsid w:val="00593821"/>
    <w:rsid w:val="00597E49"/>
    <w:rsid w:val="005A008D"/>
    <w:rsid w:val="005C371F"/>
    <w:rsid w:val="005C475A"/>
    <w:rsid w:val="005C6883"/>
    <w:rsid w:val="005C759E"/>
    <w:rsid w:val="005D4721"/>
    <w:rsid w:val="005D6294"/>
    <w:rsid w:val="005E6491"/>
    <w:rsid w:val="005E7304"/>
    <w:rsid w:val="005E7968"/>
    <w:rsid w:val="005E79BD"/>
    <w:rsid w:val="005F2B42"/>
    <w:rsid w:val="005F36E4"/>
    <w:rsid w:val="005F767B"/>
    <w:rsid w:val="006027D4"/>
    <w:rsid w:val="00604132"/>
    <w:rsid w:val="0060497E"/>
    <w:rsid w:val="006052AE"/>
    <w:rsid w:val="00607D0C"/>
    <w:rsid w:val="00611A77"/>
    <w:rsid w:val="00611D07"/>
    <w:rsid w:val="00621FCA"/>
    <w:rsid w:val="006243F2"/>
    <w:rsid w:val="00625EAD"/>
    <w:rsid w:val="00632766"/>
    <w:rsid w:val="006359EE"/>
    <w:rsid w:val="00636BD4"/>
    <w:rsid w:val="0064717A"/>
    <w:rsid w:val="00654303"/>
    <w:rsid w:val="00661369"/>
    <w:rsid w:val="0068419A"/>
    <w:rsid w:val="00685897"/>
    <w:rsid w:val="006876DB"/>
    <w:rsid w:val="00693677"/>
    <w:rsid w:val="00695734"/>
    <w:rsid w:val="006A1EF8"/>
    <w:rsid w:val="006A55C9"/>
    <w:rsid w:val="006A5886"/>
    <w:rsid w:val="006B1E3E"/>
    <w:rsid w:val="006C1CFB"/>
    <w:rsid w:val="006C4124"/>
    <w:rsid w:val="006C448A"/>
    <w:rsid w:val="006C49D8"/>
    <w:rsid w:val="006C50C0"/>
    <w:rsid w:val="006C5438"/>
    <w:rsid w:val="006D0A3C"/>
    <w:rsid w:val="006D0FC5"/>
    <w:rsid w:val="006F16C2"/>
    <w:rsid w:val="006F23C2"/>
    <w:rsid w:val="006F3A6D"/>
    <w:rsid w:val="007009D0"/>
    <w:rsid w:val="0070483D"/>
    <w:rsid w:val="007067FD"/>
    <w:rsid w:val="00712CC0"/>
    <w:rsid w:val="00713141"/>
    <w:rsid w:val="0071686A"/>
    <w:rsid w:val="00720806"/>
    <w:rsid w:val="00721FE9"/>
    <w:rsid w:val="007232CF"/>
    <w:rsid w:val="00725921"/>
    <w:rsid w:val="00727C22"/>
    <w:rsid w:val="00732A46"/>
    <w:rsid w:val="00732B4C"/>
    <w:rsid w:val="00733171"/>
    <w:rsid w:val="00736B96"/>
    <w:rsid w:val="00740A93"/>
    <w:rsid w:val="007443EF"/>
    <w:rsid w:val="00753F3C"/>
    <w:rsid w:val="0075484B"/>
    <w:rsid w:val="00756A78"/>
    <w:rsid w:val="007608CE"/>
    <w:rsid w:val="007610CE"/>
    <w:rsid w:val="00761F7D"/>
    <w:rsid w:val="007624A4"/>
    <w:rsid w:val="00771552"/>
    <w:rsid w:val="00773851"/>
    <w:rsid w:val="00773B44"/>
    <w:rsid w:val="007751C6"/>
    <w:rsid w:val="007779BC"/>
    <w:rsid w:val="00784109"/>
    <w:rsid w:val="007912BC"/>
    <w:rsid w:val="0079330B"/>
    <w:rsid w:val="007A0F9E"/>
    <w:rsid w:val="007A174A"/>
    <w:rsid w:val="007A3E89"/>
    <w:rsid w:val="007A3EC3"/>
    <w:rsid w:val="007A4EF5"/>
    <w:rsid w:val="007A56C2"/>
    <w:rsid w:val="007C25A7"/>
    <w:rsid w:val="007D10FE"/>
    <w:rsid w:val="007E14C1"/>
    <w:rsid w:val="007E5343"/>
    <w:rsid w:val="007F64E4"/>
    <w:rsid w:val="007F68A3"/>
    <w:rsid w:val="00801AEE"/>
    <w:rsid w:val="00801BDB"/>
    <w:rsid w:val="00806987"/>
    <w:rsid w:val="0080797E"/>
    <w:rsid w:val="0081461D"/>
    <w:rsid w:val="00826D53"/>
    <w:rsid w:val="00827462"/>
    <w:rsid w:val="0083653A"/>
    <w:rsid w:val="008525D4"/>
    <w:rsid w:val="0085473F"/>
    <w:rsid w:val="008600BB"/>
    <w:rsid w:val="00876A66"/>
    <w:rsid w:val="00877026"/>
    <w:rsid w:val="00883F3F"/>
    <w:rsid w:val="008848B0"/>
    <w:rsid w:val="008933CB"/>
    <w:rsid w:val="008B10E5"/>
    <w:rsid w:val="008B1E4A"/>
    <w:rsid w:val="008B323E"/>
    <w:rsid w:val="008B336F"/>
    <w:rsid w:val="008D0105"/>
    <w:rsid w:val="008F2112"/>
    <w:rsid w:val="008F7232"/>
    <w:rsid w:val="00904A6C"/>
    <w:rsid w:val="009107D1"/>
    <w:rsid w:val="00912727"/>
    <w:rsid w:val="00914BFA"/>
    <w:rsid w:val="009166B4"/>
    <w:rsid w:val="00922061"/>
    <w:rsid w:val="00934D46"/>
    <w:rsid w:val="00937495"/>
    <w:rsid w:val="009422FA"/>
    <w:rsid w:val="00945BD7"/>
    <w:rsid w:val="00952C8E"/>
    <w:rsid w:val="0096095E"/>
    <w:rsid w:val="00961736"/>
    <w:rsid w:val="009823F0"/>
    <w:rsid w:val="009936D4"/>
    <w:rsid w:val="009A5395"/>
    <w:rsid w:val="009A762D"/>
    <w:rsid w:val="009B5599"/>
    <w:rsid w:val="009C26F2"/>
    <w:rsid w:val="009C4563"/>
    <w:rsid w:val="009D09AA"/>
    <w:rsid w:val="009D0E4E"/>
    <w:rsid w:val="009D5BF4"/>
    <w:rsid w:val="009E0A80"/>
    <w:rsid w:val="009E3DC0"/>
    <w:rsid w:val="009E60E8"/>
    <w:rsid w:val="009E74F3"/>
    <w:rsid w:val="00A00A92"/>
    <w:rsid w:val="00A066F7"/>
    <w:rsid w:val="00A16675"/>
    <w:rsid w:val="00A20303"/>
    <w:rsid w:val="00A2111D"/>
    <w:rsid w:val="00A261B6"/>
    <w:rsid w:val="00A335C8"/>
    <w:rsid w:val="00A35FA3"/>
    <w:rsid w:val="00A4436F"/>
    <w:rsid w:val="00A54F0D"/>
    <w:rsid w:val="00A62B35"/>
    <w:rsid w:val="00A6344D"/>
    <w:rsid w:val="00A65DFC"/>
    <w:rsid w:val="00A735AA"/>
    <w:rsid w:val="00A75F6A"/>
    <w:rsid w:val="00A77188"/>
    <w:rsid w:val="00A869C2"/>
    <w:rsid w:val="00A91107"/>
    <w:rsid w:val="00A935AF"/>
    <w:rsid w:val="00A93BB4"/>
    <w:rsid w:val="00A95B4F"/>
    <w:rsid w:val="00AA58C8"/>
    <w:rsid w:val="00AA5AFB"/>
    <w:rsid w:val="00AA65A6"/>
    <w:rsid w:val="00AB14AD"/>
    <w:rsid w:val="00AB538C"/>
    <w:rsid w:val="00AB5674"/>
    <w:rsid w:val="00AC4B21"/>
    <w:rsid w:val="00AC5143"/>
    <w:rsid w:val="00AD06C6"/>
    <w:rsid w:val="00AD0A28"/>
    <w:rsid w:val="00AD29DD"/>
    <w:rsid w:val="00AD46B5"/>
    <w:rsid w:val="00AE0FD0"/>
    <w:rsid w:val="00AE10D4"/>
    <w:rsid w:val="00AE6735"/>
    <w:rsid w:val="00AE6B1C"/>
    <w:rsid w:val="00AF6628"/>
    <w:rsid w:val="00AF7759"/>
    <w:rsid w:val="00B004A1"/>
    <w:rsid w:val="00B02771"/>
    <w:rsid w:val="00B052DF"/>
    <w:rsid w:val="00B1158F"/>
    <w:rsid w:val="00B15015"/>
    <w:rsid w:val="00B24184"/>
    <w:rsid w:val="00B2711E"/>
    <w:rsid w:val="00B2764C"/>
    <w:rsid w:val="00B322D1"/>
    <w:rsid w:val="00B33C3B"/>
    <w:rsid w:val="00B5041F"/>
    <w:rsid w:val="00B52738"/>
    <w:rsid w:val="00B5365E"/>
    <w:rsid w:val="00B56DC3"/>
    <w:rsid w:val="00B575D4"/>
    <w:rsid w:val="00B652B4"/>
    <w:rsid w:val="00B66789"/>
    <w:rsid w:val="00B7521C"/>
    <w:rsid w:val="00B761CA"/>
    <w:rsid w:val="00B9153D"/>
    <w:rsid w:val="00BB0586"/>
    <w:rsid w:val="00BC0903"/>
    <w:rsid w:val="00BD2386"/>
    <w:rsid w:val="00BD3839"/>
    <w:rsid w:val="00BD6356"/>
    <w:rsid w:val="00BE03DC"/>
    <w:rsid w:val="00BE1181"/>
    <w:rsid w:val="00BE7607"/>
    <w:rsid w:val="00C04469"/>
    <w:rsid w:val="00C05C79"/>
    <w:rsid w:val="00C065B4"/>
    <w:rsid w:val="00C065D1"/>
    <w:rsid w:val="00C07D8F"/>
    <w:rsid w:val="00C1164D"/>
    <w:rsid w:val="00C17591"/>
    <w:rsid w:val="00C224E2"/>
    <w:rsid w:val="00C239AA"/>
    <w:rsid w:val="00C36940"/>
    <w:rsid w:val="00C40479"/>
    <w:rsid w:val="00C428FE"/>
    <w:rsid w:val="00C44F2F"/>
    <w:rsid w:val="00C51B4B"/>
    <w:rsid w:val="00C642B4"/>
    <w:rsid w:val="00C76A35"/>
    <w:rsid w:val="00C80A9E"/>
    <w:rsid w:val="00C81AF8"/>
    <w:rsid w:val="00C86213"/>
    <w:rsid w:val="00C8786A"/>
    <w:rsid w:val="00C91624"/>
    <w:rsid w:val="00C92D6C"/>
    <w:rsid w:val="00CA0C98"/>
    <w:rsid w:val="00CB0D97"/>
    <w:rsid w:val="00CB1C76"/>
    <w:rsid w:val="00CD0035"/>
    <w:rsid w:val="00CD0EFF"/>
    <w:rsid w:val="00CD25A3"/>
    <w:rsid w:val="00CD528E"/>
    <w:rsid w:val="00CD73B4"/>
    <w:rsid w:val="00CD7D0B"/>
    <w:rsid w:val="00CE07F8"/>
    <w:rsid w:val="00CE4566"/>
    <w:rsid w:val="00CE74E5"/>
    <w:rsid w:val="00CE777C"/>
    <w:rsid w:val="00CF355E"/>
    <w:rsid w:val="00CF36CD"/>
    <w:rsid w:val="00CF45AF"/>
    <w:rsid w:val="00CF48A3"/>
    <w:rsid w:val="00D04407"/>
    <w:rsid w:val="00D0596B"/>
    <w:rsid w:val="00D074BB"/>
    <w:rsid w:val="00D110C8"/>
    <w:rsid w:val="00D16228"/>
    <w:rsid w:val="00D20798"/>
    <w:rsid w:val="00D23AB9"/>
    <w:rsid w:val="00D26677"/>
    <w:rsid w:val="00D52CCE"/>
    <w:rsid w:val="00D53540"/>
    <w:rsid w:val="00D55E7C"/>
    <w:rsid w:val="00D60357"/>
    <w:rsid w:val="00D6380C"/>
    <w:rsid w:val="00D67E8C"/>
    <w:rsid w:val="00D71EBC"/>
    <w:rsid w:val="00D7218A"/>
    <w:rsid w:val="00D7465A"/>
    <w:rsid w:val="00D8505D"/>
    <w:rsid w:val="00D86283"/>
    <w:rsid w:val="00D91D51"/>
    <w:rsid w:val="00D935BD"/>
    <w:rsid w:val="00DA4A2F"/>
    <w:rsid w:val="00DA731B"/>
    <w:rsid w:val="00DA7600"/>
    <w:rsid w:val="00DB2753"/>
    <w:rsid w:val="00DB4156"/>
    <w:rsid w:val="00DB778A"/>
    <w:rsid w:val="00DB7E19"/>
    <w:rsid w:val="00DE6B39"/>
    <w:rsid w:val="00DE7876"/>
    <w:rsid w:val="00DF2184"/>
    <w:rsid w:val="00DF6DDF"/>
    <w:rsid w:val="00DF7FA0"/>
    <w:rsid w:val="00E04F7A"/>
    <w:rsid w:val="00E251D9"/>
    <w:rsid w:val="00E27EA1"/>
    <w:rsid w:val="00E27F4E"/>
    <w:rsid w:val="00E31781"/>
    <w:rsid w:val="00E35D22"/>
    <w:rsid w:val="00E42D83"/>
    <w:rsid w:val="00E46547"/>
    <w:rsid w:val="00E552B3"/>
    <w:rsid w:val="00E57906"/>
    <w:rsid w:val="00E62467"/>
    <w:rsid w:val="00E62F54"/>
    <w:rsid w:val="00E67CB6"/>
    <w:rsid w:val="00E70BDF"/>
    <w:rsid w:val="00E80F8B"/>
    <w:rsid w:val="00E8635A"/>
    <w:rsid w:val="00E906CD"/>
    <w:rsid w:val="00E91F14"/>
    <w:rsid w:val="00EB01E4"/>
    <w:rsid w:val="00EB6C6E"/>
    <w:rsid w:val="00EB7BC7"/>
    <w:rsid w:val="00EC48D6"/>
    <w:rsid w:val="00EC6211"/>
    <w:rsid w:val="00EC6EB5"/>
    <w:rsid w:val="00EC7442"/>
    <w:rsid w:val="00EC7A1B"/>
    <w:rsid w:val="00ED5FA5"/>
    <w:rsid w:val="00EE2F91"/>
    <w:rsid w:val="00EF03B6"/>
    <w:rsid w:val="00EF544E"/>
    <w:rsid w:val="00F0094C"/>
    <w:rsid w:val="00F00C6D"/>
    <w:rsid w:val="00F0218A"/>
    <w:rsid w:val="00F0264A"/>
    <w:rsid w:val="00F101F4"/>
    <w:rsid w:val="00F149D2"/>
    <w:rsid w:val="00F168AD"/>
    <w:rsid w:val="00F246CD"/>
    <w:rsid w:val="00F259B5"/>
    <w:rsid w:val="00F355FA"/>
    <w:rsid w:val="00F4064A"/>
    <w:rsid w:val="00F42FB1"/>
    <w:rsid w:val="00F5182A"/>
    <w:rsid w:val="00F52EDD"/>
    <w:rsid w:val="00F54C9A"/>
    <w:rsid w:val="00F56783"/>
    <w:rsid w:val="00F6219A"/>
    <w:rsid w:val="00F67193"/>
    <w:rsid w:val="00F67ABC"/>
    <w:rsid w:val="00F72A58"/>
    <w:rsid w:val="00F735D2"/>
    <w:rsid w:val="00F82394"/>
    <w:rsid w:val="00F95D0A"/>
    <w:rsid w:val="00F95EC7"/>
    <w:rsid w:val="00F9612D"/>
    <w:rsid w:val="00F96CAC"/>
    <w:rsid w:val="00F9718E"/>
    <w:rsid w:val="00FA170C"/>
    <w:rsid w:val="00FA31E7"/>
    <w:rsid w:val="00FB2868"/>
    <w:rsid w:val="00FC0615"/>
    <w:rsid w:val="00FC13A2"/>
    <w:rsid w:val="00FD0808"/>
    <w:rsid w:val="00FD3768"/>
    <w:rsid w:val="00FD4F77"/>
    <w:rsid w:val="00FE17C4"/>
    <w:rsid w:val="00FF0DB8"/>
    <w:rsid w:val="00FF2F64"/>
    <w:rsid w:val="00FF3E3C"/>
    <w:rsid w:val="00FF48B2"/>
    <w:rsid w:val="00FF53E0"/>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5A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05C7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46B"/>
    <w:pPr>
      <w:spacing w:after="160" w:line="259" w:lineRule="auto"/>
      <w:ind w:left="720"/>
      <w:contextualSpacing/>
    </w:pPr>
    <w:rPr>
      <w:rFonts w:asciiTheme="minorHAnsi" w:eastAsiaTheme="minorEastAsia" w:hAnsiTheme="minorHAnsi" w:cstheme="minorBidi"/>
      <w:sz w:val="22"/>
      <w:szCs w:val="22"/>
      <w:lang w:eastAsia="ko-KR"/>
    </w:rPr>
  </w:style>
  <w:style w:type="paragraph" w:styleId="BalloonText">
    <w:name w:val="Balloon Text"/>
    <w:basedOn w:val="Normal"/>
    <w:link w:val="BalloonTextChar"/>
    <w:uiPriority w:val="99"/>
    <w:semiHidden/>
    <w:unhideWhenUsed/>
    <w:rsid w:val="003E4748"/>
    <w:rPr>
      <w:rFonts w:eastAsiaTheme="minorEastAsia"/>
      <w:sz w:val="18"/>
      <w:szCs w:val="18"/>
      <w:lang w:eastAsia="ko-KR"/>
    </w:rPr>
  </w:style>
  <w:style w:type="character" w:customStyle="1" w:styleId="BalloonTextChar">
    <w:name w:val="Balloon Text Char"/>
    <w:basedOn w:val="DefaultParagraphFont"/>
    <w:link w:val="BalloonText"/>
    <w:uiPriority w:val="99"/>
    <w:semiHidden/>
    <w:rsid w:val="003E4748"/>
    <w:rPr>
      <w:rFonts w:ascii="Times New Roman" w:hAnsi="Times New Roman" w:cs="Times New Roman"/>
      <w:sz w:val="18"/>
      <w:szCs w:val="18"/>
    </w:rPr>
  </w:style>
  <w:style w:type="paragraph" w:styleId="EndnoteText">
    <w:name w:val="endnote text"/>
    <w:basedOn w:val="Normal"/>
    <w:link w:val="EndnoteTextChar"/>
    <w:uiPriority w:val="99"/>
    <w:semiHidden/>
    <w:unhideWhenUsed/>
    <w:rsid w:val="00E251D9"/>
    <w:rPr>
      <w:rFonts w:asciiTheme="minorHAnsi" w:eastAsiaTheme="minorEastAsia" w:hAnsiTheme="minorHAnsi" w:cstheme="minorBidi"/>
      <w:sz w:val="20"/>
      <w:szCs w:val="20"/>
      <w:lang w:eastAsia="ko-KR"/>
    </w:rPr>
  </w:style>
  <w:style w:type="character" w:customStyle="1" w:styleId="EndnoteTextChar">
    <w:name w:val="Endnote Text Char"/>
    <w:basedOn w:val="DefaultParagraphFont"/>
    <w:link w:val="EndnoteText"/>
    <w:uiPriority w:val="99"/>
    <w:semiHidden/>
    <w:rsid w:val="00E251D9"/>
    <w:rPr>
      <w:sz w:val="20"/>
      <w:szCs w:val="20"/>
    </w:rPr>
  </w:style>
  <w:style w:type="character" w:styleId="EndnoteReference">
    <w:name w:val="endnote reference"/>
    <w:basedOn w:val="DefaultParagraphFont"/>
    <w:uiPriority w:val="99"/>
    <w:semiHidden/>
    <w:unhideWhenUsed/>
    <w:rsid w:val="00E251D9"/>
    <w:rPr>
      <w:vertAlign w:val="superscript"/>
    </w:rPr>
  </w:style>
  <w:style w:type="paragraph" w:styleId="Header">
    <w:name w:val="header"/>
    <w:basedOn w:val="Normal"/>
    <w:link w:val="HeaderChar"/>
    <w:uiPriority w:val="99"/>
    <w:unhideWhenUsed/>
    <w:rsid w:val="001F6854"/>
    <w:pPr>
      <w:tabs>
        <w:tab w:val="center" w:pos="4513"/>
        <w:tab w:val="right" w:pos="9026"/>
      </w:tabs>
    </w:pPr>
    <w:rPr>
      <w:rFonts w:asciiTheme="minorHAnsi" w:eastAsiaTheme="minorEastAsia" w:hAnsiTheme="minorHAnsi" w:cstheme="minorBidi"/>
      <w:sz w:val="22"/>
      <w:szCs w:val="22"/>
      <w:lang w:eastAsia="ko-KR"/>
    </w:rPr>
  </w:style>
  <w:style w:type="character" w:customStyle="1" w:styleId="HeaderChar">
    <w:name w:val="Header Char"/>
    <w:basedOn w:val="DefaultParagraphFont"/>
    <w:link w:val="Header"/>
    <w:uiPriority w:val="99"/>
    <w:rsid w:val="001F6854"/>
  </w:style>
  <w:style w:type="paragraph" w:styleId="Footer">
    <w:name w:val="footer"/>
    <w:basedOn w:val="Normal"/>
    <w:link w:val="FooterChar"/>
    <w:uiPriority w:val="99"/>
    <w:unhideWhenUsed/>
    <w:rsid w:val="001F6854"/>
    <w:pPr>
      <w:tabs>
        <w:tab w:val="center" w:pos="4513"/>
        <w:tab w:val="right" w:pos="9026"/>
      </w:tabs>
    </w:pPr>
    <w:rPr>
      <w:rFonts w:asciiTheme="minorHAnsi" w:eastAsiaTheme="minorEastAsia" w:hAnsiTheme="minorHAnsi" w:cstheme="minorBidi"/>
      <w:sz w:val="22"/>
      <w:szCs w:val="22"/>
      <w:lang w:eastAsia="ko-KR"/>
    </w:rPr>
  </w:style>
  <w:style w:type="character" w:customStyle="1" w:styleId="FooterChar">
    <w:name w:val="Footer Char"/>
    <w:basedOn w:val="DefaultParagraphFont"/>
    <w:link w:val="Footer"/>
    <w:uiPriority w:val="99"/>
    <w:rsid w:val="001F6854"/>
  </w:style>
  <w:style w:type="character" w:styleId="CommentReference">
    <w:name w:val="annotation reference"/>
    <w:basedOn w:val="DefaultParagraphFont"/>
    <w:uiPriority w:val="99"/>
    <w:semiHidden/>
    <w:unhideWhenUsed/>
    <w:rsid w:val="007443EF"/>
    <w:rPr>
      <w:sz w:val="16"/>
      <w:szCs w:val="16"/>
    </w:rPr>
  </w:style>
  <w:style w:type="paragraph" w:styleId="CommentText">
    <w:name w:val="annotation text"/>
    <w:basedOn w:val="Normal"/>
    <w:link w:val="CommentTextChar"/>
    <w:uiPriority w:val="99"/>
    <w:unhideWhenUsed/>
    <w:rsid w:val="007443EF"/>
    <w:pPr>
      <w:spacing w:after="160"/>
    </w:pPr>
    <w:rPr>
      <w:rFonts w:asciiTheme="minorHAnsi" w:eastAsiaTheme="minorEastAsia" w:hAnsiTheme="minorHAnsi" w:cstheme="minorBidi"/>
      <w:sz w:val="20"/>
      <w:szCs w:val="20"/>
      <w:lang w:eastAsia="ko-KR"/>
    </w:rPr>
  </w:style>
  <w:style w:type="character" w:customStyle="1" w:styleId="CommentTextChar">
    <w:name w:val="Comment Text Char"/>
    <w:basedOn w:val="DefaultParagraphFont"/>
    <w:link w:val="CommentText"/>
    <w:uiPriority w:val="99"/>
    <w:rsid w:val="007443EF"/>
    <w:rPr>
      <w:sz w:val="20"/>
      <w:szCs w:val="20"/>
    </w:rPr>
  </w:style>
  <w:style w:type="paragraph" w:styleId="CommentSubject">
    <w:name w:val="annotation subject"/>
    <w:basedOn w:val="CommentText"/>
    <w:next w:val="CommentText"/>
    <w:link w:val="CommentSubjectChar"/>
    <w:uiPriority w:val="99"/>
    <w:semiHidden/>
    <w:unhideWhenUsed/>
    <w:rsid w:val="007443EF"/>
    <w:rPr>
      <w:b/>
      <w:bCs/>
    </w:rPr>
  </w:style>
  <w:style w:type="character" w:customStyle="1" w:styleId="CommentSubjectChar">
    <w:name w:val="Comment Subject Char"/>
    <w:basedOn w:val="CommentTextChar"/>
    <w:link w:val="CommentSubject"/>
    <w:uiPriority w:val="99"/>
    <w:semiHidden/>
    <w:rsid w:val="007443EF"/>
    <w:rPr>
      <w:b/>
      <w:bCs/>
      <w:sz w:val="20"/>
      <w:szCs w:val="20"/>
    </w:rPr>
  </w:style>
  <w:style w:type="paragraph" w:styleId="Revision">
    <w:name w:val="Revision"/>
    <w:hidden/>
    <w:uiPriority w:val="99"/>
    <w:semiHidden/>
    <w:rsid w:val="007A56C2"/>
    <w:pPr>
      <w:spacing w:after="0" w:line="240" w:lineRule="auto"/>
    </w:pPr>
  </w:style>
  <w:style w:type="paragraph" w:styleId="FootnoteText">
    <w:name w:val="footnote text"/>
    <w:basedOn w:val="Normal"/>
    <w:link w:val="FootnoteTextChar"/>
    <w:uiPriority w:val="99"/>
    <w:unhideWhenUsed/>
    <w:rsid w:val="00AD06C6"/>
    <w:rPr>
      <w:sz w:val="20"/>
      <w:szCs w:val="20"/>
    </w:rPr>
  </w:style>
  <w:style w:type="character" w:customStyle="1" w:styleId="FootnoteTextChar">
    <w:name w:val="Footnote Text Char"/>
    <w:basedOn w:val="DefaultParagraphFont"/>
    <w:link w:val="FootnoteText"/>
    <w:uiPriority w:val="99"/>
    <w:rsid w:val="00AD06C6"/>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AD06C6"/>
    <w:rPr>
      <w:vertAlign w:val="superscript"/>
    </w:rPr>
  </w:style>
  <w:style w:type="character" w:styleId="Hyperlink">
    <w:name w:val="Hyperlink"/>
    <w:basedOn w:val="DefaultParagraphFont"/>
    <w:uiPriority w:val="99"/>
    <w:unhideWhenUsed/>
    <w:rsid w:val="00D074BB"/>
    <w:rPr>
      <w:color w:val="0000FF"/>
      <w:u w:val="single"/>
    </w:rPr>
  </w:style>
  <w:style w:type="character" w:customStyle="1" w:styleId="UnresolvedMention">
    <w:name w:val="Unresolved Mention"/>
    <w:basedOn w:val="DefaultParagraphFont"/>
    <w:uiPriority w:val="99"/>
    <w:semiHidden/>
    <w:unhideWhenUsed/>
    <w:rsid w:val="00D074BB"/>
    <w:rPr>
      <w:color w:val="605E5C"/>
      <w:shd w:val="clear" w:color="auto" w:fill="E1DFDD"/>
    </w:rPr>
  </w:style>
  <w:style w:type="character" w:customStyle="1" w:styleId="Heading1Char">
    <w:name w:val="Heading 1 Char"/>
    <w:basedOn w:val="DefaultParagraphFont"/>
    <w:link w:val="Heading1"/>
    <w:uiPriority w:val="9"/>
    <w:rsid w:val="00C05C79"/>
    <w:rPr>
      <w:rFonts w:asciiTheme="majorHAnsi" w:eastAsiaTheme="majorEastAsia" w:hAnsiTheme="majorHAnsi" w:cstheme="majorBidi"/>
      <w:color w:val="2F5496" w:themeColor="accent1" w:themeShade="BF"/>
      <w:sz w:val="32"/>
      <w:szCs w:val="3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5A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05C7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46B"/>
    <w:pPr>
      <w:spacing w:after="160" w:line="259" w:lineRule="auto"/>
      <w:ind w:left="720"/>
      <w:contextualSpacing/>
    </w:pPr>
    <w:rPr>
      <w:rFonts w:asciiTheme="minorHAnsi" w:eastAsiaTheme="minorEastAsia" w:hAnsiTheme="minorHAnsi" w:cstheme="minorBidi"/>
      <w:sz w:val="22"/>
      <w:szCs w:val="22"/>
      <w:lang w:eastAsia="ko-KR"/>
    </w:rPr>
  </w:style>
  <w:style w:type="paragraph" w:styleId="BalloonText">
    <w:name w:val="Balloon Text"/>
    <w:basedOn w:val="Normal"/>
    <w:link w:val="BalloonTextChar"/>
    <w:uiPriority w:val="99"/>
    <w:semiHidden/>
    <w:unhideWhenUsed/>
    <w:rsid w:val="003E4748"/>
    <w:rPr>
      <w:rFonts w:eastAsiaTheme="minorEastAsia"/>
      <w:sz w:val="18"/>
      <w:szCs w:val="18"/>
      <w:lang w:eastAsia="ko-KR"/>
    </w:rPr>
  </w:style>
  <w:style w:type="character" w:customStyle="1" w:styleId="BalloonTextChar">
    <w:name w:val="Balloon Text Char"/>
    <w:basedOn w:val="DefaultParagraphFont"/>
    <w:link w:val="BalloonText"/>
    <w:uiPriority w:val="99"/>
    <w:semiHidden/>
    <w:rsid w:val="003E4748"/>
    <w:rPr>
      <w:rFonts w:ascii="Times New Roman" w:hAnsi="Times New Roman" w:cs="Times New Roman"/>
      <w:sz w:val="18"/>
      <w:szCs w:val="18"/>
    </w:rPr>
  </w:style>
  <w:style w:type="paragraph" w:styleId="EndnoteText">
    <w:name w:val="endnote text"/>
    <w:basedOn w:val="Normal"/>
    <w:link w:val="EndnoteTextChar"/>
    <w:uiPriority w:val="99"/>
    <w:semiHidden/>
    <w:unhideWhenUsed/>
    <w:rsid w:val="00E251D9"/>
    <w:rPr>
      <w:rFonts w:asciiTheme="minorHAnsi" w:eastAsiaTheme="minorEastAsia" w:hAnsiTheme="minorHAnsi" w:cstheme="minorBidi"/>
      <w:sz w:val="20"/>
      <w:szCs w:val="20"/>
      <w:lang w:eastAsia="ko-KR"/>
    </w:rPr>
  </w:style>
  <w:style w:type="character" w:customStyle="1" w:styleId="EndnoteTextChar">
    <w:name w:val="Endnote Text Char"/>
    <w:basedOn w:val="DefaultParagraphFont"/>
    <w:link w:val="EndnoteText"/>
    <w:uiPriority w:val="99"/>
    <w:semiHidden/>
    <w:rsid w:val="00E251D9"/>
    <w:rPr>
      <w:sz w:val="20"/>
      <w:szCs w:val="20"/>
    </w:rPr>
  </w:style>
  <w:style w:type="character" w:styleId="EndnoteReference">
    <w:name w:val="endnote reference"/>
    <w:basedOn w:val="DefaultParagraphFont"/>
    <w:uiPriority w:val="99"/>
    <w:semiHidden/>
    <w:unhideWhenUsed/>
    <w:rsid w:val="00E251D9"/>
    <w:rPr>
      <w:vertAlign w:val="superscript"/>
    </w:rPr>
  </w:style>
  <w:style w:type="paragraph" w:styleId="Header">
    <w:name w:val="header"/>
    <w:basedOn w:val="Normal"/>
    <w:link w:val="HeaderChar"/>
    <w:uiPriority w:val="99"/>
    <w:unhideWhenUsed/>
    <w:rsid w:val="001F6854"/>
    <w:pPr>
      <w:tabs>
        <w:tab w:val="center" w:pos="4513"/>
        <w:tab w:val="right" w:pos="9026"/>
      </w:tabs>
    </w:pPr>
    <w:rPr>
      <w:rFonts w:asciiTheme="minorHAnsi" w:eastAsiaTheme="minorEastAsia" w:hAnsiTheme="minorHAnsi" w:cstheme="minorBidi"/>
      <w:sz w:val="22"/>
      <w:szCs w:val="22"/>
      <w:lang w:eastAsia="ko-KR"/>
    </w:rPr>
  </w:style>
  <w:style w:type="character" w:customStyle="1" w:styleId="HeaderChar">
    <w:name w:val="Header Char"/>
    <w:basedOn w:val="DefaultParagraphFont"/>
    <w:link w:val="Header"/>
    <w:uiPriority w:val="99"/>
    <w:rsid w:val="001F6854"/>
  </w:style>
  <w:style w:type="paragraph" w:styleId="Footer">
    <w:name w:val="footer"/>
    <w:basedOn w:val="Normal"/>
    <w:link w:val="FooterChar"/>
    <w:uiPriority w:val="99"/>
    <w:unhideWhenUsed/>
    <w:rsid w:val="001F6854"/>
    <w:pPr>
      <w:tabs>
        <w:tab w:val="center" w:pos="4513"/>
        <w:tab w:val="right" w:pos="9026"/>
      </w:tabs>
    </w:pPr>
    <w:rPr>
      <w:rFonts w:asciiTheme="minorHAnsi" w:eastAsiaTheme="minorEastAsia" w:hAnsiTheme="minorHAnsi" w:cstheme="minorBidi"/>
      <w:sz w:val="22"/>
      <w:szCs w:val="22"/>
      <w:lang w:eastAsia="ko-KR"/>
    </w:rPr>
  </w:style>
  <w:style w:type="character" w:customStyle="1" w:styleId="FooterChar">
    <w:name w:val="Footer Char"/>
    <w:basedOn w:val="DefaultParagraphFont"/>
    <w:link w:val="Footer"/>
    <w:uiPriority w:val="99"/>
    <w:rsid w:val="001F6854"/>
  </w:style>
  <w:style w:type="character" w:styleId="CommentReference">
    <w:name w:val="annotation reference"/>
    <w:basedOn w:val="DefaultParagraphFont"/>
    <w:uiPriority w:val="99"/>
    <w:semiHidden/>
    <w:unhideWhenUsed/>
    <w:rsid w:val="007443EF"/>
    <w:rPr>
      <w:sz w:val="16"/>
      <w:szCs w:val="16"/>
    </w:rPr>
  </w:style>
  <w:style w:type="paragraph" w:styleId="CommentText">
    <w:name w:val="annotation text"/>
    <w:basedOn w:val="Normal"/>
    <w:link w:val="CommentTextChar"/>
    <w:uiPriority w:val="99"/>
    <w:unhideWhenUsed/>
    <w:rsid w:val="007443EF"/>
    <w:pPr>
      <w:spacing w:after="160"/>
    </w:pPr>
    <w:rPr>
      <w:rFonts w:asciiTheme="minorHAnsi" w:eastAsiaTheme="minorEastAsia" w:hAnsiTheme="minorHAnsi" w:cstheme="minorBidi"/>
      <w:sz w:val="20"/>
      <w:szCs w:val="20"/>
      <w:lang w:eastAsia="ko-KR"/>
    </w:rPr>
  </w:style>
  <w:style w:type="character" w:customStyle="1" w:styleId="CommentTextChar">
    <w:name w:val="Comment Text Char"/>
    <w:basedOn w:val="DefaultParagraphFont"/>
    <w:link w:val="CommentText"/>
    <w:uiPriority w:val="99"/>
    <w:rsid w:val="007443EF"/>
    <w:rPr>
      <w:sz w:val="20"/>
      <w:szCs w:val="20"/>
    </w:rPr>
  </w:style>
  <w:style w:type="paragraph" w:styleId="CommentSubject">
    <w:name w:val="annotation subject"/>
    <w:basedOn w:val="CommentText"/>
    <w:next w:val="CommentText"/>
    <w:link w:val="CommentSubjectChar"/>
    <w:uiPriority w:val="99"/>
    <w:semiHidden/>
    <w:unhideWhenUsed/>
    <w:rsid w:val="007443EF"/>
    <w:rPr>
      <w:b/>
      <w:bCs/>
    </w:rPr>
  </w:style>
  <w:style w:type="character" w:customStyle="1" w:styleId="CommentSubjectChar">
    <w:name w:val="Comment Subject Char"/>
    <w:basedOn w:val="CommentTextChar"/>
    <w:link w:val="CommentSubject"/>
    <w:uiPriority w:val="99"/>
    <w:semiHidden/>
    <w:rsid w:val="007443EF"/>
    <w:rPr>
      <w:b/>
      <w:bCs/>
      <w:sz w:val="20"/>
      <w:szCs w:val="20"/>
    </w:rPr>
  </w:style>
  <w:style w:type="paragraph" w:styleId="Revision">
    <w:name w:val="Revision"/>
    <w:hidden/>
    <w:uiPriority w:val="99"/>
    <w:semiHidden/>
    <w:rsid w:val="007A56C2"/>
    <w:pPr>
      <w:spacing w:after="0" w:line="240" w:lineRule="auto"/>
    </w:pPr>
  </w:style>
  <w:style w:type="paragraph" w:styleId="FootnoteText">
    <w:name w:val="footnote text"/>
    <w:basedOn w:val="Normal"/>
    <w:link w:val="FootnoteTextChar"/>
    <w:uiPriority w:val="99"/>
    <w:unhideWhenUsed/>
    <w:rsid w:val="00AD06C6"/>
    <w:rPr>
      <w:sz w:val="20"/>
      <w:szCs w:val="20"/>
    </w:rPr>
  </w:style>
  <w:style w:type="character" w:customStyle="1" w:styleId="FootnoteTextChar">
    <w:name w:val="Footnote Text Char"/>
    <w:basedOn w:val="DefaultParagraphFont"/>
    <w:link w:val="FootnoteText"/>
    <w:uiPriority w:val="99"/>
    <w:rsid w:val="00AD06C6"/>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AD06C6"/>
    <w:rPr>
      <w:vertAlign w:val="superscript"/>
    </w:rPr>
  </w:style>
  <w:style w:type="character" w:styleId="Hyperlink">
    <w:name w:val="Hyperlink"/>
    <w:basedOn w:val="DefaultParagraphFont"/>
    <w:uiPriority w:val="99"/>
    <w:unhideWhenUsed/>
    <w:rsid w:val="00D074BB"/>
    <w:rPr>
      <w:color w:val="0000FF"/>
      <w:u w:val="single"/>
    </w:rPr>
  </w:style>
  <w:style w:type="character" w:customStyle="1" w:styleId="UnresolvedMention">
    <w:name w:val="Unresolved Mention"/>
    <w:basedOn w:val="DefaultParagraphFont"/>
    <w:uiPriority w:val="99"/>
    <w:semiHidden/>
    <w:unhideWhenUsed/>
    <w:rsid w:val="00D074BB"/>
    <w:rPr>
      <w:color w:val="605E5C"/>
      <w:shd w:val="clear" w:color="auto" w:fill="E1DFDD"/>
    </w:rPr>
  </w:style>
  <w:style w:type="character" w:customStyle="1" w:styleId="Heading1Char">
    <w:name w:val="Heading 1 Char"/>
    <w:basedOn w:val="DefaultParagraphFont"/>
    <w:link w:val="Heading1"/>
    <w:uiPriority w:val="9"/>
    <w:rsid w:val="00C05C79"/>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811943">
      <w:bodyDiv w:val="1"/>
      <w:marLeft w:val="0"/>
      <w:marRight w:val="0"/>
      <w:marTop w:val="0"/>
      <w:marBottom w:val="0"/>
      <w:divBdr>
        <w:top w:val="none" w:sz="0" w:space="0" w:color="auto"/>
        <w:left w:val="none" w:sz="0" w:space="0" w:color="auto"/>
        <w:bottom w:val="none" w:sz="0" w:space="0" w:color="auto"/>
        <w:right w:val="none" w:sz="0" w:space="0" w:color="auto"/>
      </w:divBdr>
    </w:div>
    <w:div w:id="960572680">
      <w:bodyDiv w:val="1"/>
      <w:marLeft w:val="0"/>
      <w:marRight w:val="0"/>
      <w:marTop w:val="0"/>
      <w:marBottom w:val="0"/>
      <w:divBdr>
        <w:top w:val="none" w:sz="0" w:space="0" w:color="auto"/>
        <w:left w:val="none" w:sz="0" w:space="0" w:color="auto"/>
        <w:bottom w:val="none" w:sz="0" w:space="0" w:color="auto"/>
        <w:right w:val="none" w:sz="0" w:space="0" w:color="auto"/>
      </w:divBdr>
    </w:div>
    <w:div w:id="1046374276">
      <w:bodyDiv w:val="1"/>
      <w:marLeft w:val="0"/>
      <w:marRight w:val="0"/>
      <w:marTop w:val="0"/>
      <w:marBottom w:val="0"/>
      <w:divBdr>
        <w:top w:val="none" w:sz="0" w:space="0" w:color="auto"/>
        <w:left w:val="none" w:sz="0" w:space="0" w:color="auto"/>
        <w:bottom w:val="none" w:sz="0" w:space="0" w:color="auto"/>
        <w:right w:val="none" w:sz="0" w:space="0" w:color="auto"/>
      </w:divBdr>
    </w:div>
    <w:div w:id="1113942940">
      <w:bodyDiv w:val="1"/>
      <w:marLeft w:val="0"/>
      <w:marRight w:val="0"/>
      <w:marTop w:val="0"/>
      <w:marBottom w:val="0"/>
      <w:divBdr>
        <w:top w:val="none" w:sz="0" w:space="0" w:color="auto"/>
        <w:left w:val="none" w:sz="0" w:space="0" w:color="auto"/>
        <w:bottom w:val="none" w:sz="0" w:space="0" w:color="auto"/>
        <w:right w:val="none" w:sz="0" w:space="0" w:color="auto"/>
      </w:divBdr>
    </w:div>
    <w:div w:id="1319654783">
      <w:bodyDiv w:val="1"/>
      <w:marLeft w:val="0"/>
      <w:marRight w:val="0"/>
      <w:marTop w:val="0"/>
      <w:marBottom w:val="0"/>
      <w:divBdr>
        <w:top w:val="none" w:sz="0" w:space="0" w:color="auto"/>
        <w:left w:val="none" w:sz="0" w:space="0" w:color="auto"/>
        <w:bottom w:val="none" w:sz="0" w:space="0" w:color="auto"/>
        <w:right w:val="none" w:sz="0" w:space="0" w:color="auto"/>
      </w:divBdr>
    </w:div>
    <w:div w:id="1836870913">
      <w:bodyDiv w:val="1"/>
      <w:marLeft w:val="0"/>
      <w:marRight w:val="0"/>
      <w:marTop w:val="0"/>
      <w:marBottom w:val="0"/>
      <w:divBdr>
        <w:top w:val="none" w:sz="0" w:space="0" w:color="auto"/>
        <w:left w:val="none" w:sz="0" w:space="0" w:color="auto"/>
        <w:bottom w:val="none" w:sz="0" w:space="0" w:color="auto"/>
        <w:right w:val="none" w:sz="0" w:space="0" w:color="auto"/>
      </w:divBdr>
    </w:div>
    <w:div w:id="208891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oilnow.gy/featured/exxon-to-provide-guyana-with-carbon-capture-roadmap-for-us10b-yellowtail-project/" TargetMode="External"/><Relationship Id="rId2" Type="http://schemas.openxmlformats.org/officeDocument/2006/relationships/hyperlink" Target="https://oilnow.gy/featured/exxon-granted-approval-from-guyana-to-conduct-carbon-capture-study-vp-jagdeo/" TargetMode="External"/><Relationship Id="rId1" Type="http://schemas.openxmlformats.org/officeDocument/2006/relationships/hyperlink" Target="https://oilnow.gy/featured/exxon-to-provide-guyana-with-carbon-capture-roadmap-for-us10b-yellowtail-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9289C-D9E6-47CB-A82B-0015EDF1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3978</Words>
  <Characters>22676</Characters>
  <Application>Microsoft Office Word</Application>
  <DocSecurity>0</DocSecurity>
  <Lines>188</Lines>
  <Paragraphs>53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Connolly</dc:creator>
  <cp:lastModifiedBy>Gail</cp:lastModifiedBy>
  <cp:revision>2</cp:revision>
  <cp:lastPrinted>2022-04-29T17:00:00Z</cp:lastPrinted>
  <dcterms:created xsi:type="dcterms:W3CDTF">2022-05-03T03:39:00Z</dcterms:created>
  <dcterms:modified xsi:type="dcterms:W3CDTF">2022-05-03T03:39:00Z</dcterms:modified>
</cp:coreProperties>
</file>