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10799" w14:textId="77777777" w:rsidR="00114585" w:rsidRPr="00ED061D" w:rsidRDefault="003E4EA2">
      <w:pPr>
        <w:pBdr>
          <w:top w:val="nil"/>
          <w:left w:val="nil"/>
          <w:bottom w:val="nil"/>
          <w:right w:val="nil"/>
          <w:between w:val="nil"/>
        </w:pBdr>
        <w:jc w:val="center"/>
        <w:rPr>
          <w:b/>
          <w:color w:val="000000"/>
          <w:lang w:val="en-GB"/>
        </w:rPr>
      </w:pPr>
      <w:bookmarkStart w:id="0" w:name="_heading=h.gjdgxs" w:colFirst="0" w:colLast="0"/>
      <w:bookmarkEnd w:id="0"/>
      <w:r w:rsidRPr="00ED061D">
        <w:rPr>
          <w:b/>
          <w:color w:val="000000"/>
          <w:lang w:val="en-GB"/>
        </w:rPr>
        <w:t xml:space="preserve">Questionnaire for International Organizations and Civil Society by the </w:t>
      </w:r>
    </w:p>
    <w:p w14:paraId="06AD4D8E" w14:textId="77777777" w:rsidR="00114585" w:rsidRPr="00ED061D" w:rsidRDefault="003E4EA2">
      <w:pPr>
        <w:pBdr>
          <w:top w:val="nil"/>
          <w:left w:val="nil"/>
          <w:bottom w:val="nil"/>
          <w:right w:val="nil"/>
          <w:between w:val="nil"/>
        </w:pBdr>
        <w:jc w:val="center"/>
        <w:rPr>
          <w:b/>
          <w:color w:val="000000"/>
          <w:lang w:val="en-GB"/>
        </w:rPr>
      </w:pPr>
      <w:r w:rsidRPr="00ED061D">
        <w:rPr>
          <w:b/>
          <w:color w:val="000000"/>
          <w:lang w:val="en-GB"/>
        </w:rPr>
        <w:t>UN Special Rapporteur on the situation of human rights defenders</w:t>
      </w:r>
    </w:p>
    <w:p w14:paraId="4184F350" w14:textId="77777777" w:rsidR="00114585" w:rsidRPr="00ED061D" w:rsidRDefault="003E4EA2">
      <w:pPr>
        <w:pBdr>
          <w:top w:val="nil"/>
          <w:left w:val="nil"/>
          <w:bottom w:val="nil"/>
          <w:right w:val="nil"/>
          <w:between w:val="nil"/>
        </w:pBdr>
        <w:jc w:val="center"/>
        <w:rPr>
          <w:b/>
          <w:color w:val="000000"/>
          <w:lang w:val="en-GB"/>
        </w:rPr>
      </w:pPr>
      <w:r w:rsidRPr="00ED061D">
        <w:rPr>
          <w:b/>
          <w:color w:val="000000"/>
          <w:lang w:val="en-GB"/>
        </w:rPr>
        <w:t>Mary Lawlor, 9 February 2021</w:t>
      </w:r>
    </w:p>
    <w:p w14:paraId="24771CC8" w14:textId="77777777" w:rsidR="00114585" w:rsidRPr="00ED061D" w:rsidRDefault="003E4EA2">
      <w:pPr>
        <w:pBdr>
          <w:top w:val="nil"/>
          <w:left w:val="nil"/>
          <w:bottom w:val="nil"/>
          <w:right w:val="nil"/>
          <w:between w:val="nil"/>
        </w:pBdr>
        <w:jc w:val="center"/>
        <w:rPr>
          <w:color w:val="000000"/>
          <w:lang w:val="en-GB"/>
        </w:rPr>
      </w:pPr>
      <w:r w:rsidRPr="00ED061D">
        <w:rPr>
          <w:color w:val="000000"/>
          <w:lang w:val="en-GB"/>
        </w:rPr>
        <w:br/>
      </w:r>
    </w:p>
    <w:p w14:paraId="0897DA89" w14:textId="2A241110" w:rsidR="00114585" w:rsidRPr="00ED061D" w:rsidRDefault="003E4EA2">
      <w:pPr>
        <w:pBdr>
          <w:top w:val="nil"/>
          <w:left w:val="nil"/>
          <w:bottom w:val="nil"/>
          <w:right w:val="nil"/>
          <w:between w:val="nil"/>
        </w:pBdr>
        <w:ind w:firstLine="567"/>
        <w:rPr>
          <w:color w:val="000000"/>
          <w:lang w:val="en-GB"/>
        </w:rPr>
      </w:pPr>
      <w:r w:rsidRPr="00ED061D">
        <w:rPr>
          <w:color w:val="000000"/>
          <w:lang w:val="en-GB"/>
        </w:rPr>
        <w:t xml:space="preserve">The UN Special Rapporteur on the situation of human rights defenders, Ms. Mary </w:t>
      </w:r>
      <w:r w:rsidRPr="00ED061D">
        <w:rPr>
          <w:color w:val="000000"/>
          <w:lang w:val="en-GB"/>
        </w:rPr>
        <w:br/>
        <w:t xml:space="preserve">Lawlor invites you or your organization to respond to the questionnaire below. Submissions received will inform the thematic report of the Special Rapporteur on the issue of </w:t>
      </w:r>
      <w:r w:rsidR="00A80AD9" w:rsidRPr="00ED061D">
        <w:rPr>
          <w:color w:val="000000"/>
          <w:lang w:val="en-GB"/>
        </w:rPr>
        <w:t>long-term</w:t>
      </w:r>
      <w:r w:rsidRPr="00ED061D">
        <w:rPr>
          <w:color w:val="000000"/>
          <w:lang w:val="en-GB"/>
        </w:rPr>
        <w:t xml:space="preserve"> detention of human rights defenders, which will be presented to the UN General Assembly in October 2021. </w:t>
      </w:r>
    </w:p>
    <w:p w14:paraId="44A75DE3" w14:textId="77777777" w:rsidR="00114585" w:rsidRPr="00ED061D" w:rsidRDefault="00114585">
      <w:pPr>
        <w:pBdr>
          <w:top w:val="nil"/>
          <w:left w:val="nil"/>
          <w:bottom w:val="nil"/>
          <w:right w:val="nil"/>
          <w:between w:val="nil"/>
        </w:pBdr>
        <w:ind w:firstLine="567"/>
        <w:rPr>
          <w:color w:val="000000"/>
          <w:lang w:val="en-GB"/>
        </w:rPr>
      </w:pPr>
    </w:p>
    <w:p w14:paraId="63C99612" w14:textId="77777777" w:rsidR="00114585" w:rsidRPr="00ED061D" w:rsidRDefault="003E4EA2">
      <w:pPr>
        <w:pBdr>
          <w:top w:val="nil"/>
          <w:left w:val="nil"/>
          <w:bottom w:val="nil"/>
          <w:right w:val="nil"/>
          <w:between w:val="nil"/>
        </w:pBdr>
        <w:ind w:firstLine="567"/>
        <w:rPr>
          <w:color w:val="000000"/>
          <w:sz w:val="23"/>
          <w:szCs w:val="23"/>
          <w:lang w:val="en-GB"/>
        </w:rPr>
      </w:pPr>
      <w:r w:rsidRPr="00ED061D">
        <w:rPr>
          <w:color w:val="000000"/>
          <w:lang w:val="en-GB"/>
        </w:rPr>
        <w:t xml:space="preserve">The questionnaire on the report is available at OHCHR website in English (original </w:t>
      </w:r>
      <w:r w:rsidRPr="00ED061D">
        <w:rPr>
          <w:color w:val="000000"/>
          <w:lang w:val="en-GB"/>
        </w:rPr>
        <w:br/>
        <w:t xml:space="preserve">language) as well as in French, Spanish, Russian and Arabic (unofficial translations): </w:t>
      </w:r>
      <w:r w:rsidRPr="00ED061D">
        <w:rPr>
          <w:color w:val="000000"/>
          <w:sz w:val="23"/>
          <w:szCs w:val="23"/>
          <w:lang w:val="en-GB"/>
        </w:rPr>
        <w:t>(</w:t>
      </w:r>
      <w:hyperlink r:id="rId8">
        <w:r w:rsidRPr="00ED061D">
          <w:rPr>
            <w:color w:val="0000FF"/>
            <w:sz w:val="23"/>
            <w:szCs w:val="23"/>
            <w:u w:val="single"/>
            <w:lang w:val="en-GB"/>
          </w:rPr>
          <w:t>https://www.ohchr.org/EN/Issues/SRHRDefenders/Pages/SRHRDefendersIndex.aspx</w:t>
        </w:r>
      </w:hyperlink>
      <w:r w:rsidRPr="00ED061D">
        <w:rPr>
          <w:color w:val="000000"/>
          <w:sz w:val="23"/>
          <w:szCs w:val="23"/>
          <w:lang w:val="en-GB"/>
        </w:rPr>
        <w:t>).</w:t>
      </w:r>
    </w:p>
    <w:p w14:paraId="478F0AC1" w14:textId="77777777" w:rsidR="00114585" w:rsidRPr="00ED061D" w:rsidRDefault="00114585">
      <w:pPr>
        <w:pBdr>
          <w:top w:val="nil"/>
          <w:left w:val="nil"/>
          <w:bottom w:val="nil"/>
          <w:right w:val="nil"/>
          <w:between w:val="nil"/>
        </w:pBdr>
        <w:shd w:val="clear" w:color="auto" w:fill="FFFFFF"/>
        <w:ind w:firstLine="567"/>
        <w:rPr>
          <w:color w:val="000000"/>
          <w:lang w:val="en-GB"/>
        </w:rPr>
      </w:pPr>
    </w:p>
    <w:p w14:paraId="559C5C43" w14:textId="77777777" w:rsidR="00114585" w:rsidRPr="00ED061D" w:rsidRDefault="003E4EA2">
      <w:pPr>
        <w:pBdr>
          <w:top w:val="nil"/>
          <w:left w:val="nil"/>
          <w:bottom w:val="nil"/>
          <w:right w:val="nil"/>
          <w:between w:val="nil"/>
        </w:pBdr>
        <w:shd w:val="clear" w:color="auto" w:fill="FFFFFF"/>
        <w:ind w:firstLine="567"/>
        <w:rPr>
          <w:color w:val="000000"/>
          <w:lang w:val="en-GB"/>
        </w:rPr>
      </w:pPr>
      <w:r w:rsidRPr="00ED061D">
        <w:rPr>
          <w:color w:val="000000"/>
          <w:lang w:val="en-GB"/>
        </w:rPr>
        <w:t xml:space="preserve">All submissions received will be published in the aforementioned website, unless you/your organization clearly indicated that you did not wish to have your input be made publicly available when submitting your response. </w:t>
      </w:r>
    </w:p>
    <w:p w14:paraId="6A8C617C" w14:textId="77777777" w:rsidR="00114585" w:rsidRPr="00ED061D" w:rsidRDefault="003E4EA2">
      <w:pPr>
        <w:pBdr>
          <w:top w:val="nil"/>
          <w:left w:val="nil"/>
          <w:bottom w:val="nil"/>
          <w:right w:val="nil"/>
          <w:between w:val="nil"/>
        </w:pBdr>
        <w:shd w:val="clear" w:color="auto" w:fill="FFFFFF"/>
        <w:rPr>
          <w:color w:val="000000"/>
          <w:lang w:val="en-GB"/>
        </w:rPr>
      </w:pPr>
      <w:r w:rsidRPr="00ED061D">
        <w:rPr>
          <w:color w:val="000000"/>
          <w:lang w:val="en-GB"/>
        </w:rPr>
        <w:t> </w:t>
      </w:r>
    </w:p>
    <w:p w14:paraId="2684C883" w14:textId="77777777" w:rsidR="00114585" w:rsidRPr="00ED061D" w:rsidRDefault="003E4EA2">
      <w:pPr>
        <w:pBdr>
          <w:top w:val="nil"/>
          <w:left w:val="nil"/>
          <w:bottom w:val="nil"/>
          <w:right w:val="nil"/>
          <w:between w:val="nil"/>
        </w:pBdr>
        <w:ind w:firstLine="567"/>
        <w:rPr>
          <w:color w:val="000000"/>
          <w:lang w:val="en-GB"/>
        </w:rPr>
      </w:pPr>
      <w:r w:rsidRPr="00ED061D">
        <w:rPr>
          <w:color w:val="000000"/>
          <w:lang w:val="en-GB"/>
        </w:rPr>
        <w:t xml:space="preserve">There is a word limit of 2500 words per questionnaire. Please submit the completed questionnaire to </w:t>
      </w:r>
      <w:hyperlink r:id="rId9">
        <w:r w:rsidRPr="00ED061D">
          <w:rPr>
            <w:color w:val="0000FF"/>
            <w:u w:val="single"/>
            <w:lang w:val="en-GB"/>
          </w:rPr>
          <w:t>defenders@ohchr.org</w:t>
        </w:r>
      </w:hyperlink>
    </w:p>
    <w:p w14:paraId="4F0D03BC" w14:textId="77777777" w:rsidR="00114585" w:rsidRPr="00ED061D" w:rsidRDefault="00114585">
      <w:pPr>
        <w:pBdr>
          <w:top w:val="nil"/>
          <w:left w:val="nil"/>
          <w:bottom w:val="nil"/>
          <w:right w:val="nil"/>
          <w:between w:val="nil"/>
        </w:pBdr>
        <w:rPr>
          <w:color w:val="000000"/>
          <w:lang w:val="en-GB"/>
        </w:rPr>
      </w:pPr>
    </w:p>
    <w:p w14:paraId="41551B56" w14:textId="77777777" w:rsidR="00114585" w:rsidRPr="00ED061D" w:rsidRDefault="003E4EA2">
      <w:pPr>
        <w:pBdr>
          <w:top w:val="nil"/>
          <w:left w:val="nil"/>
          <w:bottom w:val="nil"/>
          <w:right w:val="nil"/>
          <w:between w:val="nil"/>
        </w:pBdr>
        <w:ind w:firstLine="567"/>
        <w:rPr>
          <w:b/>
          <w:color w:val="000000"/>
          <w:lang w:val="en-GB"/>
        </w:rPr>
      </w:pPr>
      <w:r w:rsidRPr="00ED061D">
        <w:rPr>
          <w:color w:val="000000"/>
          <w:lang w:val="en-GB"/>
        </w:rPr>
        <w:t xml:space="preserve">Deadline for submissions: </w:t>
      </w:r>
      <w:r w:rsidRPr="00ED061D">
        <w:rPr>
          <w:b/>
          <w:color w:val="000000"/>
          <w:lang w:val="en-GB"/>
        </w:rPr>
        <w:t>19 March 2021</w:t>
      </w:r>
    </w:p>
    <w:p w14:paraId="79069C7D" w14:textId="77777777" w:rsidR="00114585" w:rsidRPr="00ED061D" w:rsidRDefault="00114585">
      <w:pPr>
        <w:pBdr>
          <w:top w:val="nil"/>
          <w:left w:val="nil"/>
          <w:bottom w:val="nil"/>
          <w:right w:val="nil"/>
          <w:between w:val="nil"/>
        </w:pBdr>
        <w:rPr>
          <w:color w:val="000000"/>
          <w:lang w:val="en-GB"/>
        </w:rPr>
      </w:pPr>
    </w:p>
    <w:p w14:paraId="0DAE56FB" w14:textId="77777777" w:rsidR="00114585" w:rsidRPr="00ED061D" w:rsidRDefault="00114585">
      <w:pPr>
        <w:pBdr>
          <w:top w:val="nil"/>
          <w:left w:val="nil"/>
          <w:bottom w:val="single" w:sz="4" w:space="0" w:color="000000"/>
          <w:right w:val="nil"/>
          <w:between w:val="nil"/>
        </w:pBdr>
        <w:rPr>
          <w:color w:val="000000"/>
          <w:lang w:val="en-GB"/>
        </w:rPr>
      </w:pPr>
    </w:p>
    <w:p w14:paraId="744BA07D" w14:textId="77777777" w:rsidR="00114585" w:rsidRPr="00ED061D" w:rsidRDefault="00114585">
      <w:pPr>
        <w:pBdr>
          <w:top w:val="nil"/>
          <w:left w:val="nil"/>
          <w:bottom w:val="nil"/>
          <w:right w:val="nil"/>
          <w:between w:val="nil"/>
        </w:pBdr>
        <w:rPr>
          <w:color w:val="000000"/>
          <w:lang w:val="en-GB"/>
        </w:rPr>
      </w:pPr>
    </w:p>
    <w:p w14:paraId="1458DC4A" w14:textId="77777777" w:rsidR="00114585" w:rsidRPr="00ED061D" w:rsidRDefault="003E4EA2">
      <w:pPr>
        <w:pBdr>
          <w:top w:val="nil"/>
          <w:left w:val="nil"/>
          <w:bottom w:val="nil"/>
          <w:right w:val="nil"/>
          <w:between w:val="nil"/>
        </w:pBdr>
        <w:rPr>
          <w:b/>
          <w:color w:val="000000"/>
          <w:lang w:val="en-GB"/>
        </w:rPr>
      </w:pPr>
      <w:r w:rsidRPr="00ED061D">
        <w:rPr>
          <w:b/>
          <w:color w:val="000000"/>
          <w:lang w:val="en-GB"/>
        </w:rPr>
        <w:t>Contact Details</w:t>
      </w:r>
    </w:p>
    <w:p w14:paraId="3007C68B" w14:textId="77777777" w:rsidR="00114585" w:rsidRPr="00ED061D" w:rsidRDefault="00114585">
      <w:pPr>
        <w:pBdr>
          <w:top w:val="nil"/>
          <w:left w:val="nil"/>
          <w:bottom w:val="nil"/>
          <w:right w:val="nil"/>
          <w:between w:val="nil"/>
        </w:pBdr>
        <w:rPr>
          <w:color w:val="000000"/>
          <w:lang w:val="en-GB"/>
        </w:rPr>
      </w:pPr>
    </w:p>
    <w:p w14:paraId="35589D29" w14:textId="77777777" w:rsidR="00114585" w:rsidRPr="00ED061D" w:rsidRDefault="003E4EA2">
      <w:pPr>
        <w:pBdr>
          <w:top w:val="nil"/>
          <w:left w:val="nil"/>
          <w:bottom w:val="nil"/>
          <w:right w:val="nil"/>
          <w:between w:val="nil"/>
        </w:pBdr>
        <w:rPr>
          <w:color w:val="000000"/>
          <w:lang w:val="en-GB"/>
        </w:rPr>
      </w:pPr>
      <w:r w:rsidRPr="00ED061D">
        <w:rPr>
          <w:color w:val="000000"/>
          <w:lang w:val="en-GB"/>
        </w:rPr>
        <w:t>Please provide your contact details in case we need to contact you in connection with this survey. Note that this is optional.</w:t>
      </w:r>
    </w:p>
    <w:p w14:paraId="2391FF7E" w14:textId="77777777" w:rsidR="00114585" w:rsidRPr="00ED061D" w:rsidRDefault="00114585">
      <w:pPr>
        <w:pBdr>
          <w:top w:val="nil"/>
          <w:left w:val="nil"/>
          <w:bottom w:val="nil"/>
          <w:right w:val="nil"/>
          <w:between w:val="nil"/>
        </w:pBdr>
        <w:rPr>
          <w:color w:val="000000"/>
          <w:lang w:val="en-GB"/>
        </w:rPr>
      </w:pPr>
    </w:p>
    <w:tbl>
      <w:tblPr>
        <w:tblStyle w:val="a"/>
        <w:tblW w:w="88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442"/>
        <w:gridCol w:w="5393"/>
      </w:tblGrid>
      <w:tr w:rsidR="00114585" w:rsidRPr="00ED061D" w14:paraId="7FDC63C4" w14:textId="77777777">
        <w:trPr>
          <w:trHeight w:val="113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35732" w14:textId="77777777" w:rsidR="00114585" w:rsidRPr="00ED061D" w:rsidRDefault="003E4EA2">
            <w:pPr>
              <w:pBdr>
                <w:top w:val="nil"/>
                <w:left w:val="nil"/>
                <w:bottom w:val="nil"/>
                <w:right w:val="nil"/>
                <w:between w:val="nil"/>
              </w:pBdr>
              <w:rPr>
                <w:color w:val="000000"/>
                <w:lang w:val="en-GB"/>
              </w:rPr>
            </w:pPr>
            <w:r w:rsidRPr="00ED061D">
              <w:rPr>
                <w:color w:val="000000"/>
                <w:lang w:val="en-GB"/>
              </w:rPr>
              <w:t xml:space="preserve">Type of Stakeholder </w:t>
            </w:r>
            <w:r w:rsidRPr="00ED061D">
              <w:rPr>
                <w:color w:val="000000"/>
                <w:lang w:val="en-GB"/>
              </w:rPr>
              <w:br/>
              <w:t>(please select one)</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4EB83" w14:textId="77777777" w:rsidR="00114585" w:rsidRPr="00ED061D" w:rsidRDefault="003E4EA2">
            <w:pPr>
              <w:rPr>
                <w:lang w:val="en-GB"/>
              </w:rPr>
            </w:pPr>
            <w:bookmarkStart w:id="1" w:name="bookmark=id.30j0zll" w:colFirst="0" w:colLast="0"/>
            <w:bookmarkEnd w:id="1"/>
            <w:r w:rsidRPr="00ED061D">
              <w:rPr>
                <w:lang w:val="en-GB"/>
              </w:rPr>
              <w:t xml:space="preserve">☐ International or Inter-governmental Organisations     </w:t>
            </w:r>
          </w:p>
          <w:p w14:paraId="633BCBF7" w14:textId="77777777" w:rsidR="00114585" w:rsidRPr="00ED061D" w:rsidRDefault="00621F2E">
            <w:pPr>
              <w:ind w:left="394" w:hanging="394"/>
              <w:rPr>
                <w:lang w:val="en-GB"/>
              </w:rPr>
            </w:pPr>
            <w:sdt>
              <w:sdtPr>
                <w:rPr>
                  <w:lang w:val="en-GB"/>
                </w:rPr>
                <w:tag w:val="goog_rdk_0"/>
                <w:id w:val="900945330"/>
              </w:sdtPr>
              <w:sdtEndPr/>
              <w:sdtContent>
                <w:r w:rsidR="003E4EA2" w:rsidRPr="00ED061D">
                  <w:rPr>
                    <w:rFonts w:ascii="Cardo" w:eastAsia="Cardo" w:hAnsi="Cardo" w:cs="Cardo"/>
                    <w:lang w:val="en-GB"/>
                  </w:rPr>
                  <w:t xml:space="preserve">⌧ </w:t>
                </w:r>
                <w:r w:rsidR="003E4EA2" w:rsidRPr="00ED061D">
                  <w:rPr>
                    <w:lang w:val="en-GB"/>
                  </w:rPr>
                  <w:t>Civil Society Groups or Organisations</w:t>
                </w:r>
                <w:r w:rsidR="003E4EA2" w:rsidRPr="00ED061D">
                  <w:rPr>
                    <w:rFonts w:ascii="Cardo" w:eastAsia="Cardo" w:hAnsi="Cardo" w:cs="Cardo"/>
                    <w:lang w:val="en-GB"/>
                  </w:rPr>
                  <w:t xml:space="preserve">     </w:t>
                </w:r>
              </w:sdtContent>
            </w:sdt>
          </w:p>
          <w:p w14:paraId="080CB899" w14:textId="77777777" w:rsidR="00114585" w:rsidRPr="00ED061D" w:rsidRDefault="003E4EA2">
            <w:pPr>
              <w:ind w:left="394" w:hanging="394"/>
              <w:rPr>
                <w:lang w:val="en-GB"/>
              </w:rPr>
            </w:pPr>
            <w:r w:rsidRPr="00ED061D">
              <w:rPr>
                <w:lang w:val="en-GB"/>
              </w:rPr>
              <w:t>☐  Individual human rights defender</w:t>
            </w:r>
          </w:p>
          <w:p w14:paraId="6B126E57" w14:textId="77777777" w:rsidR="00114585" w:rsidRPr="00ED061D" w:rsidRDefault="003E4EA2">
            <w:pPr>
              <w:ind w:left="394" w:hanging="394"/>
              <w:rPr>
                <w:lang w:val="en-GB"/>
              </w:rPr>
            </w:pPr>
            <w:r w:rsidRPr="00ED061D">
              <w:rPr>
                <w:lang w:val="en-GB"/>
              </w:rPr>
              <w:t>☐  Academic/training or research institution</w:t>
            </w:r>
          </w:p>
          <w:p w14:paraId="3D1FF89D" w14:textId="77777777" w:rsidR="00114585" w:rsidRPr="00ED061D" w:rsidRDefault="003E4EA2">
            <w:pPr>
              <w:ind w:left="394" w:hanging="394"/>
              <w:rPr>
                <w:lang w:val="en-GB"/>
              </w:rPr>
            </w:pPr>
            <w:r w:rsidRPr="00ED061D">
              <w:rPr>
                <w:lang w:val="en-GB"/>
              </w:rPr>
              <w:t>☐  Other (please specify)</w:t>
            </w:r>
          </w:p>
          <w:p w14:paraId="0E91865D" w14:textId="77777777" w:rsidR="00114585" w:rsidRPr="00ED061D" w:rsidRDefault="00114585">
            <w:pPr>
              <w:pBdr>
                <w:top w:val="nil"/>
                <w:left w:val="nil"/>
                <w:bottom w:val="nil"/>
                <w:right w:val="nil"/>
                <w:between w:val="nil"/>
              </w:pBdr>
              <w:rPr>
                <w:color w:val="000000"/>
                <w:lang w:val="en-GB"/>
              </w:rPr>
            </w:pPr>
          </w:p>
        </w:tc>
      </w:tr>
      <w:tr w:rsidR="00114585" w:rsidRPr="00ED061D" w14:paraId="0DD2A550" w14:textId="77777777">
        <w:trPr>
          <w:trHeight w:val="100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C4911" w14:textId="77777777" w:rsidR="00114585" w:rsidRPr="00ED061D" w:rsidRDefault="003E4EA2">
            <w:pPr>
              <w:pBdr>
                <w:top w:val="nil"/>
                <w:left w:val="nil"/>
                <w:bottom w:val="nil"/>
                <w:right w:val="nil"/>
                <w:between w:val="nil"/>
              </w:pBdr>
              <w:rPr>
                <w:color w:val="000000"/>
                <w:lang w:val="en-GB"/>
              </w:rPr>
            </w:pPr>
            <w:r w:rsidRPr="00ED061D">
              <w:rPr>
                <w:color w:val="000000"/>
                <w:lang w:val="en-GB"/>
              </w:rPr>
              <w:t>Name of Stakeholder/</w:t>
            </w:r>
            <w:r w:rsidRPr="00ED061D">
              <w:rPr>
                <w:color w:val="000000"/>
                <w:lang w:val="en-GB"/>
              </w:rPr>
              <w:br/>
              <w:t>Organization (if applicable)</w:t>
            </w:r>
          </w:p>
          <w:p w14:paraId="37BBFC8D" w14:textId="77777777" w:rsidR="00114585" w:rsidRPr="00ED061D" w:rsidRDefault="00114585">
            <w:pPr>
              <w:pBdr>
                <w:top w:val="nil"/>
                <w:left w:val="nil"/>
                <w:bottom w:val="nil"/>
                <w:right w:val="nil"/>
                <w:between w:val="nil"/>
              </w:pBdr>
              <w:rPr>
                <w:color w:val="000000"/>
                <w:sz w:val="6"/>
                <w:szCs w:val="6"/>
                <w:lang w:val="en-GB"/>
              </w:rPr>
            </w:pPr>
          </w:p>
          <w:p w14:paraId="41D46BDD" w14:textId="77777777" w:rsidR="00114585" w:rsidRPr="00ED061D" w:rsidRDefault="003E4EA2">
            <w:pPr>
              <w:pBdr>
                <w:top w:val="nil"/>
                <w:left w:val="nil"/>
                <w:bottom w:val="nil"/>
                <w:right w:val="nil"/>
                <w:between w:val="nil"/>
              </w:pBdr>
              <w:rPr>
                <w:color w:val="000000"/>
                <w:lang w:val="en-GB"/>
              </w:rPr>
            </w:pPr>
            <w:r w:rsidRPr="00ED061D">
              <w:rPr>
                <w:color w:val="000000"/>
                <w:lang w:val="en-GB"/>
              </w:rPr>
              <w:t>Name of Survey Respondent</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AD16F" w14:textId="77777777" w:rsidR="00114585" w:rsidRPr="00ED061D" w:rsidRDefault="003E4EA2">
            <w:pPr>
              <w:rPr>
                <w:lang w:val="en-GB"/>
              </w:rPr>
            </w:pPr>
            <w:r w:rsidRPr="00ED061D">
              <w:rPr>
                <w:lang w:val="en-GB"/>
              </w:rPr>
              <w:t>International Observatory of Human Rights;</w:t>
            </w:r>
          </w:p>
          <w:p w14:paraId="24814221" w14:textId="77777777" w:rsidR="00114585" w:rsidRPr="00ED061D" w:rsidRDefault="003E4EA2">
            <w:pPr>
              <w:rPr>
                <w:lang w:val="en-GB"/>
              </w:rPr>
            </w:pPr>
            <w:r w:rsidRPr="00ED061D">
              <w:rPr>
                <w:lang w:val="en-GB"/>
              </w:rPr>
              <w:t xml:space="preserve">The Arrested Lawyers Initiative </w:t>
            </w:r>
          </w:p>
        </w:tc>
      </w:tr>
      <w:tr w:rsidR="00114585" w:rsidRPr="00ED061D" w14:paraId="2C34C0BE" w14:textId="77777777">
        <w:trPr>
          <w:trHeight w:val="39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C9FD0" w14:textId="77777777" w:rsidR="00114585" w:rsidRPr="00ED061D" w:rsidRDefault="003E4EA2">
            <w:pPr>
              <w:pBdr>
                <w:top w:val="nil"/>
                <w:left w:val="nil"/>
                <w:bottom w:val="nil"/>
                <w:right w:val="nil"/>
                <w:between w:val="nil"/>
              </w:pBdr>
              <w:rPr>
                <w:color w:val="000000"/>
                <w:lang w:val="en-GB"/>
              </w:rPr>
            </w:pPr>
            <w:r w:rsidRPr="00ED061D">
              <w:rPr>
                <w:color w:val="000000"/>
                <w:lang w:val="en-GB"/>
              </w:rPr>
              <w:t>Email</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BDFC8" w14:textId="77777777" w:rsidR="00114585" w:rsidRPr="00ED061D" w:rsidRDefault="00621F2E">
            <w:pPr>
              <w:rPr>
                <w:lang w:val="en-GB"/>
              </w:rPr>
            </w:pPr>
            <w:hyperlink r:id="rId10">
              <w:r w:rsidR="003E4EA2" w:rsidRPr="00ED061D">
                <w:rPr>
                  <w:color w:val="1155CC"/>
                  <w:u w:val="single"/>
                  <w:lang w:val="en-GB"/>
                </w:rPr>
                <w:t>louise@observatoryihr.org</w:t>
              </w:r>
            </w:hyperlink>
            <w:r w:rsidR="003E4EA2" w:rsidRPr="00ED061D">
              <w:rPr>
                <w:lang w:val="en-GB"/>
              </w:rPr>
              <w:t xml:space="preserve"> </w:t>
            </w:r>
          </w:p>
        </w:tc>
      </w:tr>
      <w:tr w:rsidR="00114585" w:rsidRPr="00ED061D" w14:paraId="13AB62AB" w14:textId="77777777">
        <w:trPr>
          <w:trHeight w:val="1611"/>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2FEA1" w14:textId="77777777" w:rsidR="00114585" w:rsidRPr="00ED061D" w:rsidRDefault="003E4EA2">
            <w:pPr>
              <w:pBdr>
                <w:top w:val="nil"/>
                <w:left w:val="nil"/>
                <w:bottom w:val="nil"/>
                <w:right w:val="nil"/>
                <w:between w:val="nil"/>
              </w:pBdr>
              <w:rPr>
                <w:color w:val="000000"/>
                <w:sz w:val="20"/>
                <w:szCs w:val="20"/>
                <w:lang w:val="en-GB"/>
              </w:rPr>
            </w:pPr>
            <w:r w:rsidRPr="00ED061D">
              <w:rPr>
                <w:color w:val="000000"/>
                <w:lang w:val="en-GB"/>
              </w:rPr>
              <w:lastRenderedPageBreak/>
              <w:t xml:space="preserve">Can we attribute responses to this questionnaire to you or your </w:t>
            </w:r>
            <w:r w:rsidRPr="00ED061D">
              <w:rPr>
                <w:color w:val="000000"/>
                <w:lang w:val="en-GB"/>
              </w:rPr>
              <w:br/>
              <w:t>organization publicly</w:t>
            </w:r>
            <w:r w:rsidRPr="00ED061D">
              <w:rPr>
                <w:color w:val="000000"/>
                <w:sz w:val="20"/>
                <w:szCs w:val="20"/>
                <w:lang w:val="en-GB"/>
              </w:rPr>
              <w:t>*</w:t>
            </w:r>
            <w:r w:rsidRPr="00ED061D">
              <w:rPr>
                <w:color w:val="000000"/>
                <w:lang w:val="en-GB"/>
              </w:rPr>
              <w:t>?</w:t>
            </w:r>
            <w:r w:rsidRPr="00ED061D">
              <w:rPr>
                <w:color w:val="000000"/>
                <w:sz w:val="20"/>
                <w:szCs w:val="20"/>
                <w:lang w:val="en-GB"/>
              </w:rPr>
              <w:t xml:space="preserve"> </w:t>
            </w:r>
          </w:p>
          <w:p w14:paraId="7F7F5CDF" w14:textId="77777777" w:rsidR="00114585" w:rsidRPr="00ED061D" w:rsidRDefault="00114585">
            <w:pPr>
              <w:pBdr>
                <w:top w:val="nil"/>
                <w:left w:val="nil"/>
                <w:bottom w:val="nil"/>
                <w:right w:val="nil"/>
                <w:between w:val="nil"/>
              </w:pBdr>
              <w:rPr>
                <w:color w:val="000000"/>
                <w:sz w:val="20"/>
                <w:szCs w:val="20"/>
                <w:lang w:val="en-GB"/>
              </w:rPr>
            </w:pPr>
          </w:p>
          <w:p w14:paraId="541AD6EA" w14:textId="77777777" w:rsidR="00114585" w:rsidRPr="00ED061D" w:rsidRDefault="003E4EA2">
            <w:pPr>
              <w:pBdr>
                <w:top w:val="nil"/>
                <w:left w:val="nil"/>
                <w:bottom w:val="nil"/>
                <w:right w:val="nil"/>
                <w:between w:val="nil"/>
              </w:pBdr>
              <w:rPr>
                <w:color w:val="000000"/>
                <w:lang w:val="en-GB"/>
              </w:rPr>
            </w:pPr>
            <w:r w:rsidRPr="00ED061D">
              <w:rPr>
                <w:color w:val="000000"/>
                <w:sz w:val="20"/>
                <w:szCs w:val="20"/>
                <w:lang w:val="en-GB"/>
              </w:rPr>
              <w:t>*On OHCHR website, under the section of SR on human rights defenders.</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3AB3F" w14:textId="77777777" w:rsidR="00114585" w:rsidRPr="00ED061D" w:rsidRDefault="00114585">
            <w:pPr>
              <w:pBdr>
                <w:top w:val="nil"/>
                <w:left w:val="nil"/>
                <w:bottom w:val="nil"/>
                <w:right w:val="nil"/>
                <w:between w:val="nil"/>
              </w:pBdr>
              <w:rPr>
                <w:color w:val="000000"/>
                <w:lang w:val="en-GB"/>
              </w:rPr>
            </w:pPr>
          </w:p>
          <w:p w14:paraId="1BBD5A5E" w14:textId="77777777" w:rsidR="00114585" w:rsidRPr="00ED061D" w:rsidRDefault="003E4EA2">
            <w:pPr>
              <w:pBdr>
                <w:top w:val="nil"/>
                <w:left w:val="nil"/>
                <w:bottom w:val="nil"/>
                <w:right w:val="nil"/>
                <w:between w:val="nil"/>
              </w:pBdr>
              <w:rPr>
                <w:color w:val="000000"/>
                <w:lang w:val="en-GB"/>
              </w:rPr>
            </w:pPr>
            <w:r w:rsidRPr="00ED061D">
              <w:rPr>
                <w:b/>
                <w:color w:val="000000"/>
                <w:u w:val="single"/>
                <w:lang w:val="en-GB"/>
              </w:rPr>
              <w:t xml:space="preserve"> Yes  </w:t>
            </w:r>
            <w:r w:rsidRPr="00ED061D">
              <w:rPr>
                <w:color w:val="000000"/>
                <w:lang w:val="en-GB"/>
              </w:rPr>
              <w:t xml:space="preserve">    </w:t>
            </w:r>
          </w:p>
          <w:p w14:paraId="4A4090C1" w14:textId="77777777" w:rsidR="00114585" w:rsidRPr="00ED061D" w:rsidRDefault="00114585">
            <w:pPr>
              <w:pBdr>
                <w:top w:val="nil"/>
                <w:left w:val="nil"/>
                <w:bottom w:val="nil"/>
                <w:right w:val="nil"/>
                <w:between w:val="nil"/>
              </w:pBdr>
              <w:rPr>
                <w:color w:val="000000"/>
                <w:lang w:val="en-GB"/>
              </w:rPr>
            </w:pPr>
          </w:p>
          <w:p w14:paraId="29FE1654" w14:textId="77777777" w:rsidR="00114585" w:rsidRPr="00ED061D" w:rsidRDefault="003E4EA2">
            <w:pPr>
              <w:pBdr>
                <w:top w:val="nil"/>
                <w:left w:val="nil"/>
                <w:bottom w:val="nil"/>
                <w:right w:val="nil"/>
                <w:between w:val="nil"/>
              </w:pBdr>
              <w:rPr>
                <w:color w:val="000000"/>
                <w:lang w:val="en-GB"/>
              </w:rPr>
            </w:pPr>
            <w:r w:rsidRPr="00ED061D">
              <w:rPr>
                <w:color w:val="000000"/>
                <w:lang w:val="en-GB"/>
              </w:rPr>
              <w:t>Comments (if any):</w:t>
            </w:r>
          </w:p>
        </w:tc>
      </w:tr>
    </w:tbl>
    <w:p w14:paraId="30F4FEE8" w14:textId="77777777" w:rsidR="00114585" w:rsidRPr="00ED061D" w:rsidRDefault="00114585">
      <w:pPr>
        <w:pBdr>
          <w:top w:val="nil"/>
          <w:left w:val="nil"/>
          <w:bottom w:val="nil"/>
          <w:right w:val="nil"/>
          <w:between w:val="nil"/>
        </w:pBdr>
        <w:rPr>
          <w:b/>
          <w:lang w:val="en-GB"/>
        </w:rPr>
      </w:pPr>
    </w:p>
    <w:p w14:paraId="41E3DA61" w14:textId="77777777" w:rsidR="00114585" w:rsidRPr="00ED061D" w:rsidRDefault="003E4EA2">
      <w:pPr>
        <w:pBdr>
          <w:top w:val="nil"/>
          <w:left w:val="nil"/>
          <w:bottom w:val="nil"/>
          <w:right w:val="nil"/>
          <w:between w:val="nil"/>
        </w:pBdr>
        <w:rPr>
          <w:b/>
          <w:color w:val="000000"/>
          <w:lang w:val="en-GB"/>
        </w:rPr>
      </w:pPr>
      <w:r w:rsidRPr="00ED061D">
        <w:rPr>
          <w:b/>
          <w:color w:val="000000"/>
          <w:lang w:val="en-GB"/>
        </w:rPr>
        <w:t>Questions</w:t>
      </w:r>
    </w:p>
    <w:p w14:paraId="5D3D9BBF" w14:textId="77777777" w:rsidR="00114585" w:rsidRPr="00ED061D" w:rsidRDefault="00114585">
      <w:pPr>
        <w:pBdr>
          <w:top w:val="nil"/>
          <w:left w:val="nil"/>
          <w:bottom w:val="nil"/>
          <w:right w:val="nil"/>
          <w:between w:val="nil"/>
        </w:pBdr>
        <w:rPr>
          <w:color w:val="222222"/>
          <w:highlight w:val="white"/>
          <w:lang w:val="en-GB"/>
        </w:rPr>
      </w:pPr>
    </w:p>
    <w:p w14:paraId="1F8CC66E" w14:textId="77777777" w:rsidR="00114585" w:rsidRPr="00ED061D" w:rsidRDefault="003E4EA2">
      <w:pPr>
        <w:pBdr>
          <w:top w:val="nil"/>
          <w:left w:val="nil"/>
          <w:bottom w:val="nil"/>
          <w:right w:val="nil"/>
          <w:between w:val="nil"/>
        </w:pBdr>
        <w:rPr>
          <w:color w:val="222222"/>
          <w:highlight w:val="white"/>
          <w:lang w:val="en-GB"/>
        </w:rPr>
      </w:pPr>
      <w:r w:rsidRPr="00ED061D">
        <w:rPr>
          <w:color w:val="222222"/>
          <w:highlight w:val="white"/>
          <w:lang w:val="en-GB"/>
        </w:rPr>
        <w:t xml:space="preserve">Human rights defenders are persons, who individually, or in association with others, work peacefully to promote and protect universally recognized human rights and fundamental </w:t>
      </w:r>
      <w:r w:rsidRPr="00ED061D">
        <w:rPr>
          <w:color w:val="222222"/>
          <w:highlight w:val="white"/>
          <w:lang w:val="en-GB"/>
        </w:rPr>
        <w:br/>
        <w:t>freedoms, in accordance with the UN Declaration on Human Rights Defenders.</w:t>
      </w:r>
    </w:p>
    <w:p w14:paraId="76A52DD8" w14:textId="77777777" w:rsidR="00114585" w:rsidRPr="00ED061D" w:rsidRDefault="00114585">
      <w:pPr>
        <w:pBdr>
          <w:top w:val="nil"/>
          <w:left w:val="nil"/>
          <w:bottom w:val="nil"/>
          <w:right w:val="nil"/>
          <w:between w:val="nil"/>
        </w:pBdr>
        <w:rPr>
          <w:color w:val="000000"/>
          <w:lang w:val="en-GB"/>
        </w:rPr>
      </w:pPr>
    </w:p>
    <w:p w14:paraId="39DCA70A" w14:textId="77777777" w:rsidR="00114585" w:rsidRPr="00ED061D" w:rsidRDefault="003E4EA2">
      <w:pPr>
        <w:rPr>
          <w:color w:val="222222"/>
          <w:sz w:val="22"/>
          <w:szCs w:val="22"/>
          <w:lang w:val="en-GB"/>
        </w:rPr>
      </w:pPr>
      <w:r w:rsidRPr="00ED061D">
        <w:rPr>
          <w:lang w:val="en-GB"/>
        </w:rPr>
        <w:t>Defenders around the world peacefully promoting and defending human rights operate under national legal frameworks not always fully consistent with the United Nations Charter and international human rights law. In some instances, as echoed in multiple Human Rights Council and General Assembly resolutions</w:t>
      </w:r>
      <w:r w:rsidRPr="00ED061D">
        <w:rPr>
          <w:rFonts w:ascii="Calibri" w:eastAsia="Calibri" w:hAnsi="Calibri" w:cs="Calibri"/>
          <w:sz w:val="20"/>
          <w:szCs w:val="20"/>
          <w:vertAlign w:val="superscript"/>
          <w:lang w:val="en-GB"/>
        </w:rPr>
        <w:t>,</w:t>
      </w:r>
      <w:r w:rsidRPr="00ED061D">
        <w:rPr>
          <w:rFonts w:ascii="Calibri" w:eastAsia="Calibri" w:hAnsi="Calibri" w:cs="Calibri"/>
          <w:sz w:val="20"/>
          <w:szCs w:val="20"/>
          <w:vertAlign w:val="superscript"/>
          <w:lang w:val="en-GB"/>
        </w:rPr>
        <w:footnoteReference w:id="1"/>
      </w:r>
      <w:r w:rsidRPr="00ED061D">
        <w:rPr>
          <w:rFonts w:ascii="Calibri" w:eastAsia="Calibri" w:hAnsi="Calibri" w:cs="Calibri"/>
          <w:sz w:val="20"/>
          <w:szCs w:val="20"/>
          <w:vertAlign w:val="superscript"/>
          <w:lang w:val="en-GB"/>
        </w:rPr>
        <w:t>[1]</w:t>
      </w:r>
      <w:r w:rsidRPr="00ED061D">
        <w:rPr>
          <w:lang w:val="en-GB"/>
        </w:rPr>
        <w:t xml:space="preserve"> national legislation, in particular national </w:t>
      </w:r>
      <w:r w:rsidRPr="00ED061D">
        <w:rPr>
          <w:lang w:val="en-GB"/>
        </w:rPr>
        <w:br/>
        <w:t>security and counter-terrorism laws, or regulations on civil society and public freedoms have been misused to target defenders in a manner contrary to international law, that might result in long-term arbitrary deprivation of liberty</w:t>
      </w:r>
      <w:r w:rsidRPr="00ED061D">
        <w:rPr>
          <w:color w:val="222222"/>
          <w:lang w:val="en-GB"/>
        </w:rPr>
        <w:t xml:space="preserve">. </w:t>
      </w:r>
    </w:p>
    <w:p w14:paraId="6100EFF1" w14:textId="77777777" w:rsidR="00114585" w:rsidRPr="00ED061D" w:rsidRDefault="00114585">
      <w:pPr>
        <w:rPr>
          <w:color w:val="222222"/>
          <w:lang w:val="en-GB"/>
        </w:rPr>
      </w:pPr>
    </w:p>
    <w:p w14:paraId="7C01CB10" w14:textId="77777777" w:rsidR="00114585" w:rsidRPr="00ED061D" w:rsidRDefault="00114585">
      <w:pPr>
        <w:pBdr>
          <w:top w:val="nil"/>
          <w:left w:val="nil"/>
          <w:bottom w:val="nil"/>
          <w:right w:val="nil"/>
          <w:between w:val="nil"/>
        </w:pBdr>
        <w:rPr>
          <w:b/>
          <w:color w:val="222222"/>
          <w:highlight w:val="white"/>
          <w:lang w:val="en-GB"/>
        </w:rPr>
      </w:pPr>
    </w:p>
    <w:p w14:paraId="6BD80ED5" w14:textId="77777777" w:rsidR="00114585" w:rsidRPr="00ED061D" w:rsidRDefault="003E4EA2">
      <w:pPr>
        <w:pBdr>
          <w:top w:val="nil"/>
          <w:left w:val="nil"/>
          <w:bottom w:val="nil"/>
          <w:right w:val="nil"/>
          <w:between w:val="nil"/>
        </w:pBdr>
        <w:rPr>
          <w:color w:val="222222"/>
          <w:highlight w:val="white"/>
          <w:lang w:val="en-GB"/>
        </w:rPr>
      </w:pPr>
      <w:r w:rsidRPr="00ED061D">
        <w:rPr>
          <w:color w:val="222222"/>
          <w:highlight w:val="white"/>
          <w:lang w:val="en-GB"/>
        </w:rPr>
        <w:t>1) Do you know of any human rights defender(s) currently detained by States, who have been imprisoned on charges that carry a prison sentences of at least 10 years or more? Please provide a list of cases.</w:t>
      </w:r>
    </w:p>
    <w:p w14:paraId="5ABE027B" w14:textId="77777777" w:rsidR="00114585" w:rsidRPr="00ED061D" w:rsidRDefault="00114585">
      <w:pPr>
        <w:pBdr>
          <w:top w:val="nil"/>
          <w:left w:val="nil"/>
          <w:bottom w:val="nil"/>
          <w:right w:val="nil"/>
          <w:between w:val="nil"/>
        </w:pBdr>
        <w:ind w:left="720"/>
        <w:rPr>
          <w:color w:val="555555"/>
          <w:lang w:val="en-GB"/>
        </w:rPr>
      </w:pPr>
    </w:p>
    <w:p w14:paraId="46720153" w14:textId="77777777" w:rsidR="00114585" w:rsidRPr="00ED061D" w:rsidRDefault="003E4EA2">
      <w:pPr>
        <w:pBdr>
          <w:top w:val="nil"/>
          <w:left w:val="nil"/>
          <w:bottom w:val="nil"/>
          <w:right w:val="nil"/>
          <w:between w:val="nil"/>
        </w:pBdr>
        <w:rPr>
          <w:color w:val="222222"/>
          <w:highlight w:val="white"/>
          <w:lang w:val="en-GB"/>
        </w:rPr>
      </w:pPr>
      <w:r w:rsidRPr="00ED061D">
        <w:rPr>
          <w:color w:val="222222"/>
          <w:highlight w:val="white"/>
          <w:lang w:val="en-GB"/>
        </w:rPr>
        <w:t>2) Do you know of any human rights defender(s) currently detained by States, who have been imprisoned on continuous sentences amounting to 10 years or more? </w:t>
      </w:r>
      <w:r w:rsidRPr="00ED061D">
        <w:rPr>
          <w:color w:val="555555"/>
          <w:lang w:val="en-GB"/>
        </w:rPr>
        <w:t> </w:t>
      </w:r>
      <w:r w:rsidRPr="00ED061D">
        <w:rPr>
          <w:color w:val="222222"/>
          <w:highlight w:val="white"/>
          <w:lang w:val="en-GB"/>
        </w:rPr>
        <w:t>For example, a defender who completes a sentence of four years in detention but instead of being released is given another six year sentence? Please provide a list of cases or examples if possible. </w:t>
      </w:r>
    </w:p>
    <w:p w14:paraId="1EA9A26C" w14:textId="77777777" w:rsidR="00114585" w:rsidRPr="00ED061D" w:rsidRDefault="00114585">
      <w:pPr>
        <w:pBdr>
          <w:top w:val="nil"/>
          <w:left w:val="nil"/>
          <w:bottom w:val="nil"/>
          <w:right w:val="nil"/>
          <w:between w:val="nil"/>
        </w:pBdr>
        <w:rPr>
          <w:color w:val="222222"/>
          <w:highlight w:val="white"/>
          <w:lang w:val="en-GB"/>
        </w:rPr>
      </w:pPr>
    </w:p>
    <w:p w14:paraId="6CC8D7D5" w14:textId="77777777" w:rsidR="00114585" w:rsidRPr="00ED061D" w:rsidRDefault="003E4EA2">
      <w:pPr>
        <w:pBdr>
          <w:top w:val="nil"/>
          <w:left w:val="nil"/>
          <w:bottom w:val="nil"/>
          <w:right w:val="nil"/>
          <w:between w:val="nil"/>
        </w:pBdr>
        <w:rPr>
          <w:color w:val="222222"/>
          <w:highlight w:val="white"/>
          <w:lang w:val="en-GB"/>
        </w:rPr>
      </w:pPr>
      <w:r w:rsidRPr="00ED061D">
        <w:rPr>
          <w:color w:val="222222"/>
          <w:highlight w:val="white"/>
          <w:lang w:val="en-GB"/>
        </w:rPr>
        <w:t xml:space="preserve">3) Do you know of any human rights defender(s) whose time in pre-trial detention and/or </w:t>
      </w:r>
      <w:r w:rsidRPr="00ED061D">
        <w:rPr>
          <w:color w:val="222222"/>
          <w:highlight w:val="white"/>
          <w:lang w:val="en-GB"/>
        </w:rPr>
        <w:br/>
        <w:t>administrative detention by States combines with a sentence that amounts, or would amount to 10 years or more? Please provide a list of cases.</w:t>
      </w:r>
    </w:p>
    <w:p w14:paraId="700CF4F8" w14:textId="77777777" w:rsidR="00114585" w:rsidRPr="00ED061D" w:rsidRDefault="00114585">
      <w:pPr>
        <w:pBdr>
          <w:top w:val="nil"/>
          <w:left w:val="nil"/>
          <w:bottom w:val="nil"/>
          <w:right w:val="nil"/>
          <w:between w:val="nil"/>
        </w:pBdr>
        <w:rPr>
          <w:color w:val="222222"/>
          <w:highlight w:val="white"/>
          <w:lang w:val="en-GB"/>
        </w:rPr>
      </w:pPr>
    </w:p>
    <w:p w14:paraId="3C1ED231" w14:textId="77777777" w:rsidR="00114585" w:rsidRPr="00ED061D" w:rsidRDefault="003E4EA2">
      <w:pPr>
        <w:pBdr>
          <w:top w:val="nil"/>
          <w:left w:val="nil"/>
          <w:bottom w:val="nil"/>
          <w:right w:val="nil"/>
          <w:between w:val="nil"/>
        </w:pBdr>
        <w:rPr>
          <w:color w:val="222222"/>
          <w:highlight w:val="white"/>
          <w:lang w:val="en-GB"/>
        </w:rPr>
      </w:pPr>
      <w:r w:rsidRPr="00ED061D">
        <w:rPr>
          <w:color w:val="222222"/>
          <w:highlight w:val="white"/>
          <w:lang w:val="en-GB"/>
        </w:rPr>
        <w:t xml:space="preserve">4) Do you know of any human rights defender(s) </w:t>
      </w:r>
      <w:r w:rsidRPr="00ED061D">
        <w:rPr>
          <w:color w:val="000000"/>
          <w:lang w:val="en-GB"/>
        </w:rPr>
        <w:t>falling under any of the previous categories above, who were released before ending their long-term prison sentences for any reasons (e.g. granted a pardon, as a result of an appeal, or released on humanitarian or other grounds)? Please provide a list of cases.</w:t>
      </w:r>
    </w:p>
    <w:p w14:paraId="057284A3" w14:textId="77777777" w:rsidR="00114585" w:rsidRPr="00ED061D" w:rsidRDefault="00114585">
      <w:pPr>
        <w:pBdr>
          <w:top w:val="nil"/>
          <w:left w:val="nil"/>
          <w:bottom w:val="nil"/>
          <w:right w:val="nil"/>
          <w:between w:val="nil"/>
        </w:pBdr>
        <w:rPr>
          <w:color w:val="222222"/>
          <w:highlight w:val="white"/>
          <w:lang w:val="en-GB"/>
        </w:rPr>
      </w:pPr>
    </w:p>
    <w:p w14:paraId="155704BC" w14:textId="77777777" w:rsidR="00114585" w:rsidRPr="00ED061D" w:rsidRDefault="003E4EA2">
      <w:pPr>
        <w:pBdr>
          <w:top w:val="nil"/>
          <w:left w:val="nil"/>
          <w:bottom w:val="nil"/>
          <w:right w:val="nil"/>
          <w:between w:val="nil"/>
        </w:pBdr>
        <w:jc w:val="both"/>
        <w:rPr>
          <w:color w:val="222222"/>
          <w:highlight w:val="white"/>
          <w:lang w:val="en-GB"/>
        </w:rPr>
      </w:pPr>
      <w:r w:rsidRPr="00ED061D">
        <w:rPr>
          <w:color w:val="222222"/>
          <w:highlight w:val="white"/>
          <w:lang w:val="en-GB"/>
        </w:rPr>
        <w:t>5) What actions do you suggest the Special Rapporteur can take to:</w:t>
      </w:r>
    </w:p>
    <w:p w14:paraId="465D5785" w14:textId="77777777" w:rsidR="00114585" w:rsidRPr="00ED061D" w:rsidRDefault="00114585">
      <w:pPr>
        <w:pBdr>
          <w:top w:val="nil"/>
          <w:left w:val="nil"/>
          <w:bottom w:val="nil"/>
          <w:right w:val="nil"/>
          <w:between w:val="nil"/>
        </w:pBdr>
        <w:jc w:val="both"/>
        <w:rPr>
          <w:color w:val="222222"/>
          <w:highlight w:val="white"/>
          <w:lang w:val="en-GB"/>
        </w:rPr>
      </w:pPr>
    </w:p>
    <w:p w14:paraId="05F35E24" w14:textId="77777777" w:rsidR="00114585" w:rsidRPr="00ED061D" w:rsidRDefault="003E4EA2">
      <w:pPr>
        <w:numPr>
          <w:ilvl w:val="0"/>
          <w:numId w:val="1"/>
        </w:numPr>
        <w:pBdr>
          <w:top w:val="nil"/>
          <w:left w:val="nil"/>
          <w:bottom w:val="nil"/>
          <w:right w:val="nil"/>
          <w:between w:val="nil"/>
        </w:pBdr>
        <w:jc w:val="both"/>
        <w:rPr>
          <w:color w:val="222222"/>
          <w:highlight w:val="white"/>
          <w:lang w:val="en-GB"/>
        </w:rPr>
      </w:pPr>
      <w:r w:rsidRPr="00ED061D">
        <w:rPr>
          <w:color w:val="222222"/>
          <w:highlight w:val="white"/>
          <w:lang w:val="en-GB"/>
        </w:rPr>
        <w:t xml:space="preserve">Prevent defenders from being </w:t>
      </w:r>
      <w:r w:rsidRPr="00ED061D">
        <w:rPr>
          <w:color w:val="000000"/>
          <w:lang w:val="en-GB"/>
        </w:rPr>
        <w:t>detained for long terms in connection to their human rights work</w:t>
      </w:r>
      <w:r w:rsidRPr="00ED061D">
        <w:rPr>
          <w:color w:val="222222"/>
          <w:highlight w:val="white"/>
          <w:lang w:val="en-GB"/>
        </w:rPr>
        <w:t>? and</w:t>
      </w:r>
    </w:p>
    <w:p w14:paraId="646F2FDE" w14:textId="77777777" w:rsidR="00114585" w:rsidRPr="00ED061D" w:rsidRDefault="003E4EA2">
      <w:pPr>
        <w:numPr>
          <w:ilvl w:val="0"/>
          <w:numId w:val="1"/>
        </w:numPr>
        <w:pBdr>
          <w:top w:val="nil"/>
          <w:left w:val="nil"/>
          <w:bottom w:val="nil"/>
          <w:right w:val="nil"/>
          <w:between w:val="nil"/>
        </w:pBdr>
        <w:jc w:val="both"/>
        <w:rPr>
          <w:color w:val="222222"/>
          <w:highlight w:val="white"/>
          <w:lang w:val="en-GB"/>
        </w:rPr>
      </w:pPr>
      <w:r w:rsidRPr="00ED061D">
        <w:rPr>
          <w:color w:val="222222"/>
          <w:highlight w:val="white"/>
          <w:lang w:val="en-GB"/>
        </w:rPr>
        <w:t>Have those human rights defenders arbitrarily detained under long sentences released?</w:t>
      </w:r>
    </w:p>
    <w:p w14:paraId="188C389C" w14:textId="77777777" w:rsidR="00114585" w:rsidRPr="00ED061D" w:rsidRDefault="00114585">
      <w:pPr>
        <w:pBdr>
          <w:top w:val="nil"/>
          <w:left w:val="nil"/>
          <w:bottom w:val="nil"/>
          <w:right w:val="nil"/>
          <w:between w:val="nil"/>
        </w:pBdr>
        <w:rPr>
          <w:color w:val="222222"/>
          <w:highlight w:val="white"/>
          <w:lang w:val="en-GB"/>
        </w:rPr>
      </w:pPr>
    </w:p>
    <w:p w14:paraId="44A35AAF" w14:textId="49DAB6E0" w:rsidR="001F4959" w:rsidRDefault="003E4EA2" w:rsidP="001F4959">
      <w:pPr>
        <w:pBdr>
          <w:top w:val="single" w:sz="4" w:space="1" w:color="000000"/>
          <w:left w:val="single" w:sz="4" w:space="1" w:color="000000"/>
          <w:bottom w:val="single" w:sz="4" w:space="1" w:color="000000"/>
          <w:right w:val="single" w:sz="4" w:space="1" w:color="000000"/>
        </w:pBdr>
        <w:rPr>
          <w:lang w:val="en-GB"/>
        </w:rPr>
        <w:sectPr w:rsidR="001F4959">
          <w:headerReference w:type="even" r:id="rId11"/>
          <w:headerReference w:type="default" r:id="rId12"/>
          <w:footerReference w:type="even" r:id="rId13"/>
          <w:footerReference w:type="default" r:id="rId14"/>
          <w:pgSz w:w="11900" w:h="16840"/>
          <w:pgMar w:top="1440" w:right="1440" w:bottom="1440" w:left="1440" w:header="708" w:footer="708" w:gutter="0"/>
          <w:pgNumType w:start="1"/>
          <w:cols w:space="720"/>
          <w:titlePg/>
        </w:sectPr>
      </w:pPr>
      <w:r w:rsidRPr="00ED061D">
        <w:rPr>
          <w:b/>
          <w:lang w:val="en-GB"/>
        </w:rPr>
        <w:t>NOTE</w:t>
      </w:r>
      <w:r w:rsidRPr="00ED061D">
        <w:rPr>
          <w:lang w:val="en-GB"/>
        </w:rPr>
        <w:t>: When providing the list of cases/examples under each question, please include:</w:t>
      </w:r>
      <w:r w:rsidRPr="00ED061D">
        <w:rPr>
          <w:color w:val="222222"/>
          <w:highlight w:val="white"/>
          <w:lang w:val="en-GB"/>
        </w:rPr>
        <w:t xml:space="preserve"> the name of the human rights defender(s), a summary of their human rights work, history of </w:t>
      </w:r>
      <w:r w:rsidRPr="00ED061D">
        <w:rPr>
          <w:color w:val="222222"/>
          <w:highlight w:val="white"/>
          <w:lang w:val="en-GB"/>
        </w:rPr>
        <w:br/>
        <w:t xml:space="preserve">detention (date of arrest(s), charges and conviction including articles of the relevant law(s)), a brief explanation of facts relevant to their case).  </w:t>
      </w:r>
    </w:p>
    <w:p w14:paraId="2E81ECCE" w14:textId="77777777" w:rsidR="00114585" w:rsidRPr="00ED061D" w:rsidRDefault="00114585">
      <w:pPr>
        <w:spacing w:line="276" w:lineRule="auto"/>
        <w:jc w:val="both"/>
        <w:rPr>
          <w:lang w:val="en-GB"/>
        </w:rPr>
      </w:pPr>
      <w:bookmarkStart w:id="2" w:name="_heading=h.o3mot9ungp9e" w:colFirst="0" w:colLast="0"/>
      <w:bookmarkEnd w:id="2"/>
    </w:p>
    <w:p w14:paraId="496665D7" w14:textId="195F6ABD" w:rsidR="00114585" w:rsidRPr="00ED061D" w:rsidRDefault="006D655C">
      <w:pPr>
        <w:spacing w:line="276" w:lineRule="auto"/>
        <w:jc w:val="both"/>
        <w:rPr>
          <w:color w:val="222222"/>
          <w:highlight w:val="white"/>
          <w:lang w:val="en-GB"/>
        </w:rPr>
      </w:pPr>
      <w:r w:rsidRPr="006D655C">
        <w:rPr>
          <w:b/>
          <w:bCs/>
          <w:lang w:val="en-GB"/>
        </w:rPr>
        <w:t>Summary:</w:t>
      </w:r>
      <w:r>
        <w:rPr>
          <w:lang w:val="en-GB"/>
        </w:rPr>
        <w:t xml:space="preserve"> </w:t>
      </w:r>
      <w:r w:rsidR="003E4EA2" w:rsidRPr="00ED061D">
        <w:rPr>
          <w:lang w:val="en-GB"/>
        </w:rPr>
        <w:t>This submission focuses on the imprisonment of Human Rights Defenders (HRDs), specifically lawyers, in the Republic of Turkey. M</w:t>
      </w:r>
      <w:r w:rsidR="003E4EA2" w:rsidRPr="00ED061D">
        <w:rPr>
          <w:color w:val="222222"/>
          <w:highlight w:val="white"/>
          <w:lang w:val="en-GB"/>
        </w:rPr>
        <w:t>ore than 1600 lawyers have been arrested and prosecuted while 615 lawyers have been remanded to pretrial detention. So far, 450 lawyers have been sentenced to a total of 2786 years in prison on the grounds of membership of an armed terrorism organization.</w:t>
      </w:r>
      <w:r w:rsidR="003E4EA2" w:rsidRPr="00ED061D">
        <w:rPr>
          <w:color w:val="222222"/>
          <w:highlight w:val="white"/>
          <w:vertAlign w:val="superscript"/>
          <w:lang w:val="en-GB"/>
        </w:rPr>
        <w:footnoteReference w:id="2"/>
      </w:r>
    </w:p>
    <w:p w14:paraId="0C7E8765" w14:textId="77777777" w:rsidR="006D655C" w:rsidRPr="00EB755E" w:rsidRDefault="006D655C" w:rsidP="006D655C">
      <w:pPr>
        <w:pStyle w:val="Heading1"/>
        <w:spacing w:before="400" w:line="276" w:lineRule="auto"/>
        <w:rPr>
          <w:rFonts w:eastAsia="Arial"/>
          <w:bCs/>
          <w:sz w:val="28"/>
          <w:szCs w:val="28"/>
          <w:lang w:val="en-GB"/>
        </w:rPr>
      </w:pPr>
      <w:r w:rsidRPr="00EB755E">
        <w:rPr>
          <w:rFonts w:eastAsia="Arial"/>
          <w:bCs/>
          <w:sz w:val="28"/>
          <w:szCs w:val="28"/>
          <w:lang w:val="en-GB"/>
        </w:rPr>
        <w:t xml:space="preserve">1) Human Rights Defenders currently detained by Turkey on long-term prison sentences </w:t>
      </w:r>
    </w:p>
    <w:p w14:paraId="785DBC1F" w14:textId="77777777" w:rsidR="00114585" w:rsidRPr="00ED061D" w:rsidRDefault="00114585">
      <w:pPr>
        <w:spacing w:line="276" w:lineRule="auto"/>
        <w:jc w:val="both"/>
        <w:rPr>
          <w:color w:val="222222"/>
          <w:highlight w:val="white"/>
          <w:lang w:val="en-GB"/>
        </w:rPr>
      </w:pPr>
    </w:p>
    <w:p w14:paraId="3F06FB5B" w14:textId="77777777" w:rsidR="00114585" w:rsidRPr="00ED061D" w:rsidRDefault="003E4EA2">
      <w:pPr>
        <w:spacing w:line="276" w:lineRule="auto"/>
        <w:jc w:val="both"/>
        <w:rPr>
          <w:lang w:val="en-GB"/>
        </w:rPr>
      </w:pPr>
      <w:r w:rsidRPr="00ED061D">
        <w:rPr>
          <w:color w:val="222222"/>
          <w:highlight w:val="white"/>
          <w:lang w:val="en-GB"/>
        </w:rPr>
        <w:t xml:space="preserve">Article </w:t>
      </w:r>
      <w:r w:rsidRPr="00ED061D">
        <w:rPr>
          <w:lang w:val="en-GB"/>
        </w:rPr>
        <w:t xml:space="preserve">314 (2) Turkish Penal Code 5237 (TPC), which criminalises membership in an armed group, does not contain a definition of what constitutes armed organizations and armed groups, nor the offense of membership. Furthermore, according to Article 220 (7) TPC, any person who aids and abets an organisation knowingly and willingly, although they do not belong to the structure of that organisation, shall also be sentenced for the offence of being a member of that organisation. The Court of Cassation has decided that the mere use of a certain bank account or secure messaging app constitutes evidence of membership of, as well as aiding and abetting a terrorist organization. Lawyers’ representation of certain clients, visiting them in prison, making statements to the press, tweeting about ECtHR cases, contacting international organizations, and criticizing state practices, have all been used as a basis for convicting lawyers. Finally, Article 5 (1) of the Anti-Terrorism Law 3713 increases the penalties of imprisonment by one half for terrorism-related offences. </w:t>
      </w:r>
    </w:p>
    <w:p w14:paraId="09E5A2E9" w14:textId="77777777" w:rsidR="00114585" w:rsidRPr="00ED061D" w:rsidRDefault="00114585">
      <w:pPr>
        <w:spacing w:line="276" w:lineRule="auto"/>
        <w:jc w:val="both"/>
        <w:rPr>
          <w:lang w:val="en-GB"/>
        </w:rPr>
      </w:pPr>
    </w:p>
    <w:p w14:paraId="49A777BF" w14:textId="79D1CB41" w:rsidR="00114585" w:rsidRPr="00ED061D" w:rsidRDefault="003E4EA2">
      <w:pPr>
        <w:spacing w:line="276" w:lineRule="auto"/>
        <w:jc w:val="both"/>
        <w:rPr>
          <w:lang w:val="en-GB"/>
        </w:rPr>
      </w:pPr>
      <w:r w:rsidRPr="00ED061D">
        <w:rPr>
          <w:lang w:val="en-GB"/>
        </w:rPr>
        <w:t>According to a statement by Amnesty International, lawyers arrested in September 2020 were mainly questioned in relation to their professional activities such as the types of cases they litigate and the number of cases related to suspects alleged to have links with the Gülen movement; contractual and monetary relations with their clients; how they find their clients; the average fee charged to the clients and their professional relations with other lawyers, such as attending each other’s hearings or allocating case files to each other, implying an organizational relationship.</w:t>
      </w:r>
      <w:r w:rsidR="00ED061D" w:rsidRPr="00ED061D">
        <w:rPr>
          <w:lang w:val="en-GB"/>
        </w:rPr>
        <w:t xml:space="preserve"> </w:t>
      </w:r>
      <w:r w:rsidRPr="00ED061D">
        <w:rPr>
          <w:lang w:val="en-GB"/>
        </w:rPr>
        <w:t>They were also interrogated in relation to their historic mobile traffic search (HTS) records and wiretapped telephone conversations with their clients and colleagues which should have remained confidential to protect lawyer-client confidentiality.</w:t>
      </w:r>
      <w:r w:rsidRPr="00ED061D">
        <w:rPr>
          <w:vertAlign w:val="superscript"/>
          <w:lang w:val="en-GB"/>
        </w:rPr>
        <w:footnoteReference w:id="3"/>
      </w:r>
    </w:p>
    <w:p w14:paraId="237A3E1E" w14:textId="1AB52477" w:rsidR="00114585" w:rsidRDefault="00114585">
      <w:pPr>
        <w:spacing w:line="276" w:lineRule="auto"/>
        <w:jc w:val="both"/>
        <w:rPr>
          <w:color w:val="222222"/>
          <w:highlight w:val="white"/>
          <w:lang w:val="en-GB"/>
        </w:rPr>
      </w:pPr>
    </w:p>
    <w:p w14:paraId="23ADC44A" w14:textId="77777777" w:rsidR="00114585" w:rsidRPr="00ED061D" w:rsidRDefault="003E4EA2">
      <w:pPr>
        <w:spacing w:line="276" w:lineRule="auto"/>
        <w:jc w:val="both"/>
        <w:rPr>
          <w:b/>
          <w:lang w:val="en-GB"/>
        </w:rPr>
      </w:pPr>
      <w:r w:rsidRPr="00ED061D">
        <w:rPr>
          <w:lang w:val="en-GB"/>
        </w:rPr>
        <w:t>The following list provides details of lawyers who are currently detained by the Republic of Turkey:</w:t>
      </w:r>
      <w:r w:rsidRPr="00ED061D">
        <w:rPr>
          <w:vertAlign w:val="superscript"/>
          <w:lang w:val="en-GB"/>
        </w:rPr>
        <w:footnoteReference w:id="4"/>
      </w:r>
      <w:r w:rsidRPr="00ED061D">
        <w:rPr>
          <w:lang w:val="en-GB"/>
        </w:rPr>
        <w:t xml:space="preserve"> </w:t>
      </w:r>
    </w:p>
    <w:p w14:paraId="5C5017FC" w14:textId="77777777" w:rsidR="00114585" w:rsidRPr="00ED061D" w:rsidRDefault="00114585">
      <w:pPr>
        <w:spacing w:line="276" w:lineRule="auto"/>
        <w:jc w:val="both"/>
        <w:rPr>
          <w:b/>
          <w:lang w:val="en-GB"/>
        </w:rPr>
      </w:pPr>
    </w:p>
    <w:tbl>
      <w:tblPr>
        <w:tblStyle w:val="a0"/>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5"/>
        <w:gridCol w:w="2255"/>
        <w:gridCol w:w="2255"/>
        <w:gridCol w:w="2255"/>
      </w:tblGrid>
      <w:tr w:rsidR="00114585" w:rsidRPr="00ED061D" w14:paraId="095B622F" w14:textId="77777777">
        <w:tc>
          <w:tcPr>
            <w:tcW w:w="2255" w:type="dxa"/>
            <w:shd w:val="clear" w:color="auto" w:fill="auto"/>
            <w:tcMar>
              <w:top w:w="100" w:type="dxa"/>
              <w:left w:w="100" w:type="dxa"/>
              <w:bottom w:w="100" w:type="dxa"/>
              <w:right w:w="100" w:type="dxa"/>
            </w:tcMar>
          </w:tcPr>
          <w:p w14:paraId="07B4F4DE" w14:textId="77777777" w:rsidR="00114585" w:rsidRPr="00ED061D" w:rsidRDefault="003E4EA2">
            <w:pPr>
              <w:widowControl w:val="0"/>
              <w:jc w:val="center"/>
              <w:rPr>
                <w:b/>
                <w:lang w:val="en-GB"/>
              </w:rPr>
            </w:pPr>
            <w:r w:rsidRPr="00ED061D">
              <w:rPr>
                <w:b/>
                <w:lang w:val="en-GB"/>
              </w:rPr>
              <w:t>Name</w:t>
            </w:r>
          </w:p>
        </w:tc>
        <w:tc>
          <w:tcPr>
            <w:tcW w:w="2255" w:type="dxa"/>
            <w:shd w:val="clear" w:color="auto" w:fill="auto"/>
            <w:tcMar>
              <w:top w:w="100" w:type="dxa"/>
              <w:left w:w="100" w:type="dxa"/>
              <w:bottom w:w="100" w:type="dxa"/>
              <w:right w:w="100" w:type="dxa"/>
            </w:tcMar>
          </w:tcPr>
          <w:p w14:paraId="4422A5B7" w14:textId="77777777" w:rsidR="00114585" w:rsidRPr="00ED061D" w:rsidRDefault="003E4EA2">
            <w:pPr>
              <w:widowControl w:val="0"/>
              <w:jc w:val="center"/>
              <w:rPr>
                <w:b/>
                <w:lang w:val="en-GB"/>
              </w:rPr>
            </w:pPr>
            <w:r w:rsidRPr="00ED061D">
              <w:rPr>
                <w:b/>
                <w:lang w:val="en-GB"/>
              </w:rPr>
              <w:t>Length of Prison Sentence</w:t>
            </w:r>
          </w:p>
        </w:tc>
        <w:tc>
          <w:tcPr>
            <w:tcW w:w="2255" w:type="dxa"/>
            <w:shd w:val="clear" w:color="auto" w:fill="auto"/>
            <w:tcMar>
              <w:top w:w="100" w:type="dxa"/>
              <w:left w:w="100" w:type="dxa"/>
              <w:bottom w:w="100" w:type="dxa"/>
              <w:right w:w="100" w:type="dxa"/>
            </w:tcMar>
          </w:tcPr>
          <w:p w14:paraId="003C38BF" w14:textId="77777777" w:rsidR="00114585" w:rsidRPr="00ED061D" w:rsidRDefault="003E4EA2">
            <w:pPr>
              <w:widowControl w:val="0"/>
              <w:jc w:val="center"/>
              <w:rPr>
                <w:b/>
                <w:lang w:val="en-GB"/>
              </w:rPr>
            </w:pPr>
            <w:r w:rsidRPr="00ED061D">
              <w:rPr>
                <w:b/>
                <w:lang w:val="en-GB"/>
              </w:rPr>
              <w:t xml:space="preserve">Date of Conviction </w:t>
            </w:r>
          </w:p>
        </w:tc>
        <w:tc>
          <w:tcPr>
            <w:tcW w:w="2255" w:type="dxa"/>
            <w:shd w:val="clear" w:color="auto" w:fill="auto"/>
            <w:tcMar>
              <w:top w:w="100" w:type="dxa"/>
              <w:left w:w="100" w:type="dxa"/>
              <w:bottom w:w="100" w:type="dxa"/>
              <w:right w:w="100" w:type="dxa"/>
            </w:tcMar>
          </w:tcPr>
          <w:p w14:paraId="2159B402" w14:textId="77777777" w:rsidR="00114585" w:rsidRPr="00ED061D" w:rsidRDefault="003E4EA2">
            <w:pPr>
              <w:widowControl w:val="0"/>
              <w:jc w:val="center"/>
              <w:rPr>
                <w:b/>
                <w:lang w:val="en-GB"/>
              </w:rPr>
            </w:pPr>
            <w:r w:rsidRPr="00ED061D">
              <w:rPr>
                <w:b/>
                <w:lang w:val="en-GB"/>
              </w:rPr>
              <w:t xml:space="preserve">Court/District </w:t>
            </w:r>
          </w:p>
        </w:tc>
      </w:tr>
      <w:tr w:rsidR="00114585" w:rsidRPr="00ED061D" w14:paraId="491A1DD2" w14:textId="77777777">
        <w:tc>
          <w:tcPr>
            <w:tcW w:w="2255" w:type="dxa"/>
            <w:shd w:val="clear" w:color="auto" w:fill="auto"/>
            <w:tcMar>
              <w:top w:w="100" w:type="dxa"/>
              <w:left w:w="100" w:type="dxa"/>
              <w:bottom w:w="100" w:type="dxa"/>
              <w:right w:w="100" w:type="dxa"/>
            </w:tcMar>
          </w:tcPr>
          <w:p w14:paraId="11D26272" w14:textId="77777777" w:rsidR="00114585" w:rsidRPr="00ED061D" w:rsidRDefault="003E4EA2">
            <w:pPr>
              <w:jc w:val="center"/>
              <w:rPr>
                <w:lang w:val="en-GB"/>
              </w:rPr>
            </w:pPr>
            <w:r w:rsidRPr="00ED061D">
              <w:rPr>
                <w:lang w:val="en-GB"/>
              </w:rPr>
              <w:t>Ali Aksoy</w:t>
            </w:r>
          </w:p>
        </w:tc>
        <w:tc>
          <w:tcPr>
            <w:tcW w:w="2255" w:type="dxa"/>
            <w:shd w:val="clear" w:color="auto" w:fill="auto"/>
            <w:tcMar>
              <w:top w:w="100" w:type="dxa"/>
              <w:left w:w="100" w:type="dxa"/>
              <w:bottom w:w="100" w:type="dxa"/>
              <w:right w:w="100" w:type="dxa"/>
            </w:tcMar>
          </w:tcPr>
          <w:p w14:paraId="4F1759D3" w14:textId="77777777" w:rsidR="00114585" w:rsidRPr="00ED061D" w:rsidRDefault="003E4EA2">
            <w:pPr>
              <w:jc w:val="center"/>
              <w:rPr>
                <w:lang w:val="en-GB"/>
              </w:rPr>
            </w:pPr>
            <w:r w:rsidRPr="00ED061D">
              <w:rPr>
                <w:lang w:val="en-GB"/>
              </w:rPr>
              <w:t>Sentenced to 11 years and 3 months under Art 314 (2) TPC</w:t>
            </w:r>
          </w:p>
          <w:p w14:paraId="4DDDC626" w14:textId="77777777" w:rsidR="00114585" w:rsidRPr="00ED061D" w:rsidRDefault="003E4EA2">
            <w:pPr>
              <w:jc w:val="center"/>
              <w:rPr>
                <w:lang w:val="en-GB"/>
              </w:rPr>
            </w:pPr>
            <w:r w:rsidRPr="00ED061D">
              <w:rPr>
                <w:lang w:val="en-GB"/>
              </w:rPr>
              <w:t>(also convicted for insulting the president and others, amounting to a sentence of 19 years and 9 months imprisonment)</w:t>
            </w:r>
          </w:p>
          <w:p w14:paraId="5007791E" w14:textId="77777777" w:rsidR="00114585" w:rsidRPr="00ED061D" w:rsidRDefault="00114585">
            <w:pPr>
              <w:jc w:val="center"/>
              <w:rPr>
                <w:lang w:val="en-GB"/>
              </w:rPr>
            </w:pPr>
          </w:p>
        </w:tc>
        <w:tc>
          <w:tcPr>
            <w:tcW w:w="2255" w:type="dxa"/>
            <w:shd w:val="clear" w:color="auto" w:fill="auto"/>
            <w:tcMar>
              <w:top w:w="100" w:type="dxa"/>
              <w:left w:w="100" w:type="dxa"/>
              <w:bottom w:w="100" w:type="dxa"/>
              <w:right w:w="100" w:type="dxa"/>
            </w:tcMar>
          </w:tcPr>
          <w:p w14:paraId="49BE6185" w14:textId="77777777" w:rsidR="00114585" w:rsidRPr="00ED061D" w:rsidRDefault="003E4EA2">
            <w:pPr>
              <w:jc w:val="center"/>
              <w:rPr>
                <w:lang w:val="en-GB"/>
              </w:rPr>
            </w:pPr>
            <w:r w:rsidRPr="00ED061D">
              <w:rPr>
                <w:lang w:val="en-GB"/>
              </w:rPr>
              <w:t>17.07.2018</w:t>
            </w:r>
          </w:p>
        </w:tc>
        <w:tc>
          <w:tcPr>
            <w:tcW w:w="2255" w:type="dxa"/>
            <w:shd w:val="clear" w:color="auto" w:fill="auto"/>
            <w:tcMar>
              <w:top w:w="100" w:type="dxa"/>
              <w:left w:w="100" w:type="dxa"/>
              <w:bottom w:w="100" w:type="dxa"/>
              <w:right w:w="100" w:type="dxa"/>
            </w:tcMar>
          </w:tcPr>
          <w:p w14:paraId="27AFFB31" w14:textId="77777777" w:rsidR="00114585" w:rsidRPr="00ED061D" w:rsidRDefault="003E4EA2">
            <w:pPr>
              <w:jc w:val="center"/>
              <w:rPr>
                <w:lang w:val="en-GB"/>
              </w:rPr>
            </w:pPr>
            <w:r w:rsidRPr="00ED061D">
              <w:rPr>
                <w:lang w:val="en-GB"/>
              </w:rPr>
              <w:t>İzmir 13th High Criminal Court</w:t>
            </w:r>
          </w:p>
          <w:p w14:paraId="25445268" w14:textId="77777777" w:rsidR="00114585" w:rsidRPr="00ED061D" w:rsidRDefault="00114585">
            <w:pPr>
              <w:jc w:val="center"/>
              <w:rPr>
                <w:lang w:val="en-GB"/>
              </w:rPr>
            </w:pPr>
          </w:p>
        </w:tc>
      </w:tr>
      <w:tr w:rsidR="00114585" w:rsidRPr="00ED061D" w14:paraId="69D31AEA" w14:textId="77777777">
        <w:tc>
          <w:tcPr>
            <w:tcW w:w="2255" w:type="dxa"/>
            <w:shd w:val="clear" w:color="auto" w:fill="auto"/>
            <w:tcMar>
              <w:top w:w="100" w:type="dxa"/>
              <w:left w:w="100" w:type="dxa"/>
              <w:bottom w:w="100" w:type="dxa"/>
              <w:right w:w="100" w:type="dxa"/>
            </w:tcMar>
          </w:tcPr>
          <w:p w14:paraId="09F6EA6B" w14:textId="77777777" w:rsidR="00114585" w:rsidRPr="00ED061D" w:rsidRDefault="003E4EA2">
            <w:pPr>
              <w:jc w:val="center"/>
              <w:rPr>
                <w:lang w:val="en-GB"/>
              </w:rPr>
            </w:pPr>
            <w:r w:rsidRPr="00ED061D">
              <w:rPr>
                <w:lang w:val="en-GB"/>
              </w:rPr>
              <w:t>Barkin Timtik</w:t>
            </w:r>
            <w:r w:rsidRPr="00ED061D">
              <w:rPr>
                <w:vertAlign w:val="superscript"/>
                <w:lang w:val="en-GB"/>
              </w:rPr>
              <w:footnoteReference w:id="5"/>
            </w:r>
          </w:p>
        </w:tc>
        <w:tc>
          <w:tcPr>
            <w:tcW w:w="2255" w:type="dxa"/>
            <w:shd w:val="clear" w:color="auto" w:fill="auto"/>
            <w:tcMar>
              <w:top w:w="100" w:type="dxa"/>
              <w:left w:w="100" w:type="dxa"/>
              <w:bottom w:w="100" w:type="dxa"/>
              <w:right w:w="100" w:type="dxa"/>
            </w:tcMar>
          </w:tcPr>
          <w:p w14:paraId="608BB847" w14:textId="77777777" w:rsidR="00114585" w:rsidRPr="00ED061D" w:rsidRDefault="003E4EA2">
            <w:pPr>
              <w:jc w:val="center"/>
              <w:rPr>
                <w:lang w:val="en-GB"/>
              </w:rPr>
            </w:pPr>
            <w:r w:rsidRPr="00ED061D">
              <w:rPr>
                <w:lang w:val="en-GB"/>
              </w:rPr>
              <w:t>18 years and 9 months (</w:t>
            </w:r>
            <w:r w:rsidRPr="00ED061D">
              <w:rPr>
                <w:color w:val="111111"/>
                <w:highlight w:val="white"/>
                <w:lang w:val="en-GB"/>
              </w:rPr>
              <w:t xml:space="preserve">arrested on 05.08.2017 and tortured during police custody) </w:t>
            </w:r>
          </w:p>
        </w:tc>
        <w:tc>
          <w:tcPr>
            <w:tcW w:w="2255" w:type="dxa"/>
            <w:shd w:val="clear" w:color="auto" w:fill="auto"/>
            <w:tcMar>
              <w:top w:w="100" w:type="dxa"/>
              <w:left w:w="100" w:type="dxa"/>
              <w:bottom w:w="100" w:type="dxa"/>
              <w:right w:w="100" w:type="dxa"/>
            </w:tcMar>
          </w:tcPr>
          <w:p w14:paraId="6B29587A" w14:textId="77777777" w:rsidR="00114585" w:rsidRPr="00ED061D" w:rsidRDefault="003E4EA2">
            <w:pPr>
              <w:jc w:val="center"/>
              <w:rPr>
                <w:lang w:val="en-GB"/>
              </w:rPr>
            </w:pPr>
            <w:r w:rsidRPr="00ED061D">
              <w:rPr>
                <w:lang w:val="en-GB"/>
              </w:rPr>
              <w:t>20.03.2019</w:t>
            </w:r>
          </w:p>
        </w:tc>
        <w:tc>
          <w:tcPr>
            <w:tcW w:w="2255" w:type="dxa"/>
            <w:shd w:val="clear" w:color="auto" w:fill="auto"/>
            <w:tcMar>
              <w:top w:w="100" w:type="dxa"/>
              <w:left w:w="100" w:type="dxa"/>
              <w:bottom w:w="100" w:type="dxa"/>
              <w:right w:w="100" w:type="dxa"/>
            </w:tcMar>
          </w:tcPr>
          <w:p w14:paraId="2C34349C" w14:textId="77777777" w:rsidR="00114585" w:rsidRPr="00ED061D" w:rsidRDefault="003E4EA2">
            <w:pPr>
              <w:jc w:val="center"/>
              <w:rPr>
                <w:lang w:val="en-GB"/>
              </w:rPr>
            </w:pPr>
            <w:r w:rsidRPr="00ED061D">
              <w:rPr>
                <w:lang w:val="en-GB"/>
              </w:rPr>
              <w:t>Istanbul</w:t>
            </w:r>
          </w:p>
        </w:tc>
      </w:tr>
      <w:tr w:rsidR="00114585" w:rsidRPr="00ED061D" w14:paraId="4D14DCC6" w14:textId="77777777">
        <w:trPr>
          <w:trHeight w:val="1459"/>
        </w:trPr>
        <w:tc>
          <w:tcPr>
            <w:tcW w:w="2255" w:type="dxa"/>
            <w:shd w:val="clear" w:color="auto" w:fill="auto"/>
            <w:tcMar>
              <w:top w:w="100" w:type="dxa"/>
              <w:left w:w="100" w:type="dxa"/>
              <w:bottom w:w="100" w:type="dxa"/>
              <w:right w:w="100" w:type="dxa"/>
            </w:tcMar>
          </w:tcPr>
          <w:p w14:paraId="62BC5F78" w14:textId="77777777" w:rsidR="00114585" w:rsidRPr="00ED061D" w:rsidRDefault="003E4EA2">
            <w:pPr>
              <w:jc w:val="center"/>
              <w:rPr>
                <w:lang w:val="en-GB"/>
              </w:rPr>
            </w:pPr>
            <w:r w:rsidRPr="00ED061D">
              <w:rPr>
                <w:lang w:val="en-GB"/>
              </w:rPr>
              <w:t xml:space="preserve">Ebru Timtik (deceased in detention on a hunger strike for a fair trial) </w:t>
            </w:r>
          </w:p>
        </w:tc>
        <w:tc>
          <w:tcPr>
            <w:tcW w:w="2255" w:type="dxa"/>
            <w:shd w:val="clear" w:color="auto" w:fill="auto"/>
            <w:tcMar>
              <w:top w:w="100" w:type="dxa"/>
              <w:left w:w="100" w:type="dxa"/>
              <w:bottom w:w="100" w:type="dxa"/>
              <w:right w:w="100" w:type="dxa"/>
            </w:tcMar>
          </w:tcPr>
          <w:p w14:paraId="6FA75DFA" w14:textId="77777777" w:rsidR="00114585" w:rsidRPr="00ED061D" w:rsidRDefault="003E4EA2">
            <w:pPr>
              <w:jc w:val="center"/>
              <w:rPr>
                <w:lang w:val="en-GB"/>
              </w:rPr>
            </w:pPr>
            <w:r w:rsidRPr="00ED061D">
              <w:rPr>
                <w:lang w:val="en-GB"/>
              </w:rPr>
              <w:t>13 years and 6 months</w:t>
            </w:r>
          </w:p>
        </w:tc>
        <w:tc>
          <w:tcPr>
            <w:tcW w:w="2255" w:type="dxa"/>
            <w:shd w:val="clear" w:color="auto" w:fill="auto"/>
            <w:tcMar>
              <w:top w:w="100" w:type="dxa"/>
              <w:left w:w="100" w:type="dxa"/>
              <w:bottom w:w="100" w:type="dxa"/>
              <w:right w:w="100" w:type="dxa"/>
            </w:tcMar>
          </w:tcPr>
          <w:p w14:paraId="02CD226E" w14:textId="77777777" w:rsidR="00114585" w:rsidRPr="00ED061D" w:rsidRDefault="003E4EA2">
            <w:pPr>
              <w:jc w:val="center"/>
              <w:rPr>
                <w:lang w:val="en-GB"/>
              </w:rPr>
            </w:pPr>
            <w:r w:rsidRPr="00ED061D">
              <w:rPr>
                <w:lang w:val="en-GB"/>
              </w:rPr>
              <w:t xml:space="preserve">20.03.2019 </w:t>
            </w:r>
          </w:p>
        </w:tc>
        <w:tc>
          <w:tcPr>
            <w:tcW w:w="2255" w:type="dxa"/>
            <w:shd w:val="clear" w:color="auto" w:fill="auto"/>
            <w:tcMar>
              <w:top w:w="100" w:type="dxa"/>
              <w:left w:w="100" w:type="dxa"/>
              <w:bottom w:w="100" w:type="dxa"/>
              <w:right w:w="100" w:type="dxa"/>
            </w:tcMar>
          </w:tcPr>
          <w:p w14:paraId="12AE8AF0" w14:textId="77777777" w:rsidR="00114585" w:rsidRPr="00ED061D" w:rsidRDefault="003E4EA2">
            <w:pPr>
              <w:jc w:val="center"/>
              <w:rPr>
                <w:lang w:val="en-GB"/>
              </w:rPr>
            </w:pPr>
            <w:r w:rsidRPr="00ED061D">
              <w:rPr>
                <w:lang w:val="en-GB"/>
              </w:rPr>
              <w:t>37th High Criminal Court of Istanbul</w:t>
            </w:r>
          </w:p>
        </w:tc>
      </w:tr>
      <w:tr w:rsidR="00114585" w:rsidRPr="00ED061D" w14:paraId="063ABD8F" w14:textId="77777777">
        <w:tc>
          <w:tcPr>
            <w:tcW w:w="2255" w:type="dxa"/>
            <w:shd w:val="clear" w:color="auto" w:fill="auto"/>
            <w:tcMar>
              <w:top w:w="100" w:type="dxa"/>
              <w:left w:w="100" w:type="dxa"/>
              <w:bottom w:w="100" w:type="dxa"/>
              <w:right w:w="100" w:type="dxa"/>
            </w:tcMar>
          </w:tcPr>
          <w:p w14:paraId="346682A1" w14:textId="77777777" w:rsidR="00114585" w:rsidRPr="00ED061D" w:rsidRDefault="003E4EA2">
            <w:pPr>
              <w:jc w:val="center"/>
              <w:rPr>
                <w:lang w:val="en-GB"/>
              </w:rPr>
            </w:pPr>
            <w:r w:rsidRPr="00ED061D">
              <w:rPr>
                <w:lang w:val="en-GB"/>
              </w:rPr>
              <w:t>Özgür Yılmaz</w:t>
            </w:r>
          </w:p>
        </w:tc>
        <w:tc>
          <w:tcPr>
            <w:tcW w:w="2255" w:type="dxa"/>
            <w:shd w:val="clear" w:color="auto" w:fill="auto"/>
            <w:tcMar>
              <w:top w:w="100" w:type="dxa"/>
              <w:left w:w="100" w:type="dxa"/>
              <w:bottom w:w="100" w:type="dxa"/>
              <w:right w:w="100" w:type="dxa"/>
            </w:tcMar>
          </w:tcPr>
          <w:p w14:paraId="5BAE2723" w14:textId="77777777" w:rsidR="00114585" w:rsidRPr="00ED061D" w:rsidRDefault="003E4EA2">
            <w:pPr>
              <w:jc w:val="center"/>
              <w:rPr>
                <w:lang w:val="en-GB"/>
              </w:rPr>
            </w:pPr>
            <w:r w:rsidRPr="00ED061D">
              <w:rPr>
                <w:lang w:val="en-GB"/>
              </w:rPr>
              <w:t>13 years and 6 months</w:t>
            </w:r>
          </w:p>
        </w:tc>
        <w:tc>
          <w:tcPr>
            <w:tcW w:w="2255" w:type="dxa"/>
            <w:shd w:val="clear" w:color="auto" w:fill="auto"/>
            <w:tcMar>
              <w:top w:w="100" w:type="dxa"/>
              <w:left w:w="100" w:type="dxa"/>
              <w:bottom w:w="100" w:type="dxa"/>
              <w:right w:w="100" w:type="dxa"/>
            </w:tcMar>
          </w:tcPr>
          <w:p w14:paraId="432062F3" w14:textId="77777777" w:rsidR="00114585" w:rsidRPr="00ED061D" w:rsidRDefault="003E4EA2">
            <w:pPr>
              <w:jc w:val="center"/>
              <w:rPr>
                <w:lang w:val="en-GB"/>
              </w:rPr>
            </w:pPr>
            <w:r w:rsidRPr="00ED061D">
              <w:rPr>
                <w:lang w:val="en-GB"/>
              </w:rPr>
              <w:t>20.03.2019</w:t>
            </w:r>
          </w:p>
        </w:tc>
        <w:tc>
          <w:tcPr>
            <w:tcW w:w="2255" w:type="dxa"/>
            <w:shd w:val="clear" w:color="auto" w:fill="auto"/>
            <w:tcMar>
              <w:top w:w="100" w:type="dxa"/>
              <w:left w:w="100" w:type="dxa"/>
              <w:bottom w:w="100" w:type="dxa"/>
              <w:right w:w="100" w:type="dxa"/>
            </w:tcMar>
          </w:tcPr>
          <w:p w14:paraId="4C80DA12" w14:textId="77777777" w:rsidR="00114585" w:rsidRPr="00ED061D" w:rsidRDefault="003E4EA2">
            <w:pPr>
              <w:jc w:val="center"/>
              <w:rPr>
                <w:lang w:val="en-GB"/>
              </w:rPr>
            </w:pPr>
            <w:r w:rsidRPr="00ED061D">
              <w:rPr>
                <w:lang w:val="en-GB"/>
              </w:rPr>
              <w:t>Istanbul</w:t>
            </w:r>
          </w:p>
        </w:tc>
      </w:tr>
      <w:tr w:rsidR="00114585" w:rsidRPr="00ED061D" w14:paraId="6CBF2E04" w14:textId="77777777">
        <w:tc>
          <w:tcPr>
            <w:tcW w:w="2255" w:type="dxa"/>
            <w:shd w:val="clear" w:color="auto" w:fill="auto"/>
            <w:tcMar>
              <w:top w:w="100" w:type="dxa"/>
              <w:left w:w="100" w:type="dxa"/>
              <w:bottom w:w="100" w:type="dxa"/>
              <w:right w:w="100" w:type="dxa"/>
            </w:tcMar>
          </w:tcPr>
          <w:p w14:paraId="1686C256" w14:textId="77777777" w:rsidR="00114585" w:rsidRPr="00ED061D" w:rsidRDefault="003E4EA2">
            <w:pPr>
              <w:jc w:val="center"/>
              <w:rPr>
                <w:lang w:val="en-GB"/>
              </w:rPr>
            </w:pPr>
            <w:r w:rsidRPr="00ED061D">
              <w:rPr>
                <w:lang w:val="en-GB"/>
              </w:rPr>
              <w:t>Fethi Ün</w:t>
            </w:r>
          </w:p>
          <w:p w14:paraId="4ADA173D" w14:textId="77777777" w:rsidR="00114585" w:rsidRPr="00ED061D" w:rsidRDefault="00114585">
            <w:pPr>
              <w:widowControl w:val="0"/>
              <w:jc w:val="center"/>
              <w:rPr>
                <w:lang w:val="en-GB"/>
              </w:rPr>
            </w:pPr>
          </w:p>
        </w:tc>
        <w:tc>
          <w:tcPr>
            <w:tcW w:w="2255" w:type="dxa"/>
            <w:shd w:val="clear" w:color="auto" w:fill="auto"/>
            <w:tcMar>
              <w:top w:w="100" w:type="dxa"/>
              <w:left w:w="100" w:type="dxa"/>
              <w:bottom w:w="100" w:type="dxa"/>
              <w:right w:w="100" w:type="dxa"/>
            </w:tcMar>
          </w:tcPr>
          <w:p w14:paraId="2BBA4944" w14:textId="77777777" w:rsidR="00114585" w:rsidRPr="00ED061D" w:rsidRDefault="003E4EA2">
            <w:pPr>
              <w:jc w:val="center"/>
              <w:rPr>
                <w:lang w:val="en-GB"/>
              </w:rPr>
            </w:pPr>
            <w:r w:rsidRPr="00ED061D">
              <w:rPr>
                <w:lang w:val="en-GB"/>
              </w:rPr>
              <w:t>12 years</w:t>
            </w:r>
          </w:p>
        </w:tc>
        <w:tc>
          <w:tcPr>
            <w:tcW w:w="2255" w:type="dxa"/>
            <w:shd w:val="clear" w:color="auto" w:fill="auto"/>
            <w:tcMar>
              <w:top w:w="100" w:type="dxa"/>
              <w:left w:w="100" w:type="dxa"/>
              <w:bottom w:w="100" w:type="dxa"/>
              <w:right w:w="100" w:type="dxa"/>
            </w:tcMar>
          </w:tcPr>
          <w:p w14:paraId="249981D5" w14:textId="77777777" w:rsidR="00114585" w:rsidRPr="00ED061D" w:rsidRDefault="003E4EA2">
            <w:pPr>
              <w:jc w:val="center"/>
              <w:rPr>
                <w:lang w:val="en-GB"/>
              </w:rPr>
            </w:pPr>
            <w:r w:rsidRPr="00ED061D">
              <w:rPr>
                <w:lang w:val="en-GB"/>
              </w:rPr>
              <w:t xml:space="preserve">20.11.2017 </w:t>
            </w:r>
          </w:p>
        </w:tc>
        <w:tc>
          <w:tcPr>
            <w:tcW w:w="2255" w:type="dxa"/>
            <w:shd w:val="clear" w:color="auto" w:fill="auto"/>
            <w:tcMar>
              <w:top w:w="100" w:type="dxa"/>
              <w:left w:w="100" w:type="dxa"/>
              <w:bottom w:w="100" w:type="dxa"/>
              <w:right w:w="100" w:type="dxa"/>
            </w:tcMar>
          </w:tcPr>
          <w:p w14:paraId="301690D6" w14:textId="77777777" w:rsidR="00114585" w:rsidRPr="00ED061D" w:rsidRDefault="003E4EA2">
            <w:pPr>
              <w:jc w:val="center"/>
              <w:rPr>
                <w:lang w:val="en-GB"/>
              </w:rPr>
            </w:pPr>
            <w:r w:rsidRPr="00ED061D">
              <w:rPr>
                <w:lang w:val="en-GB"/>
              </w:rPr>
              <w:t>İzmir 13th High Criminal Court</w:t>
            </w:r>
          </w:p>
        </w:tc>
      </w:tr>
      <w:tr w:rsidR="00114585" w:rsidRPr="00ED061D" w14:paraId="0FB2F5FA" w14:textId="77777777">
        <w:tc>
          <w:tcPr>
            <w:tcW w:w="2255" w:type="dxa"/>
            <w:shd w:val="clear" w:color="auto" w:fill="auto"/>
            <w:tcMar>
              <w:top w:w="100" w:type="dxa"/>
              <w:left w:w="100" w:type="dxa"/>
              <w:bottom w:w="100" w:type="dxa"/>
              <w:right w:w="100" w:type="dxa"/>
            </w:tcMar>
          </w:tcPr>
          <w:p w14:paraId="7D554C35" w14:textId="77777777" w:rsidR="00114585" w:rsidRPr="00ED061D" w:rsidRDefault="003E4EA2">
            <w:pPr>
              <w:jc w:val="center"/>
              <w:rPr>
                <w:lang w:val="en-GB"/>
              </w:rPr>
            </w:pPr>
            <w:r w:rsidRPr="00ED061D">
              <w:rPr>
                <w:lang w:val="en-GB"/>
              </w:rPr>
              <w:t>Hurol Karadaş</w:t>
            </w:r>
          </w:p>
        </w:tc>
        <w:tc>
          <w:tcPr>
            <w:tcW w:w="2255" w:type="dxa"/>
            <w:shd w:val="clear" w:color="auto" w:fill="auto"/>
            <w:tcMar>
              <w:top w:w="100" w:type="dxa"/>
              <w:left w:w="100" w:type="dxa"/>
              <w:bottom w:w="100" w:type="dxa"/>
              <w:right w:w="100" w:type="dxa"/>
            </w:tcMar>
          </w:tcPr>
          <w:p w14:paraId="4C5977BA" w14:textId="77777777" w:rsidR="00114585" w:rsidRPr="00ED061D" w:rsidRDefault="003E4EA2">
            <w:pPr>
              <w:jc w:val="center"/>
              <w:rPr>
                <w:lang w:val="en-GB"/>
              </w:rPr>
            </w:pPr>
            <w:r w:rsidRPr="00ED061D">
              <w:rPr>
                <w:lang w:val="en-GB"/>
              </w:rPr>
              <w:t>12 years</w:t>
            </w:r>
          </w:p>
        </w:tc>
        <w:tc>
          <w:tcPr>
            <w:tcW w:w="2255" w:type="dxa"/>
            <w:shd w:val="clear" w:color="auto" w:fill="auto"/>
            <w:tcMar>
              <w:top w:w="100" w:type="dxa"/>
              <w:left w:w="100" w:type="dxa"/>
              <w:bottom w:w="100" w:type="dxa"/>
              <w:right w:w="100" w:type="dxa"/>
            </w:tcMar>
          </w:tcPr>
          <w:p w14:paraId="1F52F8C2" w14:textId="77777777" w:rsidR="00114585" w:rsidRPr="00ED061D" w:rsidRDefault="003E4EA2">
            <w:pPr>
              <w:jc w:val="center"/>
              <w:rPr>
                <w:lang w:val="en-GB"/>
              </w:rPr>
            </w:pPr>
            <w:r w:rsidRPr="00ED061D">
              <w:rPr>
                <w:lang w:val="en-GB"/>
              </w:rPr>
              <w:t xml:space="preserve">13.03.2019 </w:t>
            </w:r>
          </w:p>
        </w:tc>
        <w:tc>
          <w:tcPr>
            <w:tcW w:w="2255" w:type="dxa"/>
            <w:shd w:val="clear" w:color="auto" w:fill="auto"/>
            <w:tcMar>
              <w:top w:w="100" w:type="dxa"/>
              <w:left w:w="100" w:type="dxa"/>
              <w:bottom w:w="100" w:type="dxa"/>
              <w:right w:w="100" w:type="dxa"/>
            </w:tcMar>
          </w:tcPr>
          <w:p w14:paraId="4D1DEA51" w14:textId="77777777" w:rsidR="00114585" w:rsidRPr="00ED061D" w:rsidRDefault="003E4EA2">
            <w:pPr>
              <w:jc w:val="center"/>
              <w:rPr>
                <w:lang w:val="en-GB"/>
              </w:rPr>
            </w:pPr>
            <w:r w:rsidRPr="00ED061D">
              <w:rPr>
                <w:lang w:val="en-GB"/>
              </w:rPr>
              <w:t>33rd High Criminal Court of Istanbul</w:t>
            </w:r>
          </w:p>
        </w:tc>
      </w:tr>
      <w:tr w:rsidR="00114585" w:rsidRPr="00ED061D" w14:paraId="0C37CEA3" w14:textId="77777777">
        <w:tc>
          <w:tcPr>
            <w:tcW w:w="2255" w:type="dxa"/>
            <w:shd w:val="clear" w:color="auto" w:fill="auto"/>
            <w:tcMar>
              <w:top w:w="100" w:type="dxa"/>
              <w:left w:w="100" w:type="dxa"/>
              <w:bottom w:w="100" w:type="dxa"/>
              <w:right w:w="100" w:type="dxa"/>
            </w:tcMar>
          </w:tcPr>
          <w:p w14:paraId="5F933569" w14:textId="77777777" w:rsidR="00114585" w:rsidRPr="00ED061D" w:rsidRDefault="003E4EA2">
            <w:pPr>
              <w:jc w:val="center"/>
              <w:rPr>
                <w:lang w:val="en-GB"/>
              </w:rPr>
            </w:pPr>
            <w:r w:rsidRPr="00ED061D">
              <w:rPr>
                <w:lang w:val="en-GB"/>
              </w:rPr>
              <w:t>Behiç Aşçı</w:t>
            </w:r>
          </w:p>
        </w:tc>
        <w:tc>
          <w:tcPr>
            <w:tcW w:w="2255" w:type="dxa"/>
            <w:shd w:val="clear" w:color="auto" w:fill="auto"/>
            <w:tcMar>
              <w:top w:w="100" w:type="dxa"/>
              <w:left w:w="100" w:type="dxa"/>
              <w:bottom w:w="100" w:type="dxa"/>
              <w:right w:w="100" w:type="dxa"/>
            </w:tcMar>
          </w:tcPr>
          <w:p w14:paraId="2D74E2D3" w14:textId="77777777" w:rsidR="00114585" w:rsidRPr="00ED061D" w:rsidRDefault="003E4EA2">
            <w:pPr>
              <w:jc w:val="center"/>
              <w:rPr>
                <w:lang w:val="en-GB"/>
              </w:rPr>
            </w:pPr>
            <w:r w:rsidRPr="00ED061D">
              <w:rPr>
                <w:lang w:val="en-GB"/>
              </w:rPr>
              <w:t>12 years</w:t>
            </w:r>
          </w:p>
        </w:tc>
        <w:tc>
          <w:tcPr>
            <w:tcW w:w="2255" w:type="dxa"/>
            <w:shd w:val="clear" w:color="auto" w:fill="auto"/>
            <w:tcMar>
              <w:top w:w="100" w:type="dxa"/>
              <w:left w:w="100" w:type="dxa"/>
              <w:bottom w:w="100" w:type="dxa"/>
              <w:right w:w="100" w:type="dxa"/>
            </w:tcMar>
          </w:tcPr>
          <w:p w14:paraId="782E7EC8" w14:textId="77777777" w:rsidR="00114585" w:rsidRPr="00ED061D" w:rsidRDefault="003E4EA2">
            <w:pPr>
              <w:jc w:val="center"/>
              <w:rPr>
                <w:lang w:val="en-GB"/>
              </w:rPr>
            </w:pPr>
            <w:r w:rsidRPr="00ED061D">
              <w:rPr>
                <w:lang w:val="en-GB"/>
              </w:rPr>
              <w:t>20.03.2019</w:t>
            </w:r>
          </w:p>
        </w:tc>
        <w:tc>
          <w:tcPr>
            <w:tcW w:w="2255" w:type="dxa"/>
            <w:shd w:val="clear" w:color="auto" w:fill="auto"/>
            <w:tcMar>
              <w:top w:w="100" w:type="dxa"/>
              <w:left w:w="100" w:type="dxa"/>
              <w:bottom w:w="100" w:type="dxa"/>
              <w:right w:w="100" w:type="dxa"/>
            </w:tcMar>
          </w:tcPr>
          <w:p w14:paraId="2AC2BF76" w14:textId="77777777" w:rsidR="00114585" w:rsidRPr="00ED061D" w:rsidRDefault="003E4EA2">
            <w:pPr>
              <w:jc w:val="center"/>
              <w:rPr>
                <w:lang w:val="en-GB"/>
              </w:rPr>
            </w:pPr>
            <w:r w:rsidRPr="00ED061D">
              <w:rPr>
                <w:lang w:val="en-GB"/>
              </w:rPr>
              <w:t>Istanbul</w:t>
            </w:r>
          </w:p>
        </w:tc>
      </w:tr>
      <w:tr w:rsidR="00114585" w:rsidRPr="00ED061D" w14:paraId="2D42AFE0" w14:textId="77777777">
        <w:tc>
          <w:tcPr>
            <w:tcW w:w="2255" w:type="dxa"/>
            <w:shd w:val="clear" w:color="auto" w:fill="auto"/>
            <w:tcMar>
              <w:top w:w="100" w:type="dxa"/>
              <w:left w:w="100" w:type="dxa"/>
              <w:bottom w:w="100" w:type="dxa"/>
              <w:right w:w="100" w:type="dxa"/>
            </w:tcMar>
          </w:tcPr>
          <w:p w14:paraId="53FF029A" w14:textId="77777777" w:rsidR="00114585" w:rsidRPr="00ED061D" w:rsidRDefault="003E4EA2">
            <w:pPr>
              <w:jc w:val="center"/>
              <w:rPr>
                <w:lang w:val="en-GB"/>
              </w:rPr>
            </w:pPr>
            <w:r w:rsidRPr="00ED061D">
              <w:rPr>
                <w:lang w:val="en-GB"/>
              </w:rPr>
              <w:t>Şükriye Erden</w:t>
            </w:r>
          </w:p>
        </w:tc>
        <w:tc>
          <w:tcPr>
            <w:tcW w:w="2255" w:type="dxa"/>
            <w:shd w:val="clear" w:color="auto" w:fill="auto"/>
            <w:tcMar>
              <w:top w:w="100" w:type="dxa"/>
              <w:left w:w="100" w:type="dxa"/>
              <w:bottom w:w="100" w:type="dxa"/>
              <w:right w:w="100" w:type="dxa"/>
            </w:tcMar>
          </w:tcPr>
          <w:p w14:paraId="7913C168" w14:textId="77777777" w:rsidR="00114585" w:rsidRPr="00ED061D" w:rsidRDefault="003E4EA2">
            <w:pPr>
              <w:widowControl w:val="0"/>
              <w:jc w:val="center"/>
              <w:rPr>
                <w:lang w:val="en-GB"/>
              </w:rPr>
            </w:pPr>
            <w:r w:rsidRPr="00ED061D">
              <w:rPr>
                <w:lang w:val="en-GB"/>
              </w:rPr>
              <w:t>12 years</w:t>
            </w:r>
          </w:p>
        </w:tc>
        <w:tc>
          <w:tcPr>
            <w:tcW w:w="2255" w:type="dxa"/>
            <w:shd w:val="clear" w:color="auto" w:fill="auto"/>
            <w:tcMar>
              <w:top w:w="100" w:type="dxa"/>
              <w:left w:w="100" w:type="dxa"/>
              <w:bottom w:w="100" w:type="dxa"/>
              <w:right w:w="100" w:type="dxa"/>
            </w:tcMar>
          </w:tcPr>
          <w:p w14:paraId="05EFAF77" w14:textId="77777777" w:rsidR="00114585" w:rsidRPr="00ED061D" w:rsidRDefault="003E4EA2">
            <w:pPr>
              <w:jc w:val="center"/>
              <w:rPr>
                <w:lang w:val="en-GB"/>
              </w:rPr>
            </w:pPr>
            <w:r w:rsidRPr="00ED061D">
              <w:rPr>
                <w:lang w:val="en-GB"/>
              </w:rPr>
              <w:t>20.03.2019</w:t>
            </w:r>
          </w:p>
        </w:tc>
        <w:tc>
          <w:tcPr>
            <w:tcW w:w="2255" w:type="dxa"/>
            <w:shd w:val="clear" w:color="auto" w:fill="auto"/>
            <w:tcMar>
              <w:top w:w="100" w:type="dxa"/>
              <w:left w:w="100" w:type="dxa"/>
              <w:bottom w:w="100" w:type="dxa"/>
              <w:right w:w="100" w:type="dxa"/>
            </w:tcMar>
          </w:tcPr>
          <w:p w14:paraId="572B254C" w14:textId="77777777" w:rsidR="00114585" w:rsidRPr="00ED061D" w:rsidRDefault="003E4EA2">
            <w:pPr>
              <w:jc w:val="center"/>
              <w:rPr>
                <w:lang w:val="en-GB"/>
              </w:rPr>
            </w:pPr>
            <w:r w:rsidRPr="00ED061D">
              <w:rPr>
                <w:lang w:val="en-GB"/>
              </w:rPr>
              <w:t>Istanbul</w:t>
            </w:r>
          </w:p>
        </w:tc>
      </w:tr>
      <w:tr w:rsidR="00114585" w:rsidRPr="00ED061D" w14:paraId="60F4E0B1" w14:textId="77777777">
        <w:tc>
          <w:tcPr>
            <w:tcW w:w="2255" w:type="dxa"/>
            <w:shd w:val="clear" w:color="auto" w:fill="auto"/>
            <w:tcMar>
              <w:top w:w="100" w:type="dxa"/>
              <w:left w:w="100" w:type="dxa"/>
              <w:bottom w:w="100" w:type="dxa"/>
              <w:right w:w="100" w:type="dxa"/>
            </w:tcMar>
          </w:tcPr>
          <w:p w14:paraId="7261E0FD" w14:textId="77777777" w:rsidR="00114585" w:rsidRPr="00ED061D" w:rsidRDefault="003E4EA2">
            <w:pPr>
              <w:jc w:val="center"/>
              <w:rPr>
                <w:lang w:val="en-GB"/>
              </w:rPr>
            </w:pPr>
            <w:r w:rsidRPr="00ED061D">
              <w:rPr>
                <w:lang w:val="en-GB"/>
              </w:rPr>
              <w:t>Süleyman Gökten</w:t>
            </w:r>
          </w:p>
        </w:tc>
        <w:tc>
          <w:tcPr>
            <w:tcW w:w="2255" w:type="dxa"/>
            <w:shd w:val="clear" w:color="auto" w:fill="auto"/>
            <w:tcMar>
              <w:top w:w="100" w:type="dxa"/>
              <w:left w:w="100" w:type="dxa"/>
              <w:bottom w:w="100" w:type="dxa"/>
              <w:right w:w="100" w:type="dxa"/>
            </w:tcMar>
          </w:tcPr>
          <w:p w14:paraId="30014817" w14:textId="77777777" w:rsidR="00114585" w:rsidRPr="00ED061D" w:rsidRDefault="003E4EA2">
            <w:pPr>
              <w:jc w:val="center"/>
              <w:rPr>
                <w:lang w:val="en-GB"/>
              </w:rPr>
            </w:pPr>
            <w:r w:rsidRPr="00ED061D">
              <w:rPr>
                <w:lang w:val="en-GB"/>
              </w:rPr>
              <w:t>10 years and 6 months</w:t>
            </w:r>
          </w:p>
        </w:tc>
        <w:tc>
          <w:tcPr>
            <w:tcW w:w="2255" w:type="dxa"/>
            <w:shd w:val="clear" w:color="auto" w:fill="auto"/>
            <w:tcMar>
              <w:top w:w="100" w:type="dxa"/>
              <w:left w:w="100" w:type="dxa"/>
              <w:bottom w:w="100" w:type="dxa"/>
              <w:right w:w="100" w:type="dxa"/>
            </w:tcMar>
          </w:tcPr>
          <w:p w14:paraId="3C376FB3" w14:textId="77777777" w:rsidR="00114585" w:rsidRPr="00ED061D" w:rsidRDefault="003E4EA2">
            <w:pPr>
              <w:jc w:val="center"/>
              <w:rPr>
                <w:lang w:val="en-GB"/>
              </w:rPr>
            </w:pPr>
            <w:r w:rsidRPr="00ED061D">
              <w:rPr>
                <w:lang w:val="en-GB"/>
              </w:rPr>
              <w:t>20.03.2019</w:t>
            </w:r>
          </w:p>
        </w:tc>
        <w:tc>
          <w:tcPr>
            <w:tcW w:w="2255" w:type="dxa"/>
            <w:shd w:val="clear" w:color="auto" w:fill="auto"/>
            <w:tcMar>
              <w:top w:w="100" w:type="dxa"/>
              <w:left w:w="100" w:type="dxa"/>
              <w:bottom w:w="100" w:type="dxa"/>
              <w:right w:w="100" w:type="dxa"/>
            </w:tcMar>
          </w:tcPr>
          <w:p w14:paraId="35C4FB99" w14:textId="77777777" w:rsidR="00114585" w:rsidRPr="00ED061D" w:rsidRDefault="003E4EA2">
            <w:pPr>
              <w:jc w:val="center"/>
              <w:rPr>
                <w:lang w:val="en-GB"/>
              </w:rPr>
            </w:pPr>
            <w:r w:rsidRPr="00ED061D">
              <w:rPr>
                <w:lang w:val="en-GB"/>
              </w:rPr>
              <w:t>37th High Criminal Court of Istanbul</w:t>
            </w:r>
          </w:p>
        </w:tc>
      </w:tr>
      <w:tr w:rsidR="00114585" w:rsidRPr="00ED061D" w14:paraId="6AAB9C1E" w14:textId="77777777">
        <w:tc>
          <w:tcPr>
            <w:tcW w:w="2255" w:type="dxa"/>
            <w:shd w:val="clear" w:color="auto" w:fill="auto"/>
            <w:tcMar>
              <w:top w:w="100" w:type="dxa"/>
              <w:left w:w="100" w:type="dxa"/>
              <w:bottom w:w="100" w:type="dxa"/>
              <w:right w:w="100" w:type="dxa"/>
            </w:tcMar>
          </w:tcPr>
          <w:p w14:paraId="2D5CC46A" w14:textId="77777777" w:rsidR="00114585" w:rsidRPr="00ED061D" w:rsidRDefault="003E4EA2">
            <w:pPr>
              <w:jc w:val="center"/>
              <w:rPr>
                <w:lang w:val="en-GB"/>
              </w:rPr>
            </w:pPr>
            <w:r w:rsidRPr="00ED061D">
              <w:rPr>
                <w:lang w:val="en-GB"/>
              </w:rPr>
              <w:lastRenderedPageBreak/>
              <w:t>Selçuk Kozağaçlı</w:t>
            </w:r>
          </w:p>
        </w:tc>
        <w:tc>
          <w:tcPr>
            <w:tcW w:w="2255" w:type="dxa"/>
            <w:shd w:val="clear" w:color="auto" w:fill="auto"/>
            <w:tcMar>
              <w:top w:w="100" w:type="dxa"/>
              <w:left w:w="100" w:type="dxa"/>
              <w:bottom w:w="100" w:type="dxa"/>
              <w:right w:w="100" w:type="dxa"/>
            </w:tcMar>
          </w:tcPr>
          <w:p w14:paraId="5AE7CF61" w14:textId="77777777" w:rsidR="00114585" w:rsidRPr="00ED061D" w:rsidRDefault="003E4EA2">
            <w:pPr>
              <w:jc w:val="center"/>
              <w:rPr>
                <w:lang w:val="en-GB"/>
              </w:rPr>
            </w:pPr>
            <w:r w:rsidRPr="00ED061D">
              <w:rPr>
                <w:lang w:val="en-GB"/>
              </w:rPr>
              <w:t xml:space="preserve">10 years and 15 months </w:t>
            </w:r>
          </w:p>
        </w:tc>
        <w:tc>
          <w:tcPr>
            <w:tcW w:w="2255" w:type="dxa"/>
            <w:shd w:val="clear" w:color="auto" w:fill="auto"/>
            <w:tcMar>
              <w:top w:w="100" w:type="dxa"/>
              <w:left w:w="100" w:type="dxa"/>
              <w:bottom w:w="100" w:type="dxa"/>
              <w:right w:w="100" w:type="dxa"/>
            </w:tcMar>
          </w:tcPr>
          <w:p w14:paraId="0A0B90E9" w14:textId="77777777" w:rsidR="00114585" w:rsidRPr="00ED061D" w:rsidRDefault="003E4EA2">
            <w:pPr>
              <w:jc w:val="center"/>
              <w:rPr>
                <w:lang w:val="en-GB"/>
              </w:rPr>
            </w:pPr>
            <w:r w:rsidRPr="00ED061D">
              <w:rPr>
                <w:lang w:val="en-GB"/>
              </w:rPr>
              <w:t>20.03.2019 (arrested in November 2017)</w:t>
            </w:r>
          </w:p>
        </w:tc>
        <w:tc>
          <w:tcPr>
            <w:tcW w:w="2255" w:type="dxa"/>
            <w:shd w:val="clear" w:color="auto" w:fill="auto"/>
            <w:tcMar>
              <w:top w:w="100" w:type="dxa"/>
              <w:left w:w="100" w:type="dxa"/>
              <w:bottom w:w="100" w:type="dxa"/>
              <w:right w:w="100" w:type="dxa"/>
            </w:tcMar>
          </w:tcPr>
          <w:p w14:paraId="78C2F7DC" w14:textId="77777777" w:rsidR="00114585" w:rsidRPr="00ED061D" w:rsidRDefault="003E4EA2">
            <w:pPr>
              <w:jc w:val="center"/>
              <w:rPr>
                <w:lang w:val="en-GB"/>
              </w:rPr>
            </w:pPr>
            <w:r w:rsidRPr="00ED061D">
              <w:rPr>
                <w:lang w:val="en-GB"/>
              </w:rPr>
              <w:t>Istanbul</w:t>
            </w:r>
          </w:p>
        </w:tc>
      </w:tr>
      <w:tr w:rsidR="00114585" w:rsidRPr="00ED061D" w14:paraId="42FA0D5A" w14:textId="77777777">
        <w:tc>
          <w:tcPr>
            <w:tcW w:w="2255" w:type="dxa"/>
            <w:shd w:val="clear" w:color="auto" w:fill="auto"/>
            <w:tcMar>
              <w:top w:w="100" w:type="dxa"/>
              <w:left w:w="100" w:type="dxa"/>
              <w:bottom w:w="100" w:type="dxa"/>
              <w:right w:w="100" w:type="dxa"/>
            </w:tcMar>
          </w:tcPr>
          <w:p w14:paraId="54912C00" w14:textId="77777777" w:rsidR="00114585" w:rsidRPr="00ED061D" w:rsidRDefault="003E4EA2">
            <w:pPr>
              <w:jc w:val="center"/>
              <w:rPr>
                <w:lang w:val="en-GB"/>
              </w:rPr>
            </w:pPr>
            <w:r w:rsidRPr="00ED061D">
              <w:rPr>
                <w:lang w:val="en-GB"/>
              </w:rPr>
              <w:t>Aytaç Ünsal</w:t>
            </w:r>
          </w:p>
        </w:tc>
        <w:tc>
          <w:tcPr>
            <w:tcW w:w="2255" w:type="dxa"/>
            <w:shd w:val="clear" w:color="auto" w:fill="auto"/>
            <w:tcMar>
              <w:top w:w="100" w:type="dxa"/>
              <w:left w:w="100" w:type="dxa"/>
              <w:bottom w:w="100" w:type="dxa"/>
              <w:right w:w="100" w:type="dxa"/>
            </w:tcMar>
          </w:tcPr>
          <w:p w14:paraId="6051D490" w14:textId="77777777" w:rsidR="00114585" w:rsidRPr="00ED061D" w:rsidRDefault="003E4EA2">
            <w:pPr>
              <w:jc w:val="center"/>
              <w:rPr>
                <w:lang w:val="en-GB"/>
              </w:rPr>
            </w:pPr>
            <w:r w:rsidRPr="00ED061D">
              <w:rPr>
                <w:lang w:val="en-GB"/>
              </w:rPr>
              <w:t>10 years and 6 months</w:t>
            </w:r>
          </w:p>
        </w:tc>
        <w:tc>
          <w:tcPr>
            <w:tcW w:w="2255" w:type="dxa"/>
            <w:shd w:val="clear" w:color="auto" w:fill="auto"/>
            <w:tcMar>
              <w:top w:w="100" w:type="dxa"/>
              <w:left w:w="100" w:type="dxa"/>
              <w:bottom w:w="100" w:type="dxa"/>
              <w:right w:w="100" w:type="dxa"/>
            </w:tcMar>
          </w:tcPr>
          <w:p w14:paraId="3E548CFA" w14:textId="77777777" w:rsidR="00114585" w:rsidRPr="00ED061D" w:rsidRDefault="003E4EA2">
            <w:pPr>
              <w:jc w:val="center"/>
              <w:rPr>
                <w:lang w:val="en-GB"/>
              </w:rPr>
            </w:pPr>
            <w:r w:rsidRPr="00ED061D">
              <w:rPr>
                <w:lang w:val="en-GB"/>
              </w:rPr>
              <w:t>20.03.2019</w:t>
            </w:r>
          </w:p>
        </w:tc>
        <w:tc>
          <w:tcPr>
            <w:tcW w:w="2255" w:type="dxa"/>
            <w:shd w:val="clear" w:color="auto" w:fill="auto"/>
            <w:tcMar>
              <w:top w:w="100" w:type="dxa"/>
              <w:left w:w="100" w:type="dxa"/>
              <w:bottom w:w="100" w:type="dxa"/>
              <w:right w:w="100" w:type="dxa"/>
            </w:tcMar>
          </w:tcPr>
          <w:p w14:paraId="4CB1258A" w14:textId="77777777" w:rsidR="00114585" w:rsidRPr="00ED061D" w:rsidRDefault="003E4EA2">
            <w:pPr>
              <w:jc w:val="center"/>
              <w:rPr>
                <w:lang w:val="en-GB"/>
              </w:rPr>
            </w:pPr>
            <w:r w:rsidRPr="00ED061D">
              <w:rPr>
                <w:lang w:val="en-GB"/>
              </w:rPr>
              <w:t>Istanbul</w:t>
            </w:r>
          </w:p>
        </w:tc>
      </w:tr>
      <w:tr w:rsidR="00114585" w:rsidRPr="00ED061D" w14:paraId="50836613" w14:textId="77777777">
        <w:tc>
          <w:tcPr>
            <w:tcW w:w="2255" w:type="dxa"/>
            <w:shd w:val="clear" w:color="auto" w:fill="auto"/>
            <w:tcMar>
              <w:top w:w="100" w:type="dxa"/>
              <w:left w:w="100" w:type="dxa"/>
              <w:bottom w:w="100" w:type="dxa"/>
              <w:right w:w="100" w:type="dxa"/>
            </w:tcMar>
          </w:tcPr>
          <w:p w14:paraId="0DDF16F5" w14:textId="77777777" w:rsidR="00114585" w:rsidRPr="00ED061D" w:rsidRDefault="003E4EA2">
            <w:pPr>
              <w:jc w:val="center"/>
              <w:rPr>
                <w:lang w:val="en-GB"/>
              </w:rPr>
            </w:pPr>
            <w:r w:rsidRPr="00ED061D">
              <w:rPr>
                <w:lang w:val="en-GB"/>
              </w:rPr>
              <w:t>Engin Gökoğlu</w:t>
            </w:r>
          </w:p>
        </w:tc>
        <w:tc>
          <w:tcPr>
            <w:tcW w:w="2255" w:type="dxa"/>
            <w:shd w:val="clear" w:color="auto" w:fill="auto"/>
            <w:tcMar>
              <w:top w:w="100" w:type="dxa"/>
              <w:left w:w="100" w:type="dxa"/>
              <w:bottom w:w="100" w:type="dxa"/>
              <w:right w:w="100" w:type="dxa"/>
            </w:tcMar>
          </w:tcPr>
          <w:p w14:paraId="42805FA3" w14:textId="77777777" w:rsidR="00114585" w:rsidRPr="00ED061D" w:rsidRDefault="003E4EA2">
            <w:pPr>
              <w:jc w:val="center"/>
              <w:rPr>
                <w:lang w:val="en-GB"/>
              </w:rPr>
            </w:pPr>
            <w:r w:rsidRPr="00ED061D">
              <w:rPr>
                <w:lang w:val="en-GB"/>
              </w:rPr>
              <w:t>10 years and 6 months</w:t>
            </w:r>
          </w:p>
        </w:tc>
        <w:tc>
          <w:tcPr>
            <w:tcW w:w="2255" w:type="dxa"/>
            <w:shd w:val="clear" w:color="auto" w:fill="auto"/>
            <w:tcMar>
              <w:top w:w="100" w:type="dxa"/>
              <w:left w:w="100" w:type="dxa"/>
              <w:bottom w:w="100" w:type="dxa"/>
              <w:right w:w="100" w:type="dxa"/>
            </w:tcMar>
          </w:tcPr>
          <w:p w14:paraId="51E1D79D" w14:textId="77777777" w:rsidR="00114585" w:rsidRPr="00ED061D" w:rsidRDefault="003E4EA2">
            <w:pPr>
              <w:jc w:val="center"/>
              <w:rPr>
                <w:lang w:val="en-GB"/>
              </w:rPr>
            </w:pPr>
            <w:r w:rsidRPr="00ED061D">
              <w:rPr>
                <w:lang w:val="en-GB"/>
              </w:rPr>
              <w:t>20.03.2019</w:t>
            </w:r>
          </w:p>
        </w:tc>
        <w:tc>
          <w:tcPr>
            <w:tcW w:w="2255" w:type="dxa"/>
            <w:shd w:val="clear" w:color="auto" w:fill="auto"/>
            <w:tcMar>
              <w:top w:w="100" w:type="dxa"/>
              <w:left w:w="100" w:type="dxa"/>
              <w:bottom w:w="100" w:type="dxa"/>
              <w:right w:w="100" w:type="dxa"/>
            </w:tcMar>
          </w:tcPr>
          <w:p w14:paraId="60199559" w14:textId="77777777" w:rsidR="00114585" w:rsidRPr="00ED061D" w:rsidRDefault="003E4EA2">
            <w:pPr>
              <w:jc w:val="center"/>
              <w:rPr>
                <w:lang w:val="en-GB"/>
              </w:rPr>
            </w:pPr>
            <w:r w:rsidRPr="00ED061D">
              <w:rPr>
                <w:lang w:val="en-GB"/>
              </w:rPr>
              <w:t>37th High Criminal Court of Istanbul</w:t>
            </w:r>
          </w:p>
        </w:tc>
      </w:tr>
      <w:tr w:rsidR="00114585" w:rsidRPr="00ED061D" w14:paraId="15E555A4" w14:textId="77777777">
        <w:trPr>
          <w:trHeight w:val="447"/>
        </w:trPr>
        <w:tc>
          <w:tcPr>
            <w:tcW w:w="2255" w:type="dxa"/>
            <w:shd w:val="clear" w:color="auto" w:fill="auto"/>
            <w:tcMar>
              <w:top w:w="100" w:type="dxa"/>
              <w:left w:w="100" w:type="dxa"/>
              <w:bottom w:w="100" w:type="dxa"/>
              <w:right w:w="100" w:type="dxa"/>
            </w:tcMar>
          </w:tcPr>
          <w:p w14:paraId="5BEFD293" w14:textId="77777777" w:rsidR="00114585" w:rsidRPr="00ED061D" w:rsidRDefault="003E4EA2">
            <w:pPr>
              <w:jc w:val="center"/>
              <w:rPr>
                <w:lang w:val="en-GB"/>
              </w:rPr>
            </w:pPr>
            <w:r w:rsidRPr="00ED061D">
              <w:rPr>
                <w:lang w:val="en-GB"/>
              </w:rPr>
              <w:t>Ismail Kara</w:t>
            </w:r>
          </w:p>
        </w:tc>
        <w:tc>
          <w:tcPr>
            <w:tcW w:w="2255" w:type="dxa"/>
            <w:shd w:val="clear" w:color="auto" w:fill="auto"/>
            <w:tcMar>
              <w:top w:w="100" w:type="dxa"/>
              <w:left w:w="100" w:type="dxa"/>
              <w:bottom w:w="100" w:type="dxa"/>
              <w:right w:w="100" w:type="dxa"/>
            </w:tcMar>
          </w:tcPr>
          <w:p w14:paraId="1A6E2BEB" w14:textId="77777777" w:rsidR="00114585" w:rsidRPr="00ED061D" w:rsidRDefault="003E4EA2">
            <w:pPr>
              <w:jc w:val="center"/>
              <w:rPr>
                <w:lang w:val="en-GB"/>
              </w:rPr>
            </w:pPr>
            <w:r w:rsidRPr="00ED061D">
              <w:rPr>
                <w:lang w:val="en-GB"/>
              </w:rPr>
              <w:t>12 years</w:t>
            </w:r>
          </w:p>
        </w:tc>
        <w:tc>
          <w:tcPr>
            <w:tcW w:w="2255" w:type="dxa"/>
            <w:shd w:val="clear" w:color="auto" w:fill="auto"/>
            <w:tcMar>
              <w:top w:w="100" w:type="dxa"/>
              <w:left w:w="100" w:type="dxa"/>
              <w:bottom w:w="100" w:type="dxa"/>
              <w:right w:w="100" w:type="dxa"/>
            </w:tcMar>
          </w:tcPr>
          <w:p w14:paraId="0F979A09" w14:textId="77777777" w:rsidR="00114585" w:rsidRPr="00ED061D" w:rsidRDefault="003E4EA2">
            <w:pPr>
              <w:jc w:val="center"/>
              <w:rPr>
                <w:lang w:val="en-GB"/>
              </w:rPr>
            </w:pPr>
            <w:r w:rsidRPr="00ED061D">
              <w:rPr>
                <w:lang w:val="en-GB"/>
              </w:rPr>
              <w:t>November 2017</w:t>
            </w:r>
          </w:p>
        </w:tc>
        <w:tc>
          <w:tcPr>
            <w:tcW w:w="2255" w:type="dxa"/>
            <w:shd w:val="clear" w:color="auto" w:fill="auto"/>
            <w:tcMar>
              <w:top w:w="100" w:type="dxa"/>
              <w:left w:w="100" w:type="dxa"/>
              <w:bottom w:w="100" w:type="dxa"/>
              <w:right w:w="100" w:type="dxa"/>
            </w:tcMar>
          </w:tcPr>
          <w:p w14:paraId="45FCFF92" w14:textId="77777777" w:rsidR="00114585" w:rsidRPr="00ED061D" w:rsidRDefault="003E4EA2">
            <w:pPr>
              <w:widowControl w:val="0"/>
              <w:jc w:val="center"/>
              <w:rPr>
                <w:lang w:val="en-GB"/>
              </w:rPr>
            </w:pPr>
            <w:r w:rsidRPr="00ED061D">
              <w:rPr>
                <w:lang w:val="en-GB"/>
              </w:rPr>
              <w:t>Adana</w:t>
            </w:r>
          </w:p>
        </w:tc>
      </w:tr>
      <w:tr w:rsidR="00114585" w:rsidRPr="00ED061D" w14:paraId="67A81A69" w14:textId="77777777">
        <w:tc>
          <w:tcPr>
            <w:tcW w:w="2255" w:type="dxa"/>
            <w:shd w:val="clear" w:color="auto" w:fill="auto"/>
            <w:tcMar>
              <w:top w:w="100" w:type="dxa"/>
              <w:left w:w="100" w:type="dxa"/>
              <w:bottom w:w="100" w:type="dxa"/>
              <w:right w:w="100" w:type="dxa"/>
            </w:tcMar>
          </w:tcPr>
          <w:p w14:paraId="1A1320A3" w14:textId="77777777" w:rsidR="00114585" w:rsidRPr="00ED061D" w:rsidRDefault="003E4EA2">
            <w:pPr>
              <w:jc w:val="center"/>
              <w:rPr>
                <w:lang w:val="en-GB"/>
              </w:rPr>
            </w:pPr>
            <w:r w:rsidRPr="00ED061D">
              <w:rPr>
                <w:lang w:val="en-GB"/>
              </w:rPr>
              <w:t>Mehmet Canpolat</w:t>
            </w:r>
          </w:p>
        </w:tc>
        <w:tc>
          <w:tcPr>
            <w:tcW w:w="2255" w:type="dxa"/>
            <w:shd w:val="clear" w:color="auto" w:fill="auto"/>
            <w:tcMar>
              <w:top w:w="100" w:type="dxa"/>
              <w:left w:w="100" w:type="dxa"/>
              <w:bottom w:w="100" w:type="dxa"/>
              <w:right w:w="100" w:type="dxa"/>
            </w:tcMar>
          </w:tcPr>
          <w:p w14:paraId="6AD7DF8F" w14:textId="77777777" w:rsidR="00114585" w:rsidRPr="00ED061D" w:rsidRDefault="003E4EA2">
            <w:pPr>
              <w:jc w:val="center"/>
              <w:rPr>
                <w:lang w:val="en-GB"/>
              </w:rPr>
            </w:pPr>
            <w:r w:rsidRPr="00ED061D">
              <w:rPr>
                <w:lang w:val="en-GB"/>
              </w:rPr>
              <w:t>12 years</w:t>
            </w:r>
          </w:p>
        </w:tc>
        <w:tc>
          <w:tcPr>
            <w:tcW w:w="2255" w:type="dxa"/>
            <w:shd w:val="clear" w:color="auto" w:fill="auto"/>
            <w:tcMar>
              <w:top w:w="100" w:type="dxa"/>
              <w:left w:w="100" w:type="dxa"/>
              <w:bottom w:w="100" w:type="dxa"/>
              <w:right w:w="100" w:type="dxa"/>
            </w:tcMar>
          </w:tcPr>
          <w:p w14:paraId="76A862B0" w14:textId="77777777" w:rsidR="00114585" w:rsidRPr="00ED061D" w:rsidRDefault="00114585">
            <w:pPr>
              <w:widowControl w:val="0"/>
              <w:jc w:val="center"/>
              <w:rPr>
                <w:lang w:val="en-GB"/>
              </w:rPr>
            </w:pPr>
          </w:p>
        </w:tc>
        <w:tc>
          <w:tcPr>
            <w:tcW w:w="2255" w:type="dxa"/>
            <w:shd w:val="clear" w:color="auto" w:fill="auto"/>
            <w:tcMar>
              <w:top w:w="100" w:type="dxa"/>
              <w:left w:w="100" w:type="dxa"/>
              <w:bottom w:w="100" w:type="dxa"/>
              <w:right w:w="100" w:type="dxa"/>
            </w:tcMar>
          </w:tcPr>
          <w:p w14:paraId="34DEEFF3" w14:textId="77777777" w:rsidR="00114585" w:rsidRPr="00ED061D" w:rsidRDefault="003E4EA2">
            <w:pPr>
              <w:widowControl w:val="0"/>
              <w:jc w:val="center"/>
              <w:rPr>
                <w:lang w:val="en-GB"/>
              </w:rPr>
            </w:pPr>
            <w:r w:rsidRPr="00ED061D">
              <w:rPr>
                <w:lang w:val="en-GB"/>
              </w:rPr>
              <w:t>Adıyaman</w:t>
            </w:r>
          </w:p>
        </w:tc>
      </w:tr>
      <w:tr w:rsidR="00114585" w:rsidRPr="00ED061D" w14:paraId="0AEAE3AA" w14:textId="77777777">
        <w:tc>
          <w:tcPr>
            <w:tcW w:w="2255" w:type="dxa"/>
            <w:shd w:val="clear" w:color="auto" w:fill="auto"/>
            <w:tcMar>
              <w:top w:w="100" w:type="dxa"/>
              <w:left w:w="100" w:type="dxa"/>
              <w:bottom w:w="100" w:type="dxa"/>
              <w:right w:w="100" w:type="dxa"/>
            </w:tcMar>
          </w:tcPr>
          <w:p w14:paraId="370A25E1" w14:textId="77777777" w:rsidR="00114585" w:rsidRPr="00ED061D" w:rsidRDefault="003E4EA2">
            <w:pPr>
              <w:jc w:val="center"/>
              <w:rPr>
                <w:lang w:val="en-GB"/>
              </w:rPr>
            </w:pPr>
            <w:r w:rsidRPr="00ED061D">
              <w:rPr>
                <w:lang w:val="en-GB"/>
              </w:rPr>
              <w:t>Ali Rıza Küçükilhan</w:t>
            </w:r>
          </w:p>
        </w:tc>
        <w:tc>
          <w:tcPr>
            <w:tcW w:w="2255" w:type="dxa"/>
            <w:shd w:val="clear" w:color="auto" w:fill="auto"/>
            <w:tcMar>
              <w:top w:w="100" w:type="dxa"/>
              <w:left w:w="100" w:type="dxa"/>
              <w:bottom w:w="100" w:type="dxa"/>
              <w:right w:w="100" w:type="dxa"/>
            </w:tcMar>
          </w:tcPr>
          <w:p w14:paraId="1B5C0C9F" w14:textId="77777777" w:rsidR="00114585" w:rsidRPr="00ED061D" w:rsidRDefault="003E4EA2">
            <w:pPr>
              <w:jc w:val="center"/>
              <w:rPr>
                <w:lang w:val="en-GB"/>
              </w:rPr>
            </w:pPr>
            <w:r w:rsidRPr="00ED061D">
              <w:rPr>
                <w:lang w:val="en-GB"/>
              </w:rPr>
              <w:t>12 years</w:t>
            </w:r>
          </w:p>
        </w:tc>
        <w:tc>
          <w:tcPr>
            <w:tcW w:w="2255" w:type="dxa"/>
            <w:shd w:val="clear" w:color="auto" w:fill="auto"/>
            <w:tcMar>
              <w:top w:w="100" w:type="dxa"/>
              <w:left w:w="100" w:type="dxa"/>
              <w:bottom w:w="100" w:type="dxa"/>
              <w:right w:w="100" w:type="dxa"/>
            </w:tcMar>
          </w:tcPr>
          <w:p w14:paraId="355CE81C" w14:textId="77777777" w:rsidR="00114585" w:rsidRPr="00ED061D" w:rsidRDefault="003E4EA2">
            <w:pPr>
              <w:jc w:val="center"/>
              <w:rPr>
                <w:lang w:val="en-GB"/>
              </w:rPr>
            </w:pPr>
            <w:r w:rsidRPr="00ED061D">
              <w:rPr>
                <w:lang w:val="en-GB"/>
              </w:rPr>
              <w:t xml:space="preserve">20.04.2017 </w:t>
            </w:r>
          </w:p>
        </w:tc>
        <w:tc>
          <w:tcPr>
            <w:tcW w:w="2255" w:type="dxa"/>
            <w:shd w:val="clear" w:color="auto" w:fill="auto"/>
            <w:tcMar>
              <w:top w:w="100" w:type="dxa"/>
              <w:left w:w="100" w:type="dxa"/>
              <w:bottom w:w="100" w:type="dxa"/>
              <w:right w:w="100" w:type="dxa"/>
            </w:tcMar>
          </w:tcPr>
          <w:p w14:paraId="4841446D" w14:textId="77777777" w:rsidR="00114585" w:rsidRPr="00ED061D" w:rsidRDefault="003E4EA2">
            <w:pPr>
              <w:widowControl w:val="0"/>
              <w:jc w:val="center"/>
              <w:rPr>
                <w:lang w:val="en-GB"/>
              </w:rPr>
            </w:pPr>
            <w:r w:rsidRPr="00ED061D">
              <w:rPr>
                <w:lang w:val="en-GB"/>
              </w:rPr>
              <w:t>Afyon</w:t>
            </w:r>
          </w:p>
        </w:tc>
      </w:tr>
      <w:tr w:rsidR="00114585" w:rsidRPr="00ED061D" w14:paraId="572C6C48" w14:textId="77777777">
        <w:tc>
          <w:tcPr>
            <w:tcW w:w="2255" w:type="dxa"/>
            <w:shd w:val="clear" w:color="auto" w:fill="auto"/>
            <w:tcMar>
              <w:top w:w="100" w:type="dxa"/>
              <w:left w:w="100" w:type="dxa"/>
              <w:bottom w:w="100" w:type="dxa"/>
              <w:right w:w="100" w:type="dxa"/>
            </w:tcMar>
          </w:tcPr>
          <w:p w14:paraId="702CB0F8" w14:textId="77777777" w:rsidR="00114585" w:rsidRPr="00ED061D" w:rsidRDefault="003E4EA2">
            <w:pPr>
              <w:jc w:val="center"/>
              <w:rPr>
                <w:lang w:val="en-GB"/>
              </w:rPr>
            </w:pPr>
            <w:r w:rsidRPr="00ED061D">
              <w:rPr>
                <w:lang w:val="en-GB"/>
              </w:rPr>
              <w:t>Nedim Saru</w:t>
            </w:r>
          </w:p>
        </w:tc>
        <w:tc>
          <w:tcPr>
            <w:tcW w:w="2255" w:type="dxa"/>
            <w:shd w:val="clear" w:color="auto" w:fill="auto"/>
            <w:tcMar>
              <w:top w:w="100" w:type="dxa"/>
              <w:left w:w="100" w:type="dxa"/>
              <w:bottom w:w="100" w:type="dxa"/>
              <w:right w:w="100" w:type="dxa"/>
            </w:tcMar>
          </w:tcPr>
          <w:p w14:paraId="7D8E0D7B" w14:textId="77777777" w:rsidR="00114585" w:rsidRPr="00ED061D" w:rsidRDefault="003E4EA2">
            <w:pPr>
              <w:widowControl w:val="0"/>
              <w:jc w:val="center"/>
              <w:rPr>
                <w:lang w:val="en-GB"/>
              </w:rPr>
            </w:pPr>
            <w:r w:rsidRPr="00ED061D">
              <w:rPr>
                <w:lang w:val="en-GB"/>
              </w:rPr>
              <w:t>11 years and 3 months</w:t>
            </w:r>
          </w:p>
        </w:tc>
        <w:tc>
          <w:tcPr>
            <w:tcW w:w="2255" w:type="dxa"/>
            <w:shd w:val="clear" w:color="auto" w:fill="auto"/>
            <w:tcMar>
              <w:top w:w="100" w:type="dxa"/>
              <w:left w:w="100" w:type="dxa"/>
              <w:bottom w:w="100" w:type="dxa"/>
              <w:right w:w="100" w:type="dxa"/>
            </w:tcMar>
          </w:tcPr>
          <w:p w14:paraId="4DA81D65" w14:textId="77777777" w:rsidR="00114585" w:rsidRPr="00ED061D" w:rsidRDefault="003E4EA2">
            <w:pPr>
              <w:jc w:val="center"/>
              <w:rPr>
                <w:lang w:val="en-GB"/>
              </w:rPr>
            </w:pPr>
            <w:r w:rsidRPr="00ED061D">
              <w:rPr>
                <w:lang w:val="en-GB"/>
              </w:rPr>
              <w:t xml:space="preserve">02.06.2017 </w:t>
            </w:r>
          </w:p>
        </w:tc>
        <w:tc>
          <w:tcPr>
            <w:tcW w:w="2255" w:type="dxa"/>
            <w:shd w:val="clear" w:color="auto" w:fill="auto"/>
            <w:tcMar>
              <w:top w:w="100" w:type="dxa"/>
              <w:left w:w="100" w:type="dxa"/>
              <w:bottom w:w="100" w:type="dxa"/>
              <w:right w:w="100" w:type="dxa"/>
            </w:tcMar>
          </w:tcPr>
          <w:p w14:paraId="457C9351" w14:textId="77777777" w:rsidR="00114585" w:rsidRPr="00ED061D" w:rsidRDefault="003E4EA2">
            <w:pPr>
              <w:widowControl w:val="0"/>
              <w:jc w:val="center"/>
              <w:rPr>
                <w:lang w:val="en-GB"/>
              </w:rPr>
            </w:pPr>
            <w:r w:rsidRPr="00ED061D">
              <w:rPr>
                <w:lang w:val="en-GB"/>
              </w:rPr>
              <w:t>Afyon</w:t>
            </w:r>
          </w:p>
        </w:tc>
      </w:tr>
      <w:tr w:rsidR="00114585" w:rsidRPr="00ED061D" w14:paraId="580CAF18" w14:textId="77777777">
        <w:tc>
          <w:tcPr>
            <w:tcW w:w="2255" w:type="dxa"/>
            <w:shd w:val="clear" w:color="auto" w:fill="auto"/>
            <w:tcMar>
              <w:top w:w="100" w:type="dxa"/>
              <w:left w:w="100" w:type="dxa"/>
              <w:bottom w:w="100" w:type="dxa"/>
              <w:right w:w="100" w:type="dxa"/>
            </w:tcMar>
          </w:tcPr>
          <w:p w14:paraId="5E42E889" w14:textId="77777777" w:rsidR="00114585" w:rsidRPr="00ED061D" w:rsidRDefault="003E4EA2">
            <w:pPr>
              <w:jc w:val="center"/>
              <w:rPr>
                <w:lang w:val="en-GB"/>
              </w:rPr>
            </w:pPr>
            <w:r w:rsidRPr="00ED061D">
              <w:rPr>
                <w:lang w:val="en-GB"/>
              </w:rPr>
              <w:t>Yücel Akdağ</w:t>
            </w:r>
          </w:p>
        </w:tc>
        <w:tc>
          <w:tcPr>
            <w:tcW w:w="2255" w:type="dxa"/>
            <w:shd w:val="clear" w:color="auto" w:fill="auto"/>
            <w:tcMar>
              <w:top w:w="100" w:type="dxa"/>
              <w:left w:w="100" w:type="dxa"/>
              <w:bottom w:w="100" w:type="dxa"/>
              <w:right w:w="100" w:type="dxa"/>
            </w:tcMar>
          </w:tcPr>
          <w:p w14:paraId="47DFBC91" w14:textId="77777777" w:rsidR="00114585" w:rsidRPr="00ED061D" w:rsidRDefault="003E4EA2">
            <w:pPr>
              <w:jc w:val="center"/>
              <w:rPr>
                <w:lang w:val="en-GB"/>
              </w:rPr>
            </w:pPr>
            <w:r w:rsidRPr="00ED061D">
              <w:rPr>
                <w:lang w:val="en-GB"/>
              </w:rPr>
              <w:t>10 years</w:t>
            </w:r>
          </w:p>
        </w:tc>
        <w:tc>
          <w:tcPr>
            <w:tcW w:w="2255" w:type="dxa"/>
            <w:shd w:val="clear" w:color="auto" w:fill="auto"/>
            <w:tcMar>
              <w:top w:w="100" w:type="dxa"/>
              <w:left w:w="100" w:type="dxa"/>
              <w:bottom w:w="100" w:type="dxa"/>
              <w:right w:w="100" w:type="dxa"/>
            </w:tcMar>
          </w:tcPr>
          <w:p w14:paraId="6D51D69F" w14:textId="77777777" w:rsidR="00114585" w:rsidRPr="00ED061D" w:rsidRDefault="003E4EA2">
            <w:pPr>
              <w:jc w:val="center"/>
              <w:rPr>
                <w:lang w:val="en-GB"/>
              </w:rPr>
            </w:pPr>
            <w:r w:rsidRPr="00ED061D">
              <w:rPr>
                <w:lang w:val="en-GB"/>
              </w:rPr>
              <w:t>08.10.2018</w:t>
            </w:r>
          </w:p>
        </w:tc>
        <w:tc>
          <w:tcPr>
            <w:tcW w:w="2255" w:type="dxa"/>
            <w:shd w:val="clear" w:color="auto" w:fill="auto"/>
            <w:tcMar>
              <w:top w:w="100" w:type="dxa"/>
              <w:left w:w="100" w:type="dxa"/>
              <w:bottom w:w="100" w:type="dxa"/>
              <w:right w:w="100" w:type="dxa"/>
            </w:tcMar>
          </w:tcPr>
          <w:p w14:paraId="77A38AB1" w14:textId="77777777" w:rsidR="00114585" w:rsidRPr="00ED061D" w:rsidRDefault="003E4EA2">
            <w:pPr>
              <w:widowControl w:val="0"/>
              <w:jc w:val="center"/>
              <w:rPr>
                <w:lang w:val="en-GB"/>
              </w:rPr>
            </w:pPr>
            <w:r w:rsidRPr="00ED061D">
              <w:rPr>
                <w:lang w:val="en-GB"/>
              </w:rPr>
              <w:t>Afyon</w:t>
            </w:r>
          </w:p>
        </w:tc>
      </w:tr>
      <w:tr w:rsidR="00114585" w:rsidRPr="00ED061D" w14:paraId="3BD83B4B" w14:textId="77777777">
        <w:trPr>
          <w:trHeight w:val="720"/>
        </w:trPr>
        <w:tc>
          <w:tcPr>
            <w:tcW w:w="2255" w:type="dxa"/>
            <w:shd w:val="clear" w:color="auto" w:fill="auto"/>
            <w:tcMar>
              <w:top w:w="100" w:type="dxa"/>
              <w:left w:w="100" w:type="dxa"/>
              <w:bottom w:w="100" w:type="dxa"/>
              <w:right w:w="100" w:type="dxa"/>
            </w:tcMar>
          </w:tcPr>
          <w:p w14:paraId="79A6233A" w14:textId="77777777" w:rsidR="00114585" w:rsidRPr="00ED061D" w:rsidRDefault="003E4EA2">
            <w:pPr>
              <w:jc w:val="center"/>
              <w:rPr>
                <w:lang w:val="en-GB"/>
              </w:rPr>
            </w:pPr>
            <w:r w:rsidRPr="00ED061D">
              <w:rPr>
                <w:lang w:val="en-GB"/>
              </w:rPr>
              <w:t>Abdülkadir Aksoy</w:t>
            </w:r>
          </w:p>
        </w:tc>
        <w:tc>
          <w:tcPr>
            <w:tcW w:w="2255" w:type="dxa"/>
            <w:shd w:val="clear" w:color="auto" w:fill="auto"/>
            <w:tcMar>
              <w:top w:w="100" w:type="dxa"/>
              <w:left w:w="100" w:type="dxa"/>
              <w:bottom w:w="100" w:type="dxa"/>
              <w:right w:w="100" w:type="dxa"/>
            </w:tcMar>
          </w:tcPr>
          <w:p w14:paraId="75A25D68" w14:textId="77777777" w:rsidR="00114585" w:rsidRPr="00ED061D" w:rsidRDefault="003E4EA2">
            <w:pPr>
              <w:jc w:val="center"/>
              <w:rPr>
                <w:lang w:val="en-GB"/>
              </w:rPr>
            </w:pPr>
            <w:r w:rsidRPr="00ED061D">
              <w:rPr>
                <w:lang w:val="en-GB"/>
              </w:rPr>
              <w:t xml:space="preserve">10 years and 6 months </w:t>
            </w:r>
          </w:p>
        </w:tc>
        <w:tc>
          <w:tcPr>
            <w:tcW w:w="2255" w:type="dxa"/>
            <w:shd w:val="clear" w:color="auto" w:fill="auto"/>
            <w:tcMar>
              <w:top w:w="100" w:type="dxa"/>
              <w:left w:w="100" w:type="dxa"/>
              <w:bottom w:w="100" w:type="dxa"/>
              <w:right w:w="100" w:type="dxa"/>
            </w:tcMar>
          </w:tcPr>
          <w:p w14:paraId="70E64A00" w14:textId="77777777" w:rsidR="00114585" w:rsidRPr="00ED061D" w:rsidRDefault="00114585">
            <w:pPr>
              <w:rPr>
                <w:lang w:val="en-GB"/>
              </w:rPr>
            </w:pPr>
          </w:p>
        </w:tc>
        <w:tc>
          <w:tcPr>
            <w:tcW w:w="2255" w:type="dxa"/>
            <w:shd w:val="clear" w:color="auto" w:fill="auto"/>
            <w:tcMar>
              <w:top w:w="100" w:type="dxa"/>
              <w:left w:w="100" w:type="dxa"/>
              <w:bottom w:w="100" w:type="dxa"/>
              <w:right w:w="100" w:type="dxa"/>
            </w:tcMar>
          </w:tcPr>
          <w:p w14:paraId="4DB1DF81" w14:textId="77777777" w:rsidR="00114585" w:rsidRPr="00ED061D" w:rsidRDefault="003E4EA2">
            <w:pPr>
              <w:jc w:val="center"/>
              <w:rPr>
                <w:lang w:val="en-GB"/>
              </w:rPr>
            </w:pPr>
            <w:r w:rsidRPr="00ED061D">
              <w:rPr>
                <w:lang w:val="en-GB"/>
              </w:rPr>
              <w:t>Ankara</w:t>
            </w:r>
          </w:p>
        </w:tc>
      </w:tr>
      <w:tr w:rsidR="00114585" w:rsidRPr="00ED061D" w14:paraId="26C20690" w14:textId="77777777">
        <w:tc>
          <w:tcPr>
            <w:tcW w:w="2255" w:type="dxa"/>
            <w:shd w:val="clear" w:color="auto" w:fill="auto"/>
            <w:tcMar>
              <w:top w:w="100" w:type="dxa"/>
              <w:left w:w="100" w:type="dxa"/>
              <w:bottom w:w="100" w:type="dxa"/>
              <w:right w:w="100" w:type="dxa"/>
            </w:tcMar>
          </w:tcPr>
          <w:p w14:paraId="71678782" w14:textId="77777777" w:rsidR="00114585" w:rsidRPr="00ED061D" w:rsidRDefault="003E4EA2">
            <w:pPr>
              <w:jc w:val="center"/>
              <w:rPr>
                <w:lang w:val="en-GB"/>
              </w:rPr>
            </w:pPr>
            <w:r w:rsidRPr="00ED061D">
              <w:rPr>
                <w:lang w:val="en-GB"/>
              </w:rPr>
              <w:t>Mustafa Çuhacı</w:t>
            </w:r>
          </w:p>
        </w:tc>
        <w:tc>
          <w:tcPr>
            <w:tcW w:w="2255" w:type="dxa"/>
            <w:shd w:val="clear" w:color="auto" w:fill="auto"/>
            <w:tcMar>
              <w:top w:w="100" w:type="dxa"/>
              <w:left w:w="100" w:type="dxa"/>
              <w:bottom w:w="100" w:type="dxa"/>
              <w:right w:w="100" w:type="dxa"/>
            </w:tcMar>
          </w:tcPr>
          <w:p w14:paraId="2BC66935" w14:textId="77777777" w:rsidR="00114585" w:rsidRPr="00ED061D" w:rsidRDefault="003E4EA2">
            <w:pPr>
              <w:jc w:val="center"/>
              <w:rPr>
                <w:lang w:val="en-GB"/>
              </w:rPr>
            </w:pPr>
            <w:r w:rsidRPr="00ED061D">
              <w:rPr>
                <w:lang w:val="en-GB"/>
              </w:rPr>
              <w:t>10 years</w:t>
            </w:r>
          </w:p>
        </w:tc>
        <w:tc>
          <w:tcPr>
            <w:tcW w:w="2255" w:type="dxa"/>
            <w:shd w:val="clear" w:color="auto" w:fill="auto"/>
            <w:tcMar>
              <w:top w:w="100" w:type="dxa"/>
              <w:left w:w="100" w:type="dxa"/>
              <w:bottom w:w="100" w:type="dxa"/>
              <w:right w:w="100" w:type="dxa"/>
            </w:tcMar>
          </w:tcPr>
          <w:p w14:paraId="75BEEE24" w14:textId="77777777" w:rsidR="00114585" w:rsidRPr="00ED061D" w:rsidRDefault="003E4EA2">
            <w:pPr>
              <w:jc w:val="center"/>
              <w:rPr>
                <w:lang w:val="en-GB"/>
              </w:rPr>
            </w:pPr>
            <w:r w:rsidRPr="00ED061D">
              <w:rPr>
                <w:lang w:val="en-GB"/>
              </w:rPr>
              <w:t xml:space="preserve">10.07.2018 </w:t>
            </w:r>
          </w:p>
        </w:tc>
        <w:tc>
          <w:tcPr>
            <w:tcW w:w="2255" w:type="dxa"/>
            <w:shd w:val="clear" w:color="auto" w:fill="auto"/>
            <w:tcMar>
              <w:top w:w="100" w:type="dxa"/>
              <w:left w:w="100" w:type="dxa"/>
              <w:bottom w:w="100" w:type="dxa"/>
              <w:right w:w="100" w:type="dxa"/>
            </w:tcMar>
          </w:tcPr>
          <w:p w14:paraId="38C2DDC1" w14:textId="77777777" w:rsidR="00114585" w:rsidRPr="00ED061D" w:rsidRDefault="003E4EA2">
            <w:pPr>
              <w:jc w:val="center"/>
              <w:rPr>
                <w:lang w:val="en-GB"/>
              </w:rPr>
            </w:pPr>
            <w:r w:rsidRPr="00ED061D">
              <w:rPr>
                <w:lang w:val="en-GB"/>
              </w:rPr>
              <w:t>Ankara</w:t>
            </w:r>
          </w:p>
        </w:tc>
      </w:tr>
      <w:tr w:rsidR="00114585" w:rsidRPr="00ED061D" w14:paraId="21602144" w14:textId="77777777">
        <w:tc>
          <w:tcPr>
            <w:tcW w:w="2255" w:type="dxa"/>
            <w:shd w:val="clear" w:color="auto" w:fill="auto"/>
            <w:tcMar>
              <w:top w:w="100" w:type="dxa"/>
              <w:left w:w="100" w:type="dxa"/>
              <w:bottom w:w="100" w:type="dxa"/>
              <w:right w:w="100" w:type="dxa"/>
            </w:tcMar>
          </w:tcPr>
          <w:p w14:paraId="7C8286CB" w14:textId="77777777" w:rsidR="00114585" w:rsidRPr="00ED061D" w:rsidRDefault="003E4EA2">
            <w:pPr>
              <w:jc w:val="center"/>
              <w:rPr>
                <w:lang w:val="en-GB"/>
              </w:rPr>
            </w:pPr>
            <w:r w:rsidRPr="00ED061D">
              <w:rPr>
                <w:lang w:val="en-GB"/>
              </w:rPr>
              <w:t>Aysel Tuğluk</w:t>
            </w:r>
          </w:p>
        </w:tc>
        <w:tc>
          <w:tcPr>
            <w:tcW w:w="2255" w:type="dxa"/>
            <w:shd w:val="clear" w:color="auto" w:fill="auto"/>
            <w:tcMar>
              <w:top w:w="100" w:type="dxa"/>
              <w:left w:w="100" w:type="dxa"/>
              <w:bottom w:w="100" w:type="dxa"/>
              <w:right w:w="100" w:type="dxa"/>
            </w:tcMar>
          </w:tcPr>
          <w:p w14:paraId="367A1AB3" w14:textId="77777777" w:rsidR="00114585" w:rsidRPr="00ED061D" w:rsidRDefault="003E4EA2">
            <w:pPr>
              <w:jc w:val="center"/>
              <w:rPr>
                <w:lang w:val="en-GB"/>
              </w:rPr>
            </w:pPr>
            <w:r w:rsidRPr="00ED061D">
              <w:rPr>
                <w:lang w:val="en-GB"/>
              </w:rPr>
              <w:t>10 years</w:t>
            </w:r>
          </w:p>
        </w:tc>
        <w:tc>
          <w:tcPr>
            <w:tcW w:w="2255" w:type="dxa"/>
            <w:shd w:val="clear" w:color="auto" w:fill="auto"/>
            <w:tcMar>
              <w:top w:w="100" w:type="dxa"/>
              <w:left w:w="100" w:type="dxa"/>
              <w:bottom w:w="100" w:type="dxa"/>
              <w:right w:w="100" w:type="dxa"/>
            </w:tcMar>
          </w:tcPr>
          <w:p w14:paraId="055F0FBC" w14:textId="77777777" w:rsidR="00114585" w:rsidRPr="00ED061D" w:rsidRDefault="003E4EA2">
            <w:pPr>
              <w:jc w:val="center"/>
              <w:rPr>
                <w:lang w:val="en-GB"/>
              </w:rPr>
            </w:pPr>
            <w:r w:rsidRPr="00ED061D">
              <w:rPr>
                <w:lang w:val="en-GB"/>
              </w:rPr>
              <w:t xml:space="preserve">16.03.2018 </w:t>
            </w:r>
          </w:p>
        </w:tc>
        <w:tc>
          <w:tcPr>
            <w:tcW w:w="2255" w:type="dxa"/>
            <w:shd w:val="clear" w:color="auto" w:fill="auto"/>
            <w:tcMar>
              <w:top w:w="100" w:type="dxa"/>
              <w:left w:w="100" w:type="dxa"/>
              <w:bottom w:w="100" w:type="dxa"/>
              <w:right w:w="100" w:type="dxa"/>
            </w:tcMar>
          </w:tcPr>
          <w:p w14:paraId="2AEB5672" w14:textId="77777777" w:rsidR="00114585" w:rsidRPr="00ED061D" w:rsidRDefault="003E4EA2">
            <w:pPr>
              <w:jc w:val="center"/>
              <w:rPr>
                <w:lang w:val="en-GB"/>
              </w:rPr>
            </w:pPr>
            <w:r w:rsidRPr="00ED061D">
              <w:rPr>
                <w:lang w:val="en-GB"/>
              </w:rPr>
              <w:t>17th High Criminal Court of Ankara</w:t>
            </w:r>
          </w:p>
        </w:tc>
      </w:tr>
      <w:tr w:rsidR="00114585" w:rsidRPr="00ED061D" w14:paraId="562C2F0A" w14:textId="77777777">
        <w:tc>
          <w:tcPr>
            <w:tcW w:w="2255" w:type="dxa"/>
            <w:shd w:val="clear" w:color="auto" w:fill="auto"/>
            <w:tcMar>
              <w:top w:w="100" w:type="dxa"/>
              <w:left w:w="100" w:type="dxa"/>
              <w:bottom w:w="100" w:type="dxa"/>
              <w:right w:w="100" w:type="dxa"/>
            </w:tcMar>
          </w:tcPr>
          <w:p w14:paraId="7FE8FCF9" w14:textId="77777777" w:rsidR="00114585" w:rsidRPr="00ED061D" w:rsidRDefault="003E4EA2">
            <w:pPr>
              <w:widowControl w:val="0"/>
              <w:jc w:val="center"/>
              <w:rPr>
                <w:lang w:val="en-GB"/>
              </w:rPr>
            </w:pPr>
            <w:r w:rsidRPr="00ED061D">
              <w:rPr>
                <w:lang w:val="en-GB"/>
              </w:rPr>
              <w:t>Murat Uzun</w:t>
            </w:r>
          </w:p>
        </w:tc>
        <w:tc>
          <w:tcPr>
            <w:tcW w:w="2255" w:type="dxa"/>
            <w:shd w:val="clear" w:color="auto" w:fill="auto"/>
            <w:tcMar>
              <w:top w:w="100" w:type="dxa"/>
              <w:left w:w="100" w:type="dxa"/>
              <w:bottom w:w="100" w:type="dxa"/>
              <w:right w:w="100" w:type="dxa"/>
            </w:tcMar>
          </w:tcPr>
          <w:p w14:paraId="283DE368" w14:textId="77777777" w:rsidR="00114585" w:rsidRPr="00ED061D" w:rsidRDefault="003E4EA2">
            <w:pPr>
              <w:widowControl w:val="0"/>
              <w:jc w:val="center"/>
              <w:rPr>
                <w:lang w:val="en-GB"/>
              </w:rPr>
            </w:pPr>
            <w:r w:rsidRPr="00ED061D">
              <w:rPr>
                <w:lang w:val="en-GB"/>
              </w:rPr>
              <w:t>12 years</w:t>
            </w:r>
          </w:p>
        </w:tc>
        <w:tc>
          <w:tcPr>
            <w:tcW w:w="2255" w:type="dxa"/>
            <w:shd w:val="clear" w:color="auto" w:fill="auto"/>
            <w:tcMar>
              <w:top w:w="100" w:type="dxa"/>
              <w:left w:w="100" w:type="dxa"/>
              <w:bottom w:w="100" w:type="dxa"/>
              <w:right w:w="100" w:type="dxa"/>
            </w:tcMar>
          </w:tcPr>
          <w:p w14:paraId="6949C580" w14:textId="77777777" w:rsidR="00114585" w:rsidRPr="00ED061D" w:rsidRDefault="00114585">
            <w:pPr>
              <w:widowControl w:val="0"/>
              <w:jc w:val="center"/>
              <w:rPr>
                <w:lang w:val="en-GB"/>
              </w:rPr>
            </w:pPr>
          </w:p>
        </w:tc>
        <w:tc>
          <w:tcPr>
            <w:tcW w:w="2255" w:type="dxa"/>
            <w:shd w:val="clear" w:color="auto" w:fill="auto"/>
            <w:tcMar>
              <w:top w:w="100" w:type="dxa"/>
              <w:left w:w="100" w:type="dxa"/>
              <w:bottom w:w="100" w:type="dxa"/>
              <w:right w:w="100" w:type="dxa"/>
            </w:tcMar>
          </w:tcPr>
          <w:p w14:paraId="4E2AAC98" w14:textId="77777777" w:rsidR="00114585" w:rsidRPr="00ED061D" w:rsidRDefault="003E4EA2">
            <w:pPr>
              <w:jc w:val="center"/>
              <w:rPr>
                <w:lang w:val="en-GB"/>
              </w:rPr>
            </w:pPr>
            <w:r w:rsidRPr="00ED061D">
              <w:rPr>
                <w:lang w:val="en-GB"/>
              </w:rPr>
              <w:t>Eskişehir</w:t>
            </w:r>
          </w:p>
        </w:tc>
      </w:tr>
      <w:tr w:rsidR="00114585" w:rsidRPr="00ED061D" w14:paraId="66E3E332" w14:textId="77777777">
        <w:tc>
          <w:tcPr>
            <w:tcW w:w="2255" w:type="dxa"/>
            <w:shd w:val="clear" w:color="auto" w:fill="auto"/>
            <w:tcMar>
              <w:top w:w="100" w:type="dxa"/>
              <w:left w:w="100" w:type="dxa"/>
              <w:bottom w:w="100" w:type="dxa"/>
              <w:right w:w="100" w:type="dxa"/>
            </w:tcMar>
          </w:tcPr>
          <w:p w14:paraId="78157B14" w14:textId="77777777" w:rsidR="00114585" w:rsidRPr="00ED061D" w:rsidRDefault="003E4EA2">
            <w:pPr>
              <w:spacing w:line="276" w:lineRule="auto"/>
              <w:jc w:val="center"/>
              <w:rPr>
                <w:lang w:val="en-GB"/>
              </w:rPr>
            </w:pPr>
            <w:r w:rsidRPr="00ED061D">
              <w:rPr>
                <w:lang w:val="en-GB"/>
              </w:rPr>
              <w:t>Hakan Ata</w:t>
            </w:r>
          </w:p>
        </w:tc>
        <w:tc>
          <w:tcPr>
            <w:tcW w:w="2255" w:type="dxa"/>
            <w:shd w:val="clear" w:color="auto" w:fill="auto"/>
            <w:tcMar>
              <w:top w:w="100" w:type="dxa"/>
              <w:left w:w="100" w:type="dxa"/>
              <w:bottom w:w="100" w:type="dxa"/>
              <w:right w:w="100" w:type="dxa"/>
            </w:tcMar>
          </w:tcPr>
          <w:p w14:paraId="6B1FB668" w14:textId="77777777" w:rsidR="00114585" w:rsidRPr="00ED061D" w:rsidRDefault="003E4EA2">
            <w:pPr>
              <w:jc w:val="center"/>
              <w:rPr>
                <w:lang w:val="en-GB"/>
              </w:rPr>
            </w:pPr>
            <w:r w:rsidRPr="00ED061D">
              <w:rPr>
                <w:lang w:val="en-GB"/>
              </w:rPr>
              <w:t>10 years</w:t>
            </w:r>
          </w:p>
        </w:tc>
        <w:tc>
          <w:tcPr>
            <w:tcW w:w="2255" w:type="dxa"/>
            <w:shd w:val="clear" w:color="auto" w:fill="auto"/>
            <w:tcMar>
              <w:top w:w="100" w:type="dxa"/>
              <w:left w:w="100" w:type="dxa"/>
              <w:bottom w:w="100" w:type="dxa"/>
              <w:right w:w="100" w:type="dxa"/>
            </w:tcMar>
          </w:tcPr>
          <w:p w14:paraId="3AA5B5A2" w14:textId="77777777" w:rsidR="00114585" w:rsidRPr="00ED061D" w:rsidRDefault="00114585">
            <w:pPr>
              <w:widowControl w:val="0"/>
              <w:jc w:val="center"/>
              <w:rPr>
                <w:lang w:val="en-GB"/>
              </w:rPr>
            </w:pPr>
          </w:p>
        </w:tc>
        <w:tc>
          <w:tcPr>
            <w:tcW w:w="2255" w:type="dxa"/>
            <w:shd w:val="clear" w:color="auto" w:fill="auto"/>
            <w:tcMar>
              <w:top w:w="100" w:type="dxa"/>
              <w:left w:w="100" w:type="dxa"/>
              <w:bottom w:w="100" w:type="dxa"/>
              <w:right w:w="100" w:type="dxa"/>
            </w:tcMar>
          </w:tcPr>
          <w:p w14:paraId="0235D974" w14:textId="77777777" w:rsidR="00114585" w:rsidRPr="00ED061D" w:rsidRDefault="003E4EA2">
            <w:pPr>
              <w:jc w:val="center"/>
              <w:rPr>
                <w:lang w:val="en-GB"/>
              </w:rPr>
            </w:pPr>
            <w:r w:rsidRPr="00ED061D">
              <w:rPr>
                <w:lang w:val="en-GB"/>
              </w:rPr>
              <w:t>Eskişehir</w:t>
            </w:r>
          </w:p>
        </w:tc>
      </w:tr>
      <w:tr w:rsidR="00114585" w:rsidRPr="00ED061D" w14:paraId="09047FDE" w14:textId="77777777">
        <w:tc>
          <w:tcPr>
            <w:tcW w:w="2255" w:type="dxa"/>
            <w:shd w:val="clear" w:color="auto" w:fill="auto"/>
            <w:tcMar>
              <w:top w:w="100" w:type="dxa"/>
              <w:left w:w="100" w:type="dxa"/>
              <w:bottom w:w="100" w:type="dxa"/>
              <w:right w:w="100" w:type="dxa"/>
            </w:tcMar>
          </w:tcPr>
          <w:p w14:paraId="4F8FEDE0" w14:textId="77777777" w:rsidR="00114585" w:rsidRPr="00ED061D" w:rsidRDefault="003E4EA2">
            <w:pPr>
              <w:spacing w:line="276" w:lineRule="auto"/>
              <w:jc w:val="center"/>
              <w:rPr>
                <w:lang w:val="en-GB"/>
              </w:rPr>
            </w:pPr>
            <w:r w:rsidRPr="00ED061D">
              <w:rPr>
                <w:lang w:val="en-GB"/>
              </w:rPr>
              <w:t xml:space="preserve"> İlyas Özkan</w:t>
            </w:r>
          </w:p>
        </w:tc>
        <w:tc>
          <w:tcPr>
            <w:tcW w:w="2255" w:type="dxa"/>
            <w:shd w:val="clear" w:color="auto" w:fill="auto"/>
            <w:tcMar>
              <w:top w:w="100" w:type="dxa"/>
              <w:left w:w="100" w:type="dxa"/>
              <w:bottom w:w="100" w:type="dxa"/>
              <w:right w:w="100" w:type="dxa"/>
            </w:tcMar>
          </w:tcPr>
          <w:p w14:paraId="5FA58CC1" w14:textId="77777777" w:rsidR="00114585" w:rsidRPr="00ED061D" w:rsidRDefault="003E4EA2">
            <w:pPr>
              <w:jc w:val="center"/>
              <w:rPr>
                <w:lang w:val="en-GB"/>
              </w:rPr>
            </w:pPr>
            <w:r w:rsidRPr="00ED061D">
              <w:rPr>
                <w:lang w:val="en-GB"/>
              </w:rPr>
              <w:t>10 years</w:t>
            </w:r>
          </w:p>
        </w:tc>
        <w:tc>
          <w:tcPr>
            <w:tcW w:w="2255" w:type="dxa"/>
            <w:shd w:val="clear" w:color="auto" w:fill="auto"/>
            <w:tcMar>
              <w:top w:w="100" w:type="dxa"/>
              <w:left w:w="100" w:type="dxa"/>
              <w:bottom w:w="100" w:type="dxa"/>
              <w:right w:w="100" w:type="dxa"/>
            </w:tcMar>
          </w:tcPr>
          <w:p w14:paraId="6D15B4E8" w14:textId="77777777" w:rsidR="00114585" w:rsidRPr="00ED061D" w:rsidRDefault="00114585">
            <w:pPr>
              <w:widowControl w:val="0"/>
              <w:jc w:val="center"/>
              <w:rPr>
                <w:lang w:val="en-GB"/>
              </w:rPr>
            </w:pPr>
          </w:p>
        </w:tc>
        <w:tc>
          <w:tcPr>
            <w:tcW w:w="2255" w:type="dxa"/>
            <w:shd w:val="clear" w:color="auto" w:fill="auto"/>
            <w:tcMar>
              <w:top w:w="100" w:type="dxa"/>
              <w:left w:w="100" w:type="dxa"/>
              <w:bottom w:w="100" w:type="dxa"/>
              <w:right w:w="100" w:type="dxa"/>
            </w:tcMar>
          </w:tcPr>
          <w:p w14:paraId="74CA1E97" w14:textId="77777777" w:rsidR="00114585" w:rsidRPr="00ED061D" w:rsidRDefault="003E4EA2">
            <w:pPr>
              <w:jc w:val="center"/>
              <w:rPr>
                <w:lang w:val="en-GB"/>
              </w:rPr>
            </w:pPr>
            <w:r w:rsidRPr="00ED061D">
              <w:rPr>
                <w:lang w:val="en-GB"/>
              </w:rPr>
              <w:t>Eskişehir</w:t>
            </w:r>
          </w:p>
        </w:tc>
      </w:tr>
      <w:tr w:rsidR="00114585" w:rsidRPr="00ED061D" w14:paraId="0538A21E" w14:textId="77777777">
        <w:tc>
          <w:tcPr>
            <w:tcW w:w="2255" w:type="dxa"/>
            <w:shd w:val="clear" w:color="auto" w:fill="auto"/>
            <w:tcMar>
              <w:top w:w="100" w:type="dxa"/>
              <w:left w:w="100" w:type="dxa"/>
              <w:bottom w:w="100" w:type="dxa"/>
              <w:right w:w="100" w:type="dxa"/>
            </w:tcMar>
          </w:tcPr>
          <w:p w14:paraId="0CAA289D" w14:textId="77777777" w:rsidR="00114585" w:rsidRPr="00ED061D" w:rsidRDefault="003E4EA2">
            <w:pPr>
              <w:spacing w:line="276" w:lineRule="auto"/>
              <w:jc w:val="center"/>
              <w:rPr>
                <w:lang w:val="en-GB"/>
              </w:rPr>
            </w:pPr>
            <w:r w:rsidRPr="00ED061D">
              <w:rPr>
                <w:lang w:val="en-GB"/>
              </w:rPr>
              <w:t>Ahmet Taktak</w:t>
            </w:r>
          </w:p>
        </w:tc>
        <w:tc>
          <w:tcPr>
            <w:tcW w:w="2255" w:type="dxa"/>
            <w:shd w:val="clear" w:color="auto" w:fill="auto"/>
            <w:tcMar>
              <w:top w:w="100" w:type="dxa"/>
              <w:left w:w="100" w:type="dxa"/>
              <w:bottom w:w="100" w:type="dxa"/>
              <w:right w:w="100" w:type="dxa"/>
            </w:tcMar>
          </w:tcPr>
          <w:p w14:paraId="76E4D504" w14:textId="77777777" w:rsidR="00114585" w:rsidRPr="00ED061D" w:rsidRDefault="003E4EA2">
            <w:pPr>
              <w:jc w:val="center"/>
              <w:rPr>
                <w:lang w:val="en-GB"/>
              </w:rPr>
            </w:pPr>
            <w:r w:rsidRPr="00ED061D">
              <w:rPr>
                <w:lang w:val="en-GB"/>
              </w:rPr>
              <w:t>10 years</w:t>
            </w:r>
          </w:p>
        </w:tc>
        <w:tc>
          <w:tcPr>
            <w:tcW w:w="2255" w:type="dxa"/>
            <w:shd w:val="clear" w:color="auto" w:fill="auto"/>
            <w:tcMar>
              <w:top w:w="100" w:type="dxa"/>
              <w:left w:w="100" w:type="dxa"/>
              <w:bottom w:w="100" w:type="dxa"/>
              <w:right w:w="100" w:type="dxa"/>
            </w:tcMar>
          </w:tcPr>
          <w:p w14:paraId="43CCED51" w14:textId="77777777" w:rsidR="00114585" w:rsidRPr="00ED061D" w:rsidRDefault="00114585">
            <w:pPr>
              <w:widowControl w:val="0"/>
              <w:jc w:val="center"/>
              <w:rPr>
                <w:lang w:val="en-GB"/>
              </w:rPr>
            </w:pPr>
          </w:p>
        </w:tc>
        <w:tc>
          <w:tcPr>
            <w:tcW w:w="2255" w:type="dxa"/>
            <w:shd w:val="clear" w:color="auto" w:fill="auto"/>
            <w:tcMar>
              <w:top w:w="100" w:type="dxa"/>
              <w:left w:w="100" w:type="dxa"/>
              <w:bottom w:w="100" w:type="dxa"/>
              <w:right w:w="100" w:type="dxa"/>
            </w:tcMar>
          </w:tcPr>
          <w:p w14:paraId="27B927CD" w14:textId="77777777" w:rsidR="00114585" w:rsidRPr="00ED061D" w:rsidRDefault="003E4EA2">
            <w:pPr>
              <w:jc w:val="center"/>
              <w:rPr>
                <w:lang w:val="en-GB"/>
              </w:rPr>
            </w:pPr>
            <w:r w:rsidRPr="00ED061D">
              <w:rPr>
                <w:lang w:val="en-GB"/>
              </w:rPr>
              <w:t>Eskişehir</w:t>
            </w:r>
          </w:p>
        </w:tc>
      </w:tr>
      <w:tr w:rsidR="00114585" w:rsidRPr="00ED061D" w14:paraId="31491908" w14:textId="77777777">
        <w:tc>
          <w:tcPr>
            <w:tcW w:w="2255" w:type="dxa"/>
            <w:shd w:val="clear" w:color="auto" w:fill="auto"/>
            <w:tcMar>
              <w:top w:w="100" w:type="dxa"/>
              <w:left w:w="100" w:type="dxa"/>
              <w:bottom w:w="100" w:type="dxa"/>
              <w:right w:w="100" w:type="dxa"/>
            </w:tcMar>
          </w:tcPr>
          <w:p w14:paraId="68B006AD" w14:textId="77777777" w:rsidR="00114585" w:rsidRPr="00ED061D" w:rsidRDefault="003E4EA2">
            <w:pPr>
              <w:spacing w:line="276" w:lineRule="auto"/>
              <w:jc w:val="center"/>
              <w:rPr>
                <w:lang w:val="en-GB"/>
              </w:rPr>
            </w:pPr>
            <w:r w:rsidRPr="00ED061D">
              <w:rPr>
                <w:lang w:val="en-GB"/>
              </w:rPr>
              <w:t>Şerafettin Sarıgül</w:t>
            </w:r>
          </w:p>
        </w:tc>
        <w:tc>
          <w:tcPr>
            <w:tcW w:w="2255" w:type="dxa"/>
            <w:shd w:val="clear" w:color="auto" w:fill="auto"/>
            <w:tcMar>
              <w:top w:w="100" w:type="dxa"/>
              <w:left w:w="100" w:type="dxa"/>
              <w:bottom w:w="100" w:type="dxa"/>
              <w:right w:w="100" w:type="dxa"/>
            </w:tcMar>
          </w:tcPr>
          <w:p w14:paraId="43FD1A60" w14:textId="77777777" w:rsidR="00114585" w:rsidRPr="00ED061D" w:rsidRDefault="003E4EA2">
            <w:pPr>
              <w:jc w:val="center"/>
              <w:rPr>
                <w:lang w:val="en-GB"/>
              </w:rPr>
            </w:pPr>
            <w:r w:rsidRPr="00ED061D">
              <w:rPr>
                <w:lang w:val="en-GB"/>
              </w:rPr>
              <w:t>10 years</w:t>
            </w:r>
          </w:p>
        </w:tc>
        <w:tc>
          <w:tcPr>
            <w:tcW w:w="2255" w:type="dxa"/>
            <w:shd w:val="clear" w:color="auto" w:fill="auto"/>
            <w:tcMar>
              <w:top w:w="100" w:type="dxa"/>
              <w:left w:w="100" w:type="dxa"/>
              <w:bottom w:w="100" w:type="dxa"/>
              <w:right w:w="100" w:type="dxa"/>
            </w:tcMar>
          </w:tcPr>
          <w:p w14:paraId="5FE9B48F" w14:textId="77777777" w:rsidR="00114585" w:rsidRPr="00ED061D" w:rsidRDefault="003E4EA2">
            <w:pPr>
              <w:widowControl w:val="0"/>
              <w:jc w:val="center"/>
              <w:rPr>
                <w:lang w:val="en-GB"/>
              </w:rPr>
            </w:pPr>
            <w:r w:rsidRPr="00ED061D">
              <w:rPr>
                <w:lang w:val="en-GB"/>
              </w:rPr>
              <w:t xml:space="preserve">June 2017 </w:t>
            </w:r>
          </w:p>
        </w:tc>
        <w:tc>
          <w:tcPr>
            <w:tcW w:w="2255" w:type="dxa"/>
            <w:shd w:val="clear" w:color="auto" w:fill="auto"/>
            <w:tcMar>
              <w:top w:w="100" w:type="dxa"/>
              <w:left w:w="100" w:type="dxa"/>
              <w:bottom w:w="100" w:type="dxa"/>
              <w:right w:w="100" w:type="dxa"/>
            </w:tcMar>
          </w:tcPr>
          <w:p w14:paraId="23C0AA11" w14:textId="77777777" w:rsidR="00114585" w:rsidRPr="00ED061D" w:rsidRDefault="003E4EA2">
            <w:pPr>
              <w:jc w:val="center"/>
              <w:rPr>
                <w:lang w:val="en-GB"/>
              </w:rPr>
            </w:pPr>
            <w:r w:rsidRPr="00ED061D">
              <w:rPr>
                <w:lang w:val="en-GB"/>
              </w:rPr>
              <w:t>High Criminal Court of Kırşehir</w:t>
            </w:r>
          </w:p>
        </w:tc>
      </w:tr>
      <w:tr w:rsidR="00114585" w:rsidRPr="00ED061D" w14:paraId="5E4CAB6B" w14:textId="77777777">
        <w:tc>
          <w:tcPr>
            <w:tcW w:w="2255" w:type="dxa"/>
            <w:shd w:val="clear" w:color="auto" w:fill="auto"/>
            <w:tcMar>
              <w:top w:w="100" w:type="dxa"/>
              <w:left w:w="100" w:type="dxa"/>
              <w:bottom w:w="100" w:type="dxa"/>
              <w:right w:w="100" w:type="dxa"/>
            </w:tcMar>
          </w:tcPr>
          <w:p w14:paraId="5C520CFD" w14:textId="77777777" w:rsidR="00114585" w:rsidRPr="00ED061D" w:rsidRDefault="003E4EA2">
            <w:pPr>
              <w:spacing w:line="276" w:lineRule="auto"/>
              <w:jc w:val="center"/>
              <w:rPr>
                <w:lang w:val="en-GB"/>
              </w:rPr>
            </w:pPr>
            <w:r w:rsidRPr="00ED061D">
              <w:rPr>
                <w:lang w:val="en-GB"/>
              </w:rPr>
              <w:t>Turan Canpolat</w:t>
            </w:r>
          </w:p>
        </w:tc>
        <w:tc>
          <w:tcPr>
            <w:tcW w:w="2255" w:type="dxa"/>
            <w:shd w:val="clear" w:color="auto" w:fill="auto"/>
            <w:tcMar>
              <w:top w:w="100" w:type="dxa"/>
              <w:left w:w="100" w:type="dxa"/>
              <w:bottom w:w="100" w:type="dxa"/>
              <w:right w:w="100" w:type="dxa"/>
            </w:tcMar>
          </w:tcPr>
          <w:p w14:paraId="52C931E2" w14:textId="77777777" w:rsidR="00114585" w:rsidRPr="00ED061D" w:rsidRDefault="003E4EA2">
            <w:pPr>
              <w:jc w:val="center"/>
              <w:rPr>
                <w:lang w:val="en-GB"/>
              </w:rPr>
            </w:pPr>
            <w:r w:rsidRPr="00ED061D">
              <w:rPr>
                <w:lang w:val="en-GB"/>
              </w:rPr>
              <w:t>10 years</w:t>
            </w:r>
          </w:p>
        </w:tc>
        <w:tc>
          <w:tcPr>
            <w:tcW w:w="2255" w:type="dxa"/>
            <w:shd w:val="clear" w:color="auto" w:fill="auto"/>
            <w:tcMar>
              <w:top w:w="100" w:type="dxa"/>
              <w:left w:w="100" w:type="dxa"/>
              <w:bottom w:w="100" w:type="dxa"/>
              <w:right w:w="100" w:type="dxa"/>
            </w:tcMar>
          </w:tcPr>
          <w:p w14:paraId="0B8B7B21" w14:textId="77777777" w:rsidR="00114585" w:rsidRPr="00ED061D" w:rsidRDefault="003E4EA2">
            <w:pPr>
              <w:widowControl w:val="0"/>
              <w:jc w:val="center"/>
              <w:rPr>
                <w:lang w:val="en-GB"/>
              </w:rPr>
            </w:pPr>
            <w:r w:rsidRPr="00ED061D">
              <w:rPr>
                <w:lang w:val="en-GB"/>
              </w:rPr>
              <w:t xml:space="preserve">November 2017 </w:t>
            </w:r>
          </w:p>
        </w:tc>
        <w:tc>
          <w:tcPr>
            <w:tcW w:w="2255" w:type="dxa"/>
            <w:shd w:val="clear" w:color="auto" w:fill="auto"/>
            <w:tcMar>
              <w:top w:w="100" w:type="dxa"/>
              <w:left w:w="100" w:type="dxa"/>
              <w:bottom w:w="100" w:type="dxa"/>
              <w:right w:w="100" w:type="dxa"/>
            </w:tcMar>
          </w:tcPr>
          <w:p w14:paraId="00FF542B" w14:textId="77777777" w:rsidR="00114585" w:rsidRPr="00ED061D" w:rsidRDefault="003E4EA2">
            <w:pPr>
              <w:widowControl w:val="0"/>
              <w:jc w:val="center"/>
              <w:rPr>
                <w:lang w:val="en-GB"/>
              </w:rPr>
            </w:pPr>
            <w:r w:rsidRPr="00ED061D">
              <w:rPr>
                <w:lang w:val="en-GB"/>
              </w:rPr>
              <w:t>2nd High Criminal Court of Malatya, Judgement No. 2017/344</w:t>
            </w:r>
          </w:p>
        </w:tc>
      </w:tr>
      <w:tr w:rsidR="00114585" w:rsidRPr="00ED061D" w14:paraId="7B7EE645" w14:textId="77777777">
        <w:tc>
          <w:tcPr>
            <w:tcW w:w="2255" w:type="dxa"/>
            <w:shd w:val="clear" w:color="auto" w:fill="auto"/>
            <w:tcMar>
              <w:top w:w="100" w:type="dxa"/>
              <w:left w:w="100" w:type="dxa"/>
              <w:bottom w:w="100" w:type="dxa"/>
              <w:right w:w="100" w:type="dxa"/>
            </w:tcMar>
          </w:tcPr>
          <w:p w14:paraId="3E5911BF" w14:textId="77777777" w:rsidR="00114585" w:rsidRPr="00ED061D" w:rsidRDefault="003E4EA2">
            <w:pPr>
              <w:spacing w:line="276" w:lineRule="auto"/>
              <w:jc w:val="center"/>
              <w:rPr>
                <w:lang w:val="en-GB"/>
              </w:rPr>
            </w:pPr>
            <w:r w:rsidRPr="00ED061D">
              <w:rPr>
                <w:lang w:val="en-GB"/>
              </w:rPr>
              <w:t>Fevzi Cem Şenocak</w:t>
            </w:r>
          </w:p>
        </w:tc>
        <w:tc>
          <w:tcPr>
            <w:tcW w:w="2255" w:type="dxa"/>
            <w:shd w:val="clear" w:color="auto" w:fill="auto"/>
            <w:tcMar>
              <w:top w:w="100" w:type="dxa"/>
              <w:left w:w="100" w:type="dxa"/>
              <w:bottom w:w="100" w:type="dxa"/>
              <w:right w:w="100" w:type="dxa"/>
            </w:tcMar>
          </w:tcPr>
          <w:p w14:paraId="7A0AA493" w14:textId="77777777" w:rsidR="00114585" w:rsidRPr="00ED061D" w:rsidRDefault="003E4EA2">
            <w:pPr>
              <w:jc w:val="center"/>
              <w:rPr>
                <w:lang w:val="en-GB"/>
              </w:rPr>
            </w:pPr>
            <w:r w:rsidRPr="00ED061D">
              <w:rPr>
                <w:lang w:val="en-GB"/>
              </w:rPr>
              <w:t>10 years and 6 months</w:t>
            </w:r>
          </w:p>
        </w:tc>
        <w:tc>
          <w:tcPr>
            <w:tcW w:w="2255" w:type="dxa"/>
            <w:shd w:val="clear" w:color="auto" w:fill="auto"/>
            <w:tcMar>
              <w:top w:w="100" w:type="dxa"/>
              <w:left w:w="100" w:type="dxa"/>
              <w:bottom w:w="100" w:type="dxa"/>
              <w:right w:w="100" w:type="dxa"/>
            </w:tcMar>
          </w:tcPr>
          <w:p w14:paraId="05589397" w14:textId="77777777" w:rsidR="00114585" w:rsidRPr="00ED061D" w:rsidRDefault="003E4EA2">
            <w:pPr>
              <w:spacing w:line="276" w:lineRule="auto"/>
              <w:jc w:val="center"/>
              <w:rPr>
                <w:lang w:val="en-GB"/>
              </w:rPr>
            </w:pPr>
            <w:r w:rsidRPr="00ED061D">
              <w:rPr>
                <w:lang w:val="en-GB"/>
              </w:rPr>
              <w:t xml:space="preserve">16.05.2018 (taken into custody on 15 August 2016) </w:t>
            </w:r>
          </w:p>
        </w:tc>
        <w:tc>
          <w:tcPr>
            <w:tcW w:w="2255" w:type="dxa"/>
            <w:shd w:val="clear" w:color="auto" w:fill="auto"/>
            <w:tcMar>
              <w:top w:w="100" w:type="dxa"/>
              <w:left w:w="100" w:type="dxa"/>
              <w:bottom w:w="100" w:type="dxa"/>
              <w:right w:w="100" w:type="dxa"/>
            </w:tcMar>
          </w:tcPr>
          <w:p w14:paraId="3222C8D2" w14:textId="1481470A" w:rsidR="00114585" w:rsidRPr="00ED061D" w:rsidRDefault="003E4EA2">
            <w:pPr>
              <w:spacing w:line="276" w:lineRule="auto"/>
              <w:jc w:val="center"/>
              <w:rPr>
                <w:lang w:val="en-GB"/>
              </w:rPr>
            </w:pPr>
            <w:r w:rsidRPr="00ED061D">
              <w:rPr>
                <w:lang w:val="en-GB"/>
              </w:rPr>
              <w:t xml:space="preserve">3rd High </w:t>
            </w:r>
            <w:r w:rsidR="00A80AD9" w:rsidRPr="00ED061D">
              <w:rPr>
                <w:lang w:val="en-GB"/>
              </w:rPr>
              <w:t>Criminal Court</w:t>
            </w:r>
            <w:r w:rsidRPr="00ED061D">
              <w:rPr>
                <w:lang w:val="en-GB"/>
              </w:rPr>
              <w:t xml:space="preserve"> of Samsun, Judgement No. 2018/239</w:t>
            </w:r>
          </w:p>
        </w:tc>
      </w:tr>
      <w:tr w:rsidR="00114585" w:rsidRPr="00ED061D" w14:paraId="6678CF8D" w14:textId="77777777">
        <w:tc>
          <w:tcPr>
            <w:tcW w:w="2255" w:type="dxa"/>
            <w:shd w:val="clear" w:color="auto" w:fill="auto"/>
            <w:tcMar>
              <w:top w:w="100" w:type="dxa"/>
              <w:left w:w="100" w:type="dxa"/>
              <w:bottom w:w="100" w:type="dxa"/>
              <w:right w:w="100" w:type="dxa"/>
            </w:tcMar>
          </w:tcPr>
          <w:p w14:paraId="4E54D7EE" w14:textId="77777777" w:rsidR="00114585" w:rsidRPr="00ED061D" w:rsidRDefault="003E4EA2">
            <w:pPr>
              <w:spacing w:line="276" w:lineRule="auto"/>
              <w:jc w:val="center"/>
              <w:rPr>
                <w:lang w:val="en-GB"/>
              </w:rPr>
            </w:pPr>
            <w:r w:rsidRPr="00ED061D">
              <w:rPr>
                <w:lang w:val="en-GB"/>
              </w:rPr>
              <w:t>Harun Kamplama</w:t>
            </w:r>
          </w:p>
        </w:tc>
        <w:tc>
          <w:tcPr>
            <w:tcW w:w="2255" w:type="dxa"/>
            <w:shd w:val="clear" w:color="auto" w:fill="auto"/>
            <w:tcMar>
              <w:top w:w="100" w:type="dxa"/>
              <w:left w:w="100" w:type="dxa"/>
              <w:bottom w:w="100" w:type="dxa"/>
              <w:right w:w="100" w:type="dxa"/>
            </w:tcMar>
          </w:tcPr>
          <w:p w14:paraId="27ECB0D6" w14:textId="77777777" w:rsidR="00114585" w:rsidRPr="00ED061D" w:rsidRDefault="003E4EA2">
            <w:pPr>
              <w:jc w:val="center"/>
              <w:rPr>
                <w:lang w:val="en-GB"/>
              </w:rPr>
            </w:pPr>
            <w:r w:rsidRPr="00ED061D">
              <w:rPr>
                <w:lang w:val="en-GB"/>
              </w:rPr>
              <w:t>10 years</w:t>
            </w:r>
          </w:p>
        </w:tc>
        <w:tc>
          <w:tcPr>
            <w:tcW w:w="2255" w:type="dxa"/>
            <w:shd w:val="clear" w:color="auto" w:fill="auto"/>
            <w:tcMar>
              <w:top w:w="100" w:type="dxa"/>
              <w:left w:w="100" w:type="dxa"/>
              <w:bottom w:w="100" w:type="dxa"/>
              <w:right w:w="100" w:type="dxa"/>
            </w:tcMar>
          </w:tcPr>
          <w:p w14:paraId="3E48C062" w14:textId="77777777" w:rsidR="00114585" w:rsidRPr="00ED061D" w:rsidRDefault="003E4EA2">
            <w:pPr>
              <w:widowControl w:val="0"/>
              <w:jc w:val="center"/>
              <w:rPr>
                <w:lang w:val="en-GB"/>
              </w:rPr>
            </w:pPr>
            <w:r w:rsidRPr="00ED061D">
              <w:rPr>
                <w:lang w:val="en-GB"/>
              </w:rPr>
              <w:t xml:space="preserve">2019 </w:t>
            </w:r>
          </w:p>
        </w:tc>
        <w:tc>
          <w:tcPr>
            <w:tcW w:w="2255" w:type="dxa"/>
            <w:shd w:val="clear" w:color="auto" w:fill="auto"/>
            <w:tcMar>
              <w:top w:w="100" w:type="dxa"/>
              <w:left w:w="100" w:type="dxa"/>
              <w:bottom w:w="100" w:type="dxa"/>
              <w:right w:w="100" w:type="dxa"/>
            </w:tcMar>
          </w:tcPr>
          <w:p w14:paraId="080943C0" w14:textId="77777777" w:rsidR="00114585" w:rsidRPr="00ED061D" w:rsidRDefault="003E4EA2">
            <w:pPr>
              <w:spacing w:line="276" w:lineRule="auto"/>
              <w:jc w:val="center"/>
              <w:rPr>
                <w:lang w:val="en-GB"/>
              </w:rPr>
            </w:pPr>
            <w:r w:rsidRPr="00ED061D">
              <w:rPr>
                <w:lang w:val="en-GB"/>
              </w:rPr>
              <w:t>Şanlıurfa</w:t>
            </w:r>
          </w:p>
        </w:tc>
      </w:tr>
      <w:tr w:rsidR="00114585" w:rsidRPr="00ED061D" w14:paraId="29F2F8B2" w14:textId="77777777">
        <w:tc>
          <w:tcPr>
            <w:tcW w:w="2255" w:type="dxa"/>
            <w:shd w:val="clear" w:color="auto" w:fill="auto"/>
            <w:tcMar>
              <w:top w:w="100" w:type="dxa"/>
              <w:left w:w="100" w:type="dxa"/>
              <w:bottom w:w="100" w:type="dxa"/>
              <w:right w:w="100" w:type="dxa"/>
            </w:tcMar>
          </w:tcPr>
          <w:p w14:paraId="43BF33E8" w14:textId="77777777" w:rsidR="00114585" w:rsidRPr="00ED061D" w:rsidRDefault="003E4EA2">
            <w:pPr>
              <w:spacing w:line="276" w:lineRule="auto"/>
              <w:jc w:val="center"/>
              <w:rPr>
                <w:lang w:val="en-GB"/>
              </w:rPr>
            </w:pPr>
            <w:r w:rsidRPr="00ED061D">
              <w:rPr>
                <w:lang w:val="en-GB"/>
              </w:rPr>
              <w:lastRenderedPageBreak/>
              <w:t xml:space="preserve">Fevzi Kayacan (former President of the Konya Bar Association) </w:t>
            </w:r>
          </w:p>
        </w:tc>
        <w:tc>
          <w:tcPr>
            <w:tcW w:w="2255" w:type="dxa"/>
            <w:shd w:val="clear" w:color="auto" w:fill="auto"/>
            <w:tcMar>
              <w:top w:w="100" w:type="dxa"/>
              <w:left w:w="100" w:type="dxa"/>
              <w:bottom w:w="100" w:type="dxa"/>
              <w:right w:w="100" w:type="dxa"/>
            </w:tcMar>
          </w:tcPr>
          <w:p w14:paraId="19372366" w14:textId="77777777" w:rsidR="00114585" w:rsidRPr="00ED061D" w:rsidRDefault="003E4EA2">
            <w:pPr>
              <w:jc w:val="center"/>
              <w:rPr>
                <w:lang w:val="en-GB"/>
              </w:rPr>
            </w:pPr>
            <w:r w:rsidRPr="00ED061D">
              <w:rPr>
                <w:lang w:val="en-GB"/>
              </w:rPr>
              <w:t>10 years and 6 months</w:t>
            </w:r>
          </w:p>
        </w:tc>
        <w:tc>
          <w:tcPr>
            <w:tcW w:w="2255" w:type="dxa"/>
            <w:shd w:val="clear" w:color="auto" w:fill="auto"/>
            <w:tcMar>
              <w:top w:w="100" w:type="dxa"/>
              <w:left w:w="100" w:type="dxa"/>
              <w:bottom w:w="100" w:type="dxa"/>
              <w:right w:w="100" w:type="dxa"/>
            </w:tcMar>
          </w:tcPr>
          <w:p w14:paraId="7355CAE8" w14:textId="77777777" w:rsidR="00114585" w:rsidRPr="00ED061D" w:rsidRDefault="003E4EA2">
            <w:pPr>
              <w:spacing w:line="276" w:lineRule="auto"/>
              <w:jc w:val="center"/>
              <w:rPr>
                <w:lang w:val="en-GB"/>
              </w:rPr>
            </w:pPr>
            <w:r w:rsidRPr="00ED061D">
              <w:rPr>
                <w:lang w:val="en-GB"/>
              </w:rPr>
              <w:t xml:space="preserve">27.10.2017 (detained on 22 July 2016) </w:t>
            </w:r>
          </w:p>
        </w:tc>
        <w:tc>
          <w:tcPr>
            <w:tcW w:w="2255" w:type="dxa"/>
            <w:shd w:val="clear" w:color="auto" w:fill="auto"/>
            <w:tcMar>
              <w:top w:w="100" w:type="dxa"/>
              <w:left w:w="100" w:type="dxa"/>
              <w:bottom w:w="100" w:type="dxa"/>
              <w:right w:w="100" w:type="dxa"/>
            </w:tcMar>
          </w:tcPr>
          <w:p w14:paraId="3D5611BB" w14:textId="77777777" w:rsidR="00114585" w:rsidRPr="00ED061D" w:rsidRDefault="003E4EA2">
            <w:pPr>
              <w:spacing w:line="276" w:lineRule="auto"/>
              <w:jc w:val="center"/>
              <w:rPr>
                <w:lang w:val="en-GB"/>
              </w:rPr>
            </w:pPr>
            <w:r w:rsidRPr="00ED061D">
              <w:rPr>
                <w:lang w:val="en-GB"/>
              </w:rPr>
              <w:t>Konya 6th High Criminal Court</w:t>
            </w:r>
          </w:p>
        </w:tc>
      </w:tr>
      <w:tr w:rsidR="00114585" w:rsidRPr="00ED061D" w14:paraId="5A462562" w14:textId="77777777">
        <w:tc>
          <w:tcPr>
            <w:tcW w:w="2255" w:type="dxa"/>
            <w:shd w:val="clear" w:color="auto" w:fill="auto"/>
            <w:tcMar>
              <w:top w:w="100" w:type="dxa"/>
              <w:left w:w="100" w:type="dxa"/>
              <w:bottom w:w="100" w:type="dxa"/>
              <w:right w:w="100" w:type="dxa"/>
            </w:tcMar>
          </w:tcPr>
          <w:p w14:paraId="693B7C42" w14:textId="77777777" w:rsidR="00114585" w:rsidRPr="00ED061D" w:rsidRDefault="003E4EA2">
            <w:pPr>
              <w:spacing w:line="276" w:lineRule="auto"/>
              <w:jc w:val="center"/>
              <w:rPr>
                <w:lang w:val="en-GB"/>
              </w:rPr>
            </w:pPr>
            <w:r w:rsidRPr="00ED061D">
              <w:rPr>
                <w:lang w:val="en-GB"/>
              </w:rPr>
              <w:t>Talip Nayir</w:t>
            </w:r>
          </w:p>
        </w:tc>
        <w:tc>
          <w:tcPr>
            <w:tcW w:w="2255" w:type="dxa"/>
            <w:shd w:val="clear" w:color="auto" w:fill="auto"/>
            <w:tcMar>
              <w:top w:w="100" w:type="dxa"/>
              <w:left w:w="100" w:type="dxa"/>
              <w:bottom w:w="100" w:type="dxa"/>
              <w:right w:w="100" w:type="dxa"/>
            </w:tcMar>
          </w:tcPr>
          <w:p w14:paraId="2A1AE7A4" w14:textId="77777777" w:rsidR="00114585" w:rsidRPr="00ED061D" w:rsidRDefault="003E4EA2">
            <w:pPr>
              <w:jc w:val="center"/>
              <w:rPr>
                <w:lang w:val="en-GB"/>
              </w:rPr>
            </w:pPr>
            <w:r w:rsidRPr="00ED061D">
              <w:rPr>
                <w:lang w:val="en-GB"/>
              </w:rPr>
              <w:t>10 years</w:t>
            </w:r>
          </w:p>
        </w:tc>
        <w:tc>
          <w:tcPr>
            <w:tcW w:w="2255" w:type="dxa"/>
            <w:shd w:val="clear" w:color="auto" w:fill="auto"/>
            <w:tcMar>
              <w:top w:w="100" w:type="dxa"/>
              <w:left w:w="100" w:type="dxa"/>
              <w:bottom w:w="100" w:type="dxa"/>
              <w:right w:w="100" w:type="dxa"/>
            </w:tcMar>
          </w:tcPr>
          <w:p w14:paraId="65353520" w14:textId="77777777" w:rsidR="00114585" w:rsidRPr="00ED061D" w:rsidRDefault="003E4EA2">
            <w:pPr>
              <w:widowControl w:val="0"/>
              <w:jc w:val="center"/>
              <w:rPr>
                <w:lang w:val="en-GB"/>
              </w:rPr>
            </w:pPr>
            <w:r w:rsidRPr="00ED061D">
              <w:rPr>
                <w:lang w:val="en-GB"/>
              </w:rPr>
              <w:t xml:space="preserve">21.07.2017 </w:t>
            </w:r>
          </w:p>
        </w:tc>
        <w:tc>
          <w:tcPr>
            <w:tcW w:w="2255" w:type="dxa"/>
            <w:shd w:val="clear" w:color="auto" w:fill="auto"/>
            <w:tcMar>
              <w:top w:w="100" w:type="dxa"/>
              <w:left w:w="100" w:type="dxa"/>
              <w:bottom w:w="100" w:type="dxa"/>
              <w:right w:w="100" w:type="dxa"/>
            </w:tcMar>
          </w:tcPr>
          <w:p w14:paraId="4543EF75" w14:textId="77777777" w:rsidR="00114585" w:rsidRPr="00ED061D" w:rsidRDefault="003E4EA2">
            <w:pPr>
              <w:spacing w:line="276" w:lineRule="auto"/>
              <w:jc w:val="center"/>
              <w:rPr>
                <w:lang w:val="en-GB"/>
              </w:rPr>
            </w:pPr>
            <w:r w:rsidRPr="00ED061D">
              <w:rPr>
                <w:lang w:val="en-GB"/>
              </w:rPr>
              <w:t xml:space="preserve">Erzincan High Criminal Court </w:t>
            </w:r>
          </w:p>
        </w:tc>
      </w:tr>
      <w:tr w:rsidR="00114585" w:rsidRPr="00ED061D" w14:paraId="5C424C66" w14:textId="77777777">
        <w:tc>
          <w:tcPr>
            <w:tcW w:w="2255" w:type="dxa"/>
            <w:shd w:val="clear" w:color="auto" w:fill="auto"/>
            <w:tcMar>
              <w:top w:w="100" w:type="dxa"/>
              <w:left w:w="100" w:type="dxa"/>
              <w:bottom w:w="100" w:type="dxa"/>
              <w:right w:w="100" w:type="dxa"/>
            </w:tcMar>
          </w:tcPr>
          <w:p w14:paraId="5014FE30" w14:textId="77777777" w:rsidR="00114585" w:rsidRPr="00ED061D" w:rsidRDefault="003E4EA2">
            <w:pPr>
              <w:spacing w:line="276" w:lineRule="auto"/>
              <w:jc w:val="center"/>
              <w:rPr>
                <w:lang w:val="en-GB"/>
              </w:rPr>
            </w:pPr>
            <w:r w:rsidRPr="00ED061D">
              <w:rPr>
                <w:lang w:val="en-GB"/>
              </w:rPr>
              <w:t>Mehmet Güzel (former president of Erzurum Bar Association)</w:t>
            </w:r>
          </w:p>
        </w:tc>
        <w:tc>
          <w:tcPr>
            <w:tcW w:w="2255" w:type="dxa"/>
            <w:shd w:val="clear" w:color="auto" w:fill="auto"/>
            <w:tcMar>
              <w:top w:w="100" w:type="dxa"/>
              <w:left w:w="100" w:type="dxa"/>
              <w:bottom w:w="100" w:type="dxa"/>
              <w:right w:w="100" w:type="dxa"/>
            </w:tcMar>
          </w:tcPr>
          <w:p w14:paraId="50684C41" w14:textId="0F470361" w:rsidR="00114585" w:rsidRPr="00ED061D" w:rsidRDefault="003E4EA2">
            <w:pPr>
              <w:jc w:val="center"/>
              <w:rPr>
                <w:lang w:val="en-GB"/>
              </w:rPr>
            </w:pPr>
            <w:r w:rsidRPr="00ED061D">
              <w:rPr>
                <w:lang w:val="en-GB"/>
              </w:rPr>
              <w:t xml:space="preserve">13 years 1 month and 15 </w:t>
            </w:r>
            <w:r w:rsidR="00A80AD9" w:rsidRPr="00ED061D">
              <w:rPr>
                <w:lang w:val="en-GB"/>
              </w:rPr>
              <w:t>days (</w:t>
            </w:r>
            <w:r w:rsidRPr="00ED061D">
              <w:rPr>
                <w:lang w:val="en-GB"/>
              </w:rPr>
              <w:t>sentence was lowered to 7 years by Appellate Court)</w:t>
            </w:r>
          </w:p>
        </w:tc>
        <w:tc>
          <w:tcPr>
            <w:tcW w:w="2255" w:type="dxa"/>
            <w:shd w:val="clear" w:color="auto" w:fill="auto"/>
            <w:tcMar>
              <w:top w:w="100" w:type="dxa"/>
              <w:left w:w="100" w:type="dxa"/>
              <w:bottom w:w="100" w:type="dxa"/>
              <w:right w:w="100" w:type="dxa"/>
            </w:tcMar>
          </w:tcPr>
          <w:p w14:paraId="4C424B21" w14:textId="77777777" w:rsidR="00114585" w:rsidRPr="00ED061D" w:rsidRDefault="003E4EA2">
            <w:pPr>
              <w:spacing w:line="276" w:lineRule="auto"/>
              <w:jc w:val="center"/>
              <w:rPr>
                <w:lang w:val="en-GB"/>
              </w:rPr>
            </w:pPr>
            <w:r w:rsidRPr="00ED061D">
              <w:rPr>
                <w:lang w:val="en-GB"/>
              </w:rPr>
              <w:t xml:space="preserve">10.10.2017 (arrested on 4 April 2016) </w:t>
            </w:r>
          </w:p>
        </w:tc>
        <w:tc>
          <w:tcPr>
            <w:tcW w:w="2255" w:type="dxa"/>
            <w:shd w:val="clear" w:color="auto" w:fill="auto"/>
            <w:tcMar>
              <w:top w:w="100" w:type="dxa"/>
              <w:left w:w="100" w:type="dxa"/>
              <w:bottom w:w="100" w:type="dxa"/>
              <w:right w:w="100" w:type="dxa"/>
            </w:tcMar>
          </w:tcPr>
          <w:p w14:paraId="264911F3" w14:textId="77777777" w:rsidR="00114585" w:rsidRPr="00ED061D" w:rsidRDefault="003E4EA2">
            <w:pPr>
              <w:spacing w:line="276" w:lineRule="auto"/>
              <w:jc w:val="center"/>
              <w:rPr>
                <w:lang w:val="en-GB"/>
              </w:rPr>
            </w:pPr>
            <w:r w:rsidRPr="00ED061D">
              <w:rPr>
                <w:lang w:val="en-GB"/>
              </w:rPr>
              <w:t xml:space="preserve"> Erzurum 2nd High Criminal Court </w:t>
            </w:r>
          </w:p>
        </w:tc>
      </w:tr>
    </w:tbl>
    <w:p w14:paraId="7679DCF0" w14:textId="77777777" w:rsidR="00114585" w:rsidRPr="00ED061D" w:rsidRDefault="00114585">
      <w:pPr>
        <w:spacing w:line="276" w:lineRule="auto"/>
        <w:rPr>
          <w:lang w:val="en-GB"/>
        </w:rPr>
      </w:pPr>
    </w:p>
    <w:p w14:paraId="3C1DD501" w14:textId="006F788D" w:rsidR="00114585" w:rsidRPr="00ED061D" w:rsidRDefault="003E4EA2">
      <w:pPr>
        <w:spacing w:line="276" w:lineRule="auto"/>
        <w:jc w:val="both"/>
        <w:rPr>
          <w:lang w:val="en-GB"/>
        </w:rPr>
      </w:pPr>
      <w:r w:rsidRPr="00ED061D">
        <w:rPr>
          <w:b/>
          <w:color w:val="111111"/>
          <w:highlight w:val="white"/>
          <w:lang w:val="en-GB"/>
        </w:rPr>
        <w:t>Fevzi Kayacan</w:t>
      </w:r>
      <w:r w:rsidRPr="00ED061D">
        <w:rPr>
          <w:color w:val="111111"/>
          <w:highlight w:val="white"/>
          <w:lang w:val="en-GB"/>
        </w:rPr>
        <w:t xml:space="preserve"> was the president of the Konya Bar Association from 2010 to 2016, one of the largest bar associations in Turkey. During his presidency, Kayacan led many efforts to promote human rights and democracy. Only 5 days after the failed coup attempt, detention warrants were issued for 45 members of the Konya Bar Association, including Kayacan. He was subsequently arrested on 21 July 2016, detained on 22 July and the </w:t>
      </w:r>
      <w:r w:rsidRPr="00ED061D">
        <w:rPr>
          <w:lang w:val="en-GB"/>
        </w:rPr>
        <w:t xml:space="preserve">Konya 6th High Penal Court sentenced him on 27 October 2017 to 10 years and 6 months imprisonment. Kayacan was convicted of being a member of the Fetullahist Terrorist Organization (FETÖ) under Art 314 (2) TPC, although there was no evidence related to terrorism. He was convicted for his affiliations and social contacts. </w:t>
      </w:r>
    </w:p>
    <w:p w14:paraId="5F815DE7" w14:textId="77777777" w:rsidR="00114585" w:rsidRPr="00ED061D" w:rsidRDefault="00114585">
      <w:pPr>
        <w:rPr>
          <w:lang w:val="en-GB"/>
        </w:rPr>
      </w:pPr>
    </w:p>
    <w:p w14:paraId="00FC5F42" w14:textId="77777777" w:rsidR="00114585" w:rsidRPr="00ED061D" w:rsidRDefault="003E4EA2">
      <w:pPr>
        <w:spacing w:line="276" w:lineRule="auto"/>
        <w:jc w:val="both"/>
        <w:rPr>
          <w:lang w:val="en-GB"/>
        </w:rPr>
      </w:pPr>
      <w:r w:rsidRPr="00ED061D">
        <w:rPr>
          <w:b/>
          <w:lang w:val="en-GB"/>
        </w:rPr>
        <w:t>Eren Keskin</w:t>
      </w:r>
      <w:r w:rsidRPr="00ED061D">
        <w:rPr>
          <w:lang w:val="en-GB"/>
        </w:rPr>
        <w:t xml:space="preserve"> is a human rights lawyer,</w:t>
      </w:r>
      <w:r w:rsidRPr="00ED061D">
        <w:rPr>
          <w:vertAlign w:val="superscript"/>
          <w:lang w:val="en-GB"/>
        </w:rPr>
        <w:footnoteReference w:id="6"/>
      </w:r>
      <w:r w:rsidRPr="00ED061D">
        <w:rPr>
          <w:lang w:val="en-GB"/>
        </w:rPr>
        <w:t xml:space="preserve"> co-president of the Human Rights Association (İHD), founder of the Legal Aid Bureau against Sexual harassment and Rape in Custody,</w:t>
      </w:r>
      <w:r w:rsidRPr="00ED061D">
        <w:rPr>
          <w:vertAlign w:val="superscript"/>
          <w:lang w:val="en-GB"/>
        </w:rPr>
        <w:footnoteReference w:id="7"/>
      </w:r>
      <w:r w:rsidRPr="00ED061D">
        <w:rPr>
          <w:lang w:val="en-GB"/>
        </w:rPr>
        <w:t xml:space="preserve"> an honorary member of the Paris Bar Association, the winner of multiple international awards for her peace and human rights work,</w:t>
      </w:r>
      <w:r w:rsidRPr="00ED061D">
        <w:rPr>
          <w:vertAlign w:val="superscript"/>
          <w:lang w:val="en-GB"/>
        </w:rPr>
        <w:footnoteReference w:id="8"/>
      </w:r>
      <w:r w:rsidRPr="00ED061D">
        <w:rPr>
          <w:lang w:val="en-GB"/>
        </w:rPr>
        <w:t xml:space="preserve"> including the 2018 Helsinki Civil Society Award,</w:t>
      </w:r>
      <w:r w:rsidRPr="00ED061D">
        <w:rPr>
          <w:vertAlign w:val="superscript"/>
          <w:lang w:val="en-GB"/>
        </w:rPr>
        <w:footnoteReference w:id="9"/>
      </w:r>
      <w:r w:rsidRPr="00ED061D">
        <w:rPr>
          <w:lang w:val="en-GB"/>
        </w:rPr>
        <w:t xml:space="preserve"> and was the 2018 finalist of Martin Ennals Award for Human Rights Defenders.</w:t>
      </w:r>
      <w:r w:rsidRPr="00ED061D">
        <w:rPr>
          <w:vertAlign w:val="superscript"/>
          <w:lang w:val="en-GB"/>
        </w:rPr>
        <w:footnoteReference w:id="10"/>
      </w:r>
      <w:r w:rsidRPr="00ED061D">
        <w:rPr>
          <w:lang w:val="en-GB"/>
        </w:rPr>
        <w:t xml:space="preserve"> Furthermore, Keskin was the editor-in-chief of the newspaper Özgür Gündem (‘Free Agenda’) from 2013 to 2016 and joined the “co-editor-in-chief” campaign, which was organised between May and August 2016, to </w:t>
      </w:r>
      <w:r w:rsidRPr="00ED061D">
        <w:rPr>
          <w:lang w:val="en-GB"/>
        </w:rPr>
        <w:lastRenderedPageBreak/>
        <w:t>support the imprisoned editorial staff of the newspaper. Özgür Gündem was shut down by the Emergency Decree no. 675 on 29 October 2016 over “terrorist propaganda” allegations. Due to her work and role at Özgur Gündem, 143 cases have been filed against Keskin.</w:t>
      </w:r>
      <w:r w:rsidRPr="00ED061D">
        <w:rPr>
          <w:vertAlign w:val="superscript"/>
          <w:lang w:val="en-GB"/>
        </w:rPr>
        <w:footnoteReference w:id="11"/>
      </w:r>
      <w:r w:rsidRPr="00ED061D">
        <w:rPr>
          <w:lang w:val="en-GB"/>
        </w:rPr>
        <w:t xml:space="preserve"> </w:t>
      </w:r>
    </w:p>
    <w:p w14:paraId="6CDF0F83" w14:textId="77777777" w:rsidR="00114585" w:rsidRPr="00ED061D" w:rsidRDefault="003E4EA2">
      <w:pPr>
        <w:spacing w:line="276" w:lineRule="auto"/>
        <w:jc w:val="both"/>
        <w:rPr>
          <w:lang w:val="en-GB"/>
        </w:rPr>
      </w:pPr>
      <w:r w:rsidRPr="00ED061D">
        <w:rPr>
          <w:lang w:val="en-GB"/>
        </w:rPr>
        <w:t>So far, Keskin was sentenced to a total of 17.5 years in prison: On 30 March 2018, the Istanbul 2nd Criminal Court of First Instance sentenced her to 7.5 years in prison under Article 301 TCP ("degrading the Turkish nation, the Republic, institutions and organs of the state") and Art 299 TPC ("insulting the President of the Republic of Turkey").</w:t>
      </w:r>
      <w:r w:rsidRPr="00ED061D">
        <w:rPr>
          <w:vertAlign w:val="superscript"/>
          <w:lang w:val="en-GB"/>
        </w:rPr>
        <w:footnoteReference w:id="12"/>
      </w:r>
      <w:r w:rsidRPr="00ED061D">
        <w:rPr>
          <w:lang w:val="en-GB"/>
        </w:rPr>
        <w:t xml:space="preserve"> On 21 May 2019, the Istanbul 14th Heavy Penal Court convicted her under Art 7 (2) Anti-Terror Law (“propagandising for a terrorist organisation”) and sentenced her to three years and nine months in prison.</w:t>
      </w:r>
      <w:r w:rsidRPr="00ED061D">
        <w:rPr>
          <w:vertAlign w:val="superscript"/>
          <w:lang w:val="en-GB"/>
        </w:rPr>
        <w:footnoteReference w:id="13"/>
      </w:r>
      <w:r w:rsidRPr="00ED061D">
        <w:rPr>
          <w:lang w:val="en-GB"/>
        </w:rPr>
        <w:t xml:space="preserve"> On 15 February 2021, the Istanbul 23rd Heavy Penal Court sentenced her to six years and three months under Art 314 (2) TPC (“membership of an armed terrorist organisation”).</w:t>
      </w:r>
      <w:r w:rsidRPr="00ED061D">
        <w:rPr>
          <w:vertAlign w:val="superscript"/>
          <w:lang w:val="en-GB"/>
        </w:rPr>
        <w:footnoteReference w:id="14"/>
      </w:r>
      <w:r w:rsidRPr="00ED061D">
        <w:rPr>
          <w:lang w:val="en-GB"/>
        </w:rPr>
        <w:t xml:space="preserve"> These prison sentences are still pending before the Court of Appeal.</w:t>
      </w:r>
    </w:p>
    <w:p w14:paraId="4462F8B2" w14:textId="77777777" w:rsidR="00114585" w:rsidRPr="00ED061D" w:rsidRDefault="00114585">
      <w:pPr>
        <w:spacing w:line="276" w:lineRule="auto"/>
        <w:rPr>
          <w:lang w:val="en-GB"/>
        </w:rPr>
      </w:pPr>
    </w:p>
    <w:p w14:paraId="23EB9D75" w14:textId="77777777" w:rsidR="00114585" w:rsidRPr="00ED061D" w:rsidRDefault="003E4EA2">
      <w:pPr>
        <w:spacing w:line="276" w:lineRule="auto"/>
        <w:jc w:val="both"/>
        <w:rPr>
          <w:lang w:val="en-GB"/>
        </w:rPr>
      </w:pPr>
      <w:r w:rsidRPr="00ED061D">
        <w:rPr>
          <w:b/>
          <w:lang w:val="en-GB"/>
        </w:rPr>
        <w:t>Ebru Timtik</w:t>
      </w:r>
      <w:r w:rsidRPr="00ED061D">
        <w:rPr>
          <w:lang w:val="en-GB"/>
        </w:rPr>
        <w:t>, human rights lawyer and member of the Progressive Lawyers’ Association was detained in September 2018. On 20.03.2019, she was convicted under Art 314 (2) TPC and sentenced to 13 years and six months. It was alleged that there is a relationship between her activities and DHKP-C, due to her representation of numerous clients accused of being DHKP-C members, participating in human rights protests, inviting clients to exercise their right to silence, or possessing books of left-wing authors.</w:t>
      </w:r>
      <w:r w:rsidRPr="00ED061D">
        <w:rPr>
          <w:vertAlign w:val="superscript"/>
          <w:lang w:val="en-GB"/>
        </w:rPr>
        <w:footnoteReference w:id="15"/>
      </w:r>
      <w:r w:rsidRPr="00ED061D">
        <w:rPr>
          <w:lang w:val="en-GB"/>
        </w:rPr>
        <w:t xml:space="preserve"> Timtik died on 27 August 2020, the 238th day of a hunger strike to protest the irregularities in her trial and to express serious concerns about judicial independence. She was transferred to hospital from Silivri Prison on 30 July following a court order which ruled against their release on health grounds. This was despite a report from the Forensic Medicine Institution which concluded that her health was not good enough to be kept in prison.</w:t>
      </w:r>
      <w:r w:rsidRPr="00ED061D">
        <w:rPr>
          <w:vertAlign w:val="superscript"/>
          <w:lang w:val="en-GB"/>
        </w:rPr>
        <w:footnoteReference w:id="16"/>
      </w:r>
    </w:p>
    <w:p w14:paraId="21044E59" w14:textId="77777777" w:rsidR="00114585" w:rsidRPr="00ED061D" w:rsidRDefault="00114585">
      <w:pPr>
        <w:rPr>
          <w:lang w:val="en-GB"/>
        </w:rPr>
      </w:pPr>
    </w:p>
    <w:p w14:paraId="3D3E72B1" w14:textId="2B79BC49" w:rsidR="00114585" w:rsidRPr="00ED061D" w:rsidRDefault="003E4EA2">
      <w:pPr>
        <w:spacing w:line="276" w:lineRule="auto"/>
        <w:jc w:val="both"/>
        <w:rPr>
          <w:lang w:val="en-GB"/>
        </w:rPr>
      </w:pPr>
      <w:r w:rsidRPr="00ED061D">
        <w:rPr>
          <w:b/>
          <w:lang w:val="en-GB"/>
        </w:rPr>
        <w:t xml:space="preserve">Fevzi Cem Şenocak </w:t>
      </w:r>
      <w:r w:rsidRPr="00ED061D">
        <w:rPr>
          <w:lang w:val="en-GB"/>
        </w:rPr>
        <w:t xml:space="preserve">is the founder of Samsun Guven Arbitration Association which focused on ensuring access to justice and efficiency of judicial mechanism but was closed under the state of emergency.  He was arrested on </w:t>
      </w:r>
      <w:r w:rsidR="00ED061D" w:rsidRPr="00ED061D">
        <w:rPr>
          <w:lang w:val="en-GB"/>
        </w:rPr>
        <w:t>15 August 2016, and</w:t>
      </w:r>
      <w:r w:rsidRPr="00ED061D">
        <w:rPr>
          <w:lang w:val="en-GB"/>
        </w:rPr>
        <w:t xml:space="preserve"> </w:t>
      </w:r>
      <w:r w:rsidR="00ED061D" w:rsidRPr="00ED061D">
        <w:rPr>
          <w:lang w:val="en-GB"/>
        </w:rPr>
        <w:t xml:space="preserve">subsequently </w:t>
      </w:r>
      <w:r w:rsidRPr="00ED061D">
        <w:rPr>
          <w:lang w:val="en-GB"/>
        </w:rPr>
        <w:t xml:space="preserve">sentenced to 10 years and 6 months under Art 314 (1) TPC. His affiliation with FETÖ was based, inter alia, on </w:t>
      </w:r>
      <w:r w:rsidRPr="00ED061D">
        <w:rPr>
          <w:lang w:val="en-GB"/>
        </w:rPr>
        <w:lastRenderedPageBreak/>
        <w:t xml:space="preserve">the fact that he was using an encrypted messenger application called </w:t>
      </w:r>
      <w:r w:rsidR="00A80AD9" w:rsidRPr="00ED061D">
        <w:rPr>
          <w:lang w:val="en-GB"/>
        </w:rPr>
        <w:t>Bylock and</w:t>
      </w:r>
      <w:r w:rsidRPr="00ED061D">
        <w:rPr>
          <w:lang w:val="en-GB"/>
        </w:rPr>
        <w:t xml:space="preserve"> attended social gatherings. </w:t>
      </w:r>
    </w:p>
    <w:p w14:paraId="1FC2B949" w14:textId="77777777" w:rsidR="00114585" w:rsidRPr="00ED061D" w:rsidRDefault="00114585">
      <w:pPr>
        <w:spacing w:line="276" w:lineRule="auto"/>
        <w:rPr>
          <w:lang w:val="en-GB"/>
        </w:rPr>
      </w:pPr>
    </w:p>
    <w:p w14:paraId="0C4AD5DA" w14:textId="2FE1C80A" w:rsidR="00114585" w:rsidRPr="00ED061D" w:rsidRDefault="003E4EA2">
      <w:pPr>
        <w:spacing w:line="276" w:lineRule="auto"/>
        <w:jc w:val="both"/>
        <w:rPr>
          <w:lang w:val="en-GB"/>
        </w:rPr>
      </w:pPr>
      <w:r w:rsidRPr="00ED061D">
        <w:rPr>
          <w:b/>
          <w:lang w:val="en-GB"/>
        </w:rPr>
        <w:t xml:space="preserve">Turan Canpolat, </w:t>
      </w:r>
      <w:r w:rsidRPr="00ED061D">
        <w:rPr>
          <w:lang w:val="en-GB"/>
        </w:rPr>
        <w:t xml:space="preserve">a </w:t>
      </w:r>
      <w:r w:rsidR="00ED061D" w:rsidRPr="00ED061D">
        <w:rPr>
          <w:lang w:val="en-GB"/>
        </w:rPr>
        <w:t>defence</w:t>
      </w:r>
      <w:r w:rsidRPr="00ED061D">
        <w:rPr>
          <w:lang w:val="en-GB"/>
        </w:rPr>
        <w:t xml:space="preserve"> attorney for 21 years, was detained on 27.01.2016 after arriving at a police station representing one of his clients whose house had been searched by the police. Canpolat had recorded the violations he observed during the search. The arrest was based on statements by M.T., who had hired Canpolat as his lawyer a few days earlier, and the warrant was manipulated to make it seem as if it had been issued before his arrest. Despite being in prison during the coup attempt in July 2016, he was charged with taking part in it, which was later dropped by the prosecution. During the trial, M.T. disowned his incriminating statements. However, Canpolat was convicted to 10 years imprisonment on 20.11.2017 for representing companies that were allegedly affiliated with the Gülen movement and later shut down by emergency decrees.</w:t>
      </w:r>
      <w:r w:rsidRPr="00ED061D">
        <w:rPr>
          <w:vertAlign w:val="superscript"/>
          <w:lang w:val="en-GB"/>
        </w:rPr>
        <w:footnoteReference w:id="17"/>
      </w:r>
    </w:p>
    <w:p w14:paraId="2DFAC5BE" w14:textId="7DC8197C" w:rsidR="00114585" w:rsidRPr="00ED061D" w:rsidRDefault="003E4EA2">
      <w:pPr>
        <w:spacing w:line="276" w:lineRule="auto"/>
        <w:jc w:val="both"/>
        <w:rPr>
          <w:lang w:val="en-GB"/>
        </w:rPr>
      </w:pPr>
      <w:r w:rsidRPr="00ED061D">
        <w:rPr>
          <w:lang w:val="en-GB"/>
        </w:rPr>
        <w:t>Canpolat has been placed in solitary confinement in Malatya prison as it is alleged there is a high risk of him escaping. He has not been allowed visitors since the start of the COVID-19 pandemic. Canpolat has submitted several applications to the Turkish Court of Cassation in the course of the past two years, but to date has received no response to his many appeals (14 appeals have gone unanswered by the judicial authorities).</w:t>
      </w:r>
      <w:r w:rsidRPr="00ED061D">
        <w:rPr>
          <w:vertAlign w:val="superscript"/>
          <w:lang w:val="en-GB"/>
        </w:rPr>
        <w:footnoteReference w:id="18"/>
      </w:r>
      <w:r w:rsidRPr="00ED061D">
        <w:rPr>
          <w:lang w:val="en-GB"/>
        </w:rPr>
        <w:t xml:space="preserve"> </w:t>
      </w:r>
    </w:p>
    <w:p w14:paraId="0880D0AF" w14:textId="77777777" w:rsidR="00114585" w:rsidRPr="00ED061D" w:rsidRDefault="00114585">
      <w:pPr>
        <w:spacing w:line="276" w:lineRule="auto"/>
        <w:jc w:val="both"/>
        <w:rPr>
          <w:lang w:val="en-GB"/>
        </w:rPr>
      </w:pPr>
    </w:p>
    <w:p w14:paraId="50D28810" w14:textId="45AEF411" w:rsidR="00114585" w:rsidRPr="00ED061D" w:rsidRDefault="003E4EA2">
      <w:pPr>
        <w:spacing w:line="276" w:lineRule="auto"/>
        <w:jc w:val="both"/>
        <w:rPr>
          <w:lang w:val="en-GB"/>
        </w:rPr>
      </w:pPr>
      <w:r w:rsidRPr="00ED061D">
        <w:rPr>
          <w:b/>
          <w:lang w:val="en-GB"/>
        </w:rPr>
        <w:t xml:space="preserve">Feti Ün </w:t>
      </w:r>
      <w:r w:rsidRPr="00ED061D">
        <w:rPr>
          <w:lang w:val="en-GB"/>
        </w:rPr>
        <w:t xml:space="preserve">was the lawyer to Fethullah Gülen between 1990 and 1994. Ün was detained after the coup attempt on 16.11.2016 and sentenced to 12 years on 20.11.2017. The 16th Criminal Chamber of the Supreme Court of Appeals upheld the prison sentence under Art 314 (2) TPC in October 2020. He is over 70 years </w:t>
      </w:r>
      <w:r w:rsidR="00ED061D" w:rsidRPr="00ED061D">
        <w:rPr>
          <w:lang w:val="en-GB"/>
        </w:rPr>
        <w:t>old and</w:t>
      </w:r>
      <w:r w:rsidRPr="00ED061D">
        <w:rPr>
          <w:lang w:val="en-GB"/>
        </w:rPr>
        <w:t xml:space="preserve"> was convicted because of his representation of Gülen in the 90s. </w:t>
      </w:r>
    </w:p>
    <w:p w14:paraId="37BABA62" w14:textId="77777777" w:rsidR="00114585" w:rsidRPr="00ED061D" w:rsidRDefault="00114585">
      <w:pPr>
        <w:spacing w:line="276" w:lineRule="auto"/>
        <w:rPr>
          <w:highlight w:val="yellow"/>
          <w:lang w:val="en-GB"/>
        </w:rPr>
      </w:pPr>
    </w:p>
    <w:p w14:paraId="118D2303" w14:textId="0BC0AE4A" w:rsidR="00114585" w:rsidRPr="00ED061D" w:rsidRDefault="003E4EA2">
      <w:pPr>
        <w:spacing w:line="276" w:lineRule="auto"/>
        <w:jc w:val="both"/>
        <w:rPr>
          <w:lang w:val="en-GB"/>
        </w:rPr>
      </w:pPr>
      <w:r w:rsidRPr="00ED061D">
        <w:rPr>
          <w:b/>
          <w:lang w:val="en-GB"/>
        </w:rPr>
        <w:t xml:space="preserve">Talip Nayir, </w:t>
      </w:r>
      <w:r w:rsidRPr="00ED061D">
        <w:rPr>
          <w:lang w:val="en-GB"/>
        </w:rPr>
        <w:t>board member of Erzincan Bar, was detained on 25.10.2016. He was convicted for 10 years under Art 314 (2) TPC for using the encrypted messenger application ByLock, the profile of his clients (</w:t>
      </w:r>
      <w:r w:rsidR="00A80AD9" w:rsidRPr="00ED061D">
        <w:rPr>
          <w:lang w:val="en-GB"/>
        </w:rPr>
        <w:t>i.e.,</w:t>
      </w:r>
      <w:r w:rsidRPr="00ED061D">
        <w:rPr>
          <w:lang w:val="en-GB"/>
        </w:rPr>
        <w:t xml:space="preserve"> private schools affiliated with the Gülen movement) and his social media posts. </w:t>
      </w:r>
    </w:p>
    <w:p w14:paraId="7AF84C8D" w14:textId="6621072B" w:rsidR="00114585" w:rsidRPr="00EB755E" w:rsidRDefault="00A80AD9">
      <w:pPr>
        <w:pStyle w:val="Heading1"/>
        <w:pBdr>
          <w:top w:val="nil"/>
          <w:left w:val="nil"/>
          <w:bottom w:val="nil"/>
          <w:right w:val="nil"/>
          <w:between w:val="nil"/>
        </w:pBdr>
        <w:spacing w:before="400" w:line="276" w:lineRule="auto"/>
        <w:rPr>
          <w:rFonts w:eastAsia="Arial"/>
          <w:bCs/>
          <w:sz w:val="28"/>
          <w:szCs w:val="28"/>
          <w:lang w:val="en-GB"/>
        </w:rPr>
      </w:pPr>
      <w:bookmarkStart w:id="3" w:name="_heading=h.ytdra5epxxkt" w:colFirst="0" w:colLast="0"/>
      <w:bookmarkEnd w:id="3"/>
      <w:r w:rsidRPr="00EB755E">
        <w:rPr>
          <w:rFonts w:eastAsia="Arial"/>
          <w:bCs/>
          <w:sz w:val="28"/>
          <w:szCs w:val="28"/>
          <w:lang w:val="en-GB"/>
        </w:rPr>
        <w:t>2</w:t>
      </w:r>
      <w:r w:rsidR="003E4EA2" w:rsidRPr="00EB755E">
        <w:rPr>
          <w:rFonts w:eastAsia="Arial"/>
          <w:bCs/>
          <w:sz w:val="28"/>
          <w:szCs w:val="28"/>
          <w:lang w:val="en-GB"/>
        </w:rPr>
        <w:t xml:space="preserve">) Recommendations </w:t>
      </w:r>
    </w:p>
    <w:p w14:paraId="229DB170" w14:textId="77777777" w:rsidR="00114585" w:rsidRPr="00ED061D" w:rsidRDefault="003E4EA2">
      <w:pPr>
        <w:jc w:val="both"/>
        <w:rPr>
          <w:lang w:val="en-GB"/>
        </w:rPr>
      </w:pPr>
      <w:r w:rsidRPr="001F4959">
        <w:rPr>
          <w:b/>
          <w:bCs/>
          <w:lang w:val="en-GB"/>
        </w:rPr>
        <w:t>a)</w:t>
      </w:r>
      <w:r w:rsidRPr="00ED061D">
        <w:rPr>
          <w:lang w:val="en-GB"/>
        </w:rPr>
        <w:t xml:space="preserve"> For the prevention of defenders being detained for long terms in connection to their human rights work, the International Observatory of Human Rights (IOHR) and the Arrested Lawyers Initiative recommend the Special Rapporteur to take the following actions: </w:t>
      </w:r>
    </w:p>
    <w:p w14:paraId="16ACE50A" w14:textId="77777777" w:rsidR="00114585" w:rsidRPr="00ED061D" w:rsidRDefault="00114585">
      <w:pPr>
        <w:ind w:left="720"/>
        <w:jc w:val="both"/>
        <w:rPr>
          <w:lang w:val="en-GB"/>
        </w:rPr>
      </w:pPr>
    </w:p>
    <w:p w14:paraId="01DB71D3" w14:textId="37442C5F" w:rsidR="00114585" w:rsidRPr="00ED061D" w:rsidRDefault="003E4EA2">
      <w:pPr>
        <w:numPr>
          <w:ilvl w:val="0"/>
          <w:numId w:val="3"/>
        </w:numPr>
        <w:jc w:val="both"/>
        <w:rPr>
          <w:lang w:val="en-GB"/>
        </w:rPr>
      </w:pPr>
      <w:r w:rsidRPr="00ED061D">
        <w:rPr>
          <w:lang w:val="en-GB"/>
        </w:rPr>
        <w:t xml:space="preserve">Call upon states to amend vague provisions to limit the impact of security or anti-terrorist legislation on HRDs. Broad and vague definitions of terrorism, armed </w:t>
      </w:r>
      <w:r w:rsidRPr="00ED061D">
        <w:rPr>
          <w:lang w:val="en-GB"/>
        </w:rPr>
        <w:lastRenderedPageBreak/>
        <w:t xml:space="preserve">organizations and armed groups, membership in such groups, or extremist </w:t>
      </w:r>
      <w:r w:rsidR="00ED061D" w:rsidRPr="00ED061D">
        <w:rPr>
          <w:lang w:val="en-GB"/>
        </w:rPr>
        <w:t>activities</w:t>
      </w:r>
      <w:r w:rsidRPr="00ED061D">
        <w:rPr>
          <w:lang w:val="en-GB"/>
        </w:rPr>
        <w:t xml:space="preserve"> lead to the arbitrary application of those provisions against individuals and associations promoting human rights. Therefore, there is an urgent need for state authorities to eliminate laws that enable them to sanction HRDs for critical statements, reports on human rights and providing legal representation to (alleged) perpetrators of terrorism. </w:t>
      </w:r>
    </w:p>
    <w:p w14:paraId="5AAA602D" w14:textId="77777777" w:rsidR="00114585" w:rsidRPr="00ED061D" w:rsidRDefault="00114585">
      <w:pPr>
        <w:jc w:val="both"/>
        <w:rPr>
          <w:lang w:val="en-GB"/>
        </w:rPr>
      </w:pPr>
    </w:p>
    <w:p w14:paraId="553884DA" w14:textId="77777777" w:rsidR="00114585" w:rsidRPr="00ED061D" w:rsidRDefault="003E4EA2">
      <w:pPr>
        <w:jc w:val="both"/>
        <w:rPr>
          <w:i/>
          <w:lang w:val="en-GB"/>
        </w:rPr>
      </w:pPr>
      <w:r w:rsidRPr="00ED061D">
        <w:rPr>
          <w:i/>
          <w:lang w:val="en-GB"/>
        </w:rPr>
        <w:t>In the case of Turkey, it is suggested to amend the anti-terror legislation, including the new Anti-Terrorism Bill adopted on 25 July 2018, as well as the Turkish Penal Code as recommended by the Venice Commission,</w:t>
      </w:r>
      <w:r w:rsidRPr="00ED061D">
        <w:rPr>
          <w:i/>
          <w:vertAlign w:val="superscript"/>
          <w:lang w:val="en-GB"/>
        </w:rPr>
        <w:footnoteReference w:id="19"/>
      </w:r>
      <w:r w:rsidRPr="00ED061D">
        <w:rPr>
          <w:i/>
          <w:lang w:val="en-GB"/>
        </w:rPr>
        <w:t xml:space="preserve"> and the European Court of Human Rights,</w:t>
      </w:r>
      <w:r w:rsidRPr="00ED061D">
        <w:rPr>
          <w:i/>
          <w:vertAlign w:val="superscript"/>
          <w:lang w:val="en-GB"/>
        </w:rPr>
        <w:footnoteReference w:id="20"/>
      </w:r>
      <w:r w:rsidRPr="00ED061D">
        <w:rPr>
          <w:i/>
          <w:lang w:val="en-GB"/>
        </w:rPr>
        <w:t xml:space="preserve"> to ensure that lawyers are not identified with their client’s causes and can perform their duties in accordance with the UN Basic Principles on the Role of Lawyers. </w:t>
      </w:r>
    </w:p>
    <w:p w14:paraId="744D7C41" w14:textId="77777777" w:rsidR="00114585" w:rsidRPr="00ED061D" w:rsidRDefault="00114585">
      <w:pPr>
        <w:jc w:val="both"/>
        <w:rPr>
          <w:lang w:val="en-GB"/>
        </w:rPr>
      </w:pPr>
    </w:p>
    <w:p w14:paraId="5BA4BA61" w14:textId="4D66FBCC" w:rsidR="00114585" w:rsidRPr="00ED061D" w:rsidRDefault="003E4EA2">
      <w:pPr>
        <w:numPr>
          <w:ilvl w:val="0"/>
          <w:numId w:val="3"/>
        </w:numPr>
        <w:jc w:val="both"/>
        <w:rPr>
          <w:lang w:val="en-GB"/>
        </w:rPr>
      </w:pPr>
      <w:r w:rsidRPr="00ED061D">
        <w:rPr>
          <w:lang w:val="en-GB"/>
        </w:rPr>
        <w:t xml:space="preserve">Call upon states to review their national security laws to exclude all activities in the defence of human rights. Further to ensuring specific and clear counterterrorism laws, it must be ensured that these laws entail safeguards for HRDs. Otherwise, the enacting of laws to specifically protect the work of HRD is recommended. In this regard, we encourage the Special Rapporteur to work together with the Special Rapporteur on Freedom of Expression and Opinion and the Special Rapporteur on the Promotion and Protection of Human Rights and Fundamental Freedoms while Countering Terrorism to issue guidelines on counterterrorist laws that do not impact HRD negatively. </w:t>
      </w:r>
    </w:p>
    <w:p w14:paraId="598F0350" w14:textId="77777777" w:rsidR="00114585" w:rsidRPr="00ED061D" w:rsidRDefault="00114585">
      <w:pPr>
        <w:jc w:val="both"/>
        <w:rPr>
          <w:lang w:val="en-GB"/>
        </w:rPr>
      </w:pPr>
    </w:p>
    <w:p w14:paraId="5E7EF95D" w14:textId="7EA9E672" w:rsidR="00114585" w:rsidRPr="00ED061D" w:rsidRDefault="003E4EA2">
      <w:pPr>
        <w:numPr>
          <w:ilvl w:val="0"/>
          <w:numId w:val="3"/>
        </w:numPr>
        <w:jc w:val="both"/>
        <w:rPr>
          <w:lang w:val="en-GB"/>
        </w:rPr>
      </w:pPr>
      <w:r w:rsidRPr="00ED061D">
        <w:rPr>
          <w:lang w:val="en-GB"/>
        </w:rPr>
        <w:t xml:space="preserve">Call upon all States to implement the UN “Declaration on the Right and Responsibility of Individuals, Groups and Organs of Society to Promote and Protect Universally Recognized Human Rights and Fundamental Freedoms” 1998 and ensure that their domestic legislation is in conformity with this </w:t>
      </w:r>
      <w:r w:rsidR="00ED061D" w:rsidRPr="00ED061D">
        <w:rPr>
          <w:lang w:val="en-GB"/>
        </w:rPr>
        <w:t>declaration or</w:t>
      </w:r>
      <w:r w:rsidRPr="00ED061D">
        <w:rPr>
          <w:lang w:val="en-GB"/>
        </w:rPr>
        <w:t xml:space="preserve"> transpose it directly into a national legal instrument so that HRDs can rely on it in the courts.</w:t>
      </w:r>
    </w:p>
    <w:p w14:paraId="483154CE" w14:textId="77777777" w:rsidR="00114585" w:rsidRPr="00ED061D" w:rsidRDefault="00114585">
      <w:pPr>
        <w:jc w:val="both"/>
        <w:rPr>
          <w:lang w:val="en-GB"/>
        </w:rPr>
      </w:pPr>
    </w:p>
    <w:p w14:paraId="278F2B85" w14:textId="77777777" w:rsidR="00114585" w:rsidRPr="00ED061D" w:rsidRDefault="003E4EA2">
      <w:pPr>
        <w:numPr>
          <w:ilvl w:val="0"/>
          <w:numId w:val="3"/>
        </w:numPr>
        <w:jc w:val="both"/>
        <w:rPr>
          <w:lang w:val="en-GB"/>
        </w:rPr>
      </w:pPr>
      <w:r w:rsidRPr="00ED061D">
        <w:rPr>
          <w:lang w:val="en-GB"/>
        </w:rPr>
        <w:t xml:space="preserve">Call upon state officials and the media to refrain from stigmatizing human rights defenders as threats or enemies to the state, terrorists or criminals. Instead, state officials and the media should gather information about the work of HRDs in their country and raise public awareness of the value and legitimacy of HRD’s work. In order to change the negative perception of HRD, we ask the Special Rapporteur to provide and support training and information about the importance of protecting HRDs to prosecutors, judges and law enforcement authorities in states like Turkey, where HRDs face the highest risks. </w:t>
      </w:r>
    </w:p>
    <w:p w14:paraId="3A854823" w14:textId="77777777" w:rsidR="00114585" w:rsidRPr="00ED061D" w:rsidRDefault="00114585">
      <w:pPr>
        <w:jc w:val="both"/>
        <w:rPr>
          <w:lang w:val="en-GB"/>
        </w:rPr>
      </w:pPr>
    </w:p>
    <w:p w14:paraId="262D30BF" w14:textId="77777777" w:rsidR="00114585" w:rsidRPr="00ED061D" w:rsidRDefault="003E4EA2">
      <w:pPr>
        <w:numPr>
          <w:ilvl w:val="0"/>
          <w:numId w:val="3"/>
        </w:numPr>
        <w:jc w:val="both"/>
        <w:rPr>
          <w:lang w:val="en-GB"/>
        </w:rPr>
      </w:pPr>
      <w:r w:rsidRPr="00ED061D">
        <w:rPr>
          <w:lang w:val="en-GB"/>
        </w:rPr>
        <w:t xml:space="preserve">Call upon all states to accept HRDs as refugees when they seek protection, and to enable fast and efficient visa processing for HRDs who are forced to relocate. </w:t>
      </w:r>
    </w:p>
    <w:p w14:paraId="2EB3D48C" w14:textId="77777777" w:rsidR="00114585" w:rsidRPr="00ED061D" w:rsidRDefault="00114585">
      <w:pPr>
        <w:jc w:val="both"/>
        <w:rPr>
          <w:lang w:val="en-GB"/>
        </w:rPr>
      </w:pPr>
    </w:p>
    <w:p w14:paraId="43EDCB70" w14:textId="77777777" w:rsidR="00114585" w:rsidRPr="00ED061D" w:rsidRDefault="003E4EA2">
      <w:pPr>
        <w:numPr>
          <w:ilvl w:val="0"/>
          <w:numId w:val="3"/>
        </w:numPr>
        <w:jc w:val="both"/>
        <w:rPr>
          <w:lang w:val="en-GB"/>
        </w:rPr>
      </w:pPr>
      <w:r w:rsidRPr="00ED061D">
        <w:rPr>
          <w:lang w:val="en-GB"/>
        </w:rPr>
        <w:t xml:space="preserve">Call upon transnational corporations and other businesses to not cooperate with state authorities which are known for long-term imprisonment of HRDs. Moreover, they are expected to conduct “human rights due diligence” to identify, prevent, mitigate, and account for how they address adverse human rights impacts connected to their business activities. This may, for example, result from providing surveillance technology to a government that represses HRDs. </w:t>
      </w:r>
    </w:p>
    <w:p w14:paraId="14A25398" w14:textId="77777777" w:rsidR="00114585" w:rsidRPr="00ED061D" w:rsidRDefault="00114585">
      <w:pPr>
        <w:jc w:val="both"/>
        <w:rPr>
          <w:lang w:val="en-GB"/>
        </w:rPr>
      </w:pPr>
    </w:p>
    <w:p w14:paraId="326DA1C5" w14:textId="77777777" w:rsidR="00114585" w:rsidRPr="00ED061D" w:rsidRDefault="003E4EA2">
      <w:pPr>
        <w:jc w:val="both"/>
        <w:rPr>
          <w:lang w:val="en-GB"/>
        </w:rPr>
      </w:pPr>
      <w:r w:rsidRPr="001F4959">
        <w:rPr>
          <w:b/>
          <w:bCs/>
          <w:lang w:val="en-GB"/>
        </w:rPr>
        <w:t>b)</w:t>
      </w:r>
      <w:r w:rsidRPr="00ED061D">
        <w:rPr>
          <w:lang w:val="en-GB"/>
        </w:rPr>
        <w:t xml:space="preserve"> For the release of defenders being arbitrarily detained under long terms, IOHR and the Arrested Lawyers Initiative recommend the Special Rapporteur to take the following actions: </w:t>
      </w:r>
    </w:p>
    <w:p w14:paraId="32E3DB35" w14:textId="77777777" w:rsidR="00114585" w:rsidRPr="00ED061D" w:rsidRDefault="00114585">
      <w:pPr>
        <w:jc w:val="both"/>
        <w:rPr>
          <w:lang w:val="en-GB"/>
        </w:rPr>
      </w:pPr>
    </w:p>
    <w:p w14:paraId="6A5D5585" w14:textId="77777777" w:rsidR="00114585" w:rsidRPr="00ED061D" w:rsidRDefault="003E4EA2">
      <w:pPr>
        <w:numPr>
          <w:ilvl w:val="0"/>
          <w:numId w:val="2"/>
        </w:numPr>
        <w:jc w:val="both"/>
        <w:rPr>
          <w:lang w:val="en-GB"/>
        </w:rPr>
      </w:pPr>
      <w:r w:rsidRPr="00ED061D">
        <w:rPr>
          <w:lang w:val="en-GB"/>
        </w:rPr>
        <w:t>Publish a manual for human rights organisations for the event of the long-term imprisonment of a HDR. This should take the form of a sequence of actions that colleagues and family members of the HRD can take after the immediate arrest, as well as after the conviction, and should include guidelines on submitting the case to various international accountability mechanisms, to international NGOs or the media.</w:t>
      </w:r>
    </w:p>
    <w:p w14:paraId="19A6C448" w14:textId="77777777" w:rsidR="00114585" w:rsidRPr="00ED061D" w:rsidRDefault="003E4EA2">
      <w:pPr>
        <w:ind w:left="720"/>
        <w:jc w:val="both"/>
        <w:rPr>
          <w:lang w:val="en-GB"/>
        </w:rPr>
      </w:pPr>
      <w:r w:rsidRPr="00ED061D">
        <w:rPr>
          <w:lang w:val="en-GB"/>
        </w:rPr>
        <w:t xml:space="preserve"> </w:t>
      </w:r>
    </w:p>
    <w:p w14:paraId="2DC4C663" w14:textId="77777777" w:rsidR="00114585" w:rsidRPr="00ED061D" w:rsidRDefault="003E4EA2">
      <w:pPr>
        <w:numPr>
          <w:ilvl w:val="0"/>
          <w:numId w:val="2"/>
        </w:numPr>
        <w:jc w:val="both"/>
        <w:rPr>
          <w:lang w:val="en-GB"/>
        </w:rPr>
      </w:pPr>
      <w:r w:rsidRPr="00ED061D">
        <w:rPr>
          <w:lang w:val="en-GB"/>
        </w:rPr>
        <w:t xml:space="preserve">Recommend to those states where HRDs face the highest risks to set up a national commission for HRDs, or a parliamentary committee that oversees the situation of HRDs in the country. These national committees should work together with national human rights institutions to publicly report on HRDs being detained and should produce regular reports on long-term imprisonment of HRDs. Additionally, these committees can develop guidelines for authorities on how laws can be brought into line with the protection of HRDs. Individual members of parliament should be encouraged to advocate for individual HRD who are under long-term detention and campaign for their release. </w:t>
      </w:r>
    </w:p>
    <w:p w14:paraId="70FBA1B3" w14:textId="77777777" w:rsidR="00114585" w:rsidRPr="00ED061D" w:rsidRDefault="00114585">
      <w:pPr>
        <w:jc w:val="both"/>
        <w:rPr>
          <w:lang w:val="en-GB"/>
        </w:rPr>
      </w:pPr>
    </w:p>
    <w:p w14:paraId="007732C9" w14:textId="77777777" w:rsidR="00114585" w:rsidRPr="00ED061D" w:rsidRDefault="003E4EA2">
      <w:pPr>
        <w:numPr>
          <w:ilvl w:val="0"/>
          <w:numId w:val="2"/>
        </w:numPr>
        <w:jc w:val="both"/>
        <w:rPr>
          <w:lang w:val="en-GB"/>
        </w:rPr>
      </w:pPr>
      <w:r w:rsidRPr="00ED061D">
        <w:rPr>
          <w:lang w:val="en-GB"/>
        </w:rPr>
        <w:t xml:space="preserve">Call upon all states, the media, other UN bodies as well as businesses to condemn long-term imprisonment of HRDs publicly and to speak out for individual HRD convicted to long-term prison sentences. In particular businesses should be expected to proactively use their leverage to promote respect for HRDs, to advocate against policies that restrict HRDs and to demand the release of HRDs arbitrarily detained under long terms. </w:t>
      </w:r>
    </w:p>
    <w:p w14:paraId="77E40C14" w14:textId="77777777" w:rsidR="00114585" w:rsidRPr="00ED061D" w:rsidRDefault="00114585">
      <w:pPr>
        <w:ind w:left="720"/>
        <w:jc w:val="both"/>
        <w:rPr>
          <w:lang w:val="en-GB"/>
        </w:rPr>
      </w:pPr>
    </w:p>
    <w:p w14:paraId="02B04AEA" w14:textId="77777777" w:rsidR="00114585" w:rsidRPr="00ED061D" w:rsidRDefault="003E4EA2">
      <w:pPr>
        <w:numPr>
          <w:ilvl w:val="0"/>
          <w:numId w:val="2"/>
        </w:numPr>
        <w:jc w:val="both"/>
        <w:rPr>
          <w:lang w:val="en-GB"/>
        </w:rPr>
      </w:pPr>
      <w:r w:rsidRPr="00ED061D">
        <w:rPr>
          <w:lang w:val="en-GB"/>
        </w:rPr>
        <w:t xml:space="preserve">Organize meetings with the state and HRDs in high-risk countries to discuss concerns, and to promote the Declaration on Human Rights Defenders. </w:t>
      </w:r>
    </w:p>
    <w:p w14:paraId="4036A463" w14:textId="77777777" w:rsidR="00114585" w:rsidRPr="00ED061D" w:rsidRDefault="00114585">
      <w:pPr>
        <w:ind w:left="720"/>
        <w:jc w:val="both"/>
        <w:rPr>
          <w:lang w:val="en-GB"/>
        </w:rPr>
      </w:pPr>
    </w:p>
    <w:p w14:paraId="0B4D3859" w14:textId="77777777" w:rsidR="00114585" w:rsidRPr="00ED061D" w:rsidRDefault="003E4EA2">
      <w:pPr>
        <w:numPr>
          <w:ilvl w:val="0"/>
          <w:numId w:val="2"/>
        </w:numPr>
        <w:jc w:val="both"/>
        <w:rPr>
          <w:lang w:val="en-GB"/>
        </w:rPr>
      </w:pPr>
      <w:r w:rsidRPr="00ED061D">
        <w:rPr>
          <w:lang w:val="en-GB"/>
        </w:rPr>
        <w:t>Finally, the Rapporteur and other UN agencies should react faster to information on arbitrary detention of HRDs by increasing internal capacity and by streamlining procedures with other Special Procedures.</w:t>
      </w:r>
    </w:p>
    <w:sectPr w:rsidR="00114585" w:rsidRPr="00ED061D" w:rsidSect="001F4959">
      <w:headerReference w:type="default" r:id="rId15"/>
      <w:headerReference w:type="first" r:id="rId16"/>
      <w:pgSz w:w="11900" w:h="16840"/>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B43C7" w14:textId="77777777" w:rsidR="00621F2E" w:rsidRDefault="00621F2E">
      <w:r>
        <w:separator/>
      </w:r>
    </w:p>
  </w:endnote>
  <w:endnote w:type="continuationSeparator" w:id="0">
    <w:p w14:paraId="6A12AE32" w14:textId="77777777" w:rsidR="00621F2E" w:rsidRDefault="0062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0398160"/>
      <w:docPartObj>
        <w:docPartGallery w:val="Page Numbers (Bottom of Page)"/>
        <w:docPartUnique/>
      </w:docPartObj>
    </w:sdtPr>
    <w:sdtEndPr>
      <w:rPr>
        <w:rStyle w:val="PageNumber"/>
      </w:rPr>
    </w:sdtEndPr>
    <w:sdtContent>
      <w:p w14:paraId="03720CAE" w14:textId="6C9292CD" w:rsidR="00725554" w:rsidRDefault="00725554" w:rsidP="007255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787AE3B" w14:textId="77777777" w:rsidR="00725554" w:rsidRDefault="00725554" w:rsidP="0072555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6666625"/>
      <w:docPartObj>
        <w:docPartGallery w:val="Page Numbers (Bottom of Page)"/>
        <w:docPartUnique/>
      </w:docPartObj>
    </w:sdtPr>
    <w:sdtEndPr>
      <w:rPr>
        <w:rStyle w:val="PageNumber"/>
      </w:rPr>
    </w:sdtEndPr>
    <w:sdtContent>
      <w:p w14:paraId="55746F6D" w14:textId="7FCC318E" w:rsidR="00725554" w:rsidRDefault="00725554" w:rsidP="007255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F4BA546" w14:textId="4E16A2E8" w:rsidR="00114585" w:rsidRDefault="00114585" w:rsidP="00725554">
    <w:pPr>
      <w:pBdr>
        <w:top w:val="nil"/>
        <w:left w:val="nil"/>
        <w:bottom w:val="nil"/>
        <w:right w:val="nil"/>
        <w:between w:val="nil"/>
      </w:pBdr>
      <w:tabs>
        <w:tab w:val="center" w:pos="4320"/>
        <w:tab w:val="right" w:pos="8640"/>
      </w:tabs>
      <w:ind w:right="360" w:firstLine="360"/>
      <w:jc w:val="right"/>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0FB7B" w14:textId="77777777" w:rsidR="00621F2E" w:rsidRDefault="00621F2E">
      <w:r>
        <w:separator/>
      </w:r>
    </w:p>
  </w:footnote>
  <w:footnote w:type="continuationSeparator" w:id="0">
    <w:p w14:paraId="4A4A3848" w14:textId="77777777" w:rsidR="00621F2E" w:rsidRDefault="00621F2E">
      <w:r>
        <w:continuationSeparator/>
      </w:r>
    </w:p>
  </w:footnote>
  <w:footnote w:id="1">
    <w:p w14:paraId="6860AE30" w14:textId="77777777" w:rsidR="00114585" w:rsidRPr="00ED061D" w:rsidRDefault="003E4EA2">
      <w:p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sz w:val="20"/>
          <w:szCs w:val="20"/>
        </w:rPr>
      </w:pPr>
      <w:r w:rsidRPr="00ED061D">
        <w:rPr>
          <w:rStyle w:val="FootnoteReference"/>
          <w:rFonts w:ascii="Arial" w:hAnsi="Arial" w:cs="Arial"/>
          <w:sz w:val="20"/>
          <w:szCs w:val="20"/>
        </w:rPr>
        <w:footnoteRef/>
      </w:r>
      <w:r w:rsidRPr="00ED061D">
        <w:rPr>
          <w:rFonts w:ascii="Arial" w:eastAsia="Calibri" w:hAnsi="Arial" w:cs="Arial"/>
          <w:color w:val="000000"/>
          <w:sz w:val="20"/>
          <w:szCs w:val="20"/>
          <w:vertAlign w:val="superscript"/>
        </w:rPr>
        <w:t>[1]</w:t>
      </w:r>
      <w:r w:rsidRPr="00ED061D">
        <w:rPr>
          <w:rFonts w:ascii="Arial" w:eastAsia="Calibri" w:hAnsi="Arial" w:cs="Arial"/>
          <w:color w:val="000000"/>
          <w:sz w:val="20"/>
          <w:szCs w:val="20"/>
        </w:rPr>
        <w:t xml:space="preserve"> </w:t>
      </w:r>
      <w:r w:rsidRPr="00ED061D">
        <w:rPr>
          <w:rFonts w:ascii="Arial" w:hAnsi="Arial" w:cs="Arial"/>
          <w:color w:val="222222"/>
          <w:sz w:val="20"/>
          <w:szCs w:val="20"/>
        </w:rPr>
        <w:t xml:space="preserve">See </w:t>
      </w:r>
      <w:hyperlink r:id="rId1">
        <w:r w:rsidRPr="00ED061D">
          <w:rPr>
            <w:rFonts w:ascii="Arial" w:hAnsi="Arial" w:cs="Arial"/>
            <w:color w:val="0070C0"/>
            <w:sz w:val="20"/>
            <w:szCs w:val="20"/>
            <w:u w:val="single"/>
          </w:rPr>
          <w:t>A/HRC/RES 22/6</w:t>
        </w:r>
      </w:hyperlink>
      <w:r w:rsidRPr="00ED061D">
        <w:rPr>
          <w:rFonts w:ascii="Arial" w:hAnsi="Arial" w:cs="Arial"/>
          <w:color w:val="222222"/>
          <w:sz w:val="20"/>
          <w:szCs w:val="20"/>
        </w:rPr>
        <w:t xml:space="preserve"> (2013) and </w:t>
      </w:r>
      <w:hyperlink r:id="rId2">
        <w:r w:rsidRPr="00ED061D">
          <w:rPr>
            <w:rFonts w:ascii="Arial" w:hAnsi="Arial" w:cs="Arial"/>
            <w:color w:val="0070C0"/>
            <w:sz w:val="20"/>
            <w:szCs w:val="20"/>
            <w:u w:val="single"/>
          </w:rPr>
          <w:t>A/RES/68/181</w:t>
        </w:r>
      </w:hyperlink>
      <w:hyperlink r:id="rId3">
        <w:r w:rsidRPr="00ED061D">
          <w:rPr>
            <w:rFonts w:ascii="Arial" w:hAnsi="Arial" w:cs="Arial"/>
            <w:color w:val="000000"/>
            <w:sz w:val="20"/>
            <w:szCs w:val="20"/>
            <w:u w:val="single"/>
          </w:rPr>
          <w:t>(2014)</w:t>
        </w:r>
      </w:hyperlink>
      <w:r w:rsidRPr="00ED061D">
        <w:rPr>
          <w:rFonts w:ascii="Arial" w:hAnsi="Arial" w:cs="Arial"/>
          <w:color w:val="222222"/>
          <w:sz w:val="20"/>
          <w:szCs w:val="20"/>
        </w:rPr>
        <w:t xml:space="preserve">. See also: </w:t>
      </w:r>
      <w:hyperlink r:id="rId4">
        <w:r w:rsidRPr="00ED061D">
          <w:rPr>
            <w:rFonts w:ascii="Arial" w:hAnsi="Arial" w:cs="Arial"/>
            <w:color w:val="0070C0"/>
            <w:sz w:val="20"/>
            <w:szCs w:val="20"/>
            <w:u w:val="single"/>
          </w:rPr>
          <w:t>A/HRC/RES/25/18</w:t>
        </w:r>
      </w:hyperlink>
      <w:hyperlink r:id="rId5">
        <w:r w:rsidRPr="00ED061D">
          <w:rPr>
            <w:rFonts w:ascii="Arial" w:hAnsi="Arial" w:cs="Arial"/>
            <w:color w:val="000000"/>
            <w:sz w:val="20"/>
            <w:szCs w:val="20"/>
            <w:u w:val="single"/>
          </w:rPr>
          <w:t xml:space="preserve"> (2014),</w:t>
        </w:r>
      </w:hyperlink>
      <w:r w:rsidRPr="00ED061D">
        <w:rPr>
          <w:rFonts w:ascii="Arial" w:hAnsi="Arial" w:cs="Arial"/>
          <w:color w:val="000000"/>
          <w:sz w:val="20"/>
          <w:szCs w:val="20"/>
        </w:rPr>
        <w:t xml:space="preserve"> </w:t>
      </w:r>
      <w:hyperlink r:id="rId6">
        <w:r w:rsidRPr="00ED061D">
          <w:rPr>
            <w:rFonts w:ascii="Arial" w:hAnsi="Arial" w:cs="Arial"/>
            <w:color w:val="0070C0"/>
            <w:sz w:val="20"/>
            <w:szCs w:val="20"/>
            <w:u w:val="single"/>
          </w:rPr>
          <w:t>A/HRC/RES/27/31</w:t>
        </w:r>
      </w:hyperlink>
      <w:hyperlink r:id="rId7">
        <w:r w:rsidRPr="00ED061D">
          <w:rPr>
            <w:rFonts w:ascii="Arial" w:hAnsi="Arial" w:cs="Arial"/>
            <w:color w:val="000000"/>
            <w:sz w:val="20"/>
            <w:szCs w:val="20"/>
            <w:u w:val="single"/>
          </w:rPr>
          <w:t xml:space="preserve"> (2014),</w:t>
        </w:r>
      </w:hyperlink>
      <w:r w:rsidRPr="00ED061D">
        <w:rPr>
          <w:rFonts w:ascii="Arial" w:hAnsi="Arial" w:cs="Arial"/>
          <w:color w:val="000000"/>
          <w:sz w:val="20"/>
          <w:szCs w:val="20"/>
        </w:rPr>
        <w:t xml:space="preserve"> </w:t>
      </w:r>
      <w:hyperlink r:id="rId8">
        <w:r w:rsidRPr="00ED061D">
          <w:rPr>
            <w:rFonts w:ascii="Arial" w:hAnsi="Arial" w:cs="Arial"/>
            <w:color w:val="0070C0"/>
            <w:sz w:val="20"/>
            <w:szCs w:val="20"/>
            <w:u w:val="single"/>
          </w:rPr>
          <w:t>A/HRC/RES/32/31</w:t>
        </w:r>
      </w:hyperlink>
      <w:r w:rsidRPr="00ED061D">
        <w:rPr>
          <w:rFonts w:ascii="Arial" w:hAnsi="Arial" w:cs="Arial"/>
          <w:color w:val="000000"/>
          <w:sz w:val="20"/>
          <w:szCs w:val="20"/>
        </w:rPr>
        <w:t xml:space="preserve"> (2016) and </w:t>
      </w:r>
      <w:hyperlink r:id="rId9">
        <w:r w:rsidRPr="00ED061D">
          <w:rPr>
            <w:rFonts w:ascii="Arial" w:hAnsi="Arial" w:cs="Arial"/>
            <w:color w:val="0070C0"/>
            <w:sz w:val="20"/>
            <w:szCs w:val="20"/>
            <w:u w:val="single"/>
          </w:rPr>
          <w:t>A/HRC/RES/34/5</w:t>
        </w:r>
      </w:hyperlink>
      <w:hyperlink r:id="rId10">
        <w:r w:rsidRPr="00ED061D">
          <w:rPr>
            <w:rFonts w:ascii="Arial" w:hAnsi="Arial" w:cs="Arial"/>
            <w:color w:val="000000"/>
            <w:sz w:val="20"/>
            <w:szCs w:val="20"/>
            <w:u w:val="single"/>
          </w:rPr>
          <w:t xml:space="preserve"> (2017)</w:t>
        </w:r>
      </w:hyperlink>
      <w:hyperlink r:id="rId11">
        <w:r w:rsidRPr="00ED061D">
          <w:rPr>
            <w:rFonts w:ascii="Arial" w:hAnsi="Arial" w:cs="Arial"/>
            <w:color w:val="000000"/>
            <w:sz w:val="20"/>
            <w:szCs w:val="20"/>
            <w:u w:val="single"/>
          </w:rPr>
          <w:t xml:space="preserve"> </w:t>
        </w:r>
      </w:hyperlink>
      <w:r w:rsidRPr="00ED061D">
        <w:rPr>
          <w:rFonts w:ascii="Arial" w:hAnsi="Arial" w:cs="Arial"/>
          <w:color w:val="000000"/>
          <w:sz w:val="20"/>
          <w:szCs w:val="20"/>
        </w:rPr>
        <w:t xml:space="preserve"> </w:t>
      </w:r>
    </w:p>
    <w:p w14:paraId="60075761" w14:textId="77777777" w:rsidR="00114585" w:rsidRPr="00ED061D" w:rsidRDefault="00114585">
      <w:p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sz w:val="20"/>
          <w:szCs w:val="20"/>
        </w:rPr>
      </w:pPr>
    </w:p>
  </w:footnote>
  <w:footnote w:id="2">
    <w:p w14:paraId="14B00C51" w14:textId="77777777" w:rsidR="00114585" w:rsidRPr="006D655C" w:rsidRDefault="003E4EA2">
      <w:pPr>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The Arrested Lawyers Initiative, Mass Prosecution of Lawyers in Turkey, p. 5.  Available at: </w:t>
      </w:r>
      <w:hyperlink r:id="rId12">
        <w:r w:rsidRPr="006D655C">
          <w:rPr>
            <w:rFonts w:ascii="Arial" w:eastAsia="Arial" w:hAnsi="Arial" w:cs="Arial"/>
            <w:color w:val="1155CC"/>
            <w:sz w:val="20"/>
            <w:szCs w:val="20"/>
            <w:u w:val="single"/>
          </w:rPr>
          <w:t>https://arrestedlawyers.files.wordpress.com/2021/01/report-2016-2021.pdf</w:t>
        </w:r>
      </w:hyperlink>
      <w:r w:rsidRPr="006D655C">
        <w:rPr>
          <w:rFonts w:ascii="Arial" w:eastAsia="Arial" w:hAnsi="Arial" w:cs="Arial"/>
          <w:sz w:val="20"/>
          <w:szCs w:val="20"/>
        </w:rPr>
        <w:t xml:space="preserve">. </w:t>
      </w:r>
    </w:p>
  </w:footnote>
  <w:footnote w:id="3">
    <w:p w14:paraId="40D53E5E" w14:textId="77777777" w:rsidR="00114585" w:rsidRPr="006D655C" w:rsidRDefault="003E4EA2">
      <w:pPr>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Amnesty International, ‘Turkey: Politicians, lawyers, activists targeted in new wave of mass arrests’ Public Statement on 26 October 2020, Index Number EUR 44/3221/2020, at p. 4. Available at: </w:t>
      </w:r>
      <w:hyperlink r:id="rId13">
        <w:r w:rsidRPr="006D655C">
          <w:rPr>
            <w:rFonts w:ascii="Arial" w:eastAsia="Arial" w:hAnsi="Arial" w:cs="Arial"/>
            <w:color w:val="1155CC"/>
            <w:sz w:val="20"/>
            <w:szCs w:val="20"/>
            <w:u w:val="single"/>
          </w:rPr>
          <w:t>https://www.amnesty.org/download/Documents/EUR4432212020ENGLISH.PDF</w:t>
        </w:r>
      </w:hyperlink>
      <w:r w:rsidRPr="006D655C">
        <w:rPr>
          <w:rFonts w:ascii="Arial" w:eastAsia="Arial" w:hAnsi="Arial" w:cs="Arial"/>
          <w:sz w:val="20"/>
          <w:szCs w:val="20"/>
        </w:rPr>
        <w:t xml:space="preserve">. </w:t>
      </w:r>
    </w:p>
  </w:footnote>
  <w:footnote w:id="4">
    <w:p w14:paraId="4FC665CD" w14:textId="3B745AF2" w:rsidR="00114585" w:rsidRPr="00ED061D" w:rsidRDefault="003E4EA2">
      <w:pPr>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This information is provided by the report from Arrested Lawyers Initiative,</w:t>
      </w:r>
      <w:r w:rsidR="00ED061D" w:rsidRPr="006D655C">
        <w:rPr>
          <w:rFonts w:ascii="Arial" w:eastAsia="Arial" w:hAnsi="Arial" w:cs="Arial"/>
          <w:sz w:val="20"/>
          <w:szCs w:val="20"/>
        </w:rPr>
        <w:t xml:space="preserve"> </w:t>
      </w:r>
      <w:r w:rsidRPr="006D655C">
        <w:rPr>
          <w:rFonts w:ascii="Arial" w:eastAsia="Arial" w:hAnsi="Arial" w:cs="Arial"/>
          <w:sz w:val="20"/>
          <w:szCs w:val="20"/>
        </w:rPr>
        <w:t xml:space="preserve">“Mass prosecution of lawyers in Turkey: Unjust arrests and convictions (2016-2020)”. Available at: </w:t>
      </w:r>
      <w:hyperlink r:id="rId14">
        <w:r w:rsidRPr="006D655C">
          <w:rPr>
            <w:rFonts w:ascii="Arial" w:eastAsia="Arial" w:hAnsi="Arial" w:cs="Arial"/>
            <w:color w:val="1155CC"/>
            <w:sz w:val="20"/>
            <w:szCs w:val="20"/>
            <w:u w:val="single"/>
          </w:rPr>
          <w:t>https://arrestedlawyers.files.wordpress.com/2020/04/rapporto-febbraio-2020-delle28099associazione-arrested-lawyers-initiative-sulla-persecuzione-di-massa-degli-avvocati-in-turchia-inglese.pdf</w:t>
        </w:r>
      </w:hyperlink>
      <w:r w:rsidRPr="006D655C">
        <w:rPr>
          <w:rFonts w:ascii="Arial" w:eastAsia="Arial" w:hAnsi="Arial" w:cs="Arial"/>
          <w:sz w:val="20"/>
          <w:szCs w:val="20"/>
        </w:rPr>
        <w:t>.</w:t>
      </w:r>
      <w:r w:rsidRPr="00ED061D">
        <w:rPr>
          <w:rFonts w:ascii="Arial" w:eastAsia="Arial" w:hAnsi="Arial" w:cs="Arial"/>
          <w:sz w:val="20"/>
          <w:szCs w:val="20"/>
        </w:rPr>
        <w:t xml:space="preserve"> </w:t>
      </w:r>
    </w:p>
  </w:footnote>
  <w:footnote w:id="5">
    <w:p w14:paraId="093C5885" w14:textId="77777777" w:rsidR="00114585" w:rsidRPr="00ED061D" w:rsidRDefault="003E4EA2">
      <w:pPr>
        <w:rPr>
          <w:rFonts w:ascii="Arial" w:eastAsia="Arial" w:hAnsi="Arial" w:cs="Arial"/>
          <w:sz w:val="20"/>
          <w:szCs w:val="20"/>
        </w:rPr>
      </w:pPr>
      <w:r w:rsidRPr="00ED061D">
        <w:rPr>
          <w:rStyle w:val="FootnoteReference"/>
          <w:rFonts w:ascii="Arial" w:hAnsi="Arial" w:cs="Arial"/>
          <w:sz w:val="20"/>
          <w:szCs w:val="20"/>
        </w:rPr>
        <w:footnoteRef/>
      </w:r>
      <w:r w:rsidRPr="00ED061D">
        <w:rPr>
          <w:rFonts w:ascii="Arial" w:eastAsia="Arial" w:hAnsi="Arial" w:cs="Arial"/>
          <w:sz w:val="20"/>
          <w:szCs w:val="20"/>
        </w:rPr>
        <w:t xml:space="preserve"> National Lawyers Guild International Committee ‘16 February 2017 Hearing – </w:t>
      </w:r>
      <w:proofErr w:type="spellStart"/>
      <w:r w:rsidRPr="00ED061D">
        <w:rPr>
          <w:rFonts w:ascii="Arial" w:eastAsia="Arial" w:hAnsi="Arial" w:cs="Arial"/>
          <w:sz w:val="20"/>
          <w:szCs w:val="20"/>
        </w:rPr>
        <w:t>Barkın</w:t>
      </w:r>
      <w:proofErr w:type="spellEnd"/>
      <w:r w:rsidRPr="00ED061D">
        <w:rPr>
          <w:rFonts w:ascii="Arial" w:eastAsia="Arial" w:hAnsi="Arial" w:cs="Arial"/>
          <w:sz w:val="20"/>
          <w:szCs w:val="20"/>
        </w:rPr>
        <w:t xml:space="preserve"> </w:t>
      </w:r>
      <w:proofErr w:type="spellStart"/>
      <w:r w:rsidRPr="00ED061D">
        <w:rPr>
          <w:rFonts w:ascii="Arial" w:eastAsia="Arial" w:hAnsi="Arial" w:cs="Arial"/>
          <w:sz w:val="20"/>
          <w:szCs w:val="20"/>
        </w:rPr>
        <w:t>Timtik</w:t>
      </w:r>
      <w:proofErr w:type="spellEnd"/>
      <w:r w:rsidRPr="00ED061D">
        <w:rPr>
          <w:rFonts w:ascii="Arial" w:eastAsia="Arial" w:hAnsi="Arial" w:cs="Arial"/>
          <w:sz w:val="20"/>
          <w:szCs w:val="20"/>
        </w:rPr>
        <w:t xml:space="preserve"> IADL Trial Observation Report’. Available at: </w:t>
      </w:r>
      <w:hyperlink r:id="rId15">
        <w:r w:rsidRPr="00ED061D">
          <w:rPr>
            <w:rFonts w:ascii="Arial" w:eastAsia="Arial" w:hAnsi="Arial" w:cs="Arial"/>
            <w:color w:val="1155CC"/>
            <w:sz w:val="20"/>
            <w:szCs w:val="20"/>
            <w:u w:val="single"/>
          </w:rPr>
          <w:t>https://www.nlginternational.org/newsite/wp-content/uploads/2017/03/Barkin-Timtik-Trial-Observation-Report.pdf</w:t>
        </w:r>
      </w:hyperlink>
      <w:r w:rsidRPr="00ED061D">
        <w:rPr>
          <w:rFonts w:ascii="Arial" w:eastAsia="Arial" w:hAnsi="Arial" w:cs="Arial"/>
          <w:sz w:val="20"/>
          <w:szCs w:val="20"/>
        </w:rPr>
        <w:t xml:space="preserve">. </w:t>
      </w:r>
    </w:p>
  </w:footnote>
  <w:footnote w:id="6">
    <w:p w14:paraId="6B1CA122" w14:textId="77777777" w:rsidR="00114585" w:rsidRPr="006D655C" w:rsidRDefault="003E4EA2">
      <w:pPr>
        <w:spacing w:line="276" w:lineRule="auto"/>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w:t>
      </w:r>
      <w:proofErr w:type="spellStart"/>
      <w:r w:rsidRPr="006D655C">
        <w:rPr>
          <w:rFonts w:ascii="Arial" w:eastAsia="Arial" w:hAnsi="Arial" w:cs="Arial"/>
          <w:sz w:val="20"/>
          <w:szCs w:val="20"/>
        </w:rPr>
        <w:t>Eren</w:t>
      </w:r>
      <w:proofErr w:type="spellEnd"/>
      <w:r w:rsidRPr="006D655C">
        <w:rPr>
          <w:rFonts w:ascii="Arial" w:eastAsia="Arial" w:hAnsi="Arial" w:cs="Arial"/>
          <w:sz w:val="20"/>
          <w:szCs w:val="20"/>
        </w:rPr>
        <w:t xml:space="preserve"> </w:t>
      </w:r>
      <w:proofErr w:type="spellStart"/>
      <w:r w:rsidRPr="006D655C">
        <w:rPr>
          <w:rFonts w:ascii="Arial" w:eastAsia="Arial" w:hAnsi="Arial" w:cs="Arial"/>
          <w:sz w:val="20"/>
          <w:szCs w:val="20"/>
        </w:rPr>
        <w:t>Keskin</w:t>
      </w:r>
      <w:proofErr w:type="spellEnd"/>
      <w:r w:rsidRPr="006D655C">
        <w:rPr>
          <w:rFonts w:ascii="Arial" w:eastAsia="Arial" w:hAnsi="Arial" w:cs="Arial"/>
          <w:sz w:val="20"/>
          <w:szCs w:val="20"/>
        </w:rPr>
        <w:t xml:space="preserve"> has defended the rights of women, prisoners and fought for justice for the families of the disappeared. See Amnesty International, ‘Turkey: “We’re not going anywhere either” – </w:t>
      </w:r>
      <w:proofErr w:type="gramStart"/>
      <w:r w:rsidRPr="006D655C">
        <w:rPr>
          <w:rFonts w:ascii="Arial" w:eastAsia="Arial" w:hAnsi="Arial" w:cs="Arial"/>
          <w:sz w:val="20"/>
          <w:szCs w:val="20"/>
        </w:rPr>
        <w:t>Activists</w:t>
      </w:r>
      <w:proofErr w:type="gramEnd"/>
      <w:r w:rsidRPr="006D655C">
        <w:rPr>
          <w:rFonts w:ascii="Arial" w:eastAsia="Arial" w:hAnsi="Arial" w:cs="Arial"/>
          <w:sz w:val="20"/>
          <w:szCs w:val="20"/>
        </w:rPr>
        <w:t xml:space="preserve"> pledge solidarity with prominent human rights defender’ (15 February 2021). Available at: </w:t>
      </w:r>
      <w:hyperlink r:id="rId16">
        <w:r w:rsidRPr="006D655C">
          <w:rPr>
            <w:rFonts w:ascii="Arial" w:eastAsia="Arial" w:hAnsi="Arial" w:cs="Arial"/>
            <w:color w:val="1155CC"/>
            <w:sz w:val="20"/>
            <w:szCs w:val="20"/>
            <w:u w:val="single"/>
          </w:rPr>
          <w:t>https://www.amnesty.org/en/latest/news/2021/02/turkey-we-are-not-going-anywhere-either-activists-pledge-solidarity-with-prominent-human-rights-defender/</w:t>
        </w:r>
      </w:hyperlink>
      <w:r w:rsidRPr="006D655C">
        <w:rPr>
          <w:rFonts w:ascii="Arial" w:eastAsia="Arial" w:hAnsi="Arial" w:cs="Arial"/>
          <w:sz w:val="20"/>
          <w:szCs w:val="20"/>
        </w:rPr>
        <w:t xml:space="preserve">. </w:t>
      </w:r>
    </w:p>
  </w:footnote>
  <w:footnote w:id="7">
    <w:p w14:paraId="445E85BE" w14:textId="77777777" w:rsidR="00114585" w:rsidRPr="006D655C" w:rsidRDefault="003E4EA2">
      <w:pPr>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Front Line Defenders, ‘</w:t>
      </w:r>
      <w:proofErr w:type="spellStart"/>
      <w:r w:rsidRPr="006D655C">
        <w:rPr>
          <w:rFonts w:ascii="Arial" w:eastAsia="Arial" w:hAnsi="Arial" w:cs="Arial"/>
          <w:sz w:val="20"/>
          <w:szCs w:val="20"/>
        </w:rPr>
        <w:t>Eren</w:t>
      </w:r>
      <w:proofErr w:type="spellEnd"/>
      <w:r w:rsidRPr="006D655C">
        <w:rPr>
          <w:rFonts w:ascii="Arial" w:eastAsia="Arial" w:hAnsi="Arial" w:cs="Arial"/>
          <w:sz w:val="20"/>
          <w:szCs w:val="20"/>
        </w:rPr>
        <w:t xml:space="preserve"> </w:t>
      </w:r>
      <w:proofErr w:type="spellStart"/>
      <w:r w:rsidRPr="006D655C">
        <w:rPr>
          <w:rFonts w:ascii="Arial" w:eastAsia="Arial" w:hAnsi="Arial" w:cs="Arial"/>
          <w:sz w:val="20"/>
          <w:szCs w:val="20"/>
        </w:rPr>
        <w:t>Keskin</w:t>
      </w:r>
      <w:proofErr w:type="spellEnd"/>
      <w:r w:rsidRPr="006D655C">
        <w:rPr>
          <w:rFonts w:ascii="Arial" w:eastAsia="Arial" w:hAnsi="Arial" w:cs="Arial"/>
          <w:sz w:val="20"/>
          <w:szCs w:val="20"/>
        </w:rPr>
        <w:t xml:space="preserve">’. Available at: </w:t>
      </w:r>
      <w:hyperlink r:id="rId17">
        <w:r w:rsidRPr="006D655C">
          <w:rPr>
            <w:rFonts w:ascii="Arial" w:eastAsia="Arial" w:hAnsi="Arial" w:cs="Arial"/>
            <w:color w:val="1155CC"/>
            <w:sz w:val="20"/>
            <w:szCs w:val="20"/>
            <w:u w:val="single"/>
          </w:rPr>
          <w:t>https://www.frontlinedefenders.org/en/profile/eren-keskin</w:t>
        </w:r>
      </w:hyperlink>
      <w:r w:rsidRPr="006D655C">
        <w:rPr>
          <w:rFonts w:ascii="Arial" w:eastAsia="Arial" w:hAnsi="Arial" w:cs="Arial"/>
          <w:sz w:val="20"/>
          <w:szCs w:val="20"/>
        </w:rPr>
        <w:t xml:space="preserve">. </w:t>
      </w:r>
    </w:p>
  </w:footnote>
  <w:footnote w:id="8">
    <w:p w14:paraId="793DB58B" w14:textId="77777777" w:rsidR="00114585" w:rsidRPr="006D655C" w:rsidRDefault="003E4EA2">
      <w:pPr>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Including the Aachen Peace Award in 2004 and the Theodor </w:t>
      </w:r>
      <w:proofErr w:type="spellStart"/>
      <w:r w:rsidRPr="006D655C">
        <w:rPr>
          <w:rFonts w:ascii="Arial" w:eastAsia="Arial" w:hAnsi="Arial" w:cs="Arial"/>
          <w:sz w:val="20"/>
          <w:szCs w:val="20"/>
        </w:rPr>
        <w:t>Haecker</w:t>
      </w:r>
      <w:proofErr w:type="spellEnd"/>
      <w:r w:rsidRPr="006D655C">
        <w:rPr>
          <w:rFonts w:ascii="Arial" w:eastAsia="Arial" w:hAnsi="Arial" w:cs="Arial"/>
          <w:sz w:val="20"/>
          <w:szCs w:val="20"/>
        </w:rPr>
        <w:t xml:space="preserve"> Prize for Civic Courage and Political Integrity in 2005. </w:t>
      </w:r>
    </w:p>
  </w:footnote>
  <w:footnote w:id="9">
    <w:p w14:paraId="4F6A886F" w14:textId="77777777" w:rsidR="00114585" w:rsidRPr="006D655C" w:rsidRDefault="003E4EA2">
      <w:pPr>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Netherlands Helsinki Committee, ‘Helsinki Civil Society Award 2018 Goes to </w:t>
      </w:r>
      <w:proofErr w:type="spellStart"/>
      <w:r w:rsidRPr="006D655C">
        <w:rPr>
          <w:rFonts w:ascii="Arial" w:eastAsia="Arial" w:hAnsi="Arial" w:cs="Arial"/>
          <w:sz w:val="20"/>
          <w:szCs w:val="20"/>
        </w:rPr>
        <w:t>Eren</w:t>
      </w:r>
      <w:proofErr w:type="spellEnd"/>
      <w:r w:rsidRPr="006D655C">
        <w:rPr>
          <w:rFonts w:ascii="Arial" w:eastAsia="Arial" w:hAnsi="Arial" w:cs="Arial"/>
          <w:sz w:val="20"/>
          <w:szCs w:val="20"/>
        </w:rPr>
        <w:t xml:space="preserve"> </w:t>
      </w:r>
      <w:proofErr w:type="spellStart"/>
      <w:r w:rsidRPr="006D655C">
        <w:rPr>
          <w:rFonts w:ascii="Arial" w:eastAsia="Arial" w:hAnsi="Arial" w:cs="Arial"/>
          <w:sz w:val="20"/>
          <w:szCs w:val="20"/>
        </w:rPr>
        <w:t>Keskin</w:t>
      </w:r>
      <w:proofErr w:type="spellEnd"/>
      <w:r w:rsidRPr="006D655C">
        <w:rPr>
          <w:rFonts w:ascii="Arial" w:eastAsia="Arial" w:hAnsi="Arial" w:cs="Arial"/>
          <w:sz w:val="20"/>
          <w:szCs w:val="20"/>
        </w:rPr>
        <w:t xml:space="preserve">” (14 March 2018). Available at: </w:t>
      </w:r>
      <w:hyperlink r:id="rId18">
        <w:r w:rsidRPr="006D655C">
          <w:rPr>
            <w:rFonts w:ascii="Arial" w:eastAsia="Arial" w:hAnsi="Arial" w:cs="Arial"/>
            <w:color w:val="3A1D43"/>
            <w:sz w:val="20"/>
            <w:szCs w:val="20"/>
            <w:u w:val="single"/>
          </w:rPr>
          <w:t>https://www.nhc.nl/helsinki-civil-society-award-2018-goes-to-eren-keskin/</w:t>
        </w:r>
      </w:hyperlink>
      <w:r w:rsidRPr="006D655C">
        <w:rPr>
          <w:rFonts w:ascii="Arial" w:eastAsia="Arial" w:hAnsi="Arial" w:cs="Arial"/>
          <w:sz w:val="20"/>
          <w:szCs w:val="20"/>
        </w:rPr>
        <w:t xml:space="preserve">. </w:t>
      </w:r>
    </w:p>
  </w:footnote>
  <w:footnote w:id="10">
    <w:p w14:paraId="4500FCBD" w14:textId="77777777" w:rsidR="00114585" w:rsidRPr="00ED061D" w:rsidRDefault="003E4EA2">
      <w:pPr>
        <w:spacing w:line="276" w:lineRule="auto"/>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International Federation for Human Rights, ‘Turkey: FIDH supports the human rights activist </w:t>
      </w:r>
      <w:proofErr w:type="spellStart"/>
      <w:r w:rsidRPr="006D655C">
        <w:rPr>
          <w:rFonts w:ascii="Arial" w:eastAsia="Arial" w:hAnsi="Arial" w:cs="Arial"/>
          <w:sz w:val="20"/>
          <w:szCs w:val="20"/>
        </w:rPr>
        <w:t>Eren</w:t>
      </w:r>
      <w:proofErr w:type="spellEnd"/>
      <w:r w:rsidRPr="006D655C">
        <w:rPr>
          <w:rFonts w:ascii="Arial" w:eastAsia="Arial" w:hAnsi="Arial" w:cs="Arial"/>
          <w:sz w:val="20"/>
          <w:szCs w:val="20"/>
        </w:rPr>
        <w:t xml:space="preserve"> </w:t>
      </w:r>
      <w:proofErr w:type="spellStart"/>
      <w:r w:rsidRPr="006D655C">
        <w:rPr>
          <w:rFonts w:ascii="Arial" w:eastAsia="Arial" w:hAnsi="Arial" w:cs="Arial"/>
          <w:sz w:val="20"/>
          <w:szCs w:val="20"/>
        </w:rPr>
        <w:t>Keskin</w:t>
      </w:r>
      <w:proofErr w:type="spellEnd"/>
      <w:r w:rsidRPr="006D655C">
        <w:rPr>
          <w:rFonts w:ascii="Arial" w:eastAsia="Arial" w:hAnsi="Arial" w:cs="Arial"/>
          <w:sz w:val="20"/>
          <w:szCs w:val="20"/>
        </w:rPr>
        <w:t xml:space="preserve">’ Press Release (13 May 2019). Available at: </w:t>
      </w:r>
      <w:hyperlink r:id="rId19">
        <w:r w:rsidRPr="006D655C">
          <w:rPr>
            <w:rFonts w:ascii="Arial" w:eastAsia="Arial" w:hAnsi="Arial" w:cs="Arial"/>
            <w:color w:val="1155CC"/>
            <w:sz w:val="20"/>
            <w:szCs w:val="20"/>
            <w:u w:val="single"/>
          </w:rPr>
          <w:t>https://www.fidh.org/en/region/europe-central-asia/turkey/turkey-fidh-supports-the-human-rights-activist-eren-keskin</w:t>
        </w:r>
      </w:hyperlink>
    </w:p>
  </w:footnote>
  <w:footnote w:id="11">
    <w:p w14:paraId="51ECC683" w14:textId="77777777" w:rsidR="00114585" w:rsidRPr="006D655C" w:rsidRDefault="003E4EA2">
      <w:pPr>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International Federation for Human Rights, ‘Turkey: Judicial harassment of Ms. </w:t>
      </w:r>
      <w:proofErr w:type="spellStart"/>
      <w:r w:rsidRPr="006D655C">
        <w:rPr>
          <w:rFonts w:ascii="Arial" w:eastAsia="Arial" w:hAnsi="Arial" w:cs="Arial"/>
          <w:sz w:val="20"/>
          <w:szCs w:val="20"/>
        </w:rPr>
        <w:t>Eren</w:t>
      </w:r>
      <w:proofErr w:type="spellEnd"/>
      <w:r w:rsidRPr="006D655C">
        <w:rPr>
          <w:rFonts w:ascii="Arial" w:eastAsia="Arial" w:hAnsi="Arial" w:cs="Arial"/>
          <w:sz w:val="20"/>
          <w:szCs w:val="20"/>
        </w:rPr>
        <w:t xml:space="preserve"> </w:t>
      </w:r>
      <w:proofErr w:type="spellStart"/>
      <w:r w:rsidRPr="006D655C">
        <w:rPr>
          <w:rFonts w:ascii="Arial" w:eastAsia="Arial" w:hAnsi="Arial" w:cs="Arial"/>
          <w:sz w:val="20"/>
          <w:szCs w:val="20"/>
        </w:rPr>
        <w:t>Keskin</w:t>
      </w:r>
      <w:proofErr w:type="spellEnd"/>
      <w:r w:rsidRPr="006D655C">
        <w:rPr>
          <w:rFonts w:ascii="Arial" w:eastAsia="Arial" w:hAnsi="Arial" w:cs="Arial"/>
          <w:sz w:val="20"/>
          <w:szCs w:val="20"/>
        </w:rPr>
        <w:t xml:space="preserve">’ (20 January 2020). Available at: </w:t>
      </w:r>
      <w:hyperlink r:id="rId20">
        <w:r w:rsidRPr="006D655C">
          <w:rPr>
            <w:rFonts w:ascii="Arial" w:eastAsia="Arial" w:hAnsi="Arial" w:cs="Arial"/>
            <w:color w:val="1155CC"/>
            <w:sz w:val="20"/>
            <w:szCs w:val="20"/>
            <w:u w:val="single"/>
          </w:rPr>
          <w:t>https://www.fidh.org/en/issues/human-rights-defenders/turkey-judicial-harassment-of-ms-eren-keskin</w:t>
        </w:r>
      </w:hyperlink>
      <w:r w:rsidRPr="006D655C">
        <w:rPr>
          <w:rFonts w:ascii="Arial" w:eastAsia="Arial" w:hAnsi="Arial" w:cs="Arial"/>
          <w:sz w:val="20"/>
          <w:szCs w:val="20"/>
        </w:rPr>
        <w:t xml:space="preserve">. </w:t>
      </w:r>
    </w:p>
  </w:footnote>
  <w:footnote w:id="12">
    <w:p w14:paraId="03885FFE" w14:textId="77777777" w:rsidR="00114585" w:rsidRPr="006D655C" w:rsidRDefault="003E4EA2">
      <w:pPr>
        <w:spacing w:line="276" w:lineRule="auto"/>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Front Line Defenders, ‘HRD </w:t>
      </w:r>
      <w:proofErr w:type="spellStart"/>
      <w:r w:rsidRPr="006D655C">
        <w:rPr>
          <w:rFonts w:ascii="Arial" w:eastAsia="Arial" w:hAnsi="Arial" w:cs="Arial"/>
          <w:sz w:val="20"/>
          <w:szCs w:val="20"/>
        </w:rPr>
        <w:t>Eren</w:t>
      </w:r>
      <w:proofErr w:type="spellEnd"/>
      <w:r w:rsidRPr="006D655C">
        <w:rPr>
          <w:rFonts w:ascii="Arial" w:eastAsia="Arial" w:hAnsi="Arial" w:cs="Arial"/>
          <w:sz w:val="20"/>
          <w:szCs w:val="20"/>
        </w:rPr>
        <w:t xml:space="preserve"> </w:t>
      </w:r>
      <w:proofErr w:type="spellStart"/>
      <w:r w:rsidRPr="006D655C">
        <w:rPr>
          <w:rFonts w:ascii="Arial" w:eastAsia="Arial" w:hAnsi="Arial" w:cs="Arial"/>
          <w:sz w:val="20"/>
          <w:szCs w:val="20"/>
        </w:rPr>
        <w:t>Keksin</w:t>
      </w:r>
      <w:proofErr w:type="spellEnd"/>
      <w:r w:rsidRPr="006D655C">
        <w:rPr>
          <w:rFonts w:ascii="Arial" w:eastAsia="Arial" w:hAnsi="Arial" w:cs="Arial"/>
          <w:sz w:val="20"/>
          <w:szCs w:val="20"/>
        </w:rPr>
        <w:t xml:space="preserve"> sentenced to 7.5 years prison’ (30 March 2017). Available at: </w:t>
      </w:r>
      <w:hyperlink r:id="rId21">
        <w:r w:rsidRPr="006D655C">
          <w:rPr>
            <w:rFonts w:ascii="Arial" w:eastAsia="Arial" w:hAnsi="Arial" w:cs="Arial"/>
            <w:color w:val="1155CC"/>
            <w:sz w:val="20"/>
            <w:szCs w:val="20"/>
            <w:u w:val="single"/>
          </w:rPr>
          <w:t>https://www.frontlinedefenders.org/en/case/hrd-eren-keskin-sentenced-75-years-prison</w:t>
        </w:r>
      </w:hyperlink>
      <w:r w:rsidRPr="006D655C">
        <w:rPr>
          <w:rFonts w:ascii="Arial" w:eastAsia="Arial" w:hAnsi="Arial" w:cs="Arial"/>
          <w:sz w:val="20"/>
          <w:szCs w:val="20"/>
        </w:rPr>
        <w:t xml:space="preserve">. </w:t>
      </w:r>
    </w:p>
  </w:footnote>
  <w:footnote w:id="13">
    <w:p w14:paraId="21D742EE" w14:textId="77777777" w:rsidR="00114585" w:rsidRPr="006D655C" w:rsidRDefault="003E4EA2">
      <w:pPr>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Front Line Defenders, ‘</w:t>
      </w:r>
      <w:proofErr w:type="spellStart"/>
      <w:r w:rsidRPr="006D655C">
        <w:rPr>
          <w:rFonts w:ascii="Arial" w:eastAsia="Arial" w:hAnsi="Arial" w:cs="Arial"/>
          <w:sz w:val="20"/>
          <w:szCs w:val="20"/>
        </w:rPr>
        <w:t>Eren</w:t>
      </w:r>
      <w:proofErr w:type="spellEnd"/>
      <w:r w:rsidRPr="006D655C">
        <w:rPr>
          <w:rFonts w:ascii="Arial" w:eastAsia="Arial" w:hAnsi="Arial" w:cs="Arial"/>
          <w:sz w:val="20"/>
          <w:szCs w:val="20"/>
        </w:rPr>
        <w:t xml:space="preserve"> </w:t>
      </w:r>
      <w:proofErr w:type="spellStart"/>
      <w:r w:rsidRPr="006D655C">
        <w:rPr>
          <w:rFonts w:ascii="Arial" w:eastAsia="Arial" w:hAnsi="Arial" w:cs="Arial"/>
          <w:sz w:val="20"/>
          <w:szCs w:val="20"/>
        </w:rPr>
        <w:t>Keskin</w:t>
      </w:r>
      <w:proofErr w:type="spellEnd"/>
      <w:r w:rsidRPr="006D655C">
        <w:rPr>
          <w:rFonts w:ascii="Arial" w:eastAsia="Arial" w:hAnsi="Arial" w:cs="Arial"/>
          <w:sz w:val="20"/>
          <w:szCs w:val="20"/>
        </w:rPr>
        <w:t xml:space="preserve"> sentenced to 3 years and 9 months in prison’ (30 May 2019). Available at: </w:t>
      </w:r>
      <w:hyperlink r:id="rId22">
        <w:r w:rsidRPr="006D655C">
          <w:rPr>
            <w:rFonts w:ascii="Arial" w:eastAsia="Arial" w:hAnsi="Arial" w:cs="Arial"/>
            <w:color w:val="1155CC"/>
            <w:sz w:val="20"/>
            <w:szCs w:val="20"/>
            <w:u w:val="single"/>
          </w:rPr>
          <w:t>https://www.frontlinedefenders.org/en/case/eren-keskin-sentenced-3-years-9-months-prison</w:t>
        </w:r>
      </w:hyperlink>
      <w:r w:rsidRPr="006D655C">
        <w:rPr>
          <w:rFonts w:ascii="Arial" w:eastAsia="Arial" w:hAnsi="Arial" w:cs="Arial"/>
          <w:sz w:val="20"/>
          <w:szCs w:val="20"/>
        </w:rPr>
        <w:t xml:space="preserve">. </w:t>
      </w:r>
    </w:p>
  </w:footnote>
  <w:footnote w:id="14">
    <w:p w14:paraId="5A2F6C04" w14:textId="77777777" w:rsidR="00114585" w:rsidRPr="006D655C" w:rsidRDefault="003E4EA2">
      <w:pPr>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w:t>
      </w:r>
      <w:proofErr w:type="gramStart"/>
      <w:r w:rsidRPr="006D655C">
        <w:rPr>
          <w:rFonts w:ascii="Arial" w:eastAsia="Arial" w:hAnsi="Arial" w:cs="Arial"/>
          <w:sz w:val="20"/>
          <w:szCs w:val="20"/>
        </w:rPr>
        <w:t>Front Line Defenders,</w:t>
      </w:r>
      <w:proofErr w:type="gramEnd"/>
      <w:r w:rsidRPr="006D655C">
        <w:rPr>
          <w:rFonts w:ascii="Arial" w:eastAsia="Arial" w:hAnsi="Arial" w:cs="Arial"/>
          <w:sz w:val="20"/>
          <w:szCs w:val="20"/>
        </w:rPr>
        <w:t xml:space="preserve"> ‘Woman Human Rights Defender </w:t>
      </w:r>
      <w:proofErr w:type="spellStart"/>
      <w:r w:rsidRPr="006D655C">
        <w:rPr>
          <w:rFonts w:ascii="Arial" w:eastAsia="Arial" w:hAnsi="Arial" w:cs="Arial"/>
          <w:sz w:val="20"/>
          <w:szCs w:val="20"/>
        </w:rPr>
        <w:t>Eren</w:t>
      </w:r>
      <w:proofErr w:type="spellEnd"/>
      <w:r w:rsidRPr="006D655C">
        <w:rPr>
          <w:rFonts w:ascii="Arial" w:eastAsia="Arial" w:hAnsi="Arial" w:cs="Arial"/>
          <w:sz w:val="20"/>
          <w:szCs w:val="20"/>
        </w:rPr>
        <w:t xml:space="preserve"> </w:t>
      </w:r>
      <w:proofErr w:type="spellStart"/>
      <w:r w:rsidRPr="006D655C">
        <w:rPr>
          <w:rFonts w:ascii="Arial" w:eastAsia="Arial" w:hAnsi="Arial" w:cs="Arial"/>
          <w:sz w:val="20"/>
          <w:szCs w:val="20"/>
        </w:rPr>
        <w:t>Keskin</w:t>
      </w:r>
      <w:proofErr w:type="spellEnd"/>
      <w:r w:rsidRPr="006D655C">
        <w:rPr>
          <w:rFonts w:ascii="Arial" w:eastAsia="Arial" w:hAnsi="Arial" w:cs="Arial"/>
          <w:sz w:val="20"/>
          <w:szCs w:val="20"/>
        </w:rPr>
        <w:t xml:space="preserve"> Sentenced’ (18 February 2021). Available at: </w:t>
      </w:r>
      <w:hyperlink r:id="rId23">
        <w:r w:rsidRPr="006D655C">
          <w:rPr>
            <w:rFonts w:ascii="Arial" w:eastAsia="Arial" w:hAnsi="Arial" w:cs="Arial"/>
            <w:color w:val="1155CC"/>
            <w:sz w:val="20"/>
            <w:szCs w:val="20"/>
            <w:u w:val="single"/>
          </w:rPr>
          <w:t>https://www.frontlinedefenders.org/en/case/woman-human-rights-defender-eren-keskin-sentenced</w:t>
        </w:r>
      </w:hyperlink>
      <w:r w:rsidRPr="006D655C">
        <w:rPr>
          <w:rFonts w:ascii="Arial" w:eastAsia="Arial" w:hAnsi="Arial" w:cs="Arial"/>
          <w:sz w:val="20"/>
          <w:szCs w:val="20"/>
        </w:rPr>
        <w:t xml:space="preserve">. </w:t>
      </w:r>
    </w:p>
  </w:footnote>
  <w:footnote w:id="15">
    <w:p w14:paraId="684FC133" w14:textId="77777777" w:rsidR="00114585" w:rsidRPr="006D655C" w:rsidRDefault="003E4EA2">
      <w:pPr>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Fact-finding mission on CHD’s trials (2019), at p. 8-9, 14-15. Available at: </w:t>
      </w:r>
      <w:hyperlink r:id="rId24">
        <w:r w:rsidRPr="006D655C">
          <w:rPr>
            <w:rFonts w:ascii="Arial" w:eastAsia="Arial" w:hAnsi="Arial" w:cs="Arial"/>
            <w:color w:val="1155CC"/>
            <w:sz w:val="20"/>
            <w:szCs w:val="20"/>
            <w:u w:val="single"/>
          </w:rPr>
          <w:t>https://eldh.eu/wp-content/uploads/2020/06/Final-Report-Fact-Finding-Mission-on-CHDs-Trials-Oct-2019-June-2020-V2.pdf</w:t>
        </w:r>
      </w:hyperlink>
      <w:r w:rsidRPr="006D655C">
        <w:rPr>
          <w:rFonts w:ascii="Arial" w:eastAsia="Arial" w:hAnsi="Arial" w:cs="Arial"/>
          <w:sz w:val="20"/>
          <w:szCs w:val="20"/>
        </w:rPr>
        <w:t xml:space="preserve">. </w:t>
      </w:r>
    </w:p>
  </w:footnote>
  <w:footnote w:id="16">
    <w:p w14:paraId="56B3A302" w14:textId="77777777" w:rsidR="00114585" w:rsidRPr="00ED061D" w:rsidRDefault="003E4EA2">
      <w:pPr>
        <w:rPr>
          <w:rFonts w:ascii="Arial" w:eastAsia="Arial" w:hAnsi="Arial" w:cs="Arial"/>
          <w:sz w:val="20"/>
          <w:szCs w:val="20"/>
        </w:rPr>
      </w:pPr>
      <w:r w:rsidRPr="006D655C">
        <w:rPr>
          <w:rStyle w:val="FootnoteReference"/>
          <w:rFonts w:ascii="Arial" w:hAnsi="Arial" w:cs="Arial"/>
          <w:sz w:val="20"/>
          <w:szCs w:val="20"/>
        </w:rPr>
        <w:footnoteRef/>
      </w:r>
      <w:r w:rsidRPr="006D655C">
        <w:rPr>
          <w:rFonts w:ascii="Arial" w:eastAsia="Arial" w:hAnsi="Arial" w:cs="Arial"/>
          <w:sz w:val="20"/>
          <w:szCs w:val="20"/>
        </w:rPr>
        <w:t xml:space="preserve"> Front Line Defenders, ‘Human Rights Lawyer Ebru </w:t>
      </w:r>
      <w:proofErr w:type="spellStart"/>
      <w:r w:rsidRPr="006D655C">
        <w:rPr>
          <w:rFonts w:ascii="Arial" w:eastAsia="Arial" w:hAnsi="Arial" w:cs="Arial"/>
          <w:sz w:val="20"/>
          <w:szCs w:val="20"/>
        </w:rPr>
        <w:t>Timtik</w:t>
      </w:r>
      <w:proofErr w:type="spellEnd"/>
      <w:r w:rsidRPr="006D655C">
        <w:rPr>
          <w:rFonts w:ascii="Arial" w:eastAsia="Arial" w:hAnsi="Arial" w:cs="Arial"/>
          <w:sz w:val="20"/>
          <w:szCs w:val="20"/>
        </w:rPr>
        <w:t xml:space="preserve"> dies on hunger strike’ (28 August 2020). Available at: </w:t>
      </w:r>
      <w:hyperlink r:id="rId25">
        <w:r w:rsidRPr="006D655C">
          <w:rPr>
            <w:rFonts w:ascii="Arial" w:eastAsia="Arial" w:hAnsi="Arial" w:cs="Arial"/>
            <w:color w:val="1155CC"/>
            <w:sz w:val="20"/>
            <w:szCs w:val="20"/>
            <w:u w:val="single"/>
          </w:rPr>
          <w:t>https://www.frontlinedefenders.org/en/case/human-rights-lawyer-ebru-timtik-dies-hunger-strike</w:t>
        </w:r>
      </w:hyperlink>
      <w:r w:rsidRPr="006D655C">
        <w:rPr>
          <w:rFonts w:ascii="Arial" w:eastAsia="Arial" w:hAnsi="Arial" w:cs="Arial"/>
          <w:sz w:val="20"/>
          <w:szCs w:val="20"/>
        </w:rPr>
        <w:t>.</w:t>
      </w:r>
      <w:r w:rsidRPr="00ED061D">
        <w:rPr>
          <w:rFonts w:ascii="Arial" w:eastAsia="Arial" w:hAnsi="Arial" w:cs="Arial"/>
          <w:sz w:val="20"/>
          <w:szCs w:val="20"/>
        </w:rPr>
        <w:t xml:space="preserve"> </w:t>
      </w:r>
    </w:p>
  </w:footnote>
  <w:footnote w:id="17">
    <w:p w14:paraId="448169A1" w14:textId="77777777" w:rsidR="00114585" w:rsidRPr="00ED061D" w:rsidRDefault="003E4EA2">
      <w:pPr>
        <w:rPr>
          <w:rFonts w:ascii="Arial" w:eastAsia="Arial" w:hAnsi="Arial" w:cs="Arial"/>
          <w:sz w:val="20"/>
          <w:szCs w:val="20"/>
        </w:rPr>
      </w:pPr>
      <w:r w:rsidRPr="00ED061D">
        <w:rPr>
          <w:rStyle w:val="FootnoteReference"/>
          <w:rFonts w:ascii="Arial" w:hAnsi="Arial" w:cs="Arial"/>
          <w:sz w:val="20"/>
          <w:szCs w:val="20"/>
        </w:rPr>
        <w:footnoteRef/>
      </w:r>
      <w:r w:rsidRPr="00ED061D">
        <w:rPr>
          <w:rFonts w:ascii="Arial" w:eastAsia="Arial" w:hAnsi="Arial" w:cs="Arial"/>
          <w:sz w:val="20"/>
          <w:szCs w:val="20"/>
        </w:rPr>
        <w:t xml:space="preserve"> The Arrested Lawyers Initiative, ‘Persecution of a Decent Lawyer: The Case of </w:t>
      </w:r>
      <w:proofErr w:type="spellStart"/>
      <w:r w:rsidRPr="00ED061D">
        <w:rPr>
          <w:rFonts w:ascii="Arial" w:eastAsia="Arial" w:hAnsi="Arial" w:cs="Arial"/>
          <w:sz w:val="20"/>
          <w:szCs w:val="20"/>
        </w:rPr>
        <w:t>Turan</w:t>
      </w:r>
      <w:proofErr w:type="spellEnd"/>
      <w:r w:rsidRPr="00ED061D">
        <w:rPr>
          <w:rFonts w:ascii="Arial" w:eastAsia="Arial" w:hAnsi="Arial" w:cs="Arial"/>
          <w:sz w:val="20"/>
          <w:szCs w:val="20"/>
        </w:rPr>
        <w:t xml:space="preserve"> </w:t>
      </w:r>
      <w:proofErr w:type="spellStart"/>
      <w:r w:rsidRPr="00ED061D">
        <w:rPr>
          <w:rFonts w:ascii="Arial" w:eastAsia="Arial" w:hAnsi="Arial" w:cs="Arial"/>
          <w:sz w:val="20"/>
          <w:szCs w:val="20"/>
        </w:rPr>
        <w:t>Canpolat</w:t>
      </w:r>
      <w:proofErr w:type="spellEnd"/>
      <w:r w:rsidRPr="00ED061D">
        <w:rPr>
          <w:rFonts w:ascii="Arial" w:eastAsia="Arial" w:hAnsi="Arial" w:cs="Arial"/>
          <w:sz w:val="20"/>
          <w:szCs w:val="20"/>
        </w:rPr>
        <w:t xml:space="preserve">’ (09 May 2020). Available at: </w:t>
      </w:r>
      <w:hyperlink r:id="rId26">
        <w:r w:rsidRPr="00ED061D">
          <w:rPr>
            <w:rFonts w:ascii="Arial" w:eastAsia="Arial" w:hAnsi="Arial" w:cs="Arial"/>
            <w:color w:val="1155CC"/>
            <w:sz w:val="20"/>
            <w:szCs w:val="20"/>
            <w:u w:val="single"/>
          </w:rPr>
          <w:t>https://arrestedlawyers.org/2020/05/09/the-case-of-turan-canpolat/</w:t>
        </w:r>
      </w:hyperlink>
      <w:r w:rsidRPr="00ED061D">
        <w:rPr>
          <w:rFonts w:ascii="Arial" w:eastAsia="Arial" w:hAnsi="Arial" w:cs="Arial"/>
          <w:sz w:val="20"/>
          <w:szCs w:val="20"/>
        </w:rPr>
        <w:t xml:space="preserve">. </w:t>
      </w:r>
    </w:p>
  </w:footnote>
  <w:footnote w:id="18">
    <w:p w14:paraId="33BE2087" w14:textId="3D1D958B" w:rsidR="00114585" w:rsidRPr="00ED061D" w:rsidRDefault="003E4EA2">
      <w:pPr>
        <w:rPr>
          <w:rFonts w:ascii="Arial" w:eastAsia="Arial" w:hAnsi="Arial" w:cs="Arial"/>
          <w:sz w:val="20"/>
          <w:szCs w:val="20"/>
        </w:rPr>
      </w:pPr>
      <w:r w:rsidRPr="00ED061D">
        <w:rPr>
          <w:rStyle w:val="FootnoteReference"/>
          <w:rFonts w:ascii="Arial" w:hAnsi="Arial" w:cs="Arial"/>
          <w:sz w:val="20"/>
          <w:szCs w:val="20"/>
        </w:rPr>
        <w:footnoteRef/>
      </w:r>
      <w:r w:rsidRPr="00ED061D">
        <w:rPr>
          <w:rFonts w:ascii="Arial" w:eastAsia="Arial" w:hAnsi="Arial" w:cs="Arial"/>
          <w:sz w:val="20"/>
          <w:szCs w:val="20"/>
        </w:rPr>
        <w:t xml:space="preserve"> European Parliament, Parliamentary Question E-006788/2020 on 11 December 2020. Available at: </w:t>
      </w:r>
      <w:hyperlink r:id="rId27">
        <w:r w:rsidRPr="00725554">
          <w:rPr>
            <w:rFonts w:ascii="Arial" w:eastAsia="Arial" w:hAnsi="Arial" w:cs="Arial"/>
            <w:color w:val="1155CC"/>
            <w:sz w:val="20"/>
            <w:szCs w:val="20"/>
            <w:u w:val="single"/>
          </w:rPr>
          <w:t>https://www.europarl.europa.eu/doceo/document/E-9-2020-006788_EN.html</w:t>
        </w:r>
      </w:hyperlink>
      <w:r w:rsidR="00725554">
        <w:rPr>
          <w:rFonts w:ascii="Arial" w:eastAsia="Arial" w:hAnsi="Arial" w:cs="Arial"/>
          <w:sz w:val="20"/>
          <w:szCs w:val="20"/>
        </w:rPr>
        <w:t xml:space="preserve">. </w:t>
      </w:r>
      <w:r w:rsidRPr="00ED061D">
        <w:rPr>
          <w:rFonts w:ascii="Arial" w:eastAsia="Arial" w:hAnsi="Arial" w:cs="Arial"/>
          <w:sz w:val="20"/>
          <w:szCs w:val="20"/>
        </w:rPr>
        <w:t xml:space="preserve">See also ‘Request for the release of Lawyer </w:t>
      </w:r>
      <w:proofErr w:type="spellStart"/>
      <w:r w:rsidRPr="00ED061D">
        <w:rPr>
          <w:rFonts w:ascii="Arial" w:eastAsia="Arial" w:hAnsi="Arial" w:cs="Arial"/>
          <w:sz w:val="20"/>
          <w:szCs w:val="20"/>
        </w:rPr>
        <w:t>Turan</w:t>
      </w:r>
      <w:proofErr w:type="spellEnd"/>
      <w:r w:rsidRPr="00ED061D">
        <w:rPr>
          <w:rFonts w:ascii="Arial" w:eastAsia="Arial" w:hAnsi="Arial" w:cs="Arial"/>
          <w:sz w:val="20"/>
          <w:szCs w:val="20"/>
        </w:rPr>
        <w:t xml:space="preserve"> </w:t>
      </w:r>
      <w:proofErr w:type="spellStart"/>
      <w:r w:rsidRPr="00ED061D">
        <w:rPr>
          <w:rFonts w:ascii="Arial" w:eastAsia="Arial" w:hAnsi="Arial" w:cs="Arial"/>
          <w:sz w:val="20"/>
          <w:szCs w:val="20"/>
        </w:rPr>
        <w:t>Canpolat</w:t>
      </w:r>
      <w:proofErr w:type="spellEnd"/>
      <w:r w:rsidRPr="00ED061D">
        <w:rPr>
          <w:rFonts w:ascii="Arial" w:eastAsia="Arial" w:hAnsi="Arial" w:cs="Arial"/>
          <w:sz w:val="20"/>
          <w:szCs w:val="20"/>
        </w:rPr>
        <w:t xml:space="preserve">’ by various human rights </w:t>
      </w:r>
      <w:r w:rsidRPr="00ED061D">
        <w:rPr>
          <w:rFonts w:ascii="Arial" w:eastAsia="Arial" w:hAnsi="Arial" w:cs="Arial"/>
          <w:sz w:val="20"/>
          <w:szCs w:val="20"/>
          <w:lang w:val="en-GB"/>
        </w:rPr>
        <w:t>organisations</w:t>
      </w:r>
      <w:r w:rsidRPr="00ED061D">
        <w:rPr>
          <w:rFonts w:ascii="Arial" w:eastAsia="Arial" w:hAnsi="Arial" w:cs="Arial"/>
          <w:sz w:val="20"/>
          <w:szCs w:val="20"/>
        </w:rPr>
        <w:t xml:space="preserve"> (15 May 2020). Available at: </w:t>
      </w:r>
      <w:hyperlink r:id="rId28">
        <w:r w:rsidRPr="00ED061D">
          <w:rPr>
            <w:rFonts w:ascii="Arial" w:eastAsia="Arial" w:hAnsi="Arial" w:cs="Arial"/>
            <w:color w:val="1155CC"/>
            <w:sz w:val="20"/>
            <w:szCs w:val="20"/>
            <w:u w:val="single"/>
          </w:rPr>
          <w:t>https://arrestedlawyers.files.wordpress.com/2020/05/letter-adv.-turan-canpolat.pdf</w:t>
        </w:r>
      </w:hyperlink>
      <w:r w:rsidRPr="00ED061D">
        <w:rPr>
          <w:rFonts w:ascii="Arial" w:eastAsia="Arial" w:hAnsi="Arial" w:cs="Arial"/>
          <w:sz w:val="20"/>
          <w:szCs w:val="20"/>
        </w:rPr>
        <w:t xml:space="preserve">. </w:t>
      </w:r>
    </w:p>
  </w:footnote>
  <w:footnote w:id="19">
    <w:p w14:paraId="1FF2A91F" w14:textId="77777777" w:rsidR="00114585" w:rsidRPr="00ED061D" w:rsidRDefault="003E4EA2">
      <w:pPr>
        <w:pBdr>
          <w:top w:val="nil"/>
          <w:left w:val="nil"/>
          <w:bottom w:val="nil"/>
          <w:right w:val="nil"/>
          <w:between w:val="nil"/>
        </w:pBdr>
        <w:rPr>
          <w:rFonts w:ascii="Arial" w:eastAsia="Arial" w:hAnsi="Arial" w:cs="Arial"/>
          <w:sz w:val="20"/>
          <w:szCs w:val="20"/>
        </w:rPr>
      </w:pPr>
      <w:r w:rsidRPr="00ED061D">
        <w:rPr>
          <w:rStyle w:val="FootnoteReference"/>
          <w:rFonts w:ascii="Arial" w:hAnsi="Arial" w:cs="Arial"/>
          <w:sz w:val="20"/>
          <w:szCs w:val="20"/>
        </w:rPr>
        <w:footnoteRef/>
      </w:r>
      <w:r w:rsidRPr="00ED061D">
        <w:rPr>
          <w:rFonts w:ascii="Arial" w:eastAsia="Arial" w:hAnsi="Arial" w:cs="Arial"/>
          <w:sz w:val="20"/>
          <w:szCs w:val="20"/>
        </w:rPr>
        <w:t xml:space="preserve"> European Commission for Democracy through Law (Venice Commission), Opinion No. 831/2015 on Articles 216, 299, 301 and 314 of the Penal Code of Turkey (2016) CDL-</w:t>
      </w:r>
      <w:proofErr w:type="gramStart"/>
      <w:r w:rsidRPr="00ED061D">
        <w:rPr>
          <w:rFonts w:ascii="Arial" w:eastAsia="Arial" w:hAnsi="Arial" w:cs="Arial"/>
          <w:sz w:val="20"/>
          <w:szCs w:val="20"/>
        </w:rPr>
        <w:t>AD(</w:t>
      </w:r>
      <w:proofErr w:type="gramEnd"/>
      <w:r w:rsidRPr="00ED061D">
        <w:rPr>
          <w:rFonts w:ascii="Arial" w:eastAsia="Arial" w:hAnsi="Arial" w:cs="Arial"/>
          <w:sz w:val="20"/>
          <w:szCs w:val="20"/>
        </w:rPr>
        <w:t xml:space="preserve">2016)002. Available at: </w:t>
      </w:r>
      <w:hyperlink r:id="rId29">
        <w:r w:rsidRPr="00ED061D">
          <w:rPr>
            <w:rFonts w:ascii="Arial" w:eastAsia="Arial" w:hAnsi="Arial" w:cs="Arial"/>
            <w:color w:val="1155CC"/>
            <w:sz w:val="20"/>
            <w:szCs w:val="20"/>
            <w:u w:val="single"/>
          </w:rPr>
          <w:t>https://www.venice.coe.int/webforms/documents/default.aspx?pdffile=CDL-AD(2016)002-e</w:t>
        </w:r>
      </w:hyperlink>
      <w:r w:rsidRPr="00ED061D">
        <w:rPr>
          <w:rFonts w:ascii="Arial" w:eastAsia="Arial" w:hAnsi="Arial" w:cs="Arial"/>
          <w:sz w:val="20"/>
          <w:szCs w:val="20"/>
        </w:rPr>
        <w:t xml:space="preserve">. </w:t>
      </w:r>
    </w:p>
  </w:footnote>
  <w:footnote w:id="20">
    <w:p w14:paraId="3B4EC814" w14:textId="77777777" w:rsidR="00114585" w:rsidRPr="00ED061D" w:rsidRDefault="003E4EA2">
      <w:pPr>
        <w:rPr>
          <w:rFonts w:ascii="Arial" w:eastAsia="Arial" w:hAnsi="Arial" w:cs="Arial"/>
          <w:sz w:val="20"/>
          <w:szCs w:val="20"/>
        </w:rPr>
      </w:pPr>
      <w:r w:rsidRPr="00ED061D">
        <w:rPr>
          <w:rStyle w:val="FootnoteReference"/>
          <w:rFonts w:ascii="Arial" w:hAnsi="Arial" w:cs="Arial"/>
          <w:sz w:val="20"/>
          <w:szCs w:val="20"/>
        </w:rPr>
        <w:footnoteRef/>
      </w:r>
      <w:r w:rsidRPr="00ED061D">
        <w:rPr>
          <w:rFonts w:ascii="Arial" w:eastAsia="Arial" w:hAnsi="Arial" w:cs="Arial"/>
          <w:sz w:val="20"/>
          <w:szCs w:val="20"/>
        </w:rPr>
        <w:t xml:space="preserve"> European Court of Human Rights, Case of </w:t>
      </w:r>
      <w:proofErr w:type="spellStart"/>
      <w:r w:rsidRPr="00ED061D">
        <w:rPr>
          <w:rFonts w:ascii="Arial" w:eastAsia="Arial" w:hAnsi="Arial" w:cs="Arial"/>
          <w:i/>
          <w:sz w:val="20"/>
          <w:szCs w:val="20"/>
        </w:rPr>
        <w:t>Selahatti̇n</w:t>
      </w:r>
      <w:proofErr w:type="spellEnd"/>
      <w:r w:rsidRPr="00ED061D">
        <w:rPr>
          <w:rFonts w:ascii="Arial" w:eastAsia="Arial" w:hAnsi="Arial" w:cs="Arial"/>
          <w:i/>
          <w:sz w:val="20"/>
          <w:szCs w:val="20"/>
        </w:rPr>
        <w:t xml:space="preserve"> </w:t>
      </w:r>
      <w:proofErr w:type="spellStart"/>
      <w:r w:rsidRPr="00ED061D">
        <w:rPr>
          <w:rFonts w:ascii="Arial" w:eastAsia="Arial" w:hAnsi="Arial" w:cs="Arial"/>
          <w:i/>
          <w:sz w:val="20"/>
          <w:szCs w:val="20"/>
        </w:rPr>
        <w:t>Demi̇rtaş</w:t>
      </w:r>
      <w:proofErr w:type="spellEnd"/>
      <w:r w:rsidRPr="00ED061D">
        <w:rPr>
          <w:rFonts w:ascii="Arial" w:eastAsia="Arial" w:hAnsi="Arial" w:cs="Arial"/>
          <w:i/>
          <w:sz w:val="20"/>
          <w:szCs w:val="20"/>
        </w:rPr>
        <w:t xml:space="preserve"> v. Turkey</w:t>
      </w:r>
      <w:r w:rsidRPr="00ED061D">
        <w:rPr>
          <w:rFonts w:ascii="Arial" w:eastAsia="Arial" w:hAnsi="Arial" w:cs="Arial"/>
          <w:sz w:val="20"/>
          <w:szCs w:val="20"/>
        </w:rPr>
        <w:t xml:space="preserve"> (Application no. 14305/17), Judgement on 22 December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8AF17" w14:textId="574F3CB4" w:rsidR="00A80AD9" w:rsidRDefault="00A80AD9" w:rsidP="00A80AD9">
    <w:pPr>
      <w:pStyle w:val="Header"/>
      <w:jc w:val="center"/>
    </w:pPr>
    <w:r>
      <w:rPr>
        <w:noProof/>
      </w:rPr>
      <w:drawing>
        <wp:inline distT="0" distB="0" distL="0" distR="0" wp14:anchorId="3CE9033C" wp14:editId="183228AD">
          <wp:extent cx="1957070" cy="65214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6521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6D773" w14:textId="52D66F11" w:rsidR="001F4959" w:rsidRDefault="001F4959" w:rsidP="001F4959">
    <w:pPr>
      <w:rPr>
        <w:lang w:eastAsia="de-DE"/>
      </w:rPr>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"https://lh5.googleusercontent.com/afvklqn5vzTAiFUVOklqw4tfr5DNf9pdqoPpS1Tjyxc7a7yUyQPFVQyLuLFQLrpBqMBa4K-PPBNgC2mDKVwBz-vdBw5QCviJ8t9OKztvHr2XKhjzYGU9ZdEoK-8NcHJFsoXiW_4" \* MERGEFORMATINET </w:instrText>
    </w:r>
    <w:r>
      <w:rPr>
        <w:rFonts w:ascii="Arial" w:hAnsi="Arial" w:cs="Arial"/>
        <w:color w:val="000000"/>
        <w:sz w:val="22"/>
        <w:szCs w:val="22"/>
        <w:bdr w:val="none" w:sz="0" w:space="0" w:color="auto" w:frame="1"/>
      </w:rPr>
      <w:fldChar w:fldCharType="end"/>
    </w:r>
  </w:p>
  <w:p w14:paraId="3DB9EAA7" w14:textId="2EA057AC" w:rsidR="001F4959" w:rsidRDefault="001F4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8F92C" w14:textId="27902D58" w:rsidR="001F4959" w:rsidRDefault="001F4959" w:rsidP="001F4959">
    <w:pPr>
      <w:rPr>
        <w:lang w:eastAsia="de-DE"/>
      </w:rPr>
    </w:pPr>
    <w:r>
      <w:rPr>
        <w:rFonts w:ascii="Arial" w:hAnsi="Arial" w:cs="Arial"/>
        <w:noProof/>
        <w:color w:val="000000"/>
        <w:sz w:val="22"/>
        <w:szCs w:val="22"/>
        <w:bdr w:val="none" w:sz="0" w:space="0" w:color="auto" w:frame="1"/>
      </w:rPr>
      <w:drawing>
        <wp:anchor distT="0" distB="0" distL="114300" distR="114300" simplePos="0" relativeHeight="251658240" behindDoc="0" locked="0" layoutInCell="1" allowOverlap="1" wp14:anchorId="2CE8FBF8" wp14:editId="63AEAF3A">
          <wp:simplePos x="0" y="0"/>
          <wp:positionH relativeFrom="margin">
            <wp:align>center</wp:align>
          </wp:positionH>
          <wp:positionV relativeFrom="margin">
            <wp:posOffset>-716280</wp:posOffset>
          </wp:positionV>
          <wp:extent cx="1955800" cy="657225"/>
          <wp:effectExtent l="0" t="0" r="6350" b="9525"/>
          <wp:wrapSquare wrapText="bothSides"/>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657225"/>
                  </a:xfrm>
                  <a:prstGeom prst="rect">
                    <a:avLst/>
                  </a:prstGeom>
                  <a:noFill/>
                  <a:ln>
                    <a:noFill/>
                  </a:ln>
                </pic:spPr>
              </pic:pic>
            </a:graphicData>
          </a:graphic>
        </wp:anchor>
      </w:drawing>
    </w: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"https://lh5.googleusercontent.com/afvklqn5vzTAiFUVOklqw4tfr5DNf9pdqoPpS1Tjyxc7a7yUyQPFVQyLuLFQLrpBqMBa4K-PPBNgC2mDKVwBz-vdBw5QCviJ8t9OKztvHr2XKhjzYGU9ZdEoK-8NcHJFsoXiW_4" \* MERGEFORMATINET </w:instrText>
    </w:r>
    <w:r>
      <w:rPr>
        <w:rFonts w:ascii="Arial" w:hAnsi="Arial" w:cs="Arial"/>
        <w:color w:val="000000"/>
        <w:sz w:val="22"/>
        <w:szCs w:val="22"/>
        <w:bdr w:val="none" w:sz="0" w:space="0" w:color="auto" w:frame="1"/>
      </w:rPr>
      <w:fldChar w:fldCharType="end"/>
    </w: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"https://lh5.googleusercontent.com/afvklqn5vzTAiFUVOklqw4tfr5DNf9pdqoPpS1Tjyxc7a7yUyQPFVQyLuLFQLrpBqMBa4K-PPBNgC2mDKVwBz-vdBw5QCviJ8t9OKztvHr2XKhjzYGU9ZdEoK-8NcHJFsoXiW_4" \* MERGEFORMATINET </w:instrText>
    </w:r>
    <w:r>
      <w:rPr>
        <w:rFonts w:ascii="Arial" w:hAnsi="Arial" w:cs="Arial"/>
        <w:color w:val="000000"/>
        <w:sz w:val="22"/>
        <w:szCs w:val="22"/>
        <w:bdr w:val="none" w:sz="0" w:space="0" w:color="auto" w:frame="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3810C" w14:textId="51733DED" w:rsidR="001F4959" w:rsidRDefault="001F4959" w:rsidP="001F4959">
    <w:pPr>
      <w:rPr>
        <w:lang w:eastAsia="de-DE"/>
      </w:rPr>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"https://lh5.googleusercontent.com/afvklqn5vzTAiFUVOklqw4tfr5DNf9pdqoPpS1Tjyxc7a7yUyQPFVQyLuLFQLrpBqMBa4K-PPBNgC2mDKVwBz-vdBw5QCviJ8t9OKztvHr2XKhjzYGU9ZdEoK-8NcHJFsoXiW_4"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45012FCC" wp14:editId="30546C41">
          <wp:extent cx="2562225" cy="861060"/>
          <wp:effectExtent l="0" t="0" r="3175" b="254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861060"/>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p w14:paraId="466EBCB9" w14:textId="77777777" w:rsidR="001F4959" w:rsidRDefault="001F4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26E39"/>
    <w:multiLevelType w:val="multilevel"/>
    <w:tmpl w:val="91CE2FB0"/>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9F2A98"/>
    <w:multiLevelType w:val="multilevel"/>
    <w:tmpl w:val="7728DE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A34E82"/>
    <w:multiLevelType w:val="multilevel"/>
    <w:tmpl w:val="53A69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585"/>
    <w:rsid w:val="00114585"/>
    <w:rsid w:val="001F4959"/>
    <w:rsid w:val="003B5DD2"/>
    <w:rsid w:val="003E4EA2"/>
    <w:rsid w:val="00533066"/>
    <w:rsid w:val="005F6DA8"/>
    <w:rsid w:val="00621F2E"/>
    <w:rsid w:val="006406D6"/>
    <w:rsid w:val="006D655C"/>
    <w:rsid w:val="00725554"/>
    <w:rsid w:val="00914507"/>
    <w:rsid w:val="00A80AD9"/>
    <w:rsid w:val="00EB755E"/>
    <w:rsid w:val="00ED061D"/>
    <w:rsid w:val="00F83227"/>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CD447"/>
  <w15:docId w15:val="{6D917F88-777B-6248-A221-BC0935C1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u w:color="000000"/>
    </w:rPr>
  </w:style>
  <w:style w:type="character" w:customStyle="1" w:styleId="NoneA">
    <w:name w:val="None A"/>
  </w:style>
  <w:style w:type="paragraph" w:customStyle="1" w:styleId="BodyA">
    <w:name w:val="Body A"/>
    <w:uiPriority w:val="99"/>
    <w:rPr>
      <w:rFonts w:ascii="Cambria" w:hAnsi="Cambria" w:cs="Arial Unicode MS"/>
      <w:color w:val="000000"/>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3"/>
      <w:szCs w:val="23"/>
      <w:u w:val="single" w:color="0000FF"/>
    </w:rPr>
  </w:style>
  <w:style w:type="paragraph" w:customStyle="1" w:styleId="Default">
    <w:name w:val="Default"/>
    <w:uiPriority w:val="99"/>
    <w:rPr>
      <w:color w:val="000000"/>
      <w:u w:color="000000"/>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u w:val="single" w:color="0000FF"/>
      <w:lang w:val="pt-PT"/>
    </w:rPr>
  </w:style>
  <w:style w:type="numbering" w:customStyle="1" w:styleId="Lettered">
    <w:name w:val="Lettered"/>
  </w:style>
  <w:style w:type="numbering" w:customStyle="1" w:styleId="Lettered0">
    <w:name w:val="Lettered.0"/>
  </w:style>
  <w:style w:type="paragraph" w:styleId="BalloonText">
    <w:name w:val="Balloon Text"/>
    <w:basedOn w:val="Normal"/>
    <w:link w:val="BalloonTextChar"/>
    <w:uiPriority w:val="99"/>
    <w:semiHidden/>
    <w:unhideWhenUsed/>
    <w:rsid w:val="00701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FDB"/>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701FDB"/>
    <w:rPr>
      <w:sz w:val="16"/>
      <w:szCs w:val="16"/>
    </w:rPr>
  </w:style>
  <w:style w:type="paragraph" w:styleId="CommentText">
    <w:name w:val="annotation text"/>
    <w:basedOn w:val="Normal"/>
    <w:link w:val="CommentTextChar"/>
    <w:uiPriority w:val="99"/>
    <w:unhideWhenUsed/>
    <w:rsid w:val="00701FDB"/>
    <w:rPr>
      <w:sz w:val="20"/>
      <w:szCs w:val="20"/>
    </w:rPr>
  </w:style>
  <w:style w:type="character" w:customStyle="1" w:styleId="CommentTextChar">
    <w:name w:val="Comment Text Char"/>
    <w:basedOn w:val="DefaultParagraphFont"/>
    <w:link w:val="CommentText"/>
    <w:uiPriority w:val="99"/>
    <w:rsid w:val="00701FDB"/>
    <w:rPr>
      <w:lang w:val="en-US" w:eastAsia="en-US"/>
    </w:rPr>
  </w:style>
  <w:style w:type="paragraph" w:styleId="CommentSubject">
    <w:name w:val="annotation subject"/>
    <w:basedOn w:val="CommentText"/>
    <w:next w:val="CommentText"/>
    <w:link w:val="CommentSubjectChar"/>
    <w:uiPriority w:val="99"/>
    <w:semiHidden/>
    <w:unhideWhenUsed/>
    <w:rsid w:val="00701FDB"/>
    <w:rPr>
      <w:b/>
      <w:bCs/>
    </w:rPr>
  </w:style>
  <w:style w:type="character" w:customStyle="1" w:styleId="CommentSubjectChar">
    <w:name w:val="Comment Subject Char"/>
    <w:basedOn w:val="CommentTextChar"/>
    <w:link w:val="CommentSubject"/>
    <w:uiPriority w:val="99"/>
    <w:semiHidden/>
    <w:rsid w:val="00701FDB"/>
    <w:rPr>
      <w:b/>
      <w:bCs/>
      <w:lang w:val="en-US" w:eastAsia="en-US"/>
    </w:rPr>
  </w:style>
  <w:style w:type="paragraph" w:styleId="ListParagraph">
    <w:name w:val="List Paragraph"/>
    <w:basedOn w:val="Normal"/>
    <w:uiPriority w:val="34"/>
    <w:qFormat/>
    <w:rsid w:val="00701FDB"/>
    <w:pPr>
      <w:ind w:left="720"/>
      <w:contextualSpacing/>
    </w:pPr>
  </w:style>
  <w:style w:type="paragraph" w:styleId="NormalWeb">
    <w:name w:val="Normal (Web)"/>
    <w:basedOn w:val="Normal"/>
    <w:uiPriority w:val="99"/>
    <w:unhideWhenUsed/>
    <w:rsid w:val="005113BA"/>
    <w:pPr>
      <w:spacing w:before="100" w:beforeAutospacing="1" w:after="100" w:afterAutospacing="1"/>
    </w:pPr>
    <w:rPr>
      <w:rFonts w:eastAsiaTheme="minorHAnsi"/>
      <w:lang w:val="en-GB" w:eastAsia="en-GB"/>
    </w:rPr>
  </w:style>
  <w:style w:type="paragraph" w:styleId="FootnoteText">
    <w:name w:val="footnote text"/>
    <w:basedOn w:val="Normal"/>
    <w:link w:val="FootnoteTextChar"/>
    <w:uiPriority w:val="99"/>
    <w:semiHidden/>
    <w:unhideWhenUsed/>
    <w:rsid w:val="001B0246"/>
    <w:rPr>
      <w:rFonts w:ascii="Calibri" w:eastAsiaTheme="minorHAnsi" w:hAnsi="Calibri" w:cs="Calibri"/>
      <w:sz w:val="20"/>
      <w:szCs w:val="20"/>
      <w:lang w:val="en-GB"/>
    </w:rPr>
  </w:style>
  <w:style w:type="character" w:customStyle="1" w:styleId="FootnoteTextChar">
    <w:name w:val="Footnote Text Char"/>
    <w:basedOn w:val="DefaultParagraphFont"/>
    <w:link w:val="FootnoteText"/>
    <w:uiPriority w:val="99"/>
    <w:semiHidden/>
    <w:rsid w:val="001B0246"/>
    <w:rPr>
      <w:rFonts w:ascii="Calibri" w:eastAsiaTheme="minorHAnsi" w:hAnsi="Calibri" w:cs="Calibri"/>
      <w:bdr w:val="none" w:sz="0" w:space="0" w:color="auto"/>
      <w:lang w:eastAsia="en-US"/>
    </w:rPr>
  </w:style>
  <w:style w:type="character" w:styleId="FootnoteReference">
    <w:name w:val="footnote reference"/>
    <w:basedOn w:val="DefaultParagraphFont"/>
    <w:uiPriority w:val="99"/>
    <w:unhideWhenUsed/>
    <w:rsid w:val="001B0246"/>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F4959"/>
    <w:pPr>
      <w:tabs>
        <w:tab w:val="center" w:pos="4536"/>
        <w:tab w:val="right" w:pos="9072"/>
      </w:tabs>
    </w:pPr>
  </w:style>
  <w:style w:type="character" w:customStyle="1" w:styleId="HeaderChar">
    <w:name w:val="Header Char"/>
    <w:basedOn w:val="DefaultParagraphFont"/>
    <w:link w:val="Header"/>
    <w:uiPriority w:val="99"/>
    <w:rsid w:val="001F4959"/>
    <w:rPr>
      <w:lang w:eastAsia="en-US"/>
    </w:rPr>
  </w:style>
  <w:style w:type="character" w:styleId="PageNumber">
    <w:name w:val="page number"/>
    <w:basedOn w:val="DefaultParagraphFont"/>
    <w:uiPriority w:val="99"/>
    <w:semiHidden/>
    <w:unhideWhenUsed/>
    <w:rsid w:val="0072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71893">
      <w:bodyDiv w:val="1"/>
      <w:marLeft w:val="0"/>
      <w:marRight w:val="0"/>
      <w:marTop w:val="0"/>
      <w:marBottom w:val="0"/>
      <w:divBdr>
        <w:top w:val="none" w:sz="0" w:space="0" w:color="auto"/>
        <w:left w:val="none" w:sz="0" w:space="0" w:color="auto"/>
        <w:bottom w:val="none" w:sz="0" w:space="0" w:color="auto"/>
        <w:right w:val="none" w:sz="0" w:space="0" w:color="auto"/>
      </w:divBdr>
    </w:div>
    <w:div w:id="360008781">
      <w:bodyDiv w:val="1"/>
      <w:marLeft w:val="0"/>
      <w:marRight w:val="0"/>
      <w:marTop w:val="0"/>
      <w:marBottom w:val="0"/>
      <w:divBdr>
        <w:top w:val="none" w:sz="0" w:space="0" w:color="auto"/>
        <w:left w:val="none" w:sz="0" w:space="0" w:color="auto"/>
        <w:bottom w:val="none" w:sz="0" w:space="0" w:color="auto"/>
        <w:right w:val="none" w:sz="0" w:space="0" w:color="auto"/>
      </w:divBdr>
    </w:div>
    <w:div w:id="998654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Issues/SRHRDefenders/Pages/SRHRDefendersIndex.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ouise@observatoryihr.or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efenders@ohchr.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en/A/HRC/RES/32/31" TargetMode="External"/><Relationship Id="rId13" Type="http://schemas.openxmlformats.org/officeDocument/2006/relationships/hyperlink" Target="https://www.amnesty.org/download/Documents/EUR4432212020ENGLISH.PDF" TargetMode="External"/><Relationship Id="rId18" Type="http://schemas.openxmlformats.org/officeDocument/2006/relationships/hyperlink" Target="https://www.nhc.nl/helsinki-civil-society-award-2018-goes-to-eren-keskin/" TargetMode="External"/><Relationship Id="rId26" Type="http://schemas.openxmlformats.org/officeDocument/2006/relationships/hyperlink" Target="https://arrestedlawyers.org/2020/05/09/the-case-of-turan-canpolat/" TargetMode="External"/><Relationship Id="rId3" Type="http://schemas.openxmlformats.org/officeDocument/2006/relationships/hyperlink" Target="https://undocs.org/A/RES/68/181" TargetMode="External"/><Relationship Id="rId21" Type="http://schemas.openxmlformats.org/officeDocument/2006/relationships/hyperlink" Target="https://www.frontlinedefenders.org/en/case/hrd-eren-keskin-sentenced-75-years-prison" TargetMode="External"/><Relationship Id="rId7" Type="http://schemas.openxmlformats.org/officeDocument/2006/relationships/hyperlink" Target="https://undocs.org/A/HRC/RES/27/31" TargetMode="External"/><Relationship Id="rId12" Type="http://schemas.openxmlformats.org/officeDocument/2006/relationships/hyperlink" Target="https://arrestedlawyers.files.wordpress.com/2021/01/report-2016-2021.pdf" TargetMode="External"/><Relationship Id="rId17" Type="http://schemas.openxmlformats.org/officeDocument/2006/relationships/hyperlink" Target="https://www.frontlinedefenders.org/en/profile/eren-keskin" TargetMode="External"/><Relationship Id="rId25" Type="http://schemas.openxmlformats.org/officeDocument/2006/relationships/hyperlink" Target="https://www.frontlinedefenders.org/en/case/human-rights-lawyer-ebru-timtik-dies-hunger-strike" TargetMode="External"/><Relationship Id="rId2" Type="http://schemas.openxmlformats.org/officeDocument/2006/relationships/hyperlink" Target="https://undocs.org/A/RES/68/181" TargetMode="External"/><Relationship Id="rId16" Type="http://schemas.openxmlformats.org/officeDocument/2006/relationships/hyperlink" Target="https://www.amnesty.org/en/latest/news/2021/02/turkey-we-are-not-going-anywhere-either-activists-pledge-solidarity-with-prominent-human-rights-defender/" TargetMode="External"/><Relationship Id="rId20" Type="http://schemas.openxmlformats.org/officeDocument/2006/relationships/hyperlink" Target="https://www.fidh.org/en/issues/human-rights-defenders/turkey-judicial-harassment-of-ms-eren-keskin" TargetMode="External"/><Relationship Id="rId29" Type="http://schemas.openxmlformats.org/officeDocument/2006/relationships/hyperlink" Target="https://www.venice.coe.int/webforms/documents/default.aspx?pdffile=CDL-AD(2016)002-e" TargetMode="External"/><Relationship Id="rId1" Type="http://schemas.openxmlformats.org/officeDocument/2006/relationships/hyperlink" Target="https://ap.ohchr.org/documents/dpage_e.aspx?si=A/HRC/RES/22/6" TargetMode="External"/><Relationship Id="rId6" Type="http://schemas.openxmlformats.org/officeDocument/2006/relationships/hyperlink" Target="https://undocs.org/A/HRC/RES/27/31" TargetMode="External"/><Relationship Id="rId11" Type="http://schemas.openxmlformats.org/officeDocument/2006/relationships/hyperlink" Target="https://undocs.org/en/A/HRC/RES/32/31" TargetMode="External"/><Relationship Id="rId24" Type="http://schemas.openxmlformats.org/officeDocument/2006/relationships/hyperlink" Target="https://eldh.eu/wp-content/uploads/2020/06/Final-Report-Fact-Finding-Mission-on-CHDs-Trials-Oct-2019-June-2020-V2.pdf" TargetMode="External"/><Relationship Id="rId5" Type="http://schemas.openxmlformats.org/officeDocument/2006/relationships/hyperlink" Target="https://undocs.org/A/HRC/RES/25/18" TargetMode="External"/><Relationship Id="rId15" Type="http://schemas.openxmlformats.org/officeDocument/2006/relationships/hyperlink" Target="https://www.nlginternational.org/newsite/wp-content/uploads/2017/03/Barkin-Timtik-Trial-Observation-Report.pdf" TargetMode="External"/><Relationship Id="rId23" Type="http://schemas.openxmlformats.org/officeDocument/2006/relationships/hyperlink" Target="https://www.frontlinedefenders.org/en/case/woman-human-rights-defender-eren-keskin-sentenced" TargetMode="External"/><Relationship Id="rId28" Type="http://schemas.openxmlformats.org/officeDocument/2006/relationships/hyperlink" Target="https://arrestedlawyers.files.wordpress.com/2020/05/letter-adv.-turan-canpolat.pdf" TargetMode="External"/><Relationship Id="rId10" Type="http://schemas.openxmlformats.org/officeDocument/2006/relationships/hyperlink" Target="https://undocs.org/en/A/HRC/RES/32/31" TargetMode="External"/><Relationship Id="rId19" Type="http://schemas.openxmlformats.org/officeDocument/2006/relationships/hyperlink" Target="https://www.fidh.org/en/region/europe-central-asia/turkey/turkey-fidh-supports-the-human-rights-activist-eren-keskin" TargetMode="External"/><Relationship Id="rId4" Type="http://schemas.openxmlformats.org/officeDocument/2006/relationships/hyperlink" Target="https://undocs.org/A/HRC/RES/25/18" TargetMode="External"/><Relationship Id="rId9" Type="http://schemas.openxmlformats.org/officeDocument/2006/relationships/hyperlink" Target="https://undocs.org/en/A/HRC/RES/32/31" TargetMode="External"/><Relationship Id="rId14" Type="http://schemas.openxmlformats.org/officeDocument/2006/relationships/hyperlink" Target="https://arrestedlawyers.files.wordpress.com/2020/04/rapporto-febbraio-2020-delle28099associazione-arrested-lawyers-initiative-sulla-persecuzione-di-massa-degli-avvocati-in-turchia-inglese.pdf" TargetMode="External"/><Relationship Id="rId22" Type="http://schemas.openxmlformats.org/officeDocument/2006/relationships/hyperlink" Target="https://www.frontlinedefenders.org/en/case/eren-keskin-sentenced-3-years-9-months-prison" TargetMode="External"/><Relationship Id="rId27" Type="http://schemas.openxmlformats.org/officeDocument/2006/relationships/hyperlink" Target="https://www.europarl.europa.eu/doceo/document/E-9-2020-006788_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NrazkcWk9I2PYju5Dgj5QF0HQ==">AMUW2mV5OfqHUKwU3WQRwNto7EuQLHGj8YPyiblg2e1zhjz3f/2g8KX5Ap/SYtb/dwykvbgt5dRqGykndX36ZVxvXsljxD+XuvBZGez5h0F4fqH+5OIL84Vd7Tat5I2PoFlo36GECjpsx3Knrr+QFnvFw+K5evASdDwqh3gUBZZt/Bj8g8nF5UaCPyAA3vSOvYrPJmRaj1IkPweELj3AaeSVshNhVD63tQ==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4CDC34-C845-46AB-8901-33E9B9F89454}"/>
</file>

<file path=customXml/itemProps3.xml><?xml version="1.0" encoding="utf-8"?>
<ds:datastoreItem xmlns:ds="http://schemas.openxmlformats.org/officeDocument/2006/customXml" ds:itemID="{2D8C5979-64F9-47F1-905C-99637CA78EB2}"/>
</file>

<file path=customXml/itemProps4.xml><?xml version="1.0" encoding="utf-8"?>
<ds:datastoreItem xmlns:ds="http://schemas.openxmlformats.org/officeDocument/2006/customXml" ds:itemID="{CEF11697-382C-4EE6-95F5-AB706AB55C7B}"/>
</file>

<file path=docProps/app.xml><?xml version="1.0" encoding="utf-8"?>
<Properties xmlns="http://schemas.openxmlformats.org/officeDocument/2006/extended-properties" xmlns:vt="http://schemas.openxmlformats.org/officeDocument/2006/docPropsVTypes">
  <Template>Normal</Template>
  <TotalTime>153</TotalTime>
  <Pages>12</Pages>
  <Words>3163</Words>
  <Characters>18031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Louise Pyne-Jones</cp:lastModifiedBy>
  <cp:revision>4</cp:revision>
  <dcterms:created xsi:type="dcterms:W3CDTF">2021-03-17T17:25:00Z</dcterms:created>
  <dcterms:modified xsi:type="dcterms:W3CDTF">2021-03-17T19:50:00Z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