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D4D49" w14:textId="6C88D464" w:rsidR="004755EA" w:rsidRPr="001477EF" w:rsidRDefault="00D25FF7" w:rsidP="00D25FF7">
      <w:pPr>
        <w:pStyle w:val="Encabezamiento2"/>
        <w:ind w:left="0"/>
        <w:rPr>
          <w:color w:val="auto"/>
          <w:lang w:val="en-GB"/>
        </w:rPr>
      </w:pPr>
      <w:bookmarkStart w:id="0" w:name="_GoBack"/>
      <w:bookmarkEnd w:id="0"/>
      <w:r w:rsidRPr="001477EF">
        <w:rPr>
          <w:noProof/>
          <w:color w:val="auto"/>
          <w:lang w:val="en-GB" w:eastAsia="ja-JP" w:bidi="ar-SA"/>
        </w:rPr>
        <w:drawing>
          <wp:anchor distT="0" distB="0" distL="114300" distR="114300" simplePos="0" relativeHeight="251660288" behindDoc="1" locked="0" layoutInCell="1" allowOverlap="1" wp14:anchorId="5849004E" wp14:editId="73DDB0CB">
            <wp:simplePos x="0" y="0"/>
            <wp:positionH relativeFrom="column">
              <wp:posOffset>2296160</wp:posOffset>
            </wp:positionH>
            <wp:positionV relativeFrom="page">
              <wp:posOffset>749300</wp:posOffset>
            </wp:positionV>
            <wp:extent cx="1468755" cy="624840"/>
            <wp:effectExtent l="0" t="0" r="0" b="3810"/>
            <wp:wrapTight wrapText="bothSides">
              <wp:wrapPolygon edited="0">
                <wp:start x="0" y="0"/>
                <wp:lineTo x="0" y="21073"/>
                <wp:lineTo x="21292" y="21073"/>
                <wp:lineTo x="2129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8755" cy="6248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p w14:paraId="343D4D4A" w14:textId="77777777" w:rsidR="004755EA" w:rsidRPr="001477EF" w:rsidRDefault="004755EA" w:rsidP="00D25FF7">
      <w:pPr>
        <w:pStyle w:val="Encabezamiento2"/>
        <w:ind w:left="0"/>
        <w:rPr>
          <w:rFonts w:ascii="Times New Roman" w:hAnsi="Times New Roman"/>
          <w:color w:val="auto"/>
          <w:sz w:val="24"/>
          <w:szCs w:val="24"/>
          <w:lang w:val="en-GB"/>
        </w:rPr>
      </w:pPr>
    </w:p>
    <w:p w14:paraId="343D4D4B" w14:textId="77777777" w:rsidR="004755EA" w:rsidRPr="001477EF" w:rsidRDefault="004755EA" w:rsidP="00D25FF7">
      <w:pPr>
        <w:pStyle w:val="Encabezamiento2"/>
        <w:ind w:left="0"/>
        <w:rPr>
          <w:rFonts w:ascii="Times New Roman" w:hAnsi="Times New Roman"/>
          <w:color w:val="auto"/>
          <w:sz w:val="24"/>
          <w:szCs w:val="24"/>
          <w:lang w:val="en-GB"/>
        </w:rPr>
      </w:pPr>
    </w:p>
    <w:p w14:paraId="343D4D50" w14:textId="38712911" w:rsidR="004755EA" w:rsidRPr="001477EF" w:rsidRDefault="00C9333F" w:rsidP="00F014A7">
      <w:pPr>
        <w:pStyle w:val="NoSpacing"/>
        <w:jc w:val="center"/>
        <w:rPr>
          <w:rFonts w:ascii="Amnesty Trade Gothic Cn" w:hAnsi="Amnesty Trade Gothic Cn"/>
          <w:b/>
          <w:sz w:val="36"/>
          <w:szCs w:val="36"/>
          <w:lang w:val="en-GB"/>
        </w:rPr>
      </w:pPr>
      <w:r w:rsidRPr="001477EF">
        <w:rPr>
          <w:rFonts w:ascii="Amnesty Trade Gothic Cn" w:hAnsi="Amnesty Trade Gothic Cn"/>
          <w:b/>
          <w:sz w:val="36"/>
          <w:szCs w:val="36"/>
          <w:lang w:val="en-GB"/>
        </w:rPr>
        <w:t xml:space="preserve">SUBMISSION TO </w:t>
      </w:r>
      <w:r w:rsidR="007D4144" w:rsidRPr="001477EF">
        <w:rPr>
          <w:rFonts w:ascii="Amnesty Trade Gothic Cn" w:hAnsi="Amnesty Trade Gothic Cn"/>
          <w:b/>
          <w:sz w:val="36"/>
          <w:szCs w:val="36"/>
          <w:lang w:val="en-GB"/>
        </w:rPr>
        <w:t xml:space="preserve">THE </w:t>
      </w:r>
      <w:r w:rsidRPr="001477EF">
        <w:rPr>
          <w:rFonts w:ascii="Amnesty Trade Gothic Cn" w:hAnsi="Amnesty Trade Gothic Cn"/>
          <w:b/>
          <w:sz w:val="36"/>
          <w:szCs w:val="36"/>
          <w:lang w:val="en-GB"/>
        </w:rPr>
        <w:t>UN</w:t>
      </w:r>
      <w:r w:rsidR="007D4144" w:rsidRPr="001477EF">
        <w:rPr>
          <w:rFonts w:ascii="Amnesty Trade Gothic Cn" w:hAnsi="Amnesty Trade Gothic Cn"/>
          <w:b/>
          <w:sz w:val="36"/>
          <w:szCs w:val="36"/>
          <w:lang w:val="en-GB"/>
        </w:rPr>
        <w:t>ITED NATIONS</w:t>
      </w:r>
      <w:r w:rsidRPr="001477EF">
        <w:rPr>
          <w:rFonts w:ascii="Amnesty Trade Gothic Cn" w:hAnsi="Amnesty Trade Gothic Cn"/>
          <w:b/>
          <w:sz w:val="36"/>
          <w:szCs w:val="36"/>
          <w:lang w:val="en-GB"/>
        </w:rPr>
        <w:t xml:space="preserve"> SPECIAL RAPPORTEUR ON EXTREME POVERTY AND HUMAN RIGHTS AHEAD OF THE VISIT TO SPAIN</w:t>
      </w:r>
    </w:p>
    <w:p w14:paraId="343D4D51" w14:textId="77777777" w:rsidR="004755EA" w:rsidRPr="001477EF" w:rsidRDefault="004755EA" w:rsidP="00D25FF7">
      <w:pPr>
        <w:pStyle w:val="Encabezamiento2"/>
        <w:ind w:left="0"/>
        <w:rPr>
          <w:rFonts w:ascii="Times New Roman" w:eastAsia="Times New Roman" w:hAnsi="Times New Roman" w:cs="Times New Roman"/>
          <w:b w:val="0"/>
          <w:bCs w:val="0"/>
          <w:color w:val="auto"/>
          <w:sz w:val="24"/>
          <w:szCs w:val="24"/>
          <w:lang w:val="en-GB"/>
        </w:rPr>
      </w:pPr>
    </w:p>
    <w:p w14:paraId="343D4D52" w14:textId="27684D04" w:rsidR="004755EA" w:rsidRPr="001477EF" w:rsidRDefault="00C9333F" w:rsidP="00D25FF7">
      <w:pPr>
        <w:pStyle w:val="Encabezamiento2"/>
        <w:ind w:left="0"/>
        <w:rPr>
          <w:rFonts w:ascii="Amnesty Trade Gothic Light" w:hAnsi="Amnesty Trade Gothic Light"/>
          <w:color w:val="auto"/>
          <w:sz w:val="20"/>
          <w:szCs w:val="20"/>
          <w:lang w:val="en-GB"/>
        </w:rPr>
      </w:pPr>
      <w:r w:rsidRPr="001477EF">
        <w:rPr>
          <w:rFonts w:ascii="Amnesty Trade Gothic Light" w:hAnsi="Amnesty Trade Gothic Light"/>
          <w:b w:val="0"/>
          <w:bCs w:val="0"/>
          <w:color w:val="auto"/>
          <w:sz w:val="20"/>
          <w:szCs w:val="20"/>
          <w:lang w:val="en-GB"/>
        </w:rPr>
        <w:t>Amnesty International submits thi</w:t>
      </w:r>
      <w:r w:rsidR="007D4144" w:rsidRPr="001477EF">
        <w:rPr>
          <w:rFonts w:ascii="Amnesty Trade Gothic Light" w:hAnsi="Amnesty Trade Gothic Light"/>
          <w:b w:val="0"/>
          <w:bCs w:val="0"/>
          <w:color w:val="auto"/>
          <w:sz w:val="20"/>
          <w:szCs w:val="20"/>
          <w:lang w:val="en-GB"/>
        </w:rPr>
        <w:t xml:space="preserve">s briefing to the United </w:t>
      </w:r>
      <w:proofErr w:type="gramStart"/>
      <w:r w:rsidR="007D4144" w:rsidRPr="001477EF">
        <w:rPr>
          <w:rFonts w:ascii="Amnesty Trade Gothic Light" w:hAnsi="Amnesty Trade Gothic Light"/>
          <w:b w:val="0"/>
          <w:bCs w:val="0"/>
          <w:color w:val="auto"/>
          <w:sz w:val="20"/>
          <w:szCs w:val="20"/>
          <w:lang w:val="en-GB"/>
        </w:rPr>
        <w:t>Nation(</w:t>
      </w:r>
      <w:proofErr w:type="gramEnd"/>
      <w:r w:rsidR="007D4144" w:rsidRPr="001477EF">
        <w:rPr>
          <w:rFonts w:ascii="Amnesty Trade Gothic Light" w:hAnsi="Amnesty Trade Gothic Light"/>
          <w:b w:val="0"/>
          <w:bCs w:val="0"/>
          <w:color w:val="auto"/>
          <w:sz w:val="20"/>
          <w:szCs w:val="20"/>
          <w:lang w:val="en-GB"/>
        </w:rPr>
        <w:t>UN)</w:t>
      </w:r>
      <w:r w:rsidRPr="001477EF">
        <w:rPr>
          <w:rFonts w:ascii="Amnesty Trade Gothic Light" w:hAnsi="Amnesty Trade Gothic Light"/>
          <w:b w:val="0"/>
          <w:bCs w:val="0"/>
          <w:color w:val="auto"/>
          <w:sz w:val="20"/>
          <w:szCs w:val="20"/>
          <w:lang w:val="en-GB"/>
        </w:rPr>
        <w:t xml:space="preserve"> Special Rapporteur on extreme poverty and human rights in the context of the official country visit to Spain that will take place from 27 January to 7 February 2020.</w:t>
      </w:r>
    </w:p>
    <w:p w14:paraId="343D4D53" w14:textId="77777777" w:rsidR="004755EA" w:rsidRPr="001477EF" w:rsidRDefault="004755EA" w:rsidP="00D25FF7">
      <w:pPr>
        <w:pStyle w:val="Encabezamiento2"/>
        <w:ind w:left="0"/>
        <w:rPr>
          <w:rFonts w:ascii="Amnesty Trade Gothic Light" w:eastAsia="Times New Roman" w:hAnsi="Amnesty Trade Gothic Light" w:cs="Times New Roman"/>
          <w:b w:val="0"/>
          <w:bCs w:val="0"/>
          <w:color w:val="auto"/>
          <w:sz w:val="20"/>
          <w:szCs w:val="20"/>
          <w:lang w:val="en-GB"/>
        </w:rPr>
      </w:pPr>
    </w:p>
    <w:p w14:paraId="343D4D55" w14:textId="4BC226E0" w:rsidR="004755EA" w:rsidRPr="001477EF" w:rsidRDefault="00C9333F" w:rsidP="00D25FF7">
      <w:pPr>
        <w:pStyle w:val="Encabezamiento2"/>
        <w:ind w:left="0"/>
        <w:rPr>
          <w:rFonts w:ascii="Amnesty Trade Gothic Light" w:hAnsi="Amnesty Trade Gothic Light"/>
          <w:b w:val="0"/>
          <w:bCs w:val="0"/>
          <w:color w:val="auto"/>
          <w:sz w:val="20"/>
          <w:szCs w:val="20"/>
          <w:lang w:val="en-GB"/>
        </w:rPr>
      </w:pPr>
      <w:r w:rsidRPr="001477EF">
        <w:rPr>
          <w:rFonts w:ascii="Amnesty Trade Gothic Light" w:hAnsi="Amnesty Trade Gothic Light"/>
          <w:b w:val="0"/>
          <w:bCs w:val="0"/>
          <w:color w:val="auto"/>
          <w:sz w:val="20"/>
          <w:szCs w:val="20"/>
          <w:lang w:val="en-GB"/>
        </w:rPr>
        <w:t xml:space="preserve">In this briefing Amnesty International provides information on and raises concerns in relation to Spain’s implementation of its international human rights obligations regarding the right to adequate housing and the right to </w:t>
      </w:r>
      <w:proofErr w:type="gramStart"/>
      <w:r w:rsidRPr="001477EF">
        <w:rPr>
          <w:rFonts w:ascii="Amnesty Trade Gothic Light" w:hAnsi="Amnesty Trade Gothic Light"/>
          <w:b w:val="0"/>
          <w:bCs w:val="0"/>
          <w:color w:val="auto"/>
          <w:sz w:val="20"/>
          <w:szCs w:val="20"/>
          <w:lang w:val="en-GB"/>
        </w:rPr>
        <w:t>the</w:t>
      </w:r>
      <w:proofErr w:type="gramEnd"/>
      <w:r w:rsidRPr="001477EF">
        <w:rPr>
          <w:rFonts w:ascii="Amnesty Trade Gothic Light" w:hAnsi="Amnesty Trade Gothic Light"/>
          <w:b w:val="0"/>
          <w:bCs w:val="0"/>
          <w:color w:val="auto"/>
          <w:sz w:val="20"/>
          <w:szCs w:val="20"/>
          <w:lang w:val="en-GB"/>
        </w:rPr>
        <w:t xml:space="preserve"> highest attainable standard of physical and mental health.</w:t>
      </w:r>
    </w:p>
    <w:p w14:paraId="343D4D56" w14:textId="77777777" w:rsidR="004755EA" w:rsidRPr="001477EF" w:rsidRDefault="00C9333F" w:rsidP="00D25FF7">
      <w:pPr>
        <w:pStyle w:val="Heading1"/>
        <w:rPr>
          <w:b w:val="0"/>
          <w:lang w:val="en-GB"/>
        </w:rPr>
      </w:pPr>
      <w:r w:rsidRPr="001477EF">
        <w:rPr>
          <w:lang w:val="en-GB"/>
        </w:rPr>
        <w:lastRenderedPageBreak/>
        <w:t>1- THE RIGHT TO ADEQUATE HOUSING:</w:t>
      </w:r>
    </w:p>
    <w:p w14:paraId="343D4D57" w14:textId="77777777" w:rsidR="004755EA" w:rsidRPr="001477EF" w:rsidRDefault="00C9333F" w:rsidP="00D25FF7">
      <w:pPr>
        <w:pStyle w:val="RTBodyText"/>
        <w:rPr>
          <w:color w:val="auto"/>
          <w:sz w:val="20"/>
          <w:szCs w:val="20"/>
          <w:lang w:val="en-GB"/>
        </w:rPr>
      </w:pPr>
      <w:r w:rsidRPr="001477EF">
        <w:rPr>
          <w:color w:val="auto"/>
          <w:sz w:val="20"/>
          <w:szCs w:val="20"/>
          <w:lang w:val="en-GB"/>
        </w:rPr>
        <w:t>During the last decade, hundreds of thousands of people have been evicted from their homes after being unable to continue their rental or mortgage payments. Between 2013, when the authorities started to collect statistics, and June 2019, there were 159.732 mortgage eviction and 237.032 rental evictions in Spain.</w:t>
      </w:r>
      <w:r w:rsidRPr="001477EF">
        <w:rPr>
          <w:rStyle w:val="FootnoteReference"/>
          <w:rFonts w:eastAsia="Times New Roman" w:cs="Times New Roman"/>
          <w:color w:val="auto"/>
          <w:sz w:val="20"/>
          <w:szCs w:val="20"/>
          <w:lang w:val="en-GB"/>
        </w:rPr>
        <w:footnoteReference w:id="1"/>
      </w:r>
      <w:r w:rsidRPr="001477EF">
        <w:rPr>
          <w:color w:val="auto"/>
          <w:sz w:val="20"/>
          <w:szCs w:val="20"/>
          <w:lang w:val="en-GB"/>
        </w:rPr>
        <w:t xml:space="preserve"> Rental evictions continue to rise since 2017.</w:t>
      </w:r>
    </w:p>
    <w:p w14:paraId="343D4D58" w14:textId="77777777" w:rsidR="004755EA" w:rsidRPr="001477EF" w:rsidRDefault="004755EA" w:rsidP="00D25FF7">
      <w:pPr>
        <w:pStyle w:val="RTBodyText"/>
        <w:rPr>
          <w:rFonts w:ascii="Times New Roman" w:eastAsia="Times New Roman" w:hAnsi="Times New Roman" w:cs="Times New Roman"/>
          <w:color w:val="auto"/>
          <w:sz w:val="24"/>
          <w:szCs w:val="24"/>
          <w:lang w:val="en-GB"/>
        </w:rPr>
      </w:pPr>
    </w:p>
    <w:p w14:paraId="343D4D59" w14:textId="77777777" w:rsidR="004755EA" w:rsidRPr="001477EF" w:rsidRDefault="00C9333F" w:rsidP="00D25FF7">
      <w:pPr>
        <w:pStyle w:val="RTBodyText"/>
        <w:rPr>
          <w:color w:val="auto"/>
          <w:lang w:val="en-GB"/>
        </w:rPr>
      </w:pPr>
      <w:r w:rsidRPr="001477EF">
        <w:rPr>
          <w:noProof/>
          <w:color w:val="auto"/>
          <w:lang w:val="en-GB" w:eastAsia="ja-JP" w:bidi="ar-SA"/>
        </w:rPr>
        <w:drawing>
          <wp:anchor distT="0" distB="0" distL="114300" distR="114300" simplePos="0" relativeHeight="251659264" behindDoc="0" locked="0" layoutInCell="1" allowOverlap="1" wp14:anchorId="343D4D4B" wp14:editId="343D4D4C">
            <wp:simplePos x="0" y="0"/>
            <wp:positionH relativeFrom="column">
              <wp:align>center</wp:align>
            </wp:positionH>
            <wp:positionV relativeFrom="paragraph">
              <wp:align>top</wp:align>
            </wp:positionV>
            <wp:extent cx="4804413" cy="2582549"/>
            <wp:effectExtent l="0" t="0" r="0" b="0"/>
            <wp:wrapSquare wrapText="bothSides"/>
            <wp:docPr id="2"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43D4D5A" w14:textId="77777777" w:rsidR="004755EA" w:rsidRPr="001477EF" w:rsidRDefault="004755EA" w:rsidP="00D25FF7">
      <w:pPr>
        <w:pStyle w:val="RTBodyText"/>
        <w:rPr>
          <w:rFonts w:ascii="Times New Roman" w:eastAsia="Times New Roman" w:hAnsi="Times New Roman" w:cs="Times New Roman"/>
          <w:color w:val="auto"/>
          <w:sz w:val="24"/>
          <w:szCs w:val="24"/>
          <w:lang w:val="en-GB"/>
        </w:rPr>
      </w:pPr>
    </w:p>
    <w:p w14:paraId="343D4D5B" w14:textId="77777777" w:rsidR="004755EA" w:rsidRPr="001477EF" w:rsidRDefault="004755EA" w:rsidP="00D25FF7">
      <w:pPr>
        <w:pStyle w:val="RTBodyText"/>
        <w:rPr>
          <w:rFonts w:ascii="Times New Roman" w:hAnsi="Times New Roman"/>
          <w:color w:val="auto"/>
          <w:sz w:val="24"/>
          <w:szCs w:val="24"/>
          <w:lang w:val="en-GB"/>
        </w:rPr>
      </w:pPr>
    </w:p>
    <w:p w14:paraId="343D4D5C" w14:textId="77777777" w:rsidR="004755EA" w:rsidRPr="001477EF" w:rsidRDefault="004755EA" w:rsidP="00D25FF7">
      <w:pPr>
        <w:pStyle w:val="RTBodyText"/>
        <w:rPr>
          <w:rFonts w:ascii="Times New Roman" w:hAnsi="Times New Roman"/>
          <w:color w:val="auto"/>
          <w:sz w:val="24"/>
          <w:szCs w:val="24"/>
          <w:lang w:val="en-GB"/>
        </w:rPr>
      </w:pPr>
    </w:p>
    <w:p w14:paraId="343D4D5D" w14:textId="77777777" w:rsidR="004755EA" w:rsidRPr="001477EF" w:rsidRDefault="004755EA" w:rsidP="00D25FF7">
      <w:pPr>
        <w:pStyle w:val="RTBodyText"/>
        <w:rPr>
          <w:rFonts w:ascii="Times New Roman" w:hAnsi="Times New Roman"/>
          <w:color w:val="auto"/>
          <w:sz w:val="24"/>
          <w:szCs w:val="24"/>
          <w:lang w:val="en-GB"/>
        </w:rPr>
      </w:pPr>
    </w:p>
    <w:p w14:paraId="343D4D5E" w14:textId="77777777" w:rsidR="004755EA" w:rsidRPr="001477EF" w:rsidRDefault="004755EA" w:rsidP="00D25FF7">
      <w:pPr>
        <w:pStyle w:val="RTBodyText"/>
        <w:rPr>
          <w:rFonts w:ascii="Times New Roman" w:hAnsi="Times New Roman"/>
          <w:color w:val="auto"/>
          <w:sz w:val="24"/>
          <w:szCs w:val="24"/>
          <w:lang w:val="en-GB"/>
        </w:rPr>
      </w:pPr>
    </w:p>
    <w:p w14:paraId="343D4D5F" w14:textId="77777777" w:rsidR="004755EA" w:rsidRPr="001477EF" w:rsidRDefault="004755EA" w:rsidP="00D25FF7">
      <w:pPr>
        <w:pStyle w:val="RTBodyText"/>
        <w:rPr>
          <w:rFonts w:ascii="Times New Roman" w:hAnsi="Times New Roman"/>
          <w:color w:val="auto"/>
          <w:sz w:val="24"/>
          <w:szCs w:val="24"/>
          <w:lang w:val="en-GB"/>
        </w:rPr>
      </w:pPr>
    </w:p>
    <w:p w14:paraId="343D4D60" w14:textId="77777777" w:rsidR="004755EA" w:rsidRPr="001477EF" w:rsidRDefault="004755EA" w:rsidP="00D25FF7">
      <w:pPr>
        <w:pStyle w:val="RTBodyText"/>
        <w:rPr>
          <w:rFonts w:ascii="Times New Roman" w:hAnsi="Times New Roman"/>
          <w:color w:val="auto"/>
          <w:sz w:val="24"/>
          <w:szCs w:val="24"/>
          <w:lang w:val="en-GB"/>
        </w:rPr>
      </w:pPr>
    </w:p>
    <w:p w14:paraId="343D4D61" w14:textId="77777777" w:rsidR="004755EA" w:rsidRPr="001477EF" w:rsidRDefault="004755EA" w:rsidP="00D25FF7">
      <w:pPr>
        <w:pStyle w:val="RTBodyText"/>
        <w:rPr>
          <w:rFonts w:ascii="Times New Roman" w:hAnsi="Times New Roman"/>
          <w:color w:val="auto"/>
          <w:sz w:val="24"/>
          <w:szCs w:val="24"/>
          <w:lang w:val="en-GB"/>
        </w:rPr>
      </w:pPr>
    </w:p>
    <w:p w14:paraId="343D4D62" w14:textId="77777777" w:rsidR="004755EA" w:rsidRPr="001477EF" w:rsidRDefault="004755EA" w:rsidP="00D25FF7">
      <w:pPr>
        <w:pStyle w:val="RTBodyText"/>
        <w:rPr>
          <w:rFonts w:ascii="Times New Roman" w:hAnsi="Times New Roman"/>
          <w:color w:val="auto"/>
          <w:sz w:val="24"/>
          <w:szCs w:val="24"/>
          <w:lang w:val="en-GB"/>
        </w:rPr>
      </w:pPr>
    </w:p>
    <w:p w14:paraId="343D4D63" w14:textId="77777777" w:rsidR="004755EA" w:rsidRPr="001477EF" w:rsidRDefault="004755EA" w:rsidP="00D25FF7">
      <w:pPr>
        <w:pStyle w:val="RTBodyText"/>
        <w:rPr>
          <w:rFonts w:ascii="Times New Roman" w:hAnsi="Times New Roman"/>
          <w:color w:val="auto"/>
          <w:sz w:val="24"/>
          <w:szCs w:val="24"/>
          <w:lang w:val="en-GB"/>
        </w:rPr>
      </w:pPr>
    </w:p>
    <w:p w14:paraId="343D4D64" w14:textId="48D3FBD1" w:rsidR="004755EA" w:rsidRPr="001477EF" w:rsidRDefault="00C9333F" w:rsidP="00D25FF7">
      <w:pPr>
        <w:pStyle w:val="RTBodyText"/>
        <w:rPr>
          <w:color w:val="auto"/>
          <w:sz w:val="20"/>
          <w:szCs w:val="20"/>
          <w:lang w:val="en-GB"/>
        </w:rPr>
      </w:pPr>
      <w:r w:rsidRPr="001477EF">
        <w:rPr>
          <w:color w:val="auto"/>
          <w:sz w:val="20"/>
          <w:szCs w:val="20"/>
          <w:lang w:val="en-GB"/>
        </w:rPr>
        <w:lastRenderedPageBreak/>
        <w:t>Contrary to the obligation to collect qualitative and quantitative data on the housing needs of the population, and women specially, deriving from the Law 3/2007 on Equality of women and men</w:t>
      </w:r>
      <w:r w:rsidRPr="001477EF">
        <w:rPr>
          <w:rStyle w:val="FootnoteReference"/>
          <w:rFonts w:eastAsia="Times New Roman" w:cs="Times New Roman"/>
          <w:color w:val="auto"/>
          <w:sz w:val="20"/>
          <w:szCs w:val="20"/>
          <w:lang w:val="en-GB"/>
        </w:rPr>
        <w:footnoteReference w:id="2"/>
      </w:r>
      <w:r w:rsidRPr="001477EF">
        <w:rPr>
          <w:color w:val="auto"/>
          <w:sz w:val="20"/>
          <w:szCs w:val="20"/>
          <w:lang w:val="en-GB"/>
        </w:rPr>
        <w:t>, publicly available statistics on evictions neither pro</w:t>
      </w:r>
      <w:r w:rsidR="007D4144" w:rsidRPr="001477EF">
        <w:rPr>
          <w:color w:val="auto"/>
          <w:sz w:val="20"/>
          <w:szCs w:val="20"/>
          <w:lang w:val="en-GB"/>
        </w:rPr>
        <w:t xml:space="preserve">vide </w:t>
      </w:r>
      <w:r w:rsidRPr="001477EF">
        <w:rPr>
          <w:color w:val="auto"/>
          <w:sz w:val="20"/>
          <w:szCs w:val="20"/>
          <w:lang w:val="en-GB"/>
        </w:rPr>
        <w:t>information about the number of people affected, nor is the data disaggregat</w:t>
      </w:r>
      <w:r w:rsidR="00F014A7" w:rsidRPr="001477EF">
        <w:rPr>
          <w:color w:val="auto"/>
          <w:sz w:val="20"/>
          <w:szCs w:val="20"/>
          <w:lang w:val="en-GB"/>
        </w:rPr>
        <w:t xml:space="preserve">ed in a manner that identifies </w:t>
      </w:r>
      <w:r w:rsidRPr="001477EF">
        <w:rPr>
          <w:color w:val="auto"/>
          <w:sz w:val="20"/>
          <w:szCs w:val="20"/>
          <w:lang w:val="en-GB"/>
        </w:rPr>
        <w:t>how many men and women, children and adults, victims of gender-based violence, foreign nationals and other groups have been evicted, or whether the number of homeless people has gone up. Furthermore, statistics do not differentiate between homes and other properties. This lack of data means that the authorities do not have an accurate assessment of the impact of evictions on the right to adequate housing of different groups, which represents a clear obstacle to formulate and implement appropriate law and policy responses.</w:t>
      </w:r>
    </w:p>
    <w:p w14:paraId="343D4D65" w14:textId="77777777" w:rsidR="004755EA" w:rsidRPr="001477EF" w:rsidRDefault="00C9333F" w:rsidP="00D25FF7">
      <w:pPr>
        <w:pStyle w:val="RTBodyText"/>
        <w:rPr>
          <w:color w:val="auto"/>
          <w:sz w:val="20"/>
          <w:szCs w:val="20"/>
          <w:lang w:val="en-GB"/>
        </w:rPr>
      </w:pPr>
      <w:r w:rsidRPr="001477EF">
        <w:rPr>
          <w:color w:val="auto"/>
          <w:sz w:val="20"/>
          <w:szCs w:val="20"/>
          <w:lang w:val="en-GB"/>
        </w:rPr>
        <w:t>Based on Amnesty International’s research, and in line with what has been highlighted by the UN Special Rapporteur on adequate housing in several reports, in Spain, victims of gender-based violence and female-headed households often face particular obstacles to the enjoyment of their right to housing due to multiple layers of discrimination, relative impoverishment and lack of access to social and economic resources.</w:t>
      </w:r>
      <w:r w:rsidRPr="001477EF">
        <w:rPr>
          <w:rStyle w:val="FootnoteReference"/>
          <w:color w:val="auto"/>
          <w:sz w:val="20"/>
          <w:szCs w:val="20"/>
          <w:lang w:val="en-GB"/>
        </w:rPr>
        <w:footnoteReference w:id="3"/>
      </w:r>
    </w:p>
    <w:p w14:paraId="343D4D66" w14:textId="2FFD66FA" w:rsidR="004755EA" w:rsidRPr="001477EF" w:rsidRDefault="00C9333F" w:rsidP="00D25FF7">
      <w:pPr>
        <w:pStyle w:val="RTBodyText"/>
        <w:rPr>
          <w:color w:val="auto"/>
          <w:sz w:val="20"/>
          <w:szCs w:val="20"/>
          <w:lang w:val="en-GB"/>
        </w:rPr>
      </w:pPr>
      <w:r w:rsidRPr="001477EF">
        <w:rPr>
          <w:color w:val="auto"/>
          <w:sz w:val="20"/>
          <w:szCs w:val="20"/>
          <w:lang w:val="en-GB"/>
        </w:rPr>
        <w:t>Recent measures taken by the government on rental housing are positive but are not sufficient to address the housing crisis in the country. Royal Decree Law 7/2019</w:t>
      </w:r>
      <w:r w:rsidRPr="001477EF">
        <w:rPr>
          <w:rStyle w:val="FootnoteReference"/>
          <w:rFonts w:eastAsia="Times New Roman" w:cs="Times New Roman"/>
          <w:color w:val="auto"/>
          <w:sz w:val="20"/>
          <w:szCs w:val="20"/>
          <w:lang w:val="en-GB"/>
        </w:rPr>
        <w:footnoteReference w:id="4"/>
      </w:r>
      <w:r w:rsidRPr="001477EF">
        <w:rPr>
          <w:color w:val="auto"/>
          <w:sz w:val="20"/>
          <w:szCs w:val="20"/>
          <w:lang w:val="en-GB"/>
        </w:rPr>
        <w:t xml:space="preserve"> (RDL) includes measures that improve the protection of tenants and their security of tenure, for example, the extension of the duration of rental contracts -from 3 to 5 years and up to 7 years in cases where the owner is a company-</w:t>
      </w:r>
      <w:r w:rsidR="00F014A7" w:rsidRPr="001477EF">
        <w:rPr>
          <w:color w:val="auto"/>
          <w:sz w:val="20"/>
          <w:szCs w:val="20"/>
          <w:lang w:val="en-GB"/>
        </w:rPr>
        <w:t>;</w:t>
      </w:r>
      <w:r w:rsidRPr="001477EF">
        <w:rPr>
          <w:color w:val="auto"/>
          <w:sz w:val="20"/>
          <w:szCs w:val="20"/>
          <w:lang w:val="en-GB"/>
        </w:rPr>
        <w:t xml:space="preserve"> a mandatory extension after contract expiration extended to 3 years; and the extension of the term for the landlord to inform the tenant’s intention to terminate the contract, among other measures.</w:t>
      </w:r>
    </w:p>
    <w:p w14:paraId="343D4D68" w14:textId="63656A2F" w:rsidR="004755EA" w:rsidRPr="001477EF" w:rsidRDefault="00C9333F" w:rsidP="00D25FF7">
      <w:pPr>
        <w:pStyle w:val="RTBodyText"/>
        <w:rPr>
          <w:color w:val="auto"/>
          <w:sz w:val="20"/>
          <w:szCs w:val="20"/>
          <w:lang w:val="en-GB"/>
        </w:rPr>
      </w:pPr>
      <w:r w:rsidRPr="001477EF">
        <w:rPr>
          <w:color w:val="auto"/>
          <w:sz w:val="20"/>
          <w:szCs w:val="20"/>
          <w:lang w:val="en-GB"/>
        </w:rPr>
        <w:t>This law reverses the trend of successive Urban Rent Law reforms that had been eroding the rights of tenants since 2009.</w:t>
      </w:r>
      <w:r w:rsidRPr="001477EF">
        <w:rPr>
          <w:rStyle w:val="FootnoteReference"/>
          <w:rFonts w:eastAsia="Times New Roman" w:cs="Times New Roman"/>
          <w:color w:val="auto"/>
          <w:sz w:val="20"/>
          <w:szCs w:val="20"/>
          <w:lang w:val="en-GB"/>
        </w:rPr>
        <w:footnoteReference w:id="5"/>
      </w:r>
      <w:r w:rsidRPr="001477EF">
        <w:rPr>
          <w:color w:val="auto"/>
          <w:sz w:val="20"/>
          <w:szCs w:val="20"/>
          <w:lang w:val="en-GB"/>
        </w:rPr>
        <w:t xml:space="preserve"> However, RDL contains insufficient measures to increase the stock of social rental housing, to reinforce the guarantees of </w:t>
      </w:r>
      <w:r w:rsidRPr="001477EF">
        <w:rPr>
          <w:color w:val="auto"/>
          <w:sz w:val="20"/>
          <w:szCs w:val="20"/>
          <w:lang w:val="en-GB"/>
        </w:rPr>
        <w:lastRenderedPageBreak/>
        <w:t>protection of the right to housing during evictions and to ensure the affordability of the right to adequa</w:t>
      </w:r>
      <w:r w:rsidR="00F014A7" w:rsidRPr="001477EF">
        <w:rPr>
          <w:color w:val="auto"/>
          <w:sz w:val="20"/>
          <w:szCs w:val="20"/>
          <w:lang w:val="en-GB"/>
        </w:rPr>
        <w:t>te housing, as detailed below.</w:t>
      </w:r>
    </w:p>
    <w:p w14:paraId="44A77AB2" w14:textId="77777777" w:rsidR="007352D1" w:rsidRPr="001477EF" w:rsidRDefault="007352D1" w:rsidP="00D25FF7">
      <w:pPr>
        <w:pStyle w:val="RTBodyText"/>
        <w:rPr>
          <w:color w:val="auto"/>
          <w:sz w:val="20"/>
          <w:szCs w:val="20"/>
          <w:lang w:val="en-GB"/>
        </w:rPr>
      </w:pPr>
    </w:p>
    <w:p w14:paraId="343D4D69" w14:textId="5F8D1DEC" w:rsidR="004755EA" w:rsidRPr="001477EF" w:rsidRDefault="00C9333F" w:rsidP="00D25FF7">
      <w:pPr>
        <w:pStyle w:val="Heading4"/>
        <w:rPr>
          <w:b w:val="0"/>
          <w:u w:color="FFFFFF"/>
          <w:lang w:val="en-GB"/>
        </w:rPr>
      </w:pPr>
      <w:bookmarkStart w:id="1" w:name="_RefHeading___Toc28570_642349088"/>
      <w:r w:rsidRPr="001477EF">
        <w:rPr>
          <w:u w:color="FFFFFF"/>
          <w:lang w:val="en-GB"/>
        </w:rPr>
        <w:t>1</w:t>
      </w:r>
      <w:r w:rsidR="00355D75" w:rsidRPr="001477EF">
        <w:rPr>
          <w:u w:color="FFFFFF"/>
          <w:lang w:val="en-GB"/>
        </w:rPr>
        <w:t>.</w:t>
      </w:r>
      <w:r w:rsidR="002A5538">
        <w:rPr>
          <w:u w:color="FFFFFF"/>
          <w:lang w:val="en-GB"/>
        </w:rPr>
        <w:t>1</w:t>
      </w:r>
      <w:r w:rsidR="00355D75" w:rsidRPr="001477EF">
        <w:rPr>
          <w:u w:color="FFFFFF"/>
          <w:lang w:val="en-GB"/>
        </w:rPr>
        <w:t xml:space="preserve"> </w:t>
      </w:r>
      <w:r w:rsidRPr="001477EF">
        <w:rPr>
          <w:u w:color="FFFFFF"/>
          <w:lang w:val="en-GB"/>
        </w:rPr>
        <w:t>Insufficient guarantees to protect the right to adequate housing</w:t>
      </w:r>
      <w:bookmarkEnd w:id="1"/>
    </w:p>
    <w:p w14:paraId="343D4D6B" w14:textId="38D03AAF" w:rsidR="004755EA" w:rsidRPr="00211ED2" w:rsidRDefault="00C9333F" w:rsidP="00D25FF7">
      <w:pPr>
        <w:pStyle w:val="RTBodyText"/>
        <w:rPr>
          <w:color w:val="auto"/>
          <w:sz w:val="20"/>
          <w:szCs w:val="20"/>
          <w:lang w:val="en-GB"/>
        </w:rPr>
      </w:pPr>
      <w:r w:rsidRPr="00211ED2">
        <w:rPr>
          <w:color w:val="auto"/>
          <w:sz w:val="20"/>
          <w:szCs w:val="20"/>
          <w:lang w:val="en-GB"/>
        </w:rPr>
        <w:t>Evictions have been carried out without sufficient guarantees for the protection of the rights of the affected people.</w:t>
      </w:r>
      <w:r w:rsidRPr="00211ED2">
        <w:rPr>
          <w:rStyle w:val="FootnoteReference"/>
          <w:rFonts w:eastAsia="Times New Roman" w:cs="Times New Roman"/>
          <w:color w:val="auto"/>
          <w:sz w:val="20"/>
          <w:szCs w:val="20"/>
          <w:lang w:val="en-GB"/>
        </w:rPr>
        <w:footnoteReference w:id="6"/>
      </w:r>
      <w:r w:rsidR="007352D1" w:rsidRPr="00211ED2">
        <w:rPr>
          <w:color w:val="auto"/>
          <w:sz w:val="20"/>
          <w:szCs w:val="20"/>
          <w:lang w:val="en-GB"/>
        </w:rPr>
        <w:t xml:space="preserve"> </w:t>
      </w:r>
      <w:r w:rsidRPr="00211ED2">
        <w:rPr>
          <w:color w:val="auto"/>
          <w:sz w:val="20"/>
          <w:szCs w:val="20"/>
          <w:lang w:val="en-GB"/>
        </w:rPr>
        <w:t>Some evictions may be justified in case of persistent non-payment of rents, but all evictions must comply with international human rights standards.</w:t>
      </w:r>
      <w:r w:rsidRPr="00211ED2">
        <w:rPr>
          <w:rStyle w:val="FootnoteReference"/>
          <w:rFonts w:eastAsia="Times New Roman" w:cs="Times New Roman"/>
          <w:color w:val="auto"/>
          <w:sz w:val="20"/>
          <w:szCs w:val="20"/>
          <w:lang w:val="en-GB"/>
        </w:rPr>
        <w:footnoteReference w:id="7"/>
      </w:r>
    </w:p>
    <w:p w14:paraId="343D4D6C" w14:textId="14A384AA" w:rsidR="004755EA" w:rsidRPr="00211ED2" w:rsidRDefault="007352D1" w:rsidP="00D25FF7">
      <w:pPr>
        <w:pStyle w:val="RTBodyText"/>
        <w:rPr>
          <w:color w:val="auto"/>
          <w:sz w:val="20"/>
          <w:szCs w:val="20"/>
          <w:lang w:val="en-GB"/>
        </w:rPr>
      </w:pPr>
      <w:r w:rsidRPr="00211ED2">
        <w:rPr>
          <w:color w:val="auto"/>
          <w:kern w:val="0"/>
          <w:sz w:val="20"/>
          <w:szCs w:val="20"/>
          <w:lang w:val="en-GB"/>
        </w:rPr>
        <w:t>In 2018, t</w:t>
      </w:r>
      <w:r w:rsidR="007D4144" w:rsidRPr="00211ED2">
        <w:rPr>
          <w:color w:val="auto"/>
          <w:kern w:val="0"/>
          <w:sz w:val="20"/>
          <w:szCs w:val="20"/>
          <w:lang w:val="en-GB"/>
        </w:rPr>
        <w:t xml:space="preserve">he </w:t>
      </w:r>
      <w:r w:rsidR="00C9333F" w:rsidRPr="00211ED2">
        <w:rPr>
          <w:color w:val="auto"/>
          <w:kern w:val="0"/>
          <w:sz w:val="20"/>
          <w:szCs w:val="20"/>
          <w:lang w:val="en-GB"/>
        </w:rPr>
        <w:t>UN Committee on Economic, Social a</w:t>
      </w:r>
      <w:r w:rsidR="007D4144" w:rsidRPr="00211ED2">
        <w:rPr>
          <w:color w:val="auto"/>
          <w:kern w:val="0"/>
          <w:sz w:val="20"/>
          <w:szCs w:val="20"/>
          <w:lang w:val="en-GB"/>
        </w:rPr>
        <w:t>nd Cultur</w:t>
      </w:r>
      <w:r w:rsidRPr="00211ED2">
        <w:rPr>
          <w:color w:val="auto"/>
          <w:kern w:val="0"/>
          <w:sz w:val="20"/>
          <w:szCs w:val="20"/>
          <w:lang w:val="en-GB"/>
        </w:rPr>
        <w:t xml:space="preserve">al rights </w:t>
      </w:r>
      <w:r w:rsidR="007D4144" w:rsidRPr="00211ED2">
        <w:rPr>
          <w:color w:val="auto"/>
          <w:kern w:val="0"/>
          <w:sz w:val="20"/>
          <w:szCs w:val="20"/>
          <w:lang w:val="en-GB"/>
        </w:rPr>
        <w:t xml:space="preserve">called on </w:t>
      </w:r>
      <w:r w:rsidR="00C9333F" w:rsidRPr="00211ED2">
        <w:rPr>
          <w:color w:val="auto"/>
          <w:kern w:val="0"/>
          <w:sz w:val="20"/>
          <w:szCs w:val="20"/>
          <w:lang w:val="en-GB"/>
        </w:rPr>
        <w:t>Spain to adopt a legislative framework on evictions that incorporates principles of reasonableness and propo</w:t>
      </w:r>
      <w:r w:rsidR="007D4144" w:rsidRPr="00211ED2">
        <w:rPr>
          <w:color w:val="auto"/>
          <w:kern w:val="0"/>
          <w:sz w:val="20"/>
          <w:szCs w:val="20"/>
          <w:lang w:val="en-GB"/>
        </w:rPr>
        <w:t>rtionality. T</w:t>
      </w:r>
      <w:r w:rsidR="00C9333F" w:rsidRPr="00211ED2">
        <w:rPr>
          <w:color w:val="auto"/>
          <w:kern w:val="0"/>
          <w:sz w:val="20"/>
          <w:szCs w:val="20"/>
          <w:lang w:val="en-GB"/>
        </w:rPr>
        <w:t>he Spanish Supreme Court</w:t>
      </w:r>
      <w:r w:rsidR="007D4144" w:rsidRPr="00211ED2">
        <w:rPr>
          <w:color w:val="auto"/>
          <w:kern w:val="0"/>
          <w:sz w:val="20"/>
          <w:szCs w:val="20"/>
          <w:lang w:val="en-GB"/>
        </w:rPr>
        <w:t xml:space="preserve"> has also</w:t>
      </w:r>
      <w:r w:rsidR="00C9333F" w:rsidRPr="00211ED2">
        <w:rPr>
          <w:color w:val="auto"/>
          <w:kern w:val="0"/>
          <w:sz w:val="20"/>
          <w:szCs w:val="20"/>
          <w:lang w:val="en-GB"/>
        </w:rPr>
        <w:t xml:space="preserve"> stressed the need to apply the principle of proportionality, to ensure effective protection against </w:t>
      </w:r>
      <w:r w:rsidR="005D3679" w:rsidRPr="00211ED2">
        <w:rPr>
          <w:color w:val="auto"/>
          <w:kern w:val="0"/>
          <w:sz w:val="20"/>
          <w:szCs w:val="20"/>
          <w:lang w:val="en-GB"/>
        </w:rPr>
        <w:t>evictions</w:t>
      </w:r>
      <w:r w:rsidR="00C9333F" w:rsidRPr="00211ED2">
        <w:rPr>
          <w:color w:val="auto"/>
          <w:kern w:val="0"/>
          <w:sz w:val="20"/>
          <w:szCs w:val="20"/>
          <w:lang w:val="en-GB"/>
        </w:rPr>
        <w:t>.</w:t>
      </w:r>
      <w:r w:rsidR="00C9333F" w:rsidRPr="00211ED2">
        <w:rPr>
          <w:rStyle w:val="FootnoteReference"/>
          <w:rFonts w:eastAsia="Times New Roman" w:cs="Times New Roman"/>
          <w:color w:val="auto"/>
          <w:kern w:val="0"/>
          <w:sz w:val="20"/>
          <w:szCs w:val="20"/>
          <w:lang w:val="en-GB"/>
        </w:rPr>
        <w:footnoteReference w:id="8"/>
      </w:r>
    </w:p>
    <w:p w14:paraId="343D4D6D" w14:textId="16A6C8A7" w:rsidR="004755EA" w:rsidRPr="00211ED2" w:rsidRDefault="00C9333F" w:rsidP="00D25FF7">
      <w:pPr>
        <w:pStyle w:val="RTBodyText"/>
        <w:rPr>
          <w:color w:val="auto"/>
          <w:sz w:val="20"/>
          <w:szCs w:val="20"/>
          <w:lang w:val="en-GB"/>
        </w:rPr>
      </w:pPr>
      <w:r w:rsidRPr="00211ED2">
        <w:rPr>
          <w:color w:val="auto"/>
          <w:sz w:val="20"/>
          <w:szCs w:val="20"/>
          <w:lang w:val="en-GB"/>
        </w:rPr>
        <w:t>The recent RDL incorporates a requirement that courts provide details of the day and time of the eviction and where there may be a situation of specific social and/or economic vulnerability, consider the possibility to delay the eviction by on</w:t>
      </w:r>
      <w:r w:rsidR="007352D1" w:rsidRPr="00211ED2">
        <w:rPr>
          <w:color w:val="auto"/>
          <w:sz w:val="20"/>
          <w:szCs w:val="20"/>
          <w:lang w:val="en-GB"/>
        </w:rPr>
        <w:t xml:space="preserve">e month, or three months where </w:t>
      </w:r>
      <w:r w:rsidRPr="00211ED2">
        <w:rPr>
          <w:color w:val="auto"/>
          <w:sz w:val="20"/>
          <w:szCs w:val="20"/>
          <w:lang w:val="en-GB"/>
        </w:rPr>
        <w:t>the property is owned by a company.</w:t>
      </w:r>
    </w:p>
    <w:p w14:paraId="343D4D6E" w14:textId="376D8F8A" w:rsidR="004755EA" w:rsidRPr="00211ED2" w:rsidRDefault="00C9333F" w:rsidP="00D25FF7">
      <w:pPr>
        <w:pStyle w:val="RTBodyText"/>
        <w:rPr>
          <w:color w:val="auto"/>
          <w:sz w:val="20"/>
          <w:szCs w:val="20"/>
          <w:lang w:val="en-GB"/>
        </w:rPr>
      </w:pPr>
      <w:r w:rsidRPr="00211ED2">
        <w:rPr>
          <w:color w:val="auto"/>
          <w:sz w:val="20"/>
          <w:szCs w:val="20"/>
          <w:lang w:val="en-GB"/>
        </w:rPr>
        <w:t xml:space="preserve">However, this regulation does not contemplate reform of the Civil Procedure Law that would require courts to examine the proportionality and reasonableness of the eviction on a case-by-case basis. As a result, nearly all the people who had gone </w:t>
      </w:r>
      <w:r w:rsidRPr="00211ED2">
        <w:rPr>
          <w:color w:val="auto"/>
          <w:sz w:val="20"/>
          <w:szCs w:val="20"/>
          <w:lang w:val="en-GB"/>
        </w:rPr>
        <w:lastRenderedPageBreak/>
        <w:t>through a foreclosure or rental eviction procedure who Amnesty International interviewed for its research and campaign said that their lawyers had made clear from the outset that the outcome of the procedure was unavoidable: they were likely to lose their home regardless of their personal circumstances.</w:t>
      </w:r>
    </w:p>
    <w:p w14:paraId="343D4D6F" w14:textId="741EC82C" w:rsidR="004755EA" w:rsidRPr="00211ED2" w:rsidRDefault="00C9333F" w:rsidP="00D25FF7">
      <w:pPr>
        <w:pStyle w:val="RTBodyText"/>
        <w:rPr>
          <w:color w:val="auto"/>
          <w:sz w:val="20"/>
          <w:szCs w:val="20"/>
          <w:lang w:val="en-GB"/>
        </w:rPr>
      </w:pPr>
      <w:r w:rsidRPr="00211ED2">
        <w:rPr>
          <w:color w:val="auto"/>
          <w:sz w:val="20"/>
          <w:szCs w:val="20"/>
          <w:lang w:val="en-GB"/>
        </w:rPr>
        <w:t xml:space="preserve">Amnesty International has documented cases of evictions affecting people with disabilities, people with chronic health </w:t>
      </w:r>
      <w:r w:rsidR="007352D1" w:rsidRPr="00211ED2">
        <w:rPr>
          <w:color w:val="auto"/>
          <w:sz w:val="20"/>
          <w:szCs w:val="20"/>
          <w:lang w:val="en-GB"/>
        </w:rPr>
        <w:t xml:space="preserve">conditions, families with </w:t>
      </w:r>
      <w:r w:rsidRPr="00211ED2">
        <w:rPr>
          <w:color w:val="auto"/>
          <w:sz w:val="20"/>
          <w:szCs w:val="20"/>
          <w:lang w:val="en-GB"/>
        </w:rPr>
        <w:t>children, among other groups.</w:t>
      </w:r>
    </w:p>
    <w:p w14:paraId="343D4D70" w14:textId="0925CC7B" w:rsidR="004755EA" w:rsidRPr="00211ED2" w:rsidRDefault="00C9333F" w:rsidP="00D25FF7">
      <w:pPr>
        <w:pStyle w:val="RTBodyText"/>
        <w:rPr>
          <w:color w:val="auto"/>
          <w:sz w:val="20"/>
          <w:szCs w:val="20"/>
          <w:lang w:val="en-GB"/>
        </w:rPr>
      </w:pPr>
      <w:r w:rsidRPr="00211ED2">
        <w:rPr>
          <w:color w:val="auto"/>
          <w:sz w:val="20"/>
          <w:szCs w:val="20"/>
          <w:lang w:val="en-GB"/>
        </w:rPr>
        <w:t xml:space="preserve">In October 2019, the </w:t>
      </w:r>
      <w:r w:rsidR="007352D1" w:rsidRPr="00211ED2">
        <w:rPr>
          <w:color w:val="auto"/>
          <w:sz w:val="20"/>
          <w:szCs w:val="20"/>
          <w:lang w:val="en-GB"/>
        </w:rPr>
        <w:t xml:space="preserve">UN </w:t>
      </w:r>
      <w:r w:rsidRPr="00211ED2">
        <w:rPr>
          <w:color w:val="auto"/>
          <w:sz w:val="20"/>
          <w:szCs w:val="20"/>
          <w:lang w:val="en-GB"/>
        </w:rPr>
        <w:t xml:space="preserve">Committee on Economic, Social and Cultural Rights found that </w:t>
      </w:r>
      <w:r w:rsidRPr="00211ED2">
        <w:rPr>
          <w:rFonts w:cs="Times New Roman"/>
          <w:color w:val="auto"/>
          <w:sz w:val="20"/>
          <w:szCs w:val="20"/>
          <w:lang w:val="en-GB"/>
        </w:rPr>
        <w:t xml:space="preserve">Spain violated a family’s right to housing by failing to weigh their vulnerability in an eviction. </w:t>
      </w:r>
      <w:r w:rsidR="007352D1" w:rsidRPr="00211ED2">
        <w:rPr>
          <w:rFonts w:cs="Times New Roman"/>
          <w:color w:val="auto"/>
          <w:sz w:val="20"/>
          <w:szCs w:val="20"/>
          <w:lang w:val="en-GB"/>
        </w:rPr>
        <w:t>In its D</w:t>
      </w:r>
      <w:r w:rsidRPr="00211ED2">
        <w:rPr>
          <w:rFonts w:cs="Times New Roman"/>
          <w:color w:val="auto"/>
          <w:sz w:val="20"/>
          <w:szCs w:val="20"/>
          <w:lang w:val="en-GB"/>
        </w:rPr>
        <w:t>ecision, the Committee determined that a State party cannot stipulate that a person who occupies a property without a legal title should be immediately evicted regardless of the circumstances, and without a court considering the proportionality of the measure.</w:t>
      </w:r>
      <w:r w:rsidRPr="00211ED2">
        <w:rPr>
          <w:rStyle w:val="FootnoteReference"/>
          <w:rFonts w:cs="Times New Roman"/>
          <w:color w:val="auto"/>
          <w:sz w:val="20"/>
          <w:szCs w:val="20"/>
          <w:lang w:val="en-GB"/>
        </w:rPr>
        <w:footnoteReference w:id="9"/>
      </w:r>
    </w:p>
    <w:p w14:paraId="343D4D71" w14:textId="77777777" w:rsidR="004755EA" w:rsidRPr="001477EF" w:rsidRDefault="00C9333F" w:rsidP="00D25FF7">
      <w:pPr>
        <w:pStyle w:val="RTBodyText"/>
        <w:rPr>
          <w:color w:val="auto"/>
          <w:sz w:val="20"/>
          <w:szCs w:val="20"/>
          <w:lang w:val="en-GB"/>
        </w:rPr>
      </w:pPr>
      <w:r w:rsidRPr="001477EF">
        <w:rPr>
          <w:color w:val="auto"/>
          <w:sz w:val="20"/>
          <w:szCs w:val="20"/>
          <w:lang w:val="en-GB"/>
        </w:rPr>
        <w:t>Amnesty International therefore reiterates that the proportionality and reasonableness assessment is essential to prevent a situation where the evictions further entrench patterns of poverty and discrimination including indirect discrimination against women.</w:t>
      </w:r>
      <w:r w:rsidRPr="001477EF">
        <w:rPr>
          <w:rStyle w:val="FootnoteReference"/>
          <w:rFonts w:eastAsia="Times New Roman" w:cs="Times New Roman"/>
          <w:color w:val="auto"/>
          <w:sz w:val="20"/>
          <w:szCs w:val="20"/>
          <w:lang w:val="en-GB"/>
        </w:rPr>
        <w:footnoteReference w:id="10"/>
      </w:r>
      <w:r w:rsidRPr="001477EF">
        <w:rPr>
          <w:color w:val="auto"/>
          <w:sz w:val="20"/>
          <w:szCs w:val="20"/>
          <w:lang w:val="en-GB"/>
        </w:rPr>
        <w:t xml:space="preserve"> It is also of critical importance when children are involved.</w:t>
      </w:r>
      <w:r w:rsidRPr="001477EF">
        <w:rPr>
          <w:rStyle w:val="FootnoteReference"/>
          <w:rFonts w:eastAsia="Times New Roman" w:cs="Times New Roman"/>
          <w:color w:val="auto"/>
          <w:sz w:val="20"/>
          <w:szCs w:val="20"/>
          <w:lang w:val="en-GB"/>
        </w:rPr>
        <w:footnoteReference w:id="11"/>
      </w:r>
    </w:p>
    <w:p w14:paraId="343D4D72" w14:textId="6A920A12" w:rsidR="004755EA" w:rsidRPr="001477EF" w:rsidRDefault="00C9333F" w:rsidP="00D25FF7">
      <w:pPr>
        <w:pStyle w:val="RTBodyText"/>
        <w:rPr>
          <w:color w:val="auto"/>
          <w:sz w:val="20"/>
          <w:szCs w:val="20"/>
          <w:lang w:val="en-GB"/>
        </w:rPr>
      </w:pPr>
      <w:r w:rsidRPr="001477EF">
        <w:rPr>
          <w:color w:val="auto"/>
          <w:sz w:val="20"/>
          <w:szCs w:val="20"/>
          <w:lang w:val="en-GB"/>
        </w:rPr>
        <w:t>The lack of justiciability of the right to housing in Spain lies at the root of the ineffective remedies for people experiencing rental evictions.</w:t>
      </w:r>
      <w:r w:rsidRPr="001477EF">
        <w:rPr>
          <w:rStyle w:val="FootnoteReference"/>
          <w:rFonts w:eastAsia="Times New Roman" w:cs="Times New Roman"/>
          <w:color w:val="auto"/>
          <w:sz w:val="20"/>
          <w:szCs w:val="20"/>
          <w:lang w:val="en-GB"/>
        </w:rPr>
        <w:footnoteReference w:id="12"/>
      </w:r>
      <w:r w:rsidRPr="001477EF">
        <w:rPr>
          <w:rFonts w:eastAsia="Times New Roman" w:cs="Times New Roman"/>
          <w:color w:val="auto"/>
          <w:sz w:val="20"/>
          <w:szCs w:val="20"/>
          <w:vertAlign w:val="superscript"/>
          <w:lang w:val="en-GB"/>
        </w:rPr>
        <w:t xml:space="preserve">  </w:t>
      </w:r>
      <w:r w:rsidR="007352D1" w:rsidRPr="001477EF">
        <w:rPr>
          <w:rFonts w:eastAsia="Times New Roman" w:cs="Times New Roman"/>
          <w:color w:val="auto"/>
          <w:sz w:val="20"/>
          <w:szCs w:val="20"/>
          <w:lang w:val="en-GB"/>
        </w:rPr>
        <w:t xml:space="preserve">The </w:t>
      </w:r>
      <w:r w:rsidRPr="001477EF">
        <w:rPr>
          <w:color w:val="auto"/>
          <w:kern w:val="0"/>
          <w:sz w:val="20"/>
          <w:szCs w:val="20"/>
          <w:lang w:val="en-GB"/>
        </w:rPr>
        <w:t>UN Committee on Econo</w:t>
      </w:r>
      <w:r w:rsidR="007352D1" w:rsidRPr="001477EF">
        <w:rPr>
          <w:color w:val="auto"/>
          <w:kern w:val="0"/>
          <w:sz w:val="20"/>
          <w:szCs w:val="20"/>
          <w:lang w:val="en-GB"/>
        </w:rPr>
        <w:t>mic, Social and Cultural Rights</w:t>
      </w:r>
      <w:r w:rsidRPr="001477EF">
        <w:rPr>
          <w:color w:val="auto"/>
          <w:sz w:val="20"/>
          <w:szCs w:val="20"/>
          <w:lang w:val="en-GB"/>
        </w:rPr>
        <w:t xml:space="preserve"> found that Spain had violated the right to adequate housing of a family with two minor children who after being evicted had to live in a car for some days, since they were not provided with alternative housing. The Committee recommended that Spain adopts appropriate legislative and/or </w:t>
      </w:r>
      <w:r w:rsidRPr="001477EF">
        <w:rPr>
          <w:color w:val="auto"/>
          <w:sz w:val="20"/>
          <w:szCs w:val="20"/>
          <w:lang w:val="en-GB"/>
        </w:rPr>
        <w:lastRenderedPageBreak/>
        <w:t>administrative measures to ensure that</w:t>
      </w:r>
      <w:r w:rsidR="007352D1" w:rsidRPr="001477EF">
        <w:rPr>
          <w:color w:val="auto"/>
          <w:sz w:val="20"/>
          <w:szCs w:val="20"/>
          <w:lang w:val="en-GB"/>
        </w:rPr>
        <w:t>,</w:t>
      </w:r>
      <w:r w:rsidRPr="001477EF">
        <w:rPr>
          <w:color w:val="auto"/>
          <w:sz w:val="20"/>
          <w:szCs w:val="20"/>
          <w:lang w:val="en-GB"/>
        </w:rPr>
        <w:t xml:space="preserve"> in judicial proceedings in relation to the eviction of tenants, defendants are able to object or lodge an appeal so that the judge might consider the consequences of eviction and its compatibility with the Covenant.</w:t>
      </w:r>
      <w:r w:rsidRPr="001477EF">
        <w:rPr>
          <w:rStyle w:val="FootnoteReference"/>
          <w:color w:val="auto"/>
          <w:sz w:val="20"/>
          <w:szCs w:val="20"/>
          <w:lang w:val="en-GB"/>
        </w:rPr>
        <w:footnoteReference w:id="13"/>
      </w:r>
    </w:p>
    <w:p w14:paraId="5DA948B9" w14:textId="77777777" w:rsidR="007352D1" w:rsidRPr="001477EF" w:rsidRDefault="007352D1" w:rsidP="00D25FF7">
      <w:pPr>
        <w:pStyle w:val="RTBodyText"/>
        <w:rPr>
          <w:color w:val="auto"/>
          <w:lang w:val="en-GB"/>
        </w:rPr>
      </w:pPr>
    </w:p>
    <w:p w14:paraId="343D4D73" w14:textId="7C0E0D2C" w:rsidR="004755EA" w:rsidRPr="001477EF" w:rsidRDefault="00355D75" w:rsidP="00D25FF7">
      <w:pPr>
        <w:pStyle w:val="Heading4"/>
        <w:rPr>
          <w:u w:color="FFFFFF"/>
          <w:lang w:val="en-GB"/>
        </w:rPr>
      </w:pPr>
      <w:r w:rsidRPr="001477EF">
        <w:rPr>
          <w:u w:color="FFFFFF"/>
          <w:lang w:val="en-GB"/>
        </w:rPr>
        <w:t>1.</w:t>
      </w:r>
      <w:r w:rsidR="002A5538">
        <w:rPr>
          <w:u w:color="FFFFFF"/>
          <w:lang w:val="en-GB"/>
        </w:rPr>
        <w:t>2</w:t>
      </w:r>
      <w:r w:rsidRPr="001477EF">
        <w:rPr>
          <w:u w:color="FFFFFF"/>
          <w:lang w:val="en-GB"/>
        </w:rPr>
        <w:t xml:space="preserve"> </w:t>
      </w:r>
      <w:r w:rsidR="00C9333F" w:rsidRPr="001477EF">
        <w:rPr>
          <w:u w:color="FFFFFF"/>
          <w:lang w:val="en-GB"/>
        </w:rPr>
        <w:t>Insufficient social housing:</w:t>
      </w:r>
    </w:p>
    <w:p w14:paraId="343D4D74" w14:textId="7FE62B7D" w:rsidR="004755EA" w:rsidRPr="001477EF" w:rsidRDefault="00355D75" w:rsidP="00D25FF7">
      <w:pPr>
        <w:pStyle w:val="RTBodyText"/>
        <w:rPr>
          <w:color w:val="auto"/>
          <w:sz w:val="20"/>
          <w:szCs w:val="20"/>
          <w:lang w:val="en-GB"/>
        </w:rPr>
      </w:pPr>
      <w:r w:rsidRPr="001477EF">
        <w:rPr>
          <w:rFonts w:eastAsia="Times New Roman" w:cs="Times New Roman"/>
          <w:color w:val="auto"/>
          <w:sz w:val="20"/>
          <w:szCs w:val="20"/>
          <w:lang w:val="en-GB"/>
        </w:rPr>
        <w:t xml:space="preserve">Following </w:t>
      </w:r>
      <w:r w:rsidR="00C9333F" w:rsidRPr="001477EF">
        <w:rPr>
          <w:rFonts w:eastAsia="Times New Roman" w:cs="Times New Roman"/>
          <w:color w:val="auto"/>
          <w:sz w:val="20"/>
          <w:szCs w:val="20"/>
          <w:lang w:val="en-GB"/>
        </w:rPr>
        <w:t xml:space="preserve">an eviction, many people cannot escape the trap of insecure housing. Public authorities are failing to adopt the necessary measures to ensure that evictions do not result in individuals being rendered </w:t>
      </w:r>
      <w:r w:rsidRPr="001477EF">
        <w:rPr>
          <w:rFonts w:eastAsia="Times New Roman" w:cs="Times New Roman"/>
          <w:color w:val="auto"/>
          <w:sz w:val="20"/>
          <w:szCs w:val="20"/>
          <w:lang w:val="en-GB"/>
        </w:rPr>
        <w:t>homeless, and</w:t>
      </w:r>
      <w:r w:rsidR="00C9333F" w:rsidRPr="001477EF">
        <w:rPr>
          <w:rFonts w:eastAsia="Times New Roman" w:cs="Times New Roman"/>
          <w:color w:val="auto"/>
          <w:sz w:val="20"/>
          <w:szCs w:val="20"/>
          <w:lang w:val="en-GB"/>
        </w:rPr>
        <w:t xml:space="preserve"> are not allocating the necessary resources to protect and fulfil the right to housing of those people after eviction.</w:t>
      </w:r>
    </w:p>
    <w:p w14:paraId="343D4D75" w14:textId="1A3A46E8" w:rsidR="004755EA" w:rsidRPr="001477EF" w:rsidRDefault="00C9333F" w:rsidP="00D25FF7">
      <w:pPr>
        <w:pStyle w:val="RTBodyText"/>
        <w:rPr>
          <w:color w:val="auto"/>
          <w:sz w:val="20"/>
          <w:szCs w:val="20"/>
          <w:lang w:val="en-GB"/>
        </w:rPr>
      </w:pPr>
      <w:r w:rsidRPr="001477EF">
        <w:rPr>
          <w:color w:val="auto"/>
          <w:sz w:val="20"/>
          <w:szCs w:val="20"/>
          <w:lang w:val="en-GB"/>
        </w:rPr>
        <w:t>Between 2009 and 2018, when measures to meet a growing demand for social housing were particularly necessar</w:t>
      </w:r>
      <w:r w:rsidR="00355D75" w:rsidRPr="001477EF">
        <w:rPr>
          <w:color w:val="auto"/>
          <w:sz w:val="20"/>
          <w:szCs w:val="20"/>
          <w:lang w:val="en-GB"/>
        </w:rPr>
        <w:t xml:space="preserve">y, the government of Spain did not invest the necessary </w:t>
      </w:r>
      <w:r w:rsidRPr="001477EF">
        <w:rPr>
          <w:color w:val="auto"/>
          <w:sz w:val="20"/>
          <w:szCs w:val="20"/>
          <w:lang w:val="en-GB"/>
        </w:rPr>
        <w:t>resources in significantly and progressively increasing the social housing stock.</w:t>
      </w:r>
    </w:p>
    <w:p w14:paraId="343D4D76" w14:textId="77777777" w:rsidR="004755EA" w:rsidRPr="001477EF" w:rsidRDefault="00C9333F" w:rsidP="00D25FF7">
      <w:pPr>
        <w:pStyle w:val="RTBodyText"/>
        <w:rPr>
          <w:color w:val="auto"/>
          <w:sz w:val="20"/>
          <w:szCs w:val="20"/>
          <w:lang w:val="en-GB"/>
        </w:rPr>
      </w:pPr>
      <w:r w:rsidRPr="001477EF">
        <w:rPr>
          <w:color w:val="auto"/>
          <w:sz w:val="20"/>
          <w:szCs w:val="20"/>
          <w:lang w:val="en-GB"/>
        </w:rPr>
        <w:t>Where people affected by an eviction are unable to provide for themselves, the state must take all appropriate measures, to the maximum of available resources, to ensure that adequate alternative housing is made available.</w:t>
      </w:r>
      <w:r w:rsidRPr="001477EF">
        <w:rPr>
          <w:rStyle w:val="FootnoteReference"/>
          <w:rFonts w:eastAsia="Times New Roman" w:cs="Times New Roman"/>
          <w:color w:val="auto"/>
          <w:sz w:val="20"/>
          <w:szCs w:val="20"/>
          <w:lang w:val="en-GB"/>
        </w:rPr>
        <w:footnoteReference w:id="14"/>
      </w:r>
    </w:p>
    <w:p w14:paraId="343D4D77" w14:textId="77777777" w:rsidR="004755EA" w:rsidRPr="001477EF" w:rsidRDefault="00C9333F" w:rsidP="00D25FF7">
      <w:pPr>
        <w:pStyle w:val="RTBodyText"/>
        <w:rPr>
          <w:color w:val="auto"/>
          <w:sz w:val="20"/>
          <w:szCs w:val="20"/>
          <w:lang w:val="en-GB"/>
        </w:rPr>
      </w:pPr>
      <w:r w:rsidRPr="001477EF">
        <w:rPr>
          <w:color w:val="auto"/>
          <w:sz w:val="20"/>
          <w:szCs w:val="20"/>
          <w:lang w:val="en-GB"/>
        </w:rPr>
        <w:t>The UN Committee on Economic, Social and Cultural Rights and the Special Rapporteur on adequate housing have recommended consistently since 2008 that Spain invests more resources in increasing the social housing stock in order to meet demand, reiterating this recommendation in 2018.</w:t>
      </w:r>
      <w:r w:rsidRPr="001477EF">
        <w:rPr>
          <w:rStyle w:val="FootnoteReference"/>
          <w:rFonts w:eastAsia="Times New Roman" w:cs="Times New Roman"/>
          <w:color w:val="auto"/>
          <w:sz w:val="20"/>
          <w:szCs w:val="20"/>
          <w:lang w:val="en-GB"/>
        </w:rPr>
        <w:footnoteReference w:id="15"/>
      </w:r>
      <w:r w:rsidRPr="001477EF">
        <w:rPr>
          <w:color w:val="auto"/>
          <w:sz w:val="20"/>
          <w:szCs w:val="20"/>
          <w:vertAlign w:val="superscript"/>
          <w:lang w:val="en-GB"/>
        </w:rPr>
        <w:t xml:space="preserve"> </w:t>
      </w:r>
      <w:r w:rsidRPr="001477EF">
        <w:rPr>
          <w:color w:val="auto"/>
          <w:sz w:val="20"/>
          <w:szCs w:val="20"/>
          <w:lang w:val="en-GB"/>
        </w:rPr>
        <w:t>However, national authorities have continued to fail to meet this obligation.</w:t>
      </w:r>
    </w:p>
    <w:p w14:paraId="343D4D78" w14:textId="7D81B2BE" w:rsidR="004755EA" w:rsidRPr="001477EF" w:rsidRDefault="00C9333F" w:rsidP="00D25FF7">
      <w:pPr>
        <w:pStyle w:val="RTBodyText"/>
        <w:rPr>
          <w:color w:val="auto"/>
          <w:sz w:val="20"/>
          <w:szCs w:val="20"/>
          <w:lang w:val="en-GB"/>
        </w:rPr>
      </w:pPr>
      <w:r w:rsidRPr="001477EF">
        <w:rPr>
          <w:color w:val="auto"/>
          <w:sz w:val="20"/>
          <w:szCs w:val="20"/>
          <w:lang w:val="en-GB"/>
        </w:rPr>
        <w:lastRenderedPageBreak/>
        <w:t>During the economic crisis, the social housing budget experienced the most severe cuts in the Spanish public budget.</w:t>
      </w:r>
      <w:r w:rsidRPr="001477EF">
        <w:rPr>
          <w:rStyle w:val="FootnoteReference"/>
          <w:rFonts w:eastAsia="Times New Roman" w:cs="Times New Roman"/>
          <w:color w:val="auto"/>
          <w:sz w:val="20"/>
          <w:szCs w:val="20"/>
          <w:lang w:val="en-GB"/>
        </w:rPr>
        <w:footnoteReference w:id="16"/>
      </w:r>
      <w:r w:rsidRPr="001477EF">
        <w:rPr>
          <w:color w:val="auto"/>
          <w:sz w:val="20"/>
          <w:szCs w:val="20"/>
          <w:lang w:val="en-GB"/>
        </w:rPr>
        <w:t xml:space="preserve"> Between 2009 and 2018, the Spanish public budget for access to housing and support for housing renovation was cut by over 70</w:t>
      </w:r>
      <w:proofErr w:type="gramStart"/>
      <w:r w:rsidRPr="001477EF">
        <w:rPr>
          <w:color w:val="auto"/>
          <w:sz w:val="20"/>
          <w:szCs w:val="20"/>
          <w:lang w:val="en-GB"/>
        </w:rPr>
        <w:t>,4</w:t>
      </w:r>
      <w:proofErr w:type="gramEnd"/>
      <w:r w:rsidRPr="001477EF">
        <w:rPr>
          <w:color w:val="auto"/>
          <w:sz w:val="20"/>
          <w:szCs w:val="20"/>
          <w:lang w:val="en-GB"/>
        </w:rPr>
        <w:t xml:space="preserve"> %.</w:t>
      </w:r>
      <w:r w:rsidRPr="001477EF">
        <w:rPr>
          <w:rStyle w:val="FootnoteReference"/>
          <w:rFonts w:eastAsia="Times New Roman" w:cs="Times New Roman"/>
          <w:color w:val="auto"/>
          <w:sz w:val="20"/>
          <w:szCs w:val="20"/>
          <w:lang w:val="en-GB"/>
        </w:rPr>
        <w:footnoteReference w:id="17"/>
      </w:r>
      <w:r w:rsidRPr="001477EF">
        <w:rPr>
          <w:color w:val="auto"/>
          <w:sz w:val="20"/>
          <w:szCs w:val="20"/>
          <w:lang w:val="en-GB"/>
        </w:rPr>
        <w:t xml:space="preserve"> In 2019</w:t>
      </w:r>
      <w:r w:rsidR="007352D1" w:rsidRPr="001477EF">
        <w:rPr>
          <w:color w:val="auto"/>
          <w:sz w:val="20"/>
          <w:szCs w:val="20"/>
          <w:lang w:val="en-GB"/>
        </w:rPr>
        <w:t>,</w:t>
      </w:r>
      <w:r w:rsidRPr="001477EF">
        <w:rPr>
          <w:rFonts w:eastAsia="Times New Roman" w:cs="Times New Roman"/>
          <w:color w:val="auto"/>
          <w:sz w:val="20"/>
          <w:szCs w:val="20"/>
          <w:vertAlign w:val="superscript"/>
          <w:lang w:val="en-GB"/>
        </w:rPr>
        <w:t xml:space="preserve"> </w:t>
      </w:r>
      <w:r w:rsidRPr="001477EF">
        <w:rPr>
          <w:color w:val="auto"/>
          <w:sz w:val="20"/>
          <w:szCs w:val="20"/>
          <w:lang w:val="en-GB"/>
        </w:rPr>
        <w:t>there was an attempt by the government to increase the budget on housing, but it was not approved by the Parliament</w:t>
      </w:r>
      <w:r w:rsidR="007352D1" w:rsidRPr="001477EF">
        <w:rPr>
          <w:rStyle w:val="Fuentedeprrafopredeter"/>
          <w:iCs/>
          <w:color w:val="auto"/>
          <w:sz w:val="20"/>
          <w:szCs w:val="20"/>
          <w:lang w:val="en-GB"/>
        </w:rPr>
        <w:t xml:space="preserve">, so the </w:t>
      </w:r>
      <w:r w:rsidRPr="001477EF">
        <w:rPr>
          <w:rStyle w:val="Fuentedeprrafopredeter"/>
          <w:iCs/>
          <w:color w:val="auto"/>
          <w:sz w:val="20"/>
          <w:szCs w:val="20"/>
          <w:lang w:val="en-GB"/>
        </w:rPr>
        <w:t xml:space="preserve">2018 budget was extended which meant </w:t>
      </w:r>
      <w:r w:rsidR="007352D1" w:rsidRPr="001477EF">
        <w:rPr>
          <w:rStyle w:val="Fuentedeprrafopredeter"/>
          <w:iCs/>
          <w:color w:val="auto"/>
          <w:sz w:val="20"/>
          <w:szCs w:val="20"/>
          <w:lang w:val="en-GB"/>
        </w:rPr>
        <w:t xml:space="preserve">that there was no </w:t>
      </w:r>
      <w:r w:rsidRPr="001477EF">
        <w:rPr>
          <w:rStyle w:val="Fuentedeprrafopredeter"/>
          <w:iCs/>
          <w:color w:val="auto"/>
          <w:sz w:val="20"/>
          <w:szCs w:val="20"/>
          <w:lang w:val="en-GB"/>
        </w:rPr>
        <w:t>increase in the access to housing budget line.</w:t>
      </w:r>
    </w:p>
    <w:p w14:paraId="343D4D79" w14:textId="4B6920A6"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Social housing stock in Spain comprises only 2</w:t>
      </w:r>
      <w:proofErr w:type="gramStart"/>
      <w:r w:rsidRPr="001477EF">
        <w:rPr>
          <w:rFonts w:ascii="Amnesty Trade Gothic Light" w:hAnsi="Amnesty Trade Gothic Light"/>
          <w:sz w:val="20"/>
          <w:szCs w:val="20"/>
          <w:lang w:val="en-GB"/>
        </w:rPr>
        <w:t>,5</w:t>
      </w:r>
      <w:proofErr w:type="gramEnd"/>
      <w:r w:rsidRPr="001477EF">
        <w:rPr>
          <w:rFonts w:ascii="Amnesty Trade Gothic Light" w:hAnsi="Amnesty Trade Gothic Light"/>
          <w:sz w:val="20"/>
          <w:szCs w:val="20"/>
          <w:lang w:val="en-GB"/>
        </w:rPr>
        <w:t>% of all dwellings, compared to 30% in the Netherlands, 24% in Austria, 17,6 % in the UK or 16,8% in France.</w:t>
      </w:r>
      <w:r w:rsidRPr="001477EF">
        <w:rPr>
          <w:rStyle w:val="FootnoteReference"/>
          <w:rFonts w:ascii="Amnesty Trade Gothic Light" w:hAnsi="Amnesty Trade Gothic Light"/>
          <w:sz w:val="20"/>
          <w:szCs w:val="20"/>
          <w:lang w:val="en-GB"/>
        </w:rPr>
        <w:footnoteReference w:id="18"/>
      </w:r>
      <w:r w:rsidRPr="001477EF">
        <w:rPr>
          <w:rStyle w:val="FootnoteReference"/>
          <w:rFonts w:ascii="Amnesty Trade Gothic Light" w:hAnsi="Amnesty Trade Gothic Light"/>
          <w:sz w:val="20"/>
          <w:szCs w:val="20"/>
          <w:lang w:val="en-GB"/>
        </w:rPr>
        <w:t xml:space="preserve"> </w:t>
      </w:r>
      <w:r w:rsidR="007352D1" w:rsidRPr="001477EF">
        <w:rPr>
          <w:rFonts w:ascii="Amnesty Trade Gothic Light" w:hAnsi="Amnesty Trade Gothic Light"/>
          <w:sz w:val="20"/>
          <w:szCs w:val="20"/>
          <w:lang w:val="en-GB"/>
        </w:rPr>
        <w:t xml:space="preserve"> </w:t>
      </w:r>
      <w:r w:rsidRPr="001477EF">
        <w:rPr>
          <w:rFonts w:ascii="Amnesty Trade Gothic Light" w:hAnsi="Amnesty Trade Gothic Light"/>
          <w:sz w:val="20"/>
          <w:szCs w:val="20"/>
          <w:lang w:val="en-GB"/>
        </w:rPr>
        <w:t xml:space="preserve">This scarcity of social housing stock has had a devastating impact for low-income families, especially those who have not been provided any alternative housing following evictions. Many of these families are single parent households, headed by women. The lack of adequate social housing stock has meant that many families have had no choice but to seek housing in the private rental market where they have to pay higher rents. </w:t>
      </w:r>
    </w:p>
    <w:p w14:paraId="343D4D7A" w14:textId="77777777" w:rsidR="004755EA" w:rsidRPr="001477EF" w:rsidRDefault="004755EA" w:rsidP="00D25FF7">
      <w:pPr>
        <w:pStyle w:val="Standard"/>
        <w:rPr>
          <w:rFonts w:ascii="Amnesty Trade Gothic Light" w:hAnsi="Amnesty Trade Gothic Light"/>
          <w:sz w:val="20"/>
          <w:szCs w:val="20"/>
          <w:lang w:val="en-GB"/>
        </w:rPr>
      </w:pPr>
    </w:p>
    <w:p w14:paraId="343D4D7B"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Despite the shortage of social housing stock, both regional and municipal public authorities in Madrid sold 4.800 social housing units to investment trusts.</w:t>
      </w:r>
      <w:r w:rsidRPr="001477EF">
        <w:rPr>
          <w:rStyle w:val="FootnoteReference"/>
          <w:rFonts w:ascii="Amnesty Trade Gothic Light" w:hAnsi="Amnesty Trade Gothic Light"/>
          <w:sz w:val="20"/>
          <w:szCs w:val="20"/>
          <w:lang w:val="en-GB"/>
        </w:rPr>
        <w:footnoteReference w:id="19"/>
      </w:r>
    </w:p>
    <w:p w14:paraId="343D4D7C" w14:textId="77777777" w:rsidR="004755EA" w:rsidRPr="001477EF" w:rsidRDefault="004755EA" w:rsidP="00D25FF7">
      <w:pPr>
        <w:pStyle w:val="Standard"/>
        <w:rPr>
          <w:rFonts w:ascii="Amnesty Trade Gothic Light" w:hAnsi="Amnesty Trade Gothic Light"/>
          <w:sz w:val="20"/>
          <w:szCs w:val="20"/>
          <w:lang w:val="en-GB"/>
        </w:rPr>
      </w:pPr>
    </w:p>
    <w:p w14:paraId="343D4D7D" w14:textId="65022E73" w:rsidR="004755EA" w:rsidRPr="001477EF" w:rsidRDefault="007352D1"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The </w:t>
      </w:r>
      <w:r w:rsidR="00C9333F" w:rsidRPr="001477EF">
        <w:rPr>
          <w:rFonts w:ascii="Amnesty Trade Gothic Light" w:hAnsi="Amnesty Trade Gothic Light"/>
          <w:sz w:val="20"/>
          <w:szCs w:val="20"/>
          <w:lang w:val="en-GB"/>
        </w:rPr>
        <w:t>UN Special Rapporteur on adequate housing recommended that authorities in Spain make more intensive use of vacant buildings.</w:t>
      </w:r>
      <w:r w:rsidR="00C9333F" w:rsidRPr="001477EF">
        <w:rPr>
          <w:rStyle w:val="FootnoteReference"/>
          <w:rFonts w:ascii="Amnesty Trade Gothic Light" w:hAnsi="Amnesty Trade Gothic Light"/>
          <w:sz w:val="20"/>
          <w:szCs w:val="20"/>
          <w:lang w:val="en-GB"/>
        </w:rPr>
        <w:footnoteReference w:id="20"/>
      </w:r>
      <w:r w:rsidR="00C9333F" w:rsidRPr="001477EF">
        <w:rPr>
          <w:rFonts w:ascii="Amnesty Trade Gothic Light" w:hAnsi="Amnesty Trade Gothic Light"/>
          <w:sz w:val="20"/>
          <w:szCs w:val="20"/>
          <w:lang w:val="en-GB"/>
        </w:rPr>
        <w:t xml:space="preserve"> However, according to the latest official Population and Housing census, in 2011 there were 3</w:t>
      </w:r>
      <w:proofErr w:type="gramStart"/>
      <w:r w:rsidR="00C9333F" w:rsidRPr="001477EF">
        <w:rPr>
          <w:rFonts w:ascii="Amnesty Trade Gothic Light" w:hAnsi="Amnesty Trade Gothic Light"/>
          <w:sz w:val="20"/>
          <w:szCs w:val="20"/>
          <w:lang w:val="en-GB"/>
        </w:rPr>
        <w:t>,44</w:t>
      </w:r>
      <w:proofErr w:type="gramEnd"/>
      <w:r w:rsidR="00C9333F" w:rsidRPr="001477EF">
        <w:rPr>
          <w:rFonts w:ascii="Amnesty Trade Gothic Light" w:hAnsi="Amnesty Trade Gothic Light"/>
          <w:sz w:val="20"/>
          <w:szCs w:val="20"/>
          <w:lang w:val="en-GB"/>
        </w:rPr>
        <w:t xml:space="preserve"> million empty homes in Spain.</w:t>
      </w:r>
      <w:r w:rsidR="00C9333F" w:rsidRPr="001477EF">
        <w:rPr>
          <w:rStyle w:val="FootnoteReference"/>
          <w:rFonts w:ascii="Amnesty Trade Gothic Light" w:hAnsi="Amnesty Trade Gothic Light"/>
          <w:sz w:val="20"/>
          <w:szCs w:val="20"/>
          <w:lang w:val="en-GB"/>
        </w:rPr>
        <w:footnoteReference w:id="21"/>
      </w:r>
      <w:r w:rsidR="00C9333F" w:rsidRPr="001477EF">
        <w:rPr>
          <w:rFonts w:ascii="Amnesty Trade Gothic Light" w:hAnsi="Amnesty Trade Gothic Light"/>
          <w:sz w:val="20"/>
          <w:szCs w:val="20"/>
          <w:lang w:val="en-GB"/>
        </w:rPr>
        <w:t xml:space="preserve"> The number of empty homes increased by 10.8% between 2001 and 2011.</w:t>
      </w:r>
    </w:p>
    <w:p w14:paraId="343D4D7E" w14:textId="77777777" w:rsidR="004755EA" w:rsidRPr="001477EF" w:rsidRDefault="004755EA" w:rsidP="00D25FF7">
      <w:pPr>
        <w:pStyle w:val="Standard"/>
        <w:rPr>
          <w:rFonts w:ascii="Amnesty Trade Gothic Light" w:hAnsi="Amnesty Trade Gothic Light"/>
          <w:sz w:val="20"/>
          <w:szCs w:val="20"/>
          <w:lang w:val="en-GB"/>
        </w:rPr>
      </w:pPr>
    </w:p>
    <w:p w14:paraId="343D4D81" w14:textId="353420ED"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Measures included in the Royal Decree Law 7/2019 are also insufficient for increasing the social</w:t>
      </w:r>
      <w:r w:rsidR="00355D75" w:rsidRPr="001477EF">
        <w:rPr>
          <w:rFonts w:ascii="Amnesty Trade Gothic Light" w:hAnsi="Amnesty Trade Gothic Light"/>
          <w:sz w:val="20"/>
          <w:szCs w:val="20"/>
          <w:lang w:val="en-GB"/>
        </w:rPr>
        <w:t xml:space="preserve"> </w:t>
      </w:r>
      <w:r w:rsidRPr="001477EF">
        <w:rPr>
          <w:rFonts w:ascii="Amnesty Trade Gothic Light" w:hAnsi="Amnesty Trade Gothic Light"/>
          <w:sz w:val="20"/>
          <w:szCs w:val="20"/>
          <w:lang w:val="en-GB"/>
        </w:rPr>
        <w:t>housing rental stock as they do not include a time frame and a budget allocation.</w:t>
      </w:r>
      <w:r w:rsidRPr="001477EF">
        <w:rPr>
          <w:rStyle w:val="FootnoteReference"/>
          <w:rFonts w:ascii="Amnesty Trade Gothic Light" w:hAnsi="Amnesty Trade Gothic Light"/>
          <w:sz w:val="20"/>
          <w:szCs w:val="20"/>
          <w:lang w:val="en-GB"/>
        </w:rPr>
        <w:footnoteReference w:id="22"/>
      </w:r>
      <w:r w:rsidR="007352D1" w:rsidRPr="001477EF">
        <w:rPr>
          <w:rFonts w:ascii="Amnesty Trade Gothic Light" w:hAnsi="Amnesty Trade Gothic Light"/>
          <w:sz w:val="20"/>
          <w:szCs w:val="20"/>
          <w:lang w:val="en-GB"/>
        </w:rPr>
        <w:t xml:space="preserve"> </w:t>
      </w:r>
      <w:r w:rsidRPr="001477EF">
        <w:rPr>
          <w:rFonts w:ascii="Amnesty Trade Gothic Light" w:hAnsi="Amnesty Trade Gothic Light"/>
          <w:sz w:val="20"/>
          <w:szCs w:val="20"/>
          <w:lang w:val="en-GB"/>
        </w:rPr>
        <w:t>Regarding the</w:t>
      </w:r>
      <w:r w:rsidR="00355D75" w:rsidRPr="001477EF">
        <w:rPr>
          <w:rFonts w:ascii="Amnesty Trade Gothic Light" w:hAnsi="Amnesty Trade Gothic Light"/>
          <w:sz w:val="20"/>
          <w:szCs w:val="20"/>
          <w:lang w:val="en-GB"/>
        </w:rPr>
        <w:t xml:space="preserve"> </w:t>
      </w:r>
      <w:r w:rsidRPr="001477EF">
        <w:rPr>
          <w:rFonts w:ascii="Amnesty Trade Gothic Light" w:hAnsi="Amnesty Trade Gothic Light"/>
          <w:sz w:val="20"/>
          <w:szCs w:val="20"/>
          <w:lang w:val="en-GB"/>
        </w:rPr>
        <w:t>vacant buildings, it includes some fiscal measures</w:t>
      </w:r>
      <w:r w:rsidR="007352D1" w:rsidRPr="001477EF">
        <w:rPr>
          <w:rFonts w:ascii="Amnesty Trade Gothic Light" w:hAnsi="Amnesty Trade Gothic Light"/>
          <w:sz w:val="20"/>
          <w:szCs w:val="20"/>
          <w:lang w:val="en-GB"/>
        </w:rPr>
        <w:t>.</w:t>
      </w:r>
      <w:r w:rsidRPr="001477EF">
        <w:rPr>
          <w:rStyle w:val="FootnoteReference"/>
          <w:rFonts w:ascii="Amnesty Trade Gothic Light" w:hAnsi="Amnesty Trade Gothic Light"/>
          <w:sz w:val="20"/>
          <w:szCs w:val="20"/>
          <w:lang w:val="en-GB"/>
        </w:rPr>
        <w:footnoteReference w:id="23"/>
      </w:r>
      <w:r w:rsidRPr="001477EF">
        <w:rPr>
          <w:rFonts w:ascii="Amnesty Trade Gothic Light" w:hAnsi="Amnesty Trade Gothic Light"/>
          <w:sz w:val="20"/>
          <w:szCs w:val="20"/>
          <w:lang w:val="en-GB"/>
        </w:rPr>
        <w:t xml:space="preserve"> </w:t>
      </w:r>
      <w:r w:rsidR="007352D1" w:rsidRPr="001477EF">
        <w:rPr>
          <w:rFonts w:ascii="Amnesty Trade Gothic Light" w:hAnsi="Amnesty Trade Gothic Light"/>
          <w:sz w:val="20"/>
          <w:szCs w:val="20"/>
          <w:lang w:val="en-GB"/>
        </w:rPr>
        <w:t xml:space="preserve">However, </w:t>
      </w:r>
      <w:r w:rsidRPr="001477EF">
        <w:rPr>
          <w:rFonts w:ascii="Amnesty Trade Gothic Light" w:hAnsi="Amnesty Trade Gothic Light"/>
          <w:sz w:val="20"/>
          <w:szCs w:val="20"/>
          <w:lang w:val="en-GB"/>
        </w:rPr>
        <w:t>the law fails to d</w:t>
      </w:r>
      <w:r w:rsidR="00355D75" w:rsidRPr="001477EF">
        <w:rPr>
          <w:rFonts w:ascii="Amnesty Trade Gothic Light" w:hAnsi="Amnesty Trade Gothic Light"/>
          <w:sz w:val="20"/>
          <w:szCs w:val="20"/>
          <w:lang w:val="en-GB"/>
        </w:rPr>
        <w:t>efine what constitutes a vacant</w:t>
      </w:r>
      <w:r w:rsidRPr="001477EF">
        <w:rPr>
          <w:rFonts w:ascii="Amnesty Trade Gothic Light" w:hAnsi="Amnesty Trade Gothic Light"/>
          <w:sz w:val="20"/>
          <w:szCs w:val="20"/>
          <w:lang w:val="en-GB"/>
        </w:rPr>
        <w:t xml:space="preserve"> building. It instead leav</w:t>
      </w:r>
      <w:r w:rsidR="00355D75" w:rsidRPr="001477EF">
        <w:rPr>
          <w:rFonts w:ascii="Amnesty Trade Gothic Light" w:hAnsi="Amnesty Trade Gothic Light"/>
          <w:sz w:val="20"/>
          <w:szCs w:val="20"/>
          <w:lang w:val="en-GB"/>
        </w:rPr>
        <w:t xml:space="preserve">es the task of identifying and </w:t>
      </w:r>
      <w:r w:rsidRPr="001477EF">
        <w:rPr>
          <w:rFonts w:ascii="Amnesty Trade Gothic Light" w:hAnsi="Amnesty Trade Gothic Light"/>
          <w:sz w:val="20"/>
          <w:szCs w:val="20"/>
          <w:lang w:val="en-GB"/>
        </w:rPr>
        <w:t xml:space="preserve">defining ‘vacant building’ to </w:t>
      </w:r>
      <w:r w:rsidR="00355D75" w:rsidRPr="001477EF">
        <w:rPr>
          <w:rFonts w:ascii="Amnesty Trade Gothic Light" w:hAnsi="Amnesty Trade Gothic Light"/>
          <w:sz w:val="20"/>
          <w:szCs w:val="20"/>
          <w:lang w:val="en-GB"/>
        </w:rPr>
        <w:t>sectorial, autonomous or</w:t>
      </w:r>
      <w:r w:rsidRPr="001477EF">
        <w:rPr>
          <w:rFonts w:ascii="Amnesty Trade Gothic Light" w:hAnsi="Amnesty Trade Gothic Light"/>
          <w:sz w:val="20"/>
          <w:szCs w:val="20"/>
          <w:lang w:val="en-GB"/>
        </w:rPr>
        <w:t xml:space="preserve"> state housing regulations without establishing a time frame for doing so.</w:t>
      </w:r>
    </w:p>
    <w:p w14:paraId="343D4D82" w14:textId="77777777" w:rsidR="004755EA" w:rsidRPr="001477EF" w:rsidRDefault="004755EA" w:rsidP="00D25FF7">
      <w:pPr>
        <w:pStyle w:val="Standard"/>
        <w:rPr>
          <w:rFonts w:ascii="Times New Roman" w:hAnsi="Times New Roman"/>
          <w:lang w:val="en-GB"/>
        </w:rPr>
      </w:pPr>
    </w:p>
    <w:p w14:paraId="343D4D83" w14:textId="080832A2" w:rsidR="004755EA" w:rsidRPr="001477EF" w:rsidRDefault="00355D75" w:rsidP="00D25FF7">
      <w:pPr>
        <w:pStyle w:val="Heading4"/>
        <w:rPr>
          <w:lang w:val="en-GB"/>
        </w:rPr>
      </w:pPr>
      <w:r w:rsidRPr="001477EF">
        <w:rPr>
          <w:lang w:val="en-GB"/>
        </w:rPr>
        <w:t>1.</w:t>
      </w:r>
      <w:r w:rsidR="002A5538">
        <w:rPr>
          <w:lang w:val="en-GB"/>
        </w:rPr>
        <w:t xml:space="preserve">3 </w:t>
      </w:r>
      <w:r w:rsidR="00C9333F" w:rsidRPr="001477EF">
        <w:rPr>
          <w:lang w:val="en-GB"/>
        </w:rPr>
        <w:t>Affordability of the right to housing</w:t>
      </w:r>
    </w:p>
    <w:p w14:paraId="343D4D85"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In a context of social housing scarcity, Spain has not adopted adequate measures to protect people, especially those more vulnerable to discrimination and marginalisation, and who cannot afford renting in the private market or owning a property.</w:t>
      </w:r>
    </w:p>
    <w:p w14:paraId="343D4D86" w14:textId="77777777" w:rsidR="004755EA" w:rsidRPr="001477EF" w:rsidRDefault="004755EA" w:rsidP="00D25FF7">
      <w:pPr>
        <w:pStyle w:val="Standard"/>
        <w:rPr>
          <w:rFonts w:ascii="Amnesty Trade Gothic Light" w:hAnsi="Amnesty Trade Gothic Light"/>
          <w:sz w:val="20"/>
          <w:szCs w:val="20"/>
          <w:lang w:val="en-GB"/>
        </w:rPr>
      </w:pPr>
    </w:p>
    <w:p w14:paraId="343D4D87"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In order to comply with international human rights obligations, housing must be affordable. The state must not only ensure that the average cost of housing is proportionate to average income</w:t>
      </w:r>
      <w:r w:rsidRPr="001477EF">
        <w:rPr>
          <w:rStyle w:val="FootnoteReference"/>
          <w:rFonts w:ascii="Amnesty Trade Gothic Light" w:hAnsi="Amnesty Trade Gothic Light"/>
          <w:sz w:val="20"/>
          <w:szCs w:val="20"/>
          <w:lang w:val="en-GB"/>
        </w:rPr>
        <w:footnoteReference w:id="24"/>
      </w:r>
      <w:r w:rsidRPr="001477EF">
        <w:rPr>
          <w:rFonts w:ascii="Amnesty Trade Gothic Light" w:hAnsi="Amnesty Trade Gothic Light"/>
          <w:sz w:val="20"/>
          <w:szCs w:val="20"/>
          <w:lang w:val="en-GB"/>
        </w:rPr>
        <w:t>, it must also make sure that housing is affordable for all, including the most disadvantaged households, in line with their limited resources.</w:t>
      </w:r>
    </w:p>
    <w:p w14:paraId="343D4D88" w14:textId="77777777" w:rsidR="004755EA" w:rsidRPr="001477EF" w:rsidRDefault="004755EA" w:rsidP="00D25FF7">
      <w:pPr>
        <w:pStyle w:val="Standard"/>
        <w:rPr>
          <w:rFonts w:ascii="Amnesty Trade Gothic Light" w:hAnsi="Amnesty Trade Gothic Light"/>
          <w:sz w:val="20"/>
          <w:szCs w:val="20"/>
          <w:lang w:val="en-GB"/>
        </w:rPr>
      </w:pPr>
    </w:p>
    <w:p w14:paraId="343D4D89"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The UN Committee on Economic, Social and Cultural Rights has already expressed its concern about the </w:t>
      </w:r>
      <w:r w:rsidRPr="001477EF">
        <w:rPr>
          <w:rFonts w:ascii="Amnesty Trade Gothic Light" w:hAnsi="Amnesty Trade Gothic Light"/>
          <w:i/>
          <w:sz w:val="20"/>
          <w:szCs w:val="20"/>
          <w:lang w:val="en-GB"/>
        </w:rPr>
        <w:t xml:space="preserve">"growing lack of affordability” </w:t>
      </w:r>
      <w:r w:rsidRPr="001477EF">
        <w:rPr>
          <w:rFonts w:ascii="Amnesty Trade Gothic Light" w:hAnsi="Amnesty Trade Gothic Light"/>
          <w:sz w:val="20"/>
          <w:szCs w:val="20"/>
          <w:lang w:val="en-GB"/>
        </w:rPr>
        <w:t xml:space="preserve">of housing in Spain and recommended the adoption of </w:t>
      </w:r>
      <w:r w:rsidRPr="001477EF">
        <w:rPr>
          <w:rFonts w:ascii="Amnesty Trade Gothic Light" w:hAnsi="Amnesty Trade Gothic Light"/>
          <w:i/>
          <w:sz w:val="20"/>
          <w:szCs w:val="20"/>
          <w:lang w:val="en-GB"/>
        </w:rPr>
        <w:t>"necessary measures to regulate the private housing market in order to facilitate the accessibility, availability and affordability of adequate housing for low-income people".</w:t>
      </w:r>
      <w:r w:rsidRPr="001477EF">
        <w:rPr>
          <w:rStyle w:val="FootnoteReference"/>
          <w:rFonts w:ascii="Amnesty Trade Gothic Light" w:hAnsi="Amnesty Trade Gothic Light"/>
          <w:i/>
          <w:sz w:val="20"/>
          <w:szCs w:val="20"/>
          <w:lang w:val="en-GB"/>
        </w:rPr>
        <w:footnoteReference w:id="25"/>
      </w:r>
    </w:p>
    <w:p w14:paraId="343D4D8A" w14:textId="77777777" w:rsidR="004755EA" w:rsidRPr="001477EF" w:rsidRDefault="004755EA" w:rsidP="00D25FF7">
      <w:pPr>
        <w:pStyle w:val="Standard"/>
        <w:rPr>
          <w:rFonts w:ascii="Amnesty Trade Gothic Light" w:hAnsi="Amnesty Trade Gothic Light"/>
          <w:sz w:val="20"/>
          <w:szCs w:val="20"/>
          <w:lang w:val="en-GB"/>
        </w:rPr>
      </w:pPr>
    </w:p>
    <w:p w14:paraId="343D4D8B" w14:textId="3410A83F"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lastRenderedPageBreak/>
        <w:t>In Spain, the lack of public investment is offset by an increase in private spending. The personal expenditure on housing has increased from 17.4% of total household expenditure in 2005 to 21</w:t>
      </w:r>
      <w:proofErr w:type="gramStart"/>
      <w:r w:rsidRPr="001477EF">
        <w:rPr>
          <w:rFonts w:ascii="Amnesty Trade Gothic Light" w:hAnsi="Amnesty Trade Gothic Light"/>
          <w:sz w:val="20"/>
          <w:szCs w:val="20"/>
          <w:lang w:val="en-GB"/>
        </w:rPr>
        <w:t>,9</w:t>
      </w:r>
      <w:proofErr w:type="gramEnd"/>
      <w:r w:rsidRPr="001477EF">
        <w:rPr>
          <w:rFonts w:ascii="Amnesty Trade Gothic Light" w:hAnsi="Amnesty Trade Gothic Light"/>
          <w:sz w:val="20"/>
          <w:szCs w:val="20"/>
          <w:lang w:val="en-GB"/>
        </w:rPr>
        <w:t>% in 2018</w:t>
      </w:r>
      <w:r w:rsidR="00D840A8" w:rsidRPr="001477EF">
        <w:rPr>
          <w:rFonts w:ascii="Amnesty Trade Gothic Light" w:hAnsi="Amnesty Trade Gothic Light"/>
          <w:sz w:val="20"/>
          <w:szCs w:val="20"/>
          <w:lang w:val="en-GB"/>
        </w:rPr>
        <w:t>.</w:t>
      </w:r>
      <w:r w:rsidRPr="001477EF">
        <w:rPr>
          <w:rStyle w:val="FootnoteReference"/>
          <w:rFonts w:ascii="Amnesty Trade Gothic Light" w:hAnsi="Amnesty Trade Gothic Light"/>
          <w:sz w:val="20"/>
          <w:szCs w:val="20"/>
          <w:lang w:val="en-GB"/>
        </w:rPr>
        <w:footnoteReference w:id="26"/>
      </w:r>
      <w:r w:rsidRPr="001477EF">
        <w:rPr>
          <w:rFonts w:ascii="Amnesty Trade Gothic Light" w:hAnsi="Amnesty Trade Gothic Light"/>
          <w:sz w:val="20"/>
          <w:szCs w:val="20"/>
          <w:lang w:val="en-GB"/>
        </w:rPr>
        <w:t xml:space="preserve"> </w:t>
      </w:r>
    </w:p>
    <w:p w14:paraId="343D4D8C" w14:textId="77777777" w:rsidR="004755EA" w:rsidRPr="001477EF" w:rsidRDefault="004755EA" w:rsidP="00D25FF7">
      <w:pPr>
        <w:pStyle w:val="Standard"/>
        <w:rPr>
          <w:rFonts w:ascii="Amnesty Trade Gothic Light" w:hAnsi="Amnesty Trade Gothic Light"/>
          <w:sz w:val="20"/>
          <w:szCs w:val="20"/>
          <w:lang w:val="en-GB"/>
        </w:rPr>
      </w:pPr>
    </w:p>
    <w:p w14:paraId="343D4D8D" w14:textId="72B8111F"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The price of rental housing in Spain has gone up more than 50% since it hit lows at the end of 2013 to </w:t>
      </w:r>
      <w:r w:rsidR="00355D75" w:rsidRPr="001477EF">
        <w:rPr>
          <w:rFonts w:ascii="Amnesty Trade Gothic Light" w:hAnsi="Amnesty Trade Gothic Light"/>
          <w:sz w:val="20"/>
          <w:szCs w:val="20"/>
          <w:lang w:val="en-GB"/>
        </w:rPr>
        <w:t>the peak observed in May 2019.</w:t>
      </w:r>
      <w:r w:rsidRPr="001477EF">
        <w:rPr>
          <w:rStyle w:val="FootnoteReference"/>
          <w:rFonts w:ascii="Amnesty Trade Gothic Light" w:hAnsi="Amnesty Trade Gothic Light"/>
          <w:sz w:val="20"/>
          <w:szCs w:val="20"/>
          <w:lang w:val="en-GB"/>
        </w:rPr>
        <w:footnoteReference w:id="27"/>
      </w:r>
      <w:r w:rsidRPr="001477EF">
        <w:rPr>
          <w:rFonts w:ascii="Amnesty Trade Gothic Light" w:hAnsi="Amnesty Trade Gothic Light"/>
          <w:sz w:val="20"/>
          <w:szCs w:val="20"/>
          <w:lang w:val="en-GB"/>
        </w:rPr>
        <w:t xml:space="preserve"> </w:t>
      </w:r>
    </w:p>
    <w:p w14:paraId="343D4D8E" w14:textId="77777777" w:rsidR="004755EA" w:rsidRPr="001477EF" w:rsidRDefault="004755EA" w:rsidP="00D25FF7">
      <w:pPr>
        <w:pStyle w:val="Standard"/>
        <w:rPr>
          <w:rFonts w:ascii="Amnesty Trade Gothic Light" w:hAnsi="Amnesty Trade Gothic Light"/>
          <w:sz w:val="20"/>
          <w:szCs w:val="20"/>
          <w:lang w:val="en-GB"/>
        </w:rPr>
      </w:pPr>
    </w:p>
    <w:p w14:paraId="343D4D8F" w14:textId="5A916531"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During the economic crisis, average rental housing prices went down by 31.2% between 2007 and 2014, but came back up by 2.8% in the first quarter of 2015</w:t>
      </w:r>
      <w:r w:rsidRPr="001477EF">
        <w:rPr>
          <w:rStyle w:val="FootnoteReference"/>
          <w:rFonts w:ascii="Amnesty Trade Gothic Light" w:hAnsi="Amnesty Trade Gothic Light"/>
          <w:sz w:val="20"/>
          <w:szCs w:val="20"/>
          <w:lang w:val="en-GB"/>
        </w:rPr>
        <w:footnoteReference w:id="28"/>
      </w:r>
      <w:r w:rsidR="00D840A8" w:rsidRPr="001477EF">
        <w:rPr>
          <w:rFonts w:ascii="Amnesty Trade Gothic Light" w:hAnsi="Amnesty Trade Gothic Light"/>
          <w:sz w:val="20"/>
          <w:szCs w:val="20"/>
          <w:lang w:val="en-GB"/>
        </w:rPr>
        <w:t>. I</w:t>
      </w:r>
      <w:r w:rsidRPr="001477EF">
        <w:rPr>
          <w:rFonts w:ascii="Amnesty Trade Gothic Light" w:hAnsi="Amnesty Trade Gothic Light"/>
          <w:sz w:val="20"/>
          <w:szCs w:val="20"/>
          <w:lang w:val="en-GB"/>
        </w:rPr>
        <w:t>n the course of 2017, they increased by 8</w:t>
      </w:r>
      <w:proofErr w:type="gramStart"/>
      <w:r w:rsidRPr="001477EF">
        <w:rPr>
          <w:rFonts w:ascii="Amnesty Trade Gothic Light" w:hAnsi="Amnesty Trade Gothic Light"/>
          <w:sz w:val="20"/>
          <w:szCs w:val="20"/>
          <w:lang w:val="en-GB"/>
        </w:rPr>
        <w:t>,9</w:t>
      </w:r>
      <w:proofErr w:type="gramEnd"/>
      <w:r w:rsidRPr="001477EF">
        <w:rPr>
          <w:rFonts w:ascii="Amnesty Trade Gothic Light" w:hAnsi="Amnesty Trade Gothic Light"/>
          <w:sz w:val="20"/>
          <w:szCs w:val="20"/>
          <w:lang w:val="en-GB"/>
        </w:rPr>
        <w:t>%, the sharpest increase ever recorded since 2006.</w:t>
      </w:r>
      <w:r w:rsidRPr="001477EF">
        <w:rPr>
          <w:rStyle w:val="FootnoteReference"/>
          <w:rFonts w:ascii="Amnesty Trade Gothic Light" w:hAnsi="Amnesty Trade Gothic Light"/>
          <w:sz w:val="20"/>
          <w:szCs w:val="20"/>
          <w:lang w:val="en-GB"/>
        </w:rPr>
        <w:footnoteReference w:id="29"/>
      </w:r>
      <w:r w:rsidRPr="001477EF">
        <w:rPr>
          <w:rFonts w:ascii="Amnesty Trade Gothic Light" w:hAnsi="Amnesty Trade Gothic Light"/>
          <w:sz w:val="20"/>
          <w:szCs w:val="20"/>
          <w:lang w:val="en-GB"/>
        </w:rPr>
        <w:t xml:space="preserve"> However, in some cities recent rises in rental prices have been particularly steep, like Madrid and Barcelona. In addition, although salaries have gone up by 2</w:t>
      </w:r>
      <w:proofErr w:type="gramStart"/>
      <w:r w:rsidRPr="001477EF">
        <w:rPr>
          <w:rFonts w:ascii="Amnesty Trade Gothic Light" w:hAnsi="Amnesty Trade Gothic Light"/>
          <w:sz w:val="20"/>
          <w:szCs w:val="20"/>
          <w:lang w:val="en-GB"/>
        </w:rPr>
        <w:t>,2</w:t>
      </w:r>
      <w:proofErr w:type="gramEnd"/>
      <w:r w:rsidR="00D840A8" w:rsidRPr="001477EF">
        <w:rPr>
          <w:rFonts w:ascii="Amnesty Trade Gothic Light" w:hAnsi="Amnesty Trade Gothic Light"/>
          <w:sz w:val="20"/>
          <w:szCs w:val="20"/>
          <w:lang w:val="en-GB"/>
        </w:rPr>
        <w:t>%</w:t>
      </w:r>
      <w:r w:rsidRPr="001477EF">
        <w:rPr>
          <w:rFonts w:ascii="Amnesty Trade Gothic Light" w:hAnsi="Amnesty Trade Gothic Light"/>
          <w:sz w:val="20"/>
          <w:szCs w:val="20"/>
          <w:lang w:val="en-GB"/>
        </w:rPr>
        <w:t xml:space="preserve"> during last year</w:t>
      </w:r>
      <w:r w:rsidRPr="001477EF">
        <w:rPr>
          <w:rStyle w:val="FootnoteReference"/>
          <w:rFonts w:ascii="Amnesty Trade Gothic Light" w:hAnsi="Amnesty Trade Gothic Light"/>
          <w:sz w:val="20"/>
          <w:szCs w:val="20"/>
          <w:lang w:val="en-GB"/>
        </w:rPr>
        <w:footnoteReference w:id="30"/>
      </w:r>
      <w:r w:rsidRPr="001477EF">
        <w:rPr>
          <w:rFonts w:ascii="Amnesty Trade Gothic Light" w:hAnsi="Amnesty Trade Gothic Light"/>
          <w:sz w:val="20"/>
          <w:szCs w:val="20"/>
          <w:lang w:val="en-GB"/>
        </w:rPr>
        <w:t xml:space="preserve"> in the last decade salaries lost 7,8% of their purchasing power.</w:t>
      </w:r>
      <w:r w:rsidRPr="001477EF">
        <w:rPr>
          <w:rStyle w:val="FootnoteReference"/>
          <w:rFonts w:ascii="Amnesty Trade Gothic Light" w:hAnsi="Amnesty Trade Gothic Light"/>
          <w:sz w:val="20"/>
          <w:szCs w:val="20"/>
          <w:lang w:val="en-GB"/>
        </w:rPr>
        <w:footnoteReference w:id="31"/>
      </w:r>
    </w:p>
    <w:p w14:paraId="343D4D90" w14:textId="77777777" w:rsidR="004755EA" w:rsidRPr="001477EF" w:rsidRDefault="004755EA" w:rsidP="00D25FF7">
      <w:pPr>
        <w:pStyle w:val="Standard"/>
        <w:rPr>
          <w:rFonts w:ascii="Amnesty Trade Gothic Light" w:hAnsi="Amnesty Trade Gothic Light"/>
          <w:sz w:val="20"/>
          <w:szCs w:val="20"/>
          <w:lang w:val="en-GB"/>
        </w:rPr>
      </w:pPr>
    </w:p>
    <w:p w14:paraId="343D4D91" w14:textId="706187FB" w:rsidR="004755EA" w:rsidRPr="001477EF" w:rsidRDefault="00D840A8"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In addition, </w:t>
      </w:r>
      <w:r w:rsidR="00C9333F" w:rsidRPr="001477EF">
        <w:rPr>
          <w:rFonts w:ascii="Amnesty Trade Gothic Light" w:hAnsi="Amnesty Trade Gothic Light"/>
          <w:sz w:val="20"/>
          <w:szCs w:val="20"/>
          <w:lang w:val="en-GB"/>
        </w:rPr>
        <w:t>36</w:t>
      </w:r>
      <w:proofErr w:type="gramStart"/>
      <w:r w:rsidR="00C9333F" w:rsidRPr="001477EF">
        <w:rPr>
          <w:rFonts w:ascii="Amnesty Trade Gothic Light" w:hAnsi="Amnesty Trade Gothic Light"/>
          <w:sz w:val="20"/>
          <w:szCs w:val="20"/>
          <w:lang w:val="en-GB"/>
        </w:rPr>
        <w:t>,9</w:t>
      </w:r>
      <w:proofErr w:type="gramEnd"/>
      <w:r w:rsidR="00C9333F" w:rsidRPr="001477EF">
        <w:rPr>
          <w:rFonts w:ascii="Amnesty Trade Gothic Light" w:hAnsi="Amnesty Trade Gothic Light"/>
          <w:sz w:val="20"/>
          <w:szCs w:val="20"/>
          <w:lang w:val="en-GB"/>
        </w:rPr>
        <w:t>% of working people in Spain earn less than twice the Interprofessional Minimum Wage. Of these, 40</w:t>
      </w:r>
      <w:proofErr w:type="gramStart"/>
      <w:r w:rsidR="00C9333F" w:rsidRPr="001477EF">
        <w:rPr>
          <w:rFonts w:ascii="Amnesty Trade Gothic Light" w:hAnsi="Amnesty Trade Gothic Light"/>
          <w:sz w:val="20"/>
          <w:szCs w:val="20"/>
          <w:lang w:val="en-GB"/>
        </w:rPr>
        <w:t>,3</w:t>
      </w:r>
      <w:proofErr w:type="gramEnd"/>
      <w:r w:rsidR="00C9333F" w:rsidRPr="001477EF">
        <w:rPr>
          <w:rFonts w:ascii="Amnesty Trade Gothic Light" w:hAnsi="Amnesty Trade Gothic Light"/>
          <w:sz w:val="20"/>
          <w:szCs w:val="20"/>
          <w:lang w:val="en-GB"/>
        </w:rPr>
        <w:t>% are women, compared to 33.7% of men.</w:t>
      </w:r>
      <w:r w:rsidR="00C9333F" w:rsidRPr="001477EF">
        <w:rPr>
          <w:rStyle w:val="FootnoteReference"/>
          <w:rFonts w:ascii="Amnesty Trade Gothic Light" w:hAnsi="Amnesty Trade Gothic Light"/>
          <w:sz w:val="20"/>
          <w:szCs w:val="20"/>
          <w:lang w:val="en-GB"/>
        </w:rPr>
        <w:footnoteReference w:id="32"/>
      </w:r>
      <w:r w:rsidR="00C9333F" w:rsidRPr="001477EF">
        <w:rPr>
          <w:rFonts w:ascii="Amnesty Trade Gothic Light" w:hAnsi="Amnesty Trade Gothic Light"/>
          <w:sz w:val="20"/>
          <w:szCs w:val="20"/>
          <w:lang w:val="en-GB"/>
        </w:rPr>
        <w:t xml:space="preserve"> The at-risk-of-poverty rate is 21.5%</w:t>
      </w:r>
      <w:r w:rsidR="00C9333F" w:rsidRPr="001477EF">
        <w:rPr>
          <w:rStyle w:val="FootnoteReference"/>
          <w:rFonts w:ascii="Amnesty Trade Gothic Light" w:hAnsi="Amnesty Trade Gothic Light"/>
          <w:sz w:val="20"/>
          <w:szCs w:val="20"/>
          <w:lang w:val="en-GB"/>
        </w:rPr>
        <w:footnoteReference w:id="33"/>
      </w:r>
      <w:proofErr w:type="spellStart"/>
      <w:r w:rsidRPr="001477EF">
        <w:rPr>
          <w:rFonts w:ascii="Amnesty Trade Gothic Light" w:hAnsi="Amnesty Trade Gothic Light"/>
          <w:sz w:val="20"/>
          <w:szCs w:val="20"/>
          <w:lang w:val="en-GB"/>
        </w:rPr>
        <w:t>which</w:t>
      </w:r>
      <w:r w:rsidR="00C9333F" w:rsidRPr="001477EF">
        <w:rPr>
          <w:rFonts w:ascii="Amnesty Trade Gothic Light" w:hAnsi="Amnesty Trade Gothic Light"/>
          <w:sz w:val="20"/>
          <w:szCs w:val="20"/>
          <w:lang w:val="en-GB"/>
        </w:rPr>
        <w:t>t</w:t>
      </w:r>
      <w:proofErr w:type="spellEnd"/>
      <w:r w:rsidR="00C9333F" w:rsidRPr="001477EF">
        <w:rPr>
          <w:rFonts w:ascii="Amnesty Trade Gothic Light" w:hAnsi="Amnesty Trade Gothic Light"/>
          <w:sz w:val="20"/>
          <w:szCs w:val="20"/>
          <w:lang w:val="en-GB"/>
        </w:rPr>
        <w:t xml:space="preserve"> rises up till 42</w:t>
      </w:r>
      <w:proofErr w:type="gramStart"/>
      <w:r w:rsidR="00C9333F" w:rsidRPr="001477EF">
        <w:rPr>
          <w:rFonts w:ascii="Amnesty Trade Gothic Light" w:hAnsi="Amnesty Trade Gothic Light"/>
          <w:sz w:val="20"/>
          <w:szCs w:val="20"/>
          <w:lang w:val="en-GB"/>
        </w:rPr>
        <w:t>,9</w:t>
      </w:r>
      <w:proofErr w:type="gramEnd"/>
      <w:r w:rsidR="00C9333F" w:rsidRPr="001477EF">
        <w:rPr>
          <w:rFonts w:ascii="Amnesty Trade Gothic Light" w:hAnsi="Amnesty Trade Gothic Light"/>
          <w:sz w:val="20"/>
          <w:szCs w:val="20"/>
          <w:lang w:val="en-GB"/>
        </w:rPr>
        <w:t>%</w:t>
      </w:r>
      <w:r w:rsidR="00C9333F" w:rsidRPr="001477EF">
        <w:rPr>
          <w:rStyle w:val="FootnoteReference"/>
          <w:rFonts w:ascii="Amnesty Trade Gothic Light" w:hAnsi="Amnesty Trade Gothic Light"/>
          <w:sz w:val="20"/>
          <w:szCs w:val="20"/>
          <w:lang w:val="en-GB"/>
        </w:rPr>
        <w:footnoteReference w:id="34"/>
      </w:r>
      <w:r w:rsidR="00C9333F" w:rsidRPr="001477EF">
        <w:rPr>
          <w:rFonts w:ascii="Amnesty Trade Gothic Light" w:hAnsi="Amnesty Trade Gothic Light"/>
          <w:sz w:val="20"/>
          <w:szCs w:val="20"/>
          <w:lang w:val="en-GB"/>
        </w:rPr>
        <w:t xml:space="preserve"> for single-parent </w:t>
      </w:r>
      <w:r w:rsidR="00C9333F" w:rsidRPr="001477EF">
        <w:rPr>
          <w:rFonts w:ascii="Amnesty Trade Gothic Light" w:hAnsi="Amnesty Trade Gothic Light"/>
          <w:sz w:val="20"/>
          <w:szCs w:val="20"/>
          <w:lang w:val="en-GB"/>
        </w:rPr>
        <w:lastRenderedPageBreak/>
        <w:t xml:space="preserve">families, and in the case of </w:t>
      </w:r>
      <w:r w:rsidRPr="001477EF">
        <w:rPr>
          <w:rFonts w:ascii="Amnesty Trade Gothic Light" w:hAnsi="Amnesty Trade Gothic Light"/>
          <w:sz w:val="20"/>
          <w:szCs w:val="20"/>
          <w:lang w:val="en-GB"/>
        </w:rPr>
        <w:t>single-parent families</w:t>
      </w:r>
      <w:r w:rsidR="00C9333F" w:rsidRPr="001477EF">
        <w:rPr>
          <w:rFonts w:ascii="Amnesty Trade Gothic Light" w:hAnsi="Amnesty Trade Gothic Light"/>
          <w:sz w:val="20"/>
          <w:szCs w:val="20"/>
          <w:lang w:val="en-GB"/>
        </w:rPr>
        <w:t xml:space="preserve"> headed by women it is 81,8%.</w:t>
      </w:r>
      <w:r w:rsidR="00C9333F" w:rsidRPr="001477EF">
        <w:rPr>
          <w:rStyle w:val="FootnoteReference"/>
          <w:rFonts w:ascii="Amnesty Trade Gothic Light" w:hAnsi="Amnesty Trade Gothic Light"/>
          <w:sz w:val="20"/>
          <w:szCs w:val="20"/>
          <w:lang w:val="en-GB"/>
        </w:rPr>
        <w:footnoteReference w:id="35"/>
      </w:r>
      <w:r w:rsidRPr="001477EF">
        <w:rPr>
          <w:rFonts w:ascii="Amnesty Trade Gothic Light" w:hAnsi="Amnesty Trade Gothic Light"/>
          <w:sz w:val="20"/>
          <w:szCs w:val="20"/>
          <w:lang w:val="en-GB"/>
        </w:rPr>
        <w:t xml:space="preserve"> </w:t>
      </w:r>
      <w:r w:rsidR="00C9333F" w:rsidRPr="001477EF">
        <w:rPr>
          <w:rFonts w:ascii="Amnesty Trade Gothic Light" w:hAnsi="Amnesty Trade Gothic Light"/>
          <w:sz w:val="20"/>
          <w:szCs w:val="20"/>
          <w:lang w:val="en-GB"/>
        </w:rPr>
        <w:t xml:space="preserve"> </w:t>
      </w:r>
      <w:r w:rsidRPr="001477EF">
        <w:rPr>
          <w:rFonts w:ascii="Amnesty Trade Gothic Light" w:hAnsi="Amnesty Trade Gothic Light"/>
          <w:sz w:val="20"/>
          <w:szCs w:val="20"/>
          <w:lang w:val="en-GB"/>
        </w:rPr>
        <w:t>W</w:t>
      </w:r>
      <w:r w:rsidR="00C9333F" w:rsidRPr="001477EF">
        <w:rPr>
          <w:rFonts w:ascii="Amnesty Trade Gothic Light" w:hAnsi="Amnesty Trade Gothic Light"/>
          <w:sz w:val="20"/>
          <w:szCs w:val="20"/>
          <w:lang w:val="en-GB"/>
        </w:rPr>
        <w:t>omen's unemployment rate is a 16</w:t>
      </w:r>
      <w:proofErr w:type="gramStart"/>
      <w:r w:rsidR="00C9333F" w:rsidRPr="001477EF">
        <w:rPr>
          <w:rFonts w:ascii="Amnesty Trade Gothic Light" w:hAnsi="Amnesty Trade Gothic Light"/>
          <w:sz w:val="20"/>
          <w:szCs w:val="20"/>
          <w:lang w:val="en-GB"/>
        </w:rPr>
        <w:t>,2</w:t>
      </w:r>
      <w:proofErr w:type="gramEnd"/>
      <w:r w:rsidRPr="001477EF">
        <w:rPr>
          <w:rFonts w:ascii="Amnesty Trade Gothic Light" w:hAnsi="Amnesty Trade Gothic Light"/>
          <w:sz w:val="20"/>
          <w:szCs w:val="20"/>
          <w:lang w:val="en-GB"/>
        </w:rPr>
        <w:t>%</w:t>
      </w:r>
      <w:r w:rsidR="00C9333F" w:rsidRPr="001477EF">
        <w:rPr>
          <w:rFonts w:ascii="Amnesty Trade Gothic Light" w:hAnsi="Amnesty Trade Gothic Light"/>
          <w:sz w:val="20"/>
          <w:szCs w:val="20"/>
          <w:lang w:val="en-GB"/>
        </w:rPr>
        <w:t xml:space="preserve"> while men's rate is a 13,1% en 2018.</w:t>
      </w:r>
      <w:r w:rsidR="00C9333F" w:rsidRPr="001477EF">
        <w:rPr>
          <w:rStyle w:val="FootnoteReference"/>
          <w:rFonts w:ascii="Amnesty Trade Gothic Light" w:hAnsi="Amnesty Trade Gothic Light"/>
          <w:sz w:val="20"/>
          <w:szCs w:val="20"/>
          <w:lang w:val="en-GB"/>
        </w:rPr>
        <w:footnoteReference w:id="36"/>
      </w:r>
    </w:p>
    <w:p w14:paraId="343D4D92" w14:textId="77777777" w:rsidR="004755EA" w:rsidRPr="001477EF" w:rsidRDefault="004755EA" w:rsidP="00D25FF7">
      <w:pPr>
        <w:pStyle w:val="Standard"/>
        <w:rPr>
          <w:rFonts w:ascii="Amnesty Trade Gothic Light" w:hAnsi="Amnesty Trade Gothic Light"/>
          <w:sz w:val="20"/>
          <w:szCs w:val="20"/>
          <w:lang w:val="en-GB"/>
        </w:rPr>
      </w:pPr>
    </w:p>
    <w:p w14:paraId="343D4D93"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The Royal Decree Law includes in its explanatory memorandum the need to </w:t>
      </w:r>
      <w:r w:rsidRPr="001477EF">
        <w:rPr>
          <w:rFonts w:ascii="Amnesty Trade Gothic Light" w:hAnsi="Amnesty Trade Gothic Light"/>
          <w:i/>
          <w:sz w:val="20"/>
          <w:szCs w:val="20"/>
          <w:lang w:val="en-GB"/>
        </w:rPr>
        <w:t>“address the serious situation of economic and social vulnerability of a large number of families to meet the payments for a home"</w:t>
      </w:r>
      <w:r w:rsidRPr="001477EF">
        <w:rPr>
          <w:rFonts w:ascii="Amnesty Trade Gothic Light" w:hAnsi="Amnesty Trade Gothic Light"/>
          <w:sz w:val="20"/>
          <w:szCs w:val="20"/>
          <w:lang w:val="en-GB"/>
        </w:rPr>
        <w:t xml:space="preserve">. It also highlights the fact that </w:t>
      </w:r>
      <w:r w:rsidRPr="001477EF">
        <w:rPr>
          <w:rFonts w:ascii="Amnesty Trade Gothic Light" w:hAnsi="Amnesty Trade Gothic Light"/>
          <w:i/>
          <w:sz w:val="20"/>
          <w:szCs w:val="20"/>
          <w:lang w:val="en-GB"/>
        </w:rPr>
        <w:t>"more than 42% of Spanish households spent in 2017 more than 40% of their income to pay rent".</w:t>
      </w:r>
    </w:p>
    <w:p w14:paraId="343D4D94" w14:textId="77777777" w:rsidR="004755EA" w:rsidRPr="001477EF" w:rsidRDefault="004755EA" w:rsidP="00D25FF7">
      <w:pPr>
        <w:pStyle w:val="Standard"/>
        <w:rPr>
          <w:rFonts w:ascii="Amnesty Trade Gothic Light" w:hAnsi="Amnesty Trade Gothic Light"/>
          <w:i/>
          <w:sz w:val="20"/>
          <w:szCs w:val="20"/>
          <w:lang w:val="en-GB"/>
        </w:rPr>
      </w:pPr>
    </w:p>
    <w:p w14:paraId="343D4D95" w14:textId="76134F65"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For this purpose, it includes positive measures such as limiting the annual updating of the rent during the contract based on the Consumer Price Index, and reducing the amount of the guarantee/deposit to two months payments. The second Additional Provision also contemplates the establishment of a reference index system of rental prices to be drawn up within a period of eight months. These measures could be important initial steps towards improving affordability of adequate housing</w:t>
      </w:r>
      <w:r w:rsidR="00D840A8" w:rsidRPr="001477EF">
        <w:rPr>
          <w:rFonts w:ascii="Amnesty Trade Gothic Light" w:hAnsi="Amnesty Trade Gothic Light"/>
          <w:sz w:val="20"/>
          <w:szCs w:val="20"/>
          <w:lang w:val="en-GB"/>
        </w:rPr>
        <w:t xml:space="preserve"> for persons with low incomes. </w:t>
      </w:r>
      <w:r w:rsidRPr="001477EF">
        <w:rPr>
          <w:rFonts w:ascii="Amnesty Trade Gothic Light" w:hAnsi="Amnesty Trade Gothic Light"/>
          <w:sz w:val="20"/>
          <w:szCs w:val="20"/>
          <w:lang w:val="en-GB"/>
        </w:rPr>
        <w:t>However, no further information on these steps has been published as of October 2019.</w:t>
      </w:r>
    </w:p>
    <w:p w14:paraId="343D4D96" w14:textId="77777777" w:rsidR="004755EA" w:rsidRPr="001477EF" w:rsidRDefault="004755EA" w:rsidP="00D25FF7">
      <w:pPr>
        <w:pStyle w:val="Standard"/>
        <w:rPr>
          <w:rFonts w:ascii="Amnesty Trade Gothic Light" w:hAnsi="Amnesty Trade Gothic Light"/>
          <w:sz w:val="20"/>
          <w:szCs w:val="20"/>
          <w:lang w:val="en-GB"/>
        </w:rPr>
      </w:pPr>
    </w:p>
    <w:p w14:paraId="343D4D97" w14:textId="2F19F8A3"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These measures, while positive, are insufficient to meet the international obligation of States to ensure affordability of housing and to protect individuals from the largest increase in rental housing prices in the last decade.</w:t>
      </w:r>
    </w:p>
    <w:p w14:paraId="126445CE" w14:textId="2BD6B958" w:rsidR="00355D75" w:rsidRPr="001477EF" w:rsidRDefault="00355D75" w:rsidP="00D25FF7">
      <w:pPr>
        <w:pStyle w:val="Standard"/>
        <w:rPr>
          <w:rFonts w:ascii="Amnesty Trade Gothic Light" w:hAnsi="Amnesty Trade Gothic Light"/>
          <w:sz w:val="20"/>
          <w:szCs w:val="20"/>
          <w:lang w:val="en-GB"/>
        </w:rPr>
      </w:pPr>
    </w:p>
    <w:p w14:paraId="67911FB6" w14:textId="1F00308D" w:rsidR="00355D75" w:rsidRPr="001477EF" w:rsidRDefault="00355D75" w:rsidP="00355D75">
      <w:pPr>
        <w:pStyle w:val="Heading4"/>
        <w:rPr>
          <w:rFonts w:ascii="Amnesty Trade Gothic Light" w:hAnsi="Amnesty Trade Gothic Light"/>
          <w:sz w:val="20"/>
          <w:szCs w:val="20"/>
          <w:lang w:val="en-GB"/>
        </w:rPr>
      </w:pPr>
      <w:r w:rsidRPr="001477EF">
        <w:rPr>
          <w:lang w:val="en-GB"/>
        </w:rPr>
        <w:t>1.</w:t>
      </w:r>
      <w:r w:rsidR="002A5538">
        <w:rPr>
          <w:lang w:val="en-GB"/>
        </w:rPr>
        <w:t>4</w:t>
      </w:r>
      <w:r w:rsidRPr="001477EF">
        <w:rPr>
          <w:lang w:val="en-GB"/>
        </w:rPr>
        <w:t xml:space="preserve"> Conclusions and recommendations</w:t>
      </w:r>
    </w:p>
    <w:p w14:paraId="343D4D99" w14:textId="43967A7C" w:rsidR="004755EA"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Amnesty International recommends that the Spanish authorities:</w:t>
      </w:r>
    </w:p>
    <w:p w14:paraId="7EE5CC59" w14:textId="77777777" w:rsidR="002A5538" w:rsidRPr="001477EF" w:rsidRDefault="002A5538" w:rsidP="00D25FF7">
      <w:pPr>
        <w:pStyle w:val="Standard"/>
        <w:rPr>
          <w:rFonts w:ascii="Amnesty Trade Gothic Light" w:hAnsi="Amnesty Trade Gothic Light"/>
          <w:sz w:val="20"/>
          <w:szCs w:val="20"/>
          <w:lang w:val="en-GB"/>
        </w:rPr>
      </w:pPr>
    </w:p>
    <w:p w14:paraId="343D4D9A" w14:textId="77777777" w:rsidR="004755EA" w:rsidRPr="001477EF" w:rsidRDefault="00C9333F" w:rsidP="00D25FF7">
      <w:pPr>
        <w:pStyle w:val="Standard"/>
        <w:numPr>
          <w:ilvl w:val="0"/>
          <w:numId w:val="4"/>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Request the National Statistics Institute to compile and monitor disaggregated information on housing conditions and evictions.</w:t>
      </w:r>
    </w:p>
    <w:p w14:paraId="343D4D9B" w14:textId="77777777" w:rsidR="004755EA" w:rsidRPr="001477EF" w:rsidRDefault="00C9333F" w:rsidP="00D25FF7">
      <w:pPr>
        <w:pStyle w:val="Standard"/>
        <w:numPr>
          <w:ilvl w:val="0"/>
          <w:numId w:val="4"/>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lastRenderedPageBreak/>
        <w:t>Modify the Civil Procedure Law to require judges to assess the proportionality and reasonableness of a rental eviction on a case-by-case basis.</w:t>
      </w:r>
    </w:p>
    <w:p w14:paraId="343D4D9C" w14:textId="77777777" w:rsidR="004755EA" w:rsidRPr="001477EF" w:rsidRDefault="00C9333F" w:rsidP="00D25FF7">
      <w:pPr>
        <w:pStyle w:val="Standard"/>
        <w:numPr>
          <w:ilvl w:val="0"/>
          <w:numId w:val="4"/>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Work in coordination with autonomous communities to invest more resources in increasing the social rental housing stock.</w:t>
      </w:r>
    </w:p>
    <w:p w14:paraId="343D4D9D" w14:textId="4F648E99" w:rsidR="004755EA" w:rsidRPr="001477EF" w:rsidRDefault="00C9333F" w:rsidP="00D25FF7">
      <w:pPr>
        <w:pStyle w:val="Standard"/>
        <w:numPr>
          <w:ilvl w:val="0"/>
          <w:numId w:val="4"/>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Adopt a framework protocol in relation to evictions, including measures to improve the coordination between courts and local authorities that lead to the provisio</w:t>
      </w:r>
      <w:r w:rsidR="00355D75" w:rsidRPr="001477EF">
        <w:rPr>
          <w:rFonts w:ascii="Amnesty Trade Gothic Light" w:hAnsi="Amnesty Trade Gothic Light"/>
          <w:sz w:val="20"/>
          <w:szCs w:val="20"/>
          <w:lang w:val="en-GB"/>
        </w:rPr>
        <w:t xml:space="preserve">n of </w:t>
      </w:r>
      <w:r w:rsidRPr="001477EF">
        <w:rPr>
          <w:rFonts w:ascii="Amnesty Trade Gothic Light" w:hAnsi="Amnesty Trade Gothic Light"/>
          <w:sz w:val="20"/>
          <w:szCs w:val="20"/>
          <w:lang w:val="en-GB"/>
        </w:rPr>
        <w:t>adequate housing alternatives for people with limited resources.</w:t>
      </w:r>
    </w:p>
    <w:p w14:paraId="343D4D9E" w14:textId="2973318B" w:rsidR="004755EA" w:rsidRPr="001477EF" w:rsidRDefault="00C9333F" w:rsidP="00D25FF7">
      <w:pPr>
        <w:pStyle w:val="Standard"/>
        <w:numPr>
          <w:ilvl w:val="0"/>
          <w:numId w:val="4"/>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Adopt the necessary measures in order to facilitate the accessibility of adequate housing for people living in poverty and those who are vulnerable to discrimination and marginalisation</w:t>
      </w:r>
      <w:r w:rsidR="00D25FF7" w:rsidRPr="001477EF">
        <w:rPr>
          <w:rFonts w:ascii="Amnesty Trade Gothic Light" w:hAnsi="Amnesty Trade Gothic Light"/>
          <w:sz w:val="20"/>
          <w:szCs w:val="20"/>
          <w:lang w:val="en-GB"/>
        </w:rPr>
        <w:t>.</w:t>
      </w:r>
    </w:p>
    <w:p w14:paraId="343D4D9F" w14:textId="77777777" w:rsidR="004755EA" w:rsidRPr="001477EF" w:rsidRDefault="004755EA" w:rsidP="00D25FF7">
      <w:pPr>
        <w:pStyle w:val="Standard"/>
        <w:rPr>
          <w:rFonts w:ascii="Times New Roman" w:hAnsi="Times New Roman"/>
          <w:lang w:val="en-GB"/>
        </w:rPr>
      </w:pPr>
    </w:p>
    <w:p w14:paraId="343D4DA0" w14:textId="5C3A18D0" w:rsidR="004755EA" w:rsidRPr="001477EF" w:rsidRDefault="00355D75" w:rsidP="00D25FF7">
      <w:pPr>
        <w:pStyle w:val="Heading1"/>
        <w:rPr>
          <w:lang w:val="en-GB"/>
        </w:rPr>
      </w:pPr>
      <w:r w:rsidRPr="001477EF">
        <w:rPr>
          <w:lang w:val="en-GB"/>
        </w:rPr>
        <w:t xml:space="preserve">2. </w:t>
      </w:r>
      <w:r w:rsidR="00C9333F" w:rsidRPr="001477EF">
        <w:rPr>
          <w:lang w:val="en-GB"/>
        </w:rPr>
        <w:t>IMPACT OF AUSTERITY ON THE RIGHT TO HEALTH:</w:t>
      </w:r>
    </w:p>
    <w:p w14:paraId="343D4DA1"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In 2018, Amnesty International published </w:t>
      </w:r>
      <w:r w:rsidRPr="001477EF">
        <w:rPr>
          <w:rFonts w:ascii="Amnesty Trade Gothic Light" w:hAnsi="Amnesty Trade Gothic Light"/>
          <w:i/>
          <w:sz w:val="20"/>
          <w:szCs w:val="20"/>
          <w:lang w:val="en-GB"/>
        </w:rPr>
        <w:t>“Wrong Prescription: The Impact of Austerity Measures on the right to health in Spain”</w:t>
      </w:r>
      <w:r w:rsidRPr="001477EF">
        <w:rPr>
          <w:rFonts w:ascii="Amnesty Trade Gothic Light" w:hAnsi="Amnesty Trade Gothic Light"/>
          <w:sz w:val="20"/>
          <w:szCs w:val="20"/>
          <w:lang w:val="en-GB"/>
        </w:rPr>
        <w:t>.</w:t>
      </w:r>
      <w:r w:rsidRPr="001477EF">
        <w:rPr>
          <w:rStyle w:val="FootnoteReference"/>
          <w:rFonts w:ascii="Amnesty Trade Gothic Light" w:hAnsi="Amnesty Trade Gothic Light"/>
          <w:sz w:val="20"/>
          <w:szCs w:val="20"/>
          <w:lang w:val="en-GB"/>
        </w:rPr>
        <w:footnoteReference w:id="37"/>
      </w:r>
      <w:r w:rsidRPr="001477EF">
        <w:rPr>
          <w:rFonts w:ascii="Amnesty Trade Gothic Light" w:hAnsi="Amnesty Trade Gothic Light"/>
          <w:sz w:val="20"/>
          <w:szCs w:val="20"/>
          <w:lang w:val="en-GB"/>
        </w:rPr>
        <w:t xml:space="preserve"> This report documented the impact of Spain’s austerity measures in the public health system, at a time when the economic crisis had a severe impact on people in Spain, with levels of financial vulnerability, poverty and inequality increasing:</w:t>
      </w:r>
    </w:p>
    <w:p w14:paraId="343D4DA2" w14:textId="77777777" w:rsidR="004755EA" w:rsidRPr="001477EF" w:rsidRDefault="004755EA" w:rsidP="00D25FF7">
      <w:pPr>
        <w:pStyle w:val="Standard"/>
        <w:rPr>
          <w:rFonts w:ascii="Amnesty Trade Gothic Light" w:hAnsi="Amnesty Trade Gothic Light"/>
          <w:sz w:val="20"/>
          <w:szCs w:val="20"/>
          <w:lang w:val="en-GB"/>
        </w:rPr>
      </w:pPr>
    </w:p>
    <w:p w14:paraId="343D4DA3" w14:textId="77777777" w:rsidR="004755EA" w:rsidRPr="001477EF" w:rsidRDefault="00C9333F" w:rsidP="00355D75">
      <w:pPr>
        <w:pStyle w:val="Standard"/>
        <w:numPr>
          <w:ilvl w:val="0"/>
          <w:numId w:val="7"/>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The unemployment rate rose from 8.2% (2007) to 26.1% (2013).</w:t>
      </w:r>
      <w:r w:rsidRPr="001477EF">
        <w:rPr>
          <w:rStyle w:val="FootnoteReference"/>
          <w:rFonts w:ascii="Amnesty Trade Gothic Light" w:hAnsi="Amnesty Trade Gothic Light"/>
          <w:sz w:val="20"/>
          <w:szCs w:val="20"/>
          <w:lang w:val="en-GB"/>
        </w:rPr>
        <w:footnoteReference w:id="38"/>
      </w:r>
      <w:r w:rsidRPr="001477EF">
        <w:rPr>
          <w:rFonts w:ascii="Amnesty Trade Gothic Light" w:hAnsi="Amnesty Trade Gothic Light"/>
          <w:sz w:val="20"/>
          <w:szCs w:val="20"/>
          <w:lang w:val="en-GB"/>
        </w:rPr>
        <w:t xml:space="preserve"> Youth unemployment rose from 18.1% (2007) to 55.5% (2013).</w:t>
      </w:r>
      <w:r w:rsidRPr="001477EF">
        <w:rPr>
          <w:rStyle w:val="FootnoteReference"/>
          <w:rFonts w:ascii="Amnesty Trade Gothic Light" w:hAnsi="Amnesty Trade Gothic Light"/>
          <w:sz w:val="20"/>
          <w:szCs w:val="20"/>
          <w:lang w:val="en-GB"/>
        </w:rPr>
        <w:footnoteReference w:id="39"/>
      </w:r>
      <w:r w:rsidRPr="001477EF">
        <w:rPr>
          <w:rFonts w:ascii="Amnesty Trade Gothic Light" w:hAnsi="Amnesty Trade Gothic Light"/>
          <w:sz w:val="20"/>
          <w:szCs w:val="20"/>
          <w:lang w:val="en-GB"/>
        </w:rPr>
        <w:t xml:space="preserve"> Long-term unemployment increased from 20.4% (2007) to 52.8% (2014).</w:t>
      </w:r>
      <w:r w:rsidRPr="001477EF">
        <w:rPr>
          <w:rStyle w:val="FootnoteReference"/>
          <w:rFonts w:ascii="Amnesty Trade Gothic Light" w:hAnsi="Amnesty Trade Gothic Light"/>
          <w:sz w:val="20"/>
          <w:szCs w:val="20"/>
          <w:lang w:val="en-GB"/>
        </w:rPr>
        <w:footnoteReference w:id="40"/>
      </w:r>
    </w:p>
    <w:p w14:paraId="343D4DA4" w14:textId="77777777" w:rsidR="004755EA" w:rsidRPr="001477EF" w:rsidRDefault="00C9333F" w:rsidP="00355D75">
      <w:pPr>
        <w:pStyle w:val="Standard"/>
        <w:numPr>
          <w:ilvl w:val="0"/>
          <w:numId w:val="7"/>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lastRenderedPageBreak/>
        <w:t>Median income was over 10% lower in 2014 than in 2009.</w:t>
      </w:r>
      <w:r w:rsidRPr="001477EF">
        <w:rPr>
          <w:rStyle w:val="FootnoteReference"/>
          <w:rFonts w:ascii="Amnesty Trade Gothic Light" w:hAnsi="Amnesty Trade Gothic Light"/>
          <w:sz w:val="20"/>
          <w:szCs w:val="20"/>
          <w:lang w:val="en-GB"/>
        </w:rPr>
        <w:footnoteReference w:id="41"/>
      </w:r>
      <w:r w:rsidRPr="001477EF">
        <w:rPr>
          <w:rFonts w:ascii="Amnesty Trade Gothic Light" w:hAnsi="Amnesty Trade Gothic Light"/>
          <w:sz w:val="20"/>
          <w:szCs w:val="20"/>
          <w:lang w:val="en-GB"/>
        </w:rPr>
        <w:t xml:space="preserve"> The percentage of households unable to meet an unexpected financial expense increased from 30.8% (2007) to 42.7% (2014).</w:t>
      </w:r>
      <w:r w:rsidRPr="001477EF">
        <w:rPr>
          <w:rStyle w:val="FootnoteReference"/>
          <w:rFonts w:ascii="Amnesty Trade Gothic Light" w:hAnsi="Amnesty Trade Gothic Light"/>
          <w:sz w:val="20"/>
          <w:szCs w:val="20"/>
          <w:lang w:val="en-GB"/>
        </w:rPr>
        <w:footnoteReference w:id="42"/>
      </w:r>
    </w:p>
    <w:p w14:paraId="343D4DA5" w14:textId="77777777" w:rsidR="004755EA" w:rsidRPr="001477EF" w:rsidRDefault="00C9333F" w:rsidP="00355D75">
      <w:pPr>
        <w:pStyle w:val="Standard"/>
        <w:numPr>
          <w:ilvl w:val="0"/>
          <w:numId w:val="7"/>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The poverty rate increased from 14% (2012) to 15.9% (2013);</w:t>
      </w:r>
      <w:r w:rsidRPr="001477EF">
        <w:rPr>
          <w:rStyle w:val="FootnoteReference"/>
          <w:rFonts w:ascii="Amnesty Trade Gothic Light" w:hAnsi="Amnesty Trade Gothic Light"/>
          <w:sz w:val="20"/>
          <w:szCs w:val="20"/>
          <w:lang w:val="en-GB"/>
        </w:rPr>
        <w:footnoteReference w:id="43"/>
      </w:r>
      <w:r w:rsidRPr="001477EF">
        <w:rPr>
          <w:rFonts w:ascii="Amnesty Trade Gothic Light" w:hAnsi="Amnesty Trade Gothic Light"/>
          <w:sz w:val="20"/>
          <w:szCs w:val="20"/>
          <w:lang w:val="en-GB"/>
        </w:rPr>
        <w:t xml:space="preserve"> the rates were much higher amongst children. 30% of the population was at risk of poverty in 2013 (29.5% in 2016).</w:t>
      </w:r>
      <w:r w:rsidRPr="001477EF">
        <w:rPr>
          <w:rStyle w:val="FootnoteReference"/>
          <w:rFonts w:ascii="Amnesty Trade Gothic Light" w:hAnsi="Amnesty Trade Gothic Light"/>
          <w:sz w:val="20"/>
          <w:szCs w:val="20"/>
          <w:lang w:val="en-GB"/>
        </w:rPr>
        <w:footnoteReference w:id="44"/>
      </w:r>
    </w:p>
    <w:p w14:paraId="343D4DA6" w14:textId="62AEF543" w:rsidR="004755EA" w:rsidRPr="001477EF" w:rsidRDefault="00C9333F" w:rsidP="00355D75">
      <w:pPr>
        <w:pStyle w:val="Standard"/>
        <w:numPr>
          <w:ilvl w:val="0"/>
          <w:numId w:val="7"/>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The Gini Coefficient – a commonly used measure of inequal</w:t>
      </w:r>
      <w:r w:rsidR="00355D75" w:rsidRPr="001477EF">
        <w:rPr>
          <w:rFonts w:ascii="Amnesty Trade Gothic Light" w:hAnsi="Amnesty Trade Gothic Light"/>
          <w:sz w:val="20"/>
          <w:szCs w:val="20"/>
          <w:lang w:val="en-GB"/>
        </w:rPr>
        <w:t>ity – rose from .324 (2007) to .</w:t>
      </w:r>
      <w:r w:rsidRPr="001477EF">
        <w:rPr>
          <w:rFonts w:ascii="Amnesty Trade Gothic Light" w:hAnsi="Amnesty Trade Gothic Light"/>
          <w:sz w:val="20"/>
          <w:szCs w:val="20"/>
          <w:lang w:val="en-GB"/>
        </w:rPr>
        <w:t>344 (2014).</w:t>
      </w:r>
      <w:r w:rsidRPr="001477EF">
        <w:rPr>
          <w:rStyle w:val="FootnoteReference"/>
          <w:rFonts w:ascii="Amnesty Trade Gothic Light" w:hAnsi="Amnesty Trade Gothic Light"/>
          <w:sz w:val="20"/>
          <w:szCs w:val="20"/>
          <w:lang w:val="en-GB"/>
        </w:rPr>
        <w:footnoteReference w:id="45"/>
      </w:r>
    </w:p>
    <w:p w14:paraId="343D4DA7" w14:textId="77777777" w:rsidR="004755EA" w:rsidRPr="001477EF" w:rsidRDefault="004755EA" w:rsidP="00D25FF7">
      <w:pPr>
        <w:pStyle w:val="Standard"/>
        <w:rPr>
          <w:rFonts w:ascii="Amnesty Trade Gothic Light" w:hAnsi="Amnesty Trade Gothic Light"/>
          <w:sz w:val="20"/>
          <w:szCs w:val="20"/>
          <w:lang w:val="en-GB"/>
        </w:rPr>
      </w:pPr>
    </w:p>
    <w:p w14:paraId="343D4DA8"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As the economic crisis unfolded in Spain, it impacted a range of factors – such as housing and employment - with potentially negative consequences for people’s health.</w:t>
      </w:r>
      <w:r w:rsidRPr="001477EF">
        <w:rPr>
          <w:rStyle w:val="FootnoteReference"/>
          <w:rFonts w:ascii="Amnesty Trade Gothic Light" w:hAnsi="Amnesty Trade Gothic Light"/>
          <w:sz w:val="20"/>
          <w:szCs w:val="20"/>
          <w:lang w:val="en-GB"/>
        </w:rPr>
        <w:footnoteReference w:id="46"/>
      </w:r>
      <w:r w:rsidRPr="001477EF">
        <w:rPr>
          <w:rFonts w:ascii="Amnesty Trade Gothic Light" w:hAnsi="Amnesty Trade Gothic Light"/>
          <w:sz w:val="20"/>
          <w:szCs w:val="20"/>
          <w:lang w:val="en-GB"/>
        </w:rPr>
        <w:t xml:space="preserve"> The increase in poverty and financial vulnerability combined with the risk of poorer health outcomes called for greater support to the public health system, particularly for marginalized groups who are often the worst affected. While the government initially adopted a stimulus package and increased public spending, it later changed its strategy and began to reduce public spending, including by introducing austerity measures. Several measures introduced to limit public expenditure impacted existing social security protection and disposable incomes, which risked increasing financial vulnerabilities during the economic crisis. For example, the government reduced spending on housing, health, and education.</w:t>
      </w:r>
      <w:r w:rsidRPr="001477EF">
        <w:rPr>
          <w:rStyle w:val="FootnoteReference"/>
          <w:rFonts w:ascii="Amnesty Trade Gothic Light" w:hAnsi="Amnesty Trade Gothic Light"/>
          <w:sz w:val="20"/>
          <w:szCs w:val="20"/>
          <w:lang w:val="en-GB"/>
        </w:rPr>
        <w:footnoteReference w:id="47"/>
      </w:r>
      <w:r w:rsidRPr="001477EF">
        <w:rPr>
          <w:rFonts w:ascii="Amnesty Trade Gothic Light" w:hAnsi="Amnesty Trade Gothic Light"/>
          <w:sz w:val="20"/>
          <w:szCs w:val="20"/>
          <w:lang w:val="en-GB"/>
        </w:rPr>
        <w:t xml:space="preserve"> It increased the rates of general VAT, effectively making consumption more expensive.</w:t>
      </w:r>
      <w:r w:rsidRPr="001477EF">
        <w:rPr>
          <w:rStyle w:val="FootnoteReference"/>
          <w:rFonts w:ascii="Amnesty Trade Gothic Light" w:hAnsi="Amnesty Trade Gothic Light"/>
          <w:sz w:val="20"/>
          <w:szCs w:val="20"/>
          <w:lang w:val="en-GB"/>
        </w:rPr>
        <w:footnoteReference w:id="48"/>
      </w:r>
    </w:p>
    <w:p w14:paraId="343D4DA9" w14:textId="77777777" w:rsidR="004755EA" w:rsidRPr="001477EF" w:rsidRDefault="004755EA" w:rsidP="00D25FF7">
      <w:pPr>
        <w:pStyle w:val="Standard"/>
        <w:rPr>
          <w:rFonts w:ascii="Times New Roman" w:hAnsi="Times New Roman"/>
          <w:lang w:val="en-GB"/>
        </w:rPr>
      </w:pPr>
    </w:p>
    <w:p w14:paraId="343D4DAA" w14:textId="77777777" w:rsidR="004755EA" w:rsidRPr="001477EF" w:rsidRDefault="00C9333F" w:rsidP="00D25FF7">
      <w:pPr>
        <w:pStyle w:val="Heading4"/>
        <w:rPr>
          <w:lang w:val="en-GB"/>
        </w:rPr>
      </w:pPr>
      <w:r w:rsidRPr="001477EF">
        <w:rPr>
          <w:lang w:val="en-GB"/>
        </w:rPr>
        <w:lastRenderedPageBreak/>
        <w:t>2.1 Austerity Measures in the Public Health System</w:t>
      </w:r>
    </w:p>
    <w:p w14:paraId="343D4DAC"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In the context of health specifically, starting 2009, the government began to cut public spending. The health care system in Spain is decentralized: the primary responsibilities for public health organizing, expenditure and delivery vests in the regional governments of the 17 autonomous communities. Total public health expenditure in 2013, including at the central and regional levels, was 12.7% lower than expenditure in 2009.</w:t>
      </w:r>
      <w:r w:rsidRPr="001477EF">
        <w:rPr>
          <w:rStyle w:val="FootnoteReference"/>
          <w:rFonts w:ascii="Amnesty Trade Gothic Light" w:hAnsi="Amnesty Trade Gothic Light"/>
          <w:sz w:val="20"/>
          <w:szCs w:val="20"/>
          <w:lang w:val="en-GB"/>
        </w:rPr>
        <w:footnoteReference w:id="49"/>
      </w:r>
      <w:r w:rsidRPr="001477EF">
        <w:rPr>
          <w:rFonts w:ascii="Amnesty Trade Gothic Light" w:hAnsi="Amnesty Trade Gothic Light"/>
          <w:sz w:val="20"/>
          <w:szCs w:val="20"/>
          <w:lang w:val="en-GB"/>
        </w:rPr>
        <w:t xml:space="preserve"> The government also introduced a range of policies to reduce the costs of the Spanish public health system (“Sistema </w:t>
      </w:r>
      <w:proofErr w:type="spellStart"/>
      <w:r w:rsidRPr="001477EF">
        <w:rPr>
          <w:rFonts w:ascii="Amnesty Trade Gothic Light" w:hAnsi="Amnesty Trade Gothic Light"/>
          <w:sz w:val="20"/>
          <w:szCs w:val="20"/>
          <w:lang w:val="en-GB"/>
        </w:rPr>
        <w:t>Nacional</w:t>
      </w:r>
      <w:proofErr w:type="spellEnd"/>
      <w:r w:rsidRPr="001477EF">
        <w:rPr>
          <w:rFonts w:ascii="Amnesty Trade Gothic Light" w:hAnsi="Amnesty Trade Gothic Light"/>
          <w:sz w:val="20"/>
          <w:szCs w:val="20"/>
          <w:lang w:val="en-GB"/>
        </w:rPr>
        <w:t xml:space="preserve"> de </w:t>
      </w:r>
      <w:proofErr w:type="spellStart"/>
      <w:r w:rsidRPr="001477EF">
        <w:rPr>
          <w:rFonts w:ascii="Amnesty Trade Gothic Light" w:hAnsi="Amnesty Trade Gothic Light"/>
          <w:sz w:val="20"/>
          <w:szCs w:val="20"/>
          <w:lang w:val="en-GB"/>
        </w:rPr>
        <w:t>Salud</w:t>
      </w:r>
      <w:proofErr w:type="spellEnd"/>
      <w:r w:rsidRPr="001477EF">
        <w:rPr>
          <w:rFonts w:ascii="Amnesty Trade Gothic Light" w:hAnsi="Amnesty Trade Gothic Light"/>
          <w:sz w:val="20"/>
          <w:szCs w:val="20"/>
          <w:lang w:val="en-GB"/>
        </w:rPr>
        <w:t>”, hereinafter “SNS”), notably through the Royal Decree Law 16/2012 (hereinafter “RDL 16/2012”). It limited the health care that irregular migrants could access. The government also instituted measures to shift the burden of certain health costs on to individuals: it restructured the common portfolio of services in the SNS to make it possible for more products and services to involve co-payments through future regulation. It introduced pharmaceutical co-payments in some instances for groups who could previously access health care freely and increased the rates for some others. And finally, it added to the list of criteria based on which medicines would be covered or excluded from SNS financing, following which over 400 products were removed from SNS funding. As a part of the reductions in public health expenditure, spending on remuneration for health workers also fell: in 2013, this spending was 10% lower than it was in 2009.</w:t>
      </w:r>
      <w:r w:rsidRPr="001477EF">
        <w:rPr>
          <w:rStyle w:val="FootnoteReference"/>
          <w:rFonts w:ascii="Amnesty Trade Gothic Light" w:hAnsi="Amnesty Trade Gothic Light"/>
          <w:sz w:val="20"/>
          <w:szCs w:val="20"/>
          <w:lang w:val="en-GB"/>
        </w:rPr>
        <w:footnoteReference w:id="50"/>
      </w:r>
      <w:r w:rsidRPr="001477EF">
        <w:rPr>
          <w:rFonts w:ascii="Amnesty Trade Gothic Light" w:hAnsi="Amnesty Trade Gothic Light"/>
          <w:sz w:val="20"/>
          <w:szCs w:val="20"/>
          <w:lang w:val="en-GB"/>
        </w:rPr>
        <w:t xml:space="preserve"> The period between 2011 and 2014 has seen a reduction in the numbers of health workers being employed by the SNS. According to official data from the Ministry of Treasury (</w:t>
      </w:r>
      <w:proofErr w:type="spellStart"/>
      <w:r w:rsidRPr="001477EF">
        <w:rPr>
          <w:rFonts w:ascii="Amnesty Trade Gothic Light" w:hAnsi="Amnesty Trade Gothic Light"/>
          <w:sz w:val="20"/>
          <w:szCs w:val="20"/>
          <w:lang w:val="en-GB"/>
        </w:rPr>
        <w:t>Ministerio</w:t>
      </w:r>
      <w:proofErr w:type="spellEnd"/>
      <w:r w:rsidRPr="001477EF">
        <w:rPr>
          <w:rFonts w:ascii="Amnesty Trade Gothic Light" w:hAnsi="Amnesty Trade Gothic Light"/>
          <w:sz w:val="20"/>
          <w:szCs w:val="20"/>
          <w:lang w:val="en-GB"/>
        </w:rPr>
        <w:t xml:space="preserve"> de Hacienda y </w:t>
      </w:r>
      <w:proofErr w:type="spellStart"/>
      <w:r w:rsidRPr="001477EF">
        <w:rPr>
          <w:rFonts w:ascii="Amnesty Trade Gothic Light" w:hAnsi="Amnesty Trade Gothic Light"/>
          <w:sz w:val="20"/>
          <w:szCs w:val="20"/>
          <w:lang w:val="en-GB"/>
        </w:rPr>
        <w:t>Funcion</w:t>
      </w:r>
      <w:proofErr w:type="spellEnd"/>
      <w:r w:rsidRPr="001477EF">
        <w:rPr>
          <w:rFonts w:ascii="Amnesty Trade Gothic Light" w:hAnsi="Amnesty Trade Gothic Light"/>
          <w:sz w:val="20"/>
          <w:szCs w:val="20"/>
          <w:lang w:val="en-GB"/>
        </w:rPr>
        <w:t xml:space="preserve"> </w:t>
      </w:r>
      <w:proofErr w:type="spellStart"/>
      <w:r w:rsidRPr="001477EF">
        <w:rPr>
          <w:rFonts w:ascii="Amnesty Trade Gothic Light" w:hAnsi="Amnesty Trade Gothic Light"/>
          <w:sz w:val="20"/>
          <w:szCs w:val="20"/>
          <w:lang w:val="en-GB"/>
        </w:rPr>
        <w:t>Publica</w:t>
      </w:r>
      <w:proofErr w:type="spellEnd"/>
      <w:r w:rsidRPr="001477EF">
        <w:rPr>
          <w:rFonts w:ascii="Amnesty Trade Gothic Light" w:hAnsi="Amnesty Trade Gothic Light"/>
          <w:sz w:val="20"/>
          <w:szCs w:val="20"/>
          <w:lang w:val="en-GB"/>
        </w:rPr>
        <w:t>) the National Health System lost almost 28,500 workers between 2012 (when the total number was 505,185) and 2014 (when the total number was 476, 689).</w:t>
      </w:r>
      <w:r w:rsidRPr="001477EF">
        <w:rPr>
          <w:rStyle w:val="FootnoteReference"/>
          <w:rFonts w:ascii="Amnesty Trade Gothic Light" w:hAnsi="Amnesty Trade Gothic Light"/>
          <w:sz w:val="20"/>
          <w:szCs w:val="20"/>
          <w:lang w:val="en-GB"/>
        </w:rPr>
        <w:footnoteReference w:id="51"/>
      </w:r>
    </w:p>
    <w:p w14:paraId="343D4DAD" w14:textId="77777777" w:rsidR="004755EA" w:rsidRPr="001477EF" w:rsidRDefault="004755EA" w:rsidP="00D25FF7">
      <w:pPr>
        <w:pStyle w:val="Standard"/>
        <w:rPr>
          <w:rFonts w:ascii="Amnesty Trade Gothic Light" w:hAnsi="Amnesty Trade Gothic Light"/>
          <w:sz w:val="20"/>
          <w:szCs w:val="20"/>
          <w:lang w:val="en-GB"/>
        </w:rPr>
      </w:pPr>
    </w:p>
    <w:p w14:paraId="343D4DAE" w14:textId="77777777" w:rsidR="004755EA" w:rsidRPr="001477EF" w:rsidRDefault="00C9333F" w:rsidP="00D25FF7">
      <w:pPr>
        <w:pStyle w:val="Heading4"/>
        <w:rPr>
          <w:lang w:val="en-GB"/>
        </w:rPr>
      </w:pPr>
      <w:r w:rsidRPr="001477EF">
        <w:rPr>
          <w:lang w:val="en-GB"/>
        </w:rPr>
        <w:t>2.2 Impact of austerity measures in the health system</w:t>
      </w:r>
    </w:p>
    <w:p w14:paraId="343D4DB0"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These austerity measures resulted in a deterioration of the accessibility, affordability, and quality of health care. Many of these changes have had a particular and disproportionate impact on people with lower incomes, and within this group, on people with chronic health conditions, people with disabilities, older persons, and people accessing mental health care.</w:t>
      </w:r>
    </w:p>
    <w:p w14:paraId="343D4DB1" w14:textId="77777777" w:rsidR="004755EA" w:rsidRPr="001477EF" w:rsidRDefault="004755EA" w:rsidP="00D25FF7">
      <w:pPr>
        <w:pStyle w:val="Standard"/>
        <w:rPr>
          <w:rFonts w:ascii="Amnesty Trade Gothic Light" w:hAnsi="Amnesty Trade Gothic Light"/>
          <w:sz w:val="20"/>
          <w:szCs w:val="20"/>
          <w:lang w:val="en-GB"/>
        </w:rPr>
      </w:pPr>
    </w:p>
    <w:p w14:paraId="343D4DB2"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The exclusion of irregular migrants from accessing some forms of health care has meant that almost 750,000 migrants have been excluded from free SNS coverage, except in limited circumstances.</w:t>
      </w:r>
      <w:r w:rsidRPr="001477EF">
        <w:rPr>
          <w:rStyle w:val="FootnoteReference"/>
          <w:rFonts w:ascii="Amnesty Trade Gothic Light" w:hAnsi="Amnesty Trade Gothic Light"/>
          <w:sz w:val="20"/>
          <w:szCs w:val="20"/>
          <w:lang w:val="en-GB"/>
        </w:rPr>
        <w:footnoteReference w:id="52"/>
      </w:r>
      <w:r w:rsidRPr="001477EF">
        <w:rPr>
          <w:rFonts w:ascii="Amnesty Trade Gothic Light" w:hAnsi="Amnesty Trade Gothic Light"/>
          <w:sz w:val="20"/>
          <w:szCs w:val="20"/>
          <w:lang w:val="en-GB"/>
        </w:rPr>
        <w:t xml:space="preserve"> Several regional governments disagreed with this decision, and restored access to health care for irregular migrants, within their jurisdiction. However, Amnesty International has documented how some health care centres continued to charge for emergency services or deny access to health care for people who should have been covered.</w:t>
      </w:r>
      <w:r w:rsidRPr="001477EF">
        <w:rPr>
          <w:rStyle w:val="FootnoteReference"/>
          <w:rFonts w:ascii="Amnesty Trade Gothic Light" w:hAnsi="Amnesty Trade Gothic Light"/>
          <w:sz w:val="20"/>
          <w:szCs w:val="20"/>
          <w:lang w:val="en-GB"/>
        </w:rPr>
        <w:footnoteReference w:id="53"/>
      </w:r>
      <w:r w:rsidRPr="001477EF">
        <w:rPr>
          <w:rFonts w:ascii="Amnesty Trade Gothic Light" w:hAnsi="Amnesty Trade Gothic Light"/>
          <w:sz w:val="20"/>
          <w:szCs w:val="20"/>
          <w:lang w:val="en-GB"/>
        </w:rPr>
        <w:t xml:space="preserve"> The discrepancy in rules at the national and regional level on access acted as a deterrent: many people that Amnesty International interviewed during the course of its research in YEAR (correct), did not seek health care they were entitled to, thinking they would be turned away.</w:t>
      </w:r>
    </w:p>
    <w:p w14:paraId="343D4DB3" w14:textId="77777777" w:rsidR="004755EA" w:rsidRPr="001477EF" w:rsidRDefault="004755EA" w:rsidP="00D25FF7">
      <w:pPr>
        <w:pStyle w:val="Standard"/>
        <w:rPr>
          <w:rFonts w:ascii="Amnesty Trade Gothic Light" w:hAnsi="Amnesty Trade Gothic Light"/>
          <w:sz w:val="20"/>
          <w:szCs w:val="20"/>
          <w:lang w:val="en-GB"/>
        </w:rPr>
      </w:pPr>
    </w:p>
    <w:p w14:paraId="343D4DB4" w14:textId="5DD837C4"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In July 2018, the Government adopted the Royal Decree Law 7/2018, on universal access to the National Health System, which represents an improvement in terms of acce</w:t>
      </w:r>
      <w:r w:rsidR="00A215F1" w:rsidRPr="001477EF">
        <w:rPr>
          <w:rFonts w:ascii="Amnesty Trade Gothic Light" w:hAnsi="Amnesty Trade Gothic Light"/>
          <w:sz w:val="20"/>
          <w:szCs w:val="20"/>
          <w:lang w:val="en-GB"/>
        </w:rPr>
        <w:t>ss to health care for migrants.</w:t>
      </w:r>
      <w:r w:rsidRPr="001477EF">
        <w:rPr>
          <w:rFonts w:ascii="Amnesty Trade Gothic Light" w:hAnsi="Amnesty Trade Gothic Light"/>
          <w:sz w:val="20"/>
          <w:szCs w:val="20"/>
          <w:lang w:val="en-GB"/>
        </w:rPr>
        <w:t xml:space="preserve"> However, migrants in administrative irregular situations still face obstacles in the access to healthcare. Although the new legislation recognises in its explanatory </w:t>
      </w:r>
      <w:r w:rsidRPr="001477EF">
        <w:rPr>
          <w:rFonts w:ascii="Amnesty Trade Gothic Light" w:hAnsi="Amnesty Trade Gothic Light"/>
          <w:sz w:val="20"/>
          <w:szCs w:val="20"/>
          <w:lang w:val="en-GB"/>
        </w:rPr>
        <w:lastRenderedPageBreak/>
        <w:t>statement the need to guarantee the right to health care for all persons in the Spanish State, under the same conditions, the new law does not ensure the same level of protection migrants had prior to the 2012 reform.</w:t>
      </w:r>
      <w:r w:rsidRPr="001477EF">
        <w:rPr>
          <w:rStyle w:val="FootnoteReference"/>
          <w:rFonts w:ascii="Amnesty Trade Gothic Light" w:hAnsi="Amnesty Trade Gothic Light"/>
          <w:sz w:val="20"/>
          <w:szCs w:val="20"/>
          <w:lang w:val="en-GB"/>
        </w:rPr>
        <w:footnoteReference w:id="54"/>
      </w:r>
    </w:p>
    <w:p w14:paraId="343D4DB5"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br/>
        <w:t>During the course of the research for ‘Wrong Prescription…’ Amnesty International spoke with 107 users of the SNS and their families and carers. Almost all of them said that the amount they spent on healthcare had increased since the crisis began, and austerity measures were introduced. Even though the sums involved were not high, people explained that this created a significant strain because of their low incomes and/or because as a result of the crisis they are now supporting more dependants on their incomes. Many noted the anxiety and financial burden the increased costs of health care caused them, and said they were only able to afford their medicines because they had financial support from family members. Others told Amnesty International how they either did not access all the health care they needed for financial reasons – for example, take all their medication – or made choices about whether to pay for health care or other expenses. Most of the 75 health workers who shared information with Amnesty International confirmed this.</w:t>
      </w:r>
      <w:r w:rsidRPr="001477EF">
        <w:rPr>
          <w:rStyle w:val="FootnoteReference"/>
          <w:rFonts w:ascii="Amnesty Trade Gothic Light" w:hAnsi="Amnesty Trade Gothic Light"/>
          <w:sz w:val="20"/>
          <w:szCs w:val="20"/>
          <w:lang w:val="en-GB"/>
        </w:rPr>
        <w:footnoteReference w:id="55"/>
      </w:r>
    </w:p>
    <w:p w14:paraId="343D4DB6" w14:textId="77777777" w:rsidR="004755EA" w:rsidRPr="001477EF" w:rsidRDefault="004755EA" w:rsidP="00D25FF7">
      <w:pPr>
        <w:pStyle w:val="Standard"/>
        <w:rPr>
          <w:rFonts w:ascii="Amnesty Trade Gothic Light" w:hAnsi="Amnesty Trade Gothic Light"/>
          <w:sz w:val="20"/>
          <w:szCs w:val="20"/>
          <w:lang w:val="en-GB"/>
        </w:rPr>
      </w:pPr>
    </w:p>
    <w:p w14:paraId="343D4DB7"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Amnesty International found that the decrease in health workers and resources available in the SNS combined with a general increase in demand for health care has increased waiting times to access health care. Increased waiting times to access health care emerged as a key issue in all interviews, including with experts, health workers or people using the health system. These concerns are corroborated by data published by the SNS: for example, the number of people waiting for elective surgeries as well as the time they spend waiting, have increased since the years of the crisis. In 2010, the average waiting time was 65 days; in 2016 it was 115 days, which is almost double.</w:t>
      </w:r>
      <w:r w:rsidRPr="001477EF">
        <w:rPr>
          <w:rStyle w:val="FootnoteReference"/>
          <w:rFonts w:ascii="Amnesty Trade Gothic Light" w:hAnsi="Amnesty Trade Gothic Light"/>
          <w:sz w:val="20"/>
          <w:szCs w:val="20"/>
          <w:lang w:val="en-GB"/>
        </w:rPr>
        <w:footnoteReference w:id="56"/>
      </w:r>
      <w:r w:rsidRPr="001477EF">
        <w:rPr>
          <w:rFonts w:ascii="Amnesty Trade Gothic Light" w:hAnsi="Amnesty Trade Gothic Light"/>
          <w:sz w:val="20"/>
          <w:szCs w:val="20"/>
          <w:lang w:val="en-GB"/>
        </w:rPr>
        <w:t xml:space="preserve"> As a result, people using the SNS and their families </w:t>
      </w:r>
      <w:r w:rsidRPr="001477EF">
        <w:rPr>
          <w:rFonts w:ascii="Amnesty Trade Gothic Light" w:hAnsi="Amnesty Trade Gothic Light"/>
          <w:sz w:val="20"/>
          <w:szCs w:val="20"/>
          <w:lang w:val="en-GB"/>
        </w:rPr>
        <w:lastRenderedPageBreak/>
        <w:t>described the difficulties caused by the waiting lists, including the anxiety they felt as a result of not knowing the cause of their pain or of the other symptoms they experienced.</w:t>
      </w:r>
      <w:r w:rsidRPr="001477EF">
        <w:rPr>
          <w:rStyle w:val="FootnoteReference"/>
          <w:rFonts w:ascii="Amnesty Trade Gothic Light" w:hAnsi="Amnesty Trade Gothic Light"/>
          <w:sz w:val="20"/>
          <w:szCs w:val="20"/>
          <w:lang w:val="en-GB"/>
        </w:rPr>
        <w:footnoteReference w:id="57"/>
      </w:r>
    </w:p>
    <w:p w14:paraId="343D4DB8" w14:textId="77777777" w:rsidR="004755EA" w:rsidRPr="001477EF" w:rsidRDefault="004755EA" w:rsidP="00D25FF7">
      <w:pPr>
        <w:pStyle w:val="Standard"/>
        <w:rPr>
          <w:rFonts w:ascii="Amnesty Trade Gothic Light" w:hAnsi="Amnesty Trade Gothic Light"/>
          <w:sz w:val="20"/>
          <w:szCs w:val="20"/>
          <w:lang w:val="en-GB"/>
        </w:rPr>
      </w:pPr>
    </w:p>
    <w:p w14:paraId="343D4DB9" w14:textId="77777777" w:rsidR="004755EA" w:rsidRPr="001477EF" w:rsidRDefault="00C9333F" w:rsidP="00D25FF7">
      <w:pPr>
        <w:pStyle w:val="Heading4"/>
        <w:rPr>
          <w:lang w:val="en-GB"/>
        </w:rPr>
      </w:pPr>
      <w:r w:rsidRPr="001477EF">
        <w:rPr>
          <w:lang w:val="en-GB"/>
        </w:rPr>
        <w:t>2.3 All alternatives were not exhausted</w:t>
      </w:r>
    </w:p>
    <w:p w14:paraId="343D4DBB"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The Spanish government did not explore all possibilities to raise revenues before implementing retrogressive austerity measures. For example, the Spanish government amended its tax policy as a part of its response to the crisis: VAT rates increased, as did top income tax rates. Top corporate income rates, however, decreased in this period.</w:t>
      </w:r>
      <w:r w:rsidRPr="001477EF">
        <w:rPr>
          <w:rStyle w:val="FootnoteReference"/>
          <w:rFonts w:ascii="Amnesty Trade Gothic Light" w:hAnsi="Amnesty Trade Gothic Light"/>
          <w:sz w:val="20"/>
          <w:szCs w:val="20"/>
          <w:lang w:val="en-GB"/>
        </w:rPr>
        <w:footnoteReference w:id="58"/>
      </w:r>
      <w:r w:rsidRPr="001477EF">
        <w:rPr>
          <w:rFonts w:ascii="Amnesty Trade Gothic Light" w:hAnsi="Amnesty Trade Gothic Light"/>
          <w:sz w:val="20"/>
          <w:szCs w:val="20"/>
          <w:lang w:val="en-GB"/>
        </w:rPr>
        <w:t xml:space="preserve"> The composition of Spain’s tax revenue also evolved during this time: the percentage of total tax revenue coming from taxes paid by individuals and families (personal income tax and taxes on goods and services) grew, while the percentage of taxation from corporate income reduced. The government’s reasoning behind reducing corporate income tax rates was to attract investment and growth. However, in effect, this policy reduced the “maximum available resources” at a time at which resources were necessary. At a minimum, the government should have demonstrated and published how it had considered and assessed all potential changes to tax policy, both to see whether they offered feasible alternatives to cuts in expenditure and in terms of their impact on different groups of people (such as through changes to VAT), which it did not do.</w:t>
      </w:r>
    </w:p>
    <w:p w14:paraId="343D4DBC" w14:textId="77777777" w:rsidR="004755EA" w:rsidRPr="001477EF" w:rsidRDefault="004755EA" w:rsidP="00D25FF7">
      <w:pPr>
        <w:pStyle w:val="Standard"/>
        <w:rPr>
          <w:rFonts w:ascii="Amnesty Trade Gothic Light" w:hAnsi="Amnesty Trade Gothic Light"/>
          <w:sz w:val="20"/>
          <w:szCs w:val="20"/>
          <w:lang w:val="en-GB"/>
        </w:rPr>
      </w:pPr>
    </w:p>
    <w:p w14:paraId="343D4DBD" w14:textId="62293E88"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Addressing the pervasive problems of tax evasion and fraud is </w:t>
      </w:r>
      <w:r w:rsidR="00355D75" w:rsidRPr="001477EF">
        <w:rPr>
          <w:rFonts w:ascii="Amnesty Trade Gothic Light" w:hAnsi="Amnesty Trade Gothic Light"/>
          <w:sz w:val="20"/>
          <w:szCs w:val="20"/>
          <w:lang w:val="en-GB"/>
        </w:rPr>
        <w:t>one-way</w:t>
      </w:r>
      <w:r w:rsidRPr="001477EF">
        <w:rPr>
          <w:rFonts w:ascii="Amnesty Trade Gothic Light" w:hAnsi="Amnesty Trade Gothic Light"/>
          <w:sz w:val="20"/>
          <w:szCs w:val="20"/>
          <w:lang w:val="en-GB"/>
        </w:rPr>
        <w:t xml:space="preserve"> tax revenues can be used as a tool to increase revenues. 2010 estimates by GESTHA, a union of tax inspectors, suggest that €88 billion were lost to tax evasion in Spain.</w:t>
      </w:r>
      <w:r w:rsidRPr="001477EF">
        <w:rPr>
          <w:rStyle w:val="FootnoteReference"/>
          <w:rFonts w:ascii="Amnesty Trade Gothic Light" w:hAnsi="Amnesty Trade Gothic Light"/>
          <w:sz w:val="20"/>
          <w:szCs w:val="20"/>
          <w:lang w:val="en-GB"/>
        </w:rPr>
        <w:footnoteReference w:id="59"/>
      </w:r>
      <w:r w:rsidRPr="001477EF">
        <w:rPr>
          <w:rFonts w:ascii="Amnesty Trade Gothic Light" w:hAnsi="Amnesty Trade Gothic Light"/>
          <w:sz w:val="20"/>
          <w:szCs w:val="20"/>
          <w:lang w:val="en-GB"/>
        </w:rPr>
        <w:t xml:space="preserve"> Revenue from addressing tax evasion played a limited role in the fiscal consolidation effort during the crisis and the fiscal consolidation effort was mostly on the expenditure side. Spain introduced reforms to strengthen the efforts against tax fraud in 2012 and 2015. While these were positive, they were introduced after cuts had been made in welfare spending and had limited impact.</w:t>
      </w:r>
    </w:p>
    <w:p w14:paraId="343D4DBE" w14:textId="77777777" w:rsidR="004755EA" w:rsidRPr="001477EF" w:rsidRDefault="004755EA" w:rsidP="00D25FF7">
      <w:pPr>
        <w:pStyle w:val="Standard"/>
        <w:rPr>
          <w:rFonts w:ascii="Times New Roman" w:hAnsi="Times New Roman"/>
          <w:lang w:val="en-GB"/>
        </w:rPr>
      </w:pPr>
    </w:p>
    <w:p w14:paraId="343D4DBF"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lastRenderedPageBreak/>
        <w:t>Furthermore, the manner in which the austerity measures were developed and implemented was inconsistent with criteria developed by international human rights monitoring bodies. Measures that saved costs in the SNS without unduly compromising the right to health were implemented after, and not before, the measures that have had a retrogressive impact. No human rights impact assessments were conducted before the public health budget was cut or RDL 16/2012 was enforced. The levels of participation and consultation in how the austerity measures were developed and implemented were inadequate. And many of the changes introduced to the health system, notably RDL 16/2012, were not temporary and remain in force.</w:t>
      </w:r>
      <w:r w:rsidRPr="001477EF">
        <w:rPr>
          <w:rStyle w:val="FootnoteReference"/>
          <w:rFonts w:ascii="Amnesty Trade Gothic Light" w:hAnsi="Amnesty Trade Gothic Light"/>
          <w:sz w:val="20"/>
          <w:szCs w:val="20"/>
          <w:lang w:val="en-GB"/>
        </w:rPr>
        <w:footnoteReference w:id="60"/>
      </w:r>
    </w:p>
    <w:p w14:paraId="343D4DC0" w14:textId="77777777" w:rsidR="004755EA" w:rsidRPr="001477EF" w:rsidRDefault="004755EA" w:rsidP="00D25FF7">
      <w:pPr>
        <w:pStyle w:val="Standard"/>
        <w:rPr>
          <w:rFonts w:ascii="Times New Roman" w:hAnsi="Times New Roman"/>
          <w:lang w:val="en-GB"/>
        </w:rPr>
      </w:pPr>
    </w:p>
    <w:p w14:paraId="343D4DC1" w14:textId="7FA12159" w:rsidR="004755EA" w:rsidRPr="001477EF" w:rsidRDefault="00D25FF7" w:rsidP="00D25FF7">
      <w:pPr>
        <w:pStyle w:val="Heading4"/>
        <w:rPr>
          <w:lang w:val="en-GB"/>
        </w:rPr>
      </w:pPr>
      <w:r w:rsidRPr="001477EF">
        <w:rPr>
          <w:lang w:val="en-GB"/>
        </w:rPr>
        <w:t xml:space="preserve">2.4 </w:t>
      </w:r>
      <w:r w:rsidR="00355D75" w:rsidRPr="001477EF">
        <w:rPr>
          <w:lang w:val="en-GB"/>
        </w:rPr>
        <w:t>Conclusions and recommendations</w:t>
      </w:r>
    </w:p>
    <w:p w14:paraId="343D4DC3" w14:textId="77777777" w:rsidR="004755EA" w:rsidRPr="001477EF" w:rsidRDefault="00C9333F" w:rsidP="00D25FF7">
      <w:pPr>
        <w:pStyle w:val="Standard"/>
        <w:rPr>
          <w:rFonts w:ascii="Amnesty Trade Gothic Light" w:hAnsi="Amnesty Trade Gothic Light"/>
          <w:sz w:val="20"/>
          <w:szCs w:val="20"/>
          <w:lang w:val="en-GB"/>
        </w:rPr>
      </w:pPr>
      <w:r w:rsidRPr="001477EF">
        <w:rPr>
          <w:rFonts w:ascii="Amnesty Trade Gothic Light" w:hAnsi="Amnesty Trade Gothic Light"/>
          <w:sz w:val="20"/>
          <w:szCs w:val="20"/>
          <w:lang w:val="en-GB"/>
        </w:rPr>
        <w:t>The increase in poverty and financial vulnerability combined with poorer health outcomes due to negative impacts on the social determinants of health called for greater support to the public health system in times of economic crises, particularly for marginalized people who are often the worst affected. Instead, the Spanish government’s policies reduced health coverage, exacerbating people’s financial vulnerability. Amnesty International concluded that the retrogressive impact of the austerity measures, combined with how they were developed and implemented, meant that Spain is in violation of the right of everyone to the enjoyment of the highest attainable standard of physical and mental health, and made detailed recommendations, including:</w:t>
      </w:r>
      <w:r w:rsidRPr="001477EF">
        <w:rPr>
          <w:rStyle w:val="FootnoteReference"/>
          <w:rFonts w:ascii="Amnesty Trade Gothic Light" w:hAnsi="Amnesty Trade Gothic Light"/>
          <w:sz w:val="20"/>
          <w:szCs w:val="20"/>
          <w:lang w:val="en-GB"/>
        </w:rPr>
        <w:footnoteReference w:id="61"/>
      </w:r>
    </w:p>
    <w:p w14:paraId="343D4DC4" w14:textId="77777777" w:rsidR="004755EA" w:rsidRPr="001477EF" w:rsidRDefault="004755EA" w:rsidP="00D25FF7">
      <w:pPr>
        <w:pStyle w:val="Standard"/>
        <w:rPr>
          <w:rFonts w:ascii="Amnesty Trade Gothic Light" w:hAnsi="Amnesty Trade Gothic Light"/>
          <w:sz w:val="20"/>
          <w:szCs w:val="20"/>
          <w:lang w:val="en-GB"/>
        </w:rPr>
      </w:pPr>
    </w:p>
    <w:p w14:paraId="343D4DC5" w14:textId="77777777" w:rsidR="004755EA" w:rsidRPr="001477EF" w:rsidRDefault="00C9333F" w:rsidP="00355D75">
      <w:pPr>
        <w:pStyle w:val="Standard"/>
        <w:numPr>
          <w:ilvl w:val="0"/>
          <w:numId w:val="8"/>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The Ministry of Health, Social Services and Equality should urgently ensure that all persons, including irregular migrants, can access public health care, free from discrimination.</w:t>
      </w:r>
    </w:p>
    <w:p w14:paraId="343D4DC6" w14:textId="3BF34C71" w:rsidR="004755EA" w:rsidRPr="001477EF" w:rsidRDefault="00C9333F" w:rsidP="00355D75">
      <w:pPr>
        <w:pStyle w:val="Standard"/>
        <w:numPr>
          <w:ilvl w:val="0"/>
          <w:numId w:val="9"/>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 xml:space="preserve">Regional Governments should prioritize increasing budgetary allocations for public health at a regional level, and should urgently address the difficulties with respect to access, affordability, and quality regarding the right to </w:t>
      </w:r>
      <w:r w:rsidRPr="001477EF">
        <w:rPr>
          <w:rFonts w:ascii="Amnesty Trade Gothic Light" w:hAnsi="Amnesty Trade Gothic Light"/>
          <w:sz w:val="20"/>
          <w:szCs w:val="20"/>
          <w:lang w:val="en-GB"/>
        </w:rPr>
        <w:lastRenderedPageBreak/>
        <w:t>health identified, including ensuring that the new structure for out of pocket payments includes adequate safeguards to ensure that health care is affordable to all, and does not result in undue financial burdens</w:t>
      </w:r>
      <w:r w:rsidR="00355D75" w:rsidRPr="001477EF">
        <w:rPr>
          <w:rFonts w:ascii="Amnesty Trade Gothic Light" w:hAnsi="Amnesty Trade Gothic Light"/>
          <w:sz w:val="20"/>
          <w:szCs w:val="20"/>
          <w:lang w:val="en-GB"/>
        </w:rPr>
        <w:t>.</w:t>
      </w:r>
    </w:p>
    <w:p w14:paraId="343D4DC7" w14:textId="7FC85201" w:rsidR="004755EA" w:rsidRPr="001477EF" w:rsidRDefault="00C9333F" w:rsidP="00355D75">
      <w:pPr>
        <w:pStyle w:val="Standard"/>
        <w:numPr>
          <w:ilvl w:val="0"/>
          <w:numId w:val="9"/>
        </w:numPr>
        <w:rPr>
          <w:rFonts w:ascii="Amnesty Trade Gothic Light" w:hAnsi="Amnesty Trade Gothic Light"/>
          <w:sz w:val="20"/>
          <w:szCs w:val="20"/>
          <w:lang w:val="en-GB"/>
        </w:rPr>
      </w:pPr>
      <w:r w:rsidRPr="001477EF">
        <w:rPr>
          <w:rFonts w:ascii="Amnesty Trade Gothic Light" w:hAnsi="Amnesty Trade Gothic Light"/>
          <w:sz w:val="20"/>
          <w:szCs w:val="20"/>
          <w:lang w:val="en-GB"/>
        </w:rPr>
        <w:t>The Ministry of Health, Social Services and Equality should urgently conduct a human rights impact assessment to assess how austerity measures have impacted the right to health in Spain, particularly the rights of groups at risk of greater impact</w:t>
      </w:r>
      <w:r w:rsidR="00355D75" w:rsidRPr="001477EF">
        <w:rPr>
          <w:rFonts w:ascii="Amnesty Trade Gothic Light" w:hAnsi="Amnesty Trade Gothic Light"/>
          <w:sz w:val="20"/>
          <w:szCs w:val="20"/>
          <w:lang w:val="en-GB"/>
        </w:rPr>
        <w:t>.</w:t>
      </w:r>
    </w:p>
    <w:p w14:paraId="343D4DC8" w14:textId="77777777" w:rsidR="004755EA" w:rsidRPr="001477EF" w:rsidRDefault="004755EA" w:rsidP="00D25FF7">
      <w:pPr>
        <w:pStyle w:val="Standard"/>
        <w:rPr>
          <w:rFonts w:ascii="Amnesty Trade Gothic Light" w:hAnsi="Amnesty Trade Gothic Light"/>
          <w:sz w:val="20"/>
          <w:szCs w:val="20"/>
          <w:lang w:val="en-GB"/>
        </w:rPr>
      </w:pPr>
    </w:p>
    <w:p w14:paraId="54CA01AA" w14:textId="77777777" w:rsidR="001477EF" w:rsidRPr="001477EF" w:rsidRDefault="001477EF">
      <w:pPr>
        <w:pStyle w:val="Standard"/>
        <w:rPr>
          <w:rFonts w:ascii="Amnesty Trade Gothic Light" w:hAnsi="Amnesty Trade Gothic Light"/>
          <w:sz w:val="20"/>
          <w:szCs w:val="20"/>
          <w:lang w:val="en-GB"/>
        </w:rPr>
      </w:pPr>
    </w:p>
    <w:sectPr w:rsidR="001477EF" w:rsidRPr="001477EF">
      <w:footerReference w:type="defaul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1BD5D" w14:textId="77777777" w:rsidR="00270F15" w:rsidRDefault="00270F15">
      <w:pPr>
        <w:rPr>
          <w:rFonts w:hint="eastAsia"/>
        </w:rPr>
      </w:pPr>
      <w:r>
        <w:separator/>
      </w:r>
    </w:p>
  </w:endnote>
  <w:endnote w:type="continuationSeparator" w:id="0">
    <w:p w14:paraId="7D29CC3A" w14:textId="77777777" w:rsidR="00270F15" w:rsidRDefault="00270F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mnesty Trade Gothic Cn">
    <w:altName w:val="Calibri"/>
    <w:charset w:val="00"/>
    <w:family w:val="swiss"/>
    <w:pitch w:val="variable"/>
    <w:sig w:usb0="800000AF" w:usb1="5000204A" w:usb2="00000000" w:usb3="00000000" w:csb0="0000009B" w:csb1="00000000"/>
  </w:font>
  <w:font w:name="游ゴシック Light">
    <w:panose1 w:val="00000000000000000000"/>
    <w:charset w:val="8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nesty Trade Gothic Light">
    <w:altName w:val="Corbel"/>
    <w:charset w:val="00"/>
    <w:family w:val="swiss"/>
    <w:pitch w:val="variable"/>
    <w:sig w:usb0="00000001"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nesty Trade Gothic Condense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617A" w14:textId="77777777" w:rsidR="002963C8" w:rsidRDefault="002963C8" w:rsidP="002963C8">
    <w:pPr>
      <w:pStyle w:val="Footer"/>
      <w:jc w:val="both"/>
      <w:rPr>
        <w:rFonts w:hint="eastAsia"/>
        <w:sz w:val="16"/>
        <w:szCs w:val="16"/>
      </w:rPr>
    </w:pPr>
  </w:p>
  <w:p w14:paraId="0EE96A0D" w14:textId="2FB25882" w:rsidR="002963C8" w:rsidRPr="001477EF" w:rsidRDefault="002963C8" w:rsidP="002963C8">
    <w:pPr>
      <w:pStyle w:val="Footer"/>
      <w:jc w:val="both"/>
      <w:rPr>
        <w:rFonts w:ascii="Amnesty Trade Gothic Condensed" w:hAnsi="Amnesty Trade Gothic Condensed" w:hint="eastAsia"/>
        <w:sz w:val="16"/>
        <w:szCs w:val="16"/>
        <w:lang w:val="en-GB"/>
      </w:rPr>
    </w:pPr>
    <w:r w:rsidRPr="001477EF">
      <w:rPr>
        <w:rFonts w:ascii="Amnesty Trade Gothic Condensed" w:hAnsi="Amnesty Trade Gothic Condensed"/>
        <w:sz w:val="16"/>
        <w:szCs w:val="16"/>
        <w:lang w:val="en-GB"/>
      </w:rPr>
      <w:tab/>
    </w:r>
    <w:r w:rsidRPr="001477EF">
      <w:rPr>
        <w:rFonts w:ascii="Amnesty Trade Gothic Condensed" w:hAnsi="Amnesty Trade Gothic Condensed"/>
        <w:sz w:val="16"/>
        <w:szCs w:val="16"/>
        <w:lang w:val="en-GB"/>
      </w:rPr>
      <w:tab/>
    </w:r>
  </w:p>
  <w:p w14:paraId="07F721D6" w14:textId="12C2AB44" w:rsidR="00E343CF" w:rsidRDefault="00E343CF" w:rsidP="002963C8">
    <w:pPr>
      <w:pStyle w:val="Footer"/>
      <w:jc w:val="both"/>
      <w:rPr>
        <w:rFonts w:ascii="Amnesty Trade Gothic Condensed" w:hAnsi="Amnesty Trade Gothic Condensed" w:hint="eastAsia"/>
        <w:sz w:val="16"/>
        <w:szCs w:val="16"/>
        <w:lang w:val="en-GB"/>
      </w:rPr>
    </w:pPr>
    <w:r w:rsidRPr="001477EF">
      <w:rPr>
        <w:rFonts w:ascii="Amnesty Trade Gothic Condensed" w:hAnsi="Amnesty Trade Gothic Condensed"/>
        <w:sz w:val="16"/>
        <w:szCs w:val="16"/>
        <w:lang w:val="en-GB"/>
      </w:rPr>
      <w:t>AI Index: EUR 41/</w:t>
    </w:r>
    <w:r w:rsidR="002963C8" w:rsidRPr="001477EF">
      <w:rPr>
        <w:rFonts w:ascii="Amnesty Trade Gothic Condensed" w:hAnsi="Amnesty Trade Gothic Condensed"/>
        <w:sz w:val="16"/>
        <w:szCs w:val="16"/>
        <w:lang w:val="en-GB"/>
      </w:rPr>
      <w:t>1343/2019</w:t>
    </w:r>
    <w:r w:rsidR="002416C9" w:rsidRPr="002416C9">
      <w:rPr>
        <w:rFonts w:ascii="Amnesty Trade Gothic Condensed" w:hAnsi="Amnesty Trade Gothic Condensed"/>
        <w:sz w:val="16"/>
        <w:szCs w:val="16"/>
        <w:lang w:val="en-GB"/>
      </w:rPr>
      <w:t xml:space="preserve"> </w:t>
    </w:r>
    <w:r w:rsidR="002416C9">
      <w:rPr>
        <w:rFonts w:ascii="Amnesty Trade Gothic Condensed" w:hAnsi="Amnesty Trade Gothic Condensed"/>
        <w:sz w:val="16"/>
        <w:szCs w:val="16"/>
        <w:lang w:val="en-GB"/>
      </w:rPr>
      <w:tab/>
    </w:r>
    <w:r w:rsidR="002416C9">
      <w:rPr>
        <w:rFonts w:ascii="Amnesty Trade Gothic Condensed" w:hAnsi="Amnesty Trade Gothic Condensed"/>
        <w:sz w:val="16"/>
        <w:szCs w:val="16"/>
        <w:lang w:val="en-GB"/>
      </w:rPr>
      <w:tab/>
    </w:r>
    <w:r w:rsidR="002416C9" w:rsidRPr="001477EF">
      <w:rPr>
        <w:rFonts w:ascii="Amnesty Trade Gothic Condensed" w:hAnsi="Amnesty Trade Gothic Condensed"/>
        <w:sz w:val="16"/>
        <w:szCs w:val="16"/>
        <w:lang w:val="en-GB"/>
      </w:rPr>
      <w:t>November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4C16F" w14:textId="77777777" w:rsidR="00270F15" w:rsidRDefault="00270F15">
      <w:pPr>
        <w:rPr>
          <w:rFonts w:hint="eastAsia"/>
        </w:rPr>
      </w:pPr>
      <w:r>
        <w:rPr>
          <w:color w:val="000000"/>
        </w:rPr>
        <w:separator/>
      </w:r>
    </w:p>
  </w:footnote>
  <w:footnote w:type="continuationSeparator" w:id="0">
    <w:p w14:paraId="1D2FBC64" w14:textId="77777777" w:rsidR="00270F15" w:rsidRDefault="00270F15">
      <w:pPr>
        <w:rPr>
          <w:rFonts w:hint="eastAsia"/>
        </w:rPr>
      </w:pPr>
      <w:r>
        <w:continuationSeparator/>
      </w:r>
    </w:p>
  </w:footnote>
  <w:footnote w:id="1">
    <w:p w14:paraId="343D4D4D" w14:textId="294D3DCF"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General Council of the Spanish Judicial Author</w:t>
      </w:r>
      <w:r w:rsidR="003754CC" w:rsidRPr="002A5538">
        <w:rPr>
          <w:rFonts w:ascii="Amnesty Trade Gothic Light" w:hAnsi="Amnesty Trade Gothic Light"/>
          <w:sz w:val="16"/>
          <w:szCs w:val="16"/>
          <w:lang w:val="en-GB"/>
        </w:rPr>
        <w:t xml:space="preserve">ities. Statistics available in: </w:t>
      </w:r>
      <w:hyperlink r:id="rId1" w:history="1">
        <w:r w:rsidR="003754CC" w:rsidRPr="002A5538">
          <w:rPr>
            <w:rStyle w:val="Hyperlink0"/>
            <w:rFonts w:ascii="Amnesty Trade Gothic Light" w:hAnsi="Amnesty Trade Gothic Light"/>
            <w:sz w:val="16"/>
            <w:szCs w:val="16"/>
            <w:lang w:val="en-GB"/>
          </w:rPr>
          <w:t>http://www.poderjudicial.es/cgpj/es/Temas/Estadistica-Judicial/Estudios-e-Informes/Efecto-de-la-Crisis-en-los-organos-judiciales/</w:t>
        </w:r>
      </w:hyperlink>
      <w:r w:rsidR="003754CC" w:rsidRPr="002A5538">
        <w:rPr>
          <w:rStyle w:val="Hyperlink0"/>
          <w:rFonts w:ascii="Amnesty Trade Gothic Light" w:hAnsi="Amnesty Trade Gothic Light"/>
          <w:sz w:val="16"/>
          <w:szCs w:val="16"/>
          <w:lang w:val="en-GB"/>
        </w:rPr>
        <w:t xml:space="preserve"> </w:t>
      </w:r>
    </w:p>
  </w:footnote>
  <w:footnote w:id="2">
    <w:p w14:paraId="343D4D4E"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eastAsia="Arial Unicode MS" w:hAnsi="Amnesty Trade Gothic Light" w:cs="Arial Unicode MS"/>
          <w:sz w:val="16"/>
          <w:szCs w:val="16"/>
          <w:lang w:val="en-GB"/>
        </w:rPr>
        <w:t xml:space="preserve"> </w:t>
      </w:r>
      <w:r w:rsidRPr="002A5538">
        <w:rPr>
          <w:rFonts w:ascii="Amnesty Trade Gothic Light" w:hAnsi="Amnesty Trade Gothic Light"/>
          <w:sz w:val="16"/>
          <w:szCs w:val="16"/>
          <w:lang w:val="en-GB"/>
        </w:rPr>
        <w:t>Article 20 of the Law 3/2007, 22th March, on Equality of women and men.</w:t>
      </w:r>
    </w:p>
  </w:footnote>
  <w:footnote w:id="3">
    <w:p w14:paraId="343D4D4F" w14:textId="731C78B1"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 xml:space="preserve">UN Special Rapporteur on adequate housing, </w:t>
      </w:r>
      <w:r w:rsidRPr="002A5538">
        <w:rPr>
          <w:rFonts w:ascii="Amnesty Trade Gothic Light" w:hAnsi="Amnesty Trade Gothic Light"/>
          <w:i/>
          <w:iCs/>
          <w:sz w:val="16"/>
          <w:szCs w:val="16"/>
          <w:lang w:val="en-GB"/>
        </w:rPr>
        <w:t>Women and adequate housing</w:t>
      </w:r>
      <w:r w:rsidRPr="002A5538">
        <w:rPr>
          <w:rFonts w:ascii="Amnesty Trade Gothic Light" w:hAnsi="Amnesty Trade Gothic Light"/>
          <w:sz w:val="16"/>
          <w:szCs w:val="16"/>
          <w:lang w:val="en-GB"/>
        </w:rPr>
        <w:t xml:space="preserve">, 2006, para. </w:t>
      </w:r>
      <w:r w:rsidR="00355D75" w:rsidRPr="002A5538">
        <w:rPr>
          <w:rFonts w:ascii="Amnesty Trade Gothic Light" w:hAnsi="Amnesty Trade Gothic Light"/>
          <w:sz w:val="16"/>
          <w:szCs w:val="16"/>
          <w:lang w:val="en-GB"/>
        </w:rPr>
        <w:t>30-31, UN D</w:t>
      </w:r>
      <w:r w:rsidRPr="002A5538">
        <w:rPr>
          <w:rFonts w:ascii="Amnesty Trade Gothic Light" w:hAnsi="Amnesty Trade Gothic Light"/>
          <w:sz w:val="16"/>
          <w:szCs w:val="16"/>
          <w:lang w:val="en-GB"/>
        </w:rPr>
        <w:t>oc: E/CN.4/2006/118.</w:t>
      </w:r>
    </w:p>
  </w:footnote>
  <w:footnote w:id="4">
    <w:p w14:paraId="343D4D50"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Real </w:t>
      </w:r>
      <w:proofErr w:type="spellStart"/>
      <w:r w:rsidRPr="002A5538">
        <w:rPr>
          <w:rFonts w:ascii="Amnesty Trade Gothic Light" w:hAnsi="Amnesty Trade Gothic Light"/>
          <w:sz w:val="16"/>
          <w:szCs w:val="16"/>
          <w:lang w:val="en-GB"/>
        </w:rPr>
        <w:t>Decreto</w:t>
      </w:r>
      <w:proofErr w:type="spellEnd"/>
      <w:r w:rsidRPr="002A5538">
        <w:rPr>
          <w:rFonts w:ascii="Amnesty Trade Gothic Light" w:hAnsi="Amnesty Trade Gothic Light"/>
          <w:sz w:val="16"/>
          <w:szCs w:val="16"/>
          <w:lang w:val="en-GB"/>
        </w:rPr>
        <w:t xml:space="preserve">-ley 7/2019, de 1 de </w:t>
      </w:r>
      <w:proofErr w:type="spellStart"/>
      <w:r w:rsidRPr="002A5538">
        <w:rPr>
          <w:rFonts w:ascii="Amnesty Trade Gothic Light" w:hAnsi="Amnesty Trade Gothic Light"/>
          <w:sz w:val="16"/>
          <w:szCs w:val="16"/>
          <w:lang w:val="en-GB"/>
        </w:rPr>
        <w:t>marzo</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medidas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urgentes</w:t>
      </w:r>
      <w:proofErr w:type="spellEnd"/>
      <w:r w:rsidRPr="002A5538">
        <w:rPr>
          <w:rFonts w:ascii="Amnesty Trade Gothic Light" w:hAnsi="Amnesty Trade Gothic Light"/>
          <w:sz w:val="16"/>
          <w:szCs w:val="16"/>
          <w:lang w:val="en-GB"/>
        </w:rPr>
        <w:t xml:space="preserve"> en </w:t>
      </w:r>
      <w:proofErr w:type="spellStart"/>
      <w:r w:rsidRPr="002A5538">
        <w:rPr>
          <w:rFonts w:ascii="Amnesty Trade Gothic Light" w:hAnsi="Amnesty Trade Gothic Light"/>
          <w:sz w:val="16"/>
          <w:szCs w:val="16"/>
          <w:lang w:val="en-GB"/>
        </w:rPr>
        <w:t>materia</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vivienda</w:t>
      </w:r>
      <w:proofErr w:type="spellEnd"/>
      <w:r w:rsidRPr="002A5538">
        <w:rPr>
          <w:rFonts w:ascii="Amnesty Trade Gothic Light" w:hAnsi="Amnesty Trade Gothic Light"/>
          <w:sz w:val="16"/>
          <w:szCs w:val="16"/>
          <w:lang w:val="en-GB"/>
        </w:rPr>
        <w:t xml:space="preserve"> y </w:t>
      </w:r>
      <w:proofErr w:type="spellStart"/>
      <w:r w:rsidRPr="002A5538">
        <w:rPr>
          <w:rFonts w:ascii="Amnesty Trade Gothic Light" w:hAnsi="Amnesty Trade Gothic Light"/>
          <w:sz w:val="16"/>
          <w:szCs w:val="16"/>
          <w:lang w:val="en-GB"/>
        </w:rPr>
        <w:t>alquiler</w:t>
      </w:r>
      <w:proofErr w:type="spellEnd"/>
      <w:r w:rsidRPr="002A5538">
        <w:rPr>
          <w:rFonts w:ascii="Amnesty Trade Gothic Light" w:hAnsi="Amnesty Trade Gothic Light"/>
          <w:sz w:val="16"/>
          <w:szCs w:val="16"/>
          <w:lang w:val="en-GB"/>
        </w:rPr>
        <w:t xml:space="preserve"> </w:t>
      </w:r>
      <w:hyperlink r:id="rId2" w:history="1">
        <w:r w:rsidRPr="002A5538">
          <w:rPr>
            <w:rStyle w:val="Hyperlink0"/>
            <w:rFonts w:ascii="Amnesty Trade Gothic Light" w:hAnsi="Amnesty Trade Gothic Light"/>
            <w:sz w:val="16"/>
            <w:szCs w:val="16"/>
            <w:lang w:val="en-GB"/>
          </w:rPr>
          <w:t>https://www.boe.es/buscar/doc.php?id=BOE-A-2019-3108</w:t>
        </w:r>
      </w:hyperlink>
    </w:p>
  </w:footnote>
  <w:footnote w:id="5">
    <w:p w14:paraId="343D4D51"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Since 2009, Spain reformed the Urban Rent Law and the Civil Procedure Law five times (Laws 19/2009, 37/2011, 4/2013, 2/2015 and 42/2015). These reforms liberalized the housing rental sector and led to speed up the judicial eviction procedure, thereby putting tenants' rights at further risk at a time when an increasing number of people became reliant on rental housing. For more detail on the reforms see Amnesty International </w:t>
      </w:r>
      <w:proofErr w:type="gramStart"/>
      <w:r w:rsidRPr="002A5538">
        <w:rPr>
          <w:rFonts w:ascii="Amnesty Trade Gothic Light" w:hAnsi="Amnesty Trade Gothic Light"/>
          <w:sz w:val="16"/>
          <w:szCs w:val="16"/>
          <w:lang w:val="en-GB"/>
        </w:rPr>
        <w:t>The</w:t>
      </w:r>
      <w:proofErr w:type="gramEnd"/>
      <w:r w:rsidRPr="002A5538">
        <w:rPr>
          <w:rFonts w:ascii="Amnesty Trade Gothic Light" w:hAnsi="Amnesty Trade Gothic Light"/>
          <w:sz w:val="16"/>
          <w:szCs w:val="16"/>
          <w:lang w:val="en-GB"/>
        </w:rPr>
        <w:t xml:space="preserve"> housing crisis is not over”: Right to housing and impact of rental evictions on women in Spain. May 2017</w:t>
      </w:r>
    </w:p>
  </w:footnote>
  <w:footnote w:id="6">
    <w:p w14:paraId="343D4D52"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Amnesty International “Evicted rights: Right to housing and mortgage evictions in Spain”. June 2015 and “The housing crisis is not over”: Right to housing and impact of rental evictions on women in Spain. May 2017</w:t>
      </w:r>
    </w:p>
  </w:footnote>
  <w:footnote w:id="7">
    <w:p w14:paraId="343D4D53" w14:textId="33A5E9BD"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CESCR, General Comment No. 7, 1997, para. 11. Also the Human Rights Committee has highlighted that every interference with the right to private and family life should be reasonable in the particular circumstances (Human Rights Committee, General Comment No. 16, 1988, para. 4) and the European Court of Human Rights has established that any </w:t>
      </w:r>
      <w:r w:rsidR="00355D75" w:rsidRPr="002A5538">
        <w:rPr>
          <w:rFonts w:ascii="Amnesty Trade Gothic Light" w:hAnsi="Amnesty Trade Gothic Light"/>
          <w:sz w:val="16"/>
          <w:szCs w:val="16"/>
          <w:lang w:val="en-GB"/>
        </w:rPr>
        <w:t>person and</w:t>
      </w:r>
      <w:r w:rsidRPr="002A5538">
        <w:rPr>
          <w:rFonts w:ascii="Amnesty Trade Gothic Light" w:hAnsi="Amnesty Trade Gothic Light"/>
          <w:sz w:val="16"/>
          <w:szCs w:val="16"/>
          <w:lang w:val="en-GB"/>
        </w:rPr>
        <w:t xml:space="preserve"> any person at risk of loss of their home should be able to have the proportionality of such a measure assessed by an independent tribunal (ECtHR, McCann v. UK, 2008, para. 50; </w:t>
      </w:r>
      <w:proofErr w:type="spellStart"/>
      <w:r w:rsidRPr="002A5538">
        <w:rPr>
          <w:rFonts w:ascii="Amnesty Trade Gothic Light" w:hAnsi="Amnesty Trade Gothic Light"/>
          <w:sz w:val="16"/>
          <w:szCs w:val="16"/>
          <w:lang w:val="en-GB"/>
        </w:rPr>
        <w:t>Paulić</w:t>
      </w:r>
      <w:proofErr w:type="spellEnd"/>
      <w:r w:rsidRPr="002A5538">
        <w:rPr>
          <w:rFonts w:ascii="Amnesty Trade Gothic Light" w:hAnsi="Amnesty Trade Gothic Light"/>
          <w:color w:val="252525"/>
          <w:sz w:val="16"/>
          <w:szCs w:val="16"/>
          <w:lang w:val="en-GB"/>
        </w:rPr>
        <w:t xml:space="preserve"> </w:t>
      </w:r>
      <w:r w:rsidRPr="002A5538">
        <w:rPr>
          <w:rFonts w:ascii="Amnesty Trade Gothic Light" w:hAnsi="Amnesty Trade Gothic Light"/>
          <w:sz w:val="16"/>
          <w:szCs w:val="16"/>
          <w:lang w:val="en-GB"/>
        </w:rPr>
        <w:t xml:space="preserve">v. Croatia, 2009, para. 43; </w:t>
      </w:r>
      <w:proofErr w:type="spellStart"/>
      <w:r w:rsidRPr="002A5538">
        <w:rPr>
          <w:rFonts w:ascii="Amnesty Trade Gothic Light" w:hAnsi="Amnesty Trade Gothic Light"/>
          <w:sz w:val="16"/>
          <w:szCs w:val="16"/>
          <w:lang w:val="en-GB"/>
        </w:rPr>
        <w:t>Zehentner</w:t>
      </w:r>
      <w:proofErr w:type="spellEnd"/>
      <w:r w:rsidRPr="002A5538">
        <w:rPr>
          <w:rFonts w:ascii="Amnesty Trade Gothic Light" w:hAnsi="Amnesty Trade Gothic Light"/>
          <w:sz w:val="16"/>
          <w:szCs w:val="16"/>
          <w:lang w:val="en-GB"/>
        </w:rPr>
        <w:t xml:space="preserve"> v. Austria, 2009, para. 59; Kay et al v. UK, 2010, para. 68; Buckland v. UK, UK, 2012, para. 65; </w:t>
      </w:r>
      <w:proofErr w:type="spellStart"/>
      <w:r w:rsidRPr="002A5538">
        <w:rPr>
          <w:rFonts w:ascii="Amnesty Trade Gothic Light" w:hAnsi="Amnesty Trade Gothic Light"/>
          <w:sz w:val="16"/>
          <w:szCs w:val="16"/>
          <w:lang w:val="en-GB"/>
        </w:rPr>
        <w:t>Rousk</w:t>
      </w:r>
      <w:proofErr w:type="spellEnd"/>
      <w:r w:rsidRPr="002A5538">
        <w:rPr>
          <w:rFonts w:ascii="Amnesty Trade Gothic Light" w:hAnsi="Amnesty Trade Gothic Light"/>
          <w:sz w:val="16"/>
          <w:szCs w:val="16"/>
          <w:lang w:val="en-GB"/>
        </w:rPr>
        <w:t xml:space="preserve"> v. Sweden, 2013, para. 137)</w:t>
      </w:r>
      <w:r w:rsidR="00355D75" w:rsidRPr="002A5538">
        <w:rPr>
          <w:rFonts w:ascii="Amnesty Trade Gothic Light" w:hAnsi="Amnesty Trade Gothic Light"/>
          <w:sz w:val="16"/>
          <w:szCs w:val="16"/>
          <w:lang w:val="en-GB"/>
        </w:rPr>
        <w:t>.</w:t>
      </w:r>
    </w:p>
  </w:footnote>
  <w:footnote w:id="8">
    <w:p w14:paraId="343D4D54" w14:textId="24585109"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w:t>
      </w:r>
      <w:r w:rsidR="00355D75" w:rsidRPr="002A5538">
        <w:rPr>
          <w:rFonts w:ascii="Amnesty Trade Gothic Light" w:hAnsi="Amnesty Trade Gothic Light"/>
          <w:sz w:val="16"/>
          <w:szCs w:val="16"/>
          <w:lang w:val="en-GB"/>
        </w:rPr>
        <w:t>Supreme</w:t>
      </w:r>
      <w:r w:rsidRPr="002A5538">
        <w:rPr>
          <w:rFonts w:ascii="Amnesty Trade Gothic Light" w:hAnsi="Amnesty Trade Gothic Light"/>
          <w:sz w:val="16"/>
          <w:szCs w:val="16"/>
          <w:lang w:val="en-GB"/>
        </w:rPr>
        <w:t xml:space="preserve"> Court. Judgment No. 1.797/2017</w:t>
      </w:r>
      <w:r w:rsidR="00355D75" w:rsidRPr="002A5538">
        <w:rPr>
          <w:rFonts w:ascii="Amnesty Trade Gothic Light" w:hAnsi="Amnesty Trade Gothic Light"/>
          <w:sz w:val="16"/>
          <w:szCs w:val="16"/>
          <w:lang w:val="en-GB"/>
        </w:rPr>
        <w:t>.</w:t>
      </w:r>
    </w:p>
  </w:footnote>
  <w:footnote w:id="9">
    <w:p w14:paraId="343D4D55" w14:textId="3448F0FC" w:rsidR="004755EA" w:rsidRPr="002A5538" w:rsidRDefault="00C9333F" w:rsidP="00355D75">
      <w:pPr>
        <w:pStyle w:val="FootnoteText"/>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CESCR </w:t>
      </w:r>
      <w:r w:rsidR="00355D75" w:rsidRPr="002A5538">
        <w:rPr>
          <w:rFonts w:ascii="Amnesty Trade Gothic Light" w:hAnsi="Amnesty Trade Gothic Light"/>
          <w:sz w:val="16"/>
          <w:szCs w:val="16"/>
          <w:lang w:val="en-GB"/>
        </w:rPr>
        <w:t>Communication</w:t>
      </w:r>
      <w:r w:rsidR="005D3679" w:rsidRPr="002A5538">
        <w:rPr>
          <w:rFonts w:ascii="Amnesty Trade Gothic Light" w:hAnsi="Amnesty Trade Gothic Light"/>
          <w:sz w:val="16"/>
          <w:szCs w:val="16"/>
          <w:lang w:val="en-GB"/>
        </w:rPr>
        <w:t xml:space="preserve"> Nº37/2018 E/C.12/66/D/37/2018,</w:t>
      </w:r>
      <w:r w:rsidRPr="002A5538">
        <w:rPr>
          <w:rFonts w:ascii="Amnesty Trade Gothic Light" w:hAnsi="Amnesty Trade Gothic Light"/>
          <w:sz w:val="16"/>
          <w:szCs w:val="16"/>
          <w:lang w:val="en-GB"/>
        </w:rPr>
        <w:t xml:space="preserve"> October 2019</w:t>
      </w:r>
      <w:r w:rsidR="00355D75" w:rsidRPr="002A5538">
        <w:rPr>
          <w:rFonts w:ascii="Amnesty Trade Gothic Light" w:hAnsi="Amnesty Trade Gothic Light"/>
          <w:sz w:val="16"/>
          <w:szCs w:val="16"/>
          <w:lang w:val="en-GB"/>
        </w:rPr>
        <w:t>.</w:t>
      </w:r>
    </w:p>
  </w:footnote>
  <w:footnote w:id="10">
    <w:p w14:paraId="343D4D56" w14:textId="5BDFC40E"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“Good quality of justice systems requires that all components of the system adhere to international standards of competence, efficiency, independence and impartiality and provide, in a timely fashion, appropriate and effective remedies that are enforced and that lead to sustainable gender-sensitive dispute resolution for all women.” (CEDAW Committee, General Recommendation No. 33 on women’s access to justice, 2015, para. 14</w:t>
      </w:r>
      <w:proofErr w:type="gramStart"/>
      <w:r w:rsidRPr="002A5538">
        <w:rPr>
          <w:rFonts w:ascii="Amnesty Trade Gothic Light" w:hAnsi="Amnesty Trade Gothic Light"/>
          <w:sz w:val="16"/>
          <w:szCs w:val="16"/>
          <w:lang w:val="en-GB"/>
        </w:rPr>
        <w:t>.d</w:t>
      </w:r>
      <w:proofErr w:type="gramEnd"/>
      <w:r w:rsidRPr="002A5538">
        <w:rPr>
          <w:rFonts w:ascii="Amnesty Trade Gothic Light" w:hAnsi="Amnesty Trade Gothic Light"/>
          <w:sz w:val="16"/>
          <w:szCs w:val="16"/>
          <w:lang w:val="en-GB"/>
        </w:rPr>
        <w:t>, UN doc: CEDAW/C/GC/33.</w:t>
      </w:r>
    </w:p>
  </w:footnote>
  <w:footnote w:id="11">
    <w:p w14:paraId="343D4D57" w14:textId="3271260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Article 3 of the Convention on the Rights of the Child.</w:t>
      </w:r>
    </w:p>
  </w:footnote>
  <w:footnote w:id="12">
    <w:p w14:paraId="343D4D58" w14:textId="5A6FCCB0"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color w:val="000000"/>
          <w:sz w:val="16"/>
          <w:szCs w:val="16"/>
          <w:lang w:val="en-GB"/>
        </w:rPr>
        <w:t xml:space="preserve"> </w:t>
      </w:r>
      <w:r w:rsidRPr="002A5538">
        <w:rPr>
          <w:rFonts w:ascii="Amnesty Trade Gothic Light" w:hAnsi="Amnesty Trade Gothic Light"/>
          <w:color w:val="000000"/>
          <w:sz w:val="16"/>
          <w:szCs w:val="16"/>
          <w:lang w:val="en-GB"/>
        </w:rPr>
        <w:t xml:space="preserve">Housing, similarly to the majority of other economic, social and cultural rights, is not duly guaranteed in the Constitution and in ordinary legislation. See Amnesty International. </w:t>
      </w:r>
      <w:proofErr w:type="spellStart"/>
      <w:r w:rsidRPr="002A5538">
        <w:rPr>
          <w:rFonts w:ascii="Amnesty Trade Gothic Light" w:hAnsi="Amnesty Trade Gothic Light"/>
          <w:color w:val="000000"/>
          <w:sz w:val="16"/>
          <w:szCs w:val="16"/>
          <w:lang w:val="en-GB"/>
        </w:rPr>
        <w:t>Derechos</w:t>
      </w:r>
      <w:proofErr w:type="spellEnd"/>
      <w:r w:rsidRPr="002A5538">
        <w:rPr>
          <w:rFonts w:ascii="Amnesty Trade Gothic Light" w:hAnsi="Amnesty Trade Gothic Light"/>
          <w:color w:val="000000"/>
          <w:sz w:val="16"/>
          <w:szCs w:val="16"/>
          <w:lang w:val="en-GB"/>
        </w:rPr>
        <w:t xml:space="preserve"> a la </w:t>
      </w:r>
      <w:proofErr w:type="spellStart"/>
      <w:r w:rsidRPr="002A5538">
        <w:rPr>
          <w:rFonts w:ascii="Amnesty Trade Gothic Light" w:hAnsi="Amnesty Trade Gothic Light"/>
          <w:color w:val="000000"/>
          <w:sz w:val="16"/>
          <w:szCs w:val="16"/>
          <w:lang w:val="en-GB"/>
        </w:rPr>
        <w:t>intemperie</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Obstáculos</w:t>
      </w:r>
      <w:proofErr w:type="spellEnd"/>
      <w:r w:rsidR="00F014A7" w:rsidRPr="002A5538">
        <w:rPr>
          <w:rFonts w:ascii="Amnesty Trade Gothic Light" w:hAnsi="Amnesty Trade Gothic Light"/>
          <w:color w:val="000000"/>
          <w:sz w:val="16"/>
          <w:szCs w:val="16"/>
          <w:lang w:val="en-GB"/>
        </w:rPr>
        <w:t xml:space="preserve"> </w:t>
      </w:r>
      <w:r w:rsidRPr="002A5538">
        <w:rPr>
          <w:rFonts w:ascii="Amnesty Trade Gothic Light" w:hAnsi="Amnesty Trade Gothic Light"/>
          <w:color w:val="000000"/>
          <w:sz w:val="16"/>
          <w:szCs w:val="16"/>
          <w:lang w:val="en-GB"/>
        </w:rPr>
        <w:t xml:space="preserve">para </w:t>
      </w:r>
      <w:proofErr w:type="spellStart"/>
      <w:r w:rsidRPr="002A5538">
        <w:rPr>
          <w:rFonts w:ascii="Amnesty Trade Gothic Light" w:hAnsi="Amnesty Trade Gothic Light"/>
          <w:color w:val="000000"/>
          <w:sz w:val="16"/>
          <w:szCs w:val="16"/>
          <w:lang w:val="en-GB"/>
        </w:rPr>
        <w:t>hacer</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valer</w:t>
      </w:r>
      <w:proofErr w:type="spellEnd"/>
      <w:r w:rsidRPr="002A5538">
        <w:rPr>
          <w:rFonts w:ascii="Amnesty Trade Gothic Light" w:hAnsi="Amnesty Trade Gothic Light"/>
          <w:color w:val="000000"/>
          <w:sz w:val="16"/>
          <w:szCs w:val="16"/>
          <w:lang w:val="en-GB"/>
        </w:rPr>
        <w:t xml:space="preserve"> los </w:t>
      </w:r>
      <w:proofErr w:type="spellStart"/>
      <w:r w:rsidRPr="002A5538">
        <w:rPr>
          <w:rFonts w:ascii="Amnesty Trade Gothic Light" w:hAnsi="Amnesty Trade Gothic Light"/>
          <w:color w:val="000000"/>
          <w:sz w:val="16"/>
          <w:szCs w:val="16"/>
          <w:lang w:val="en-GB"/>
        </w:rPr>
        <w:t>derechos</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económicos</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sociales</w:t>
      </w:r>
      <w:proofErr w:type="spellEnd"/>
      <w:r w:rsidRPr="002A5538">
        <w:rPr>
          <w:rFonts w:ascii="Amnesty Trade Gothic Light" w:hAnsi="Amnesty Trade Gothic Light"/>
          <w:color w:val="000000"/>
          <w:sz w:val="16"/>
          <w:szCs w:val="16"/>
          <w:lang w:val="en-GB"/>
        </w:rPr>
        <w:t xml:space="preserve"> y </w:t>
      </w:r>
      <w:proofErr w:type="spellStart"/>
      <w:r w:rsidRPr="002A5538">
        <w:rPr>
          <w:rFonts w:ascii="Amnesty Trade Gothic Light" w:hAnsi="Amnesty Trade Gothic Light"/>
          <w:color w:val="000000"/>
          <w:sz w:val="16"/>
          <w:szCs w:val="16"/>
          <w:lang w:val="en-GB"/>
        </w:rPr>
        <w:t>culturales</w:t>
      </w:r>
      <w:proofErr w:type="spellEnd"/>
      <w:r w:rsidRPr="002A5538">
        <w:rPr>
          <w:rFonts w:ascii="Amnesty Trade Gothic Light" w:hAnsi="Amnesty Trade Gothic Light"/>
          <w:color w:val="000000"/>
          <w:sz w:val="16"/>
          <w:szCs w:val="16"/>
          <w:lang w:val="en-GB"/>
        </w:rPr>
        <w:t xml:space="preserve"> en </w:t>
      </w:r>
      <w:proofErr w:type="spellStart"/>
      <w:r w:rsidRPr="002A5538">
        <w:rPr>
          <w:rFonts w:ascii="Amnesty Trade Gothic Light" w:hAnsi="Amnesty Trade Gothic Light"/>
          <w:color w:val="000000"/>
          <w:sz w:val="16"/>
          <w:szCs w:val="16"/>
          <w:lang w:val="en-GB"/>
        </w:rPr>
        <w:t>Españ</w:t>
      </w:r>
      <w:r w:rsidR="00355D75" w:rsidRPr="002A5538">
        <w:rPr>
          <w:rFonts w:ascii="Amnesty Trade Gothic Light" w:hAnsi="Amnesty Trade Gothic Light"/>
          <w:color w:val="000000"/>
          <w:sz w:val="16"/>
          <w:szCs w:val="16"/>
          <w:lang w:val="en-GB"/>
        </w:rPr>
        <w:t>a</w:t>
      </w:r>
      <w:proofErr w:type="spellEnd"/>
      <w:r w:rsidR="00355D75" w:rsidRPr="002A5538">
        <w:rPr>
          <w:rFonts w:ascii="Amnesty Trade Gothic Light" w:hAnsi="Amnesty Trade Gothic Light"/>
          <w:color w:val="000000"/>
          <w:sz w:val="16"/>
          <w:szCs w:val="16"/>
          <w:lang w:val="en-GB"/>
        </w:rPr>
        <w:t xml:space="preserve">. </w:t>
      </w:r>
      <w:r w:rsidRPr="002A5538">
        <w:rPr>
          <w:rFonts w:ascii="Amnesty Trade Gothic Light" w:hAnsi="Amnesty Trade Gothic Light"/>
          <w:color w:val="000000"/>
          <w:sz w:val="16"/>
          <w:szCs w:val="16"/>
          <w:lang w:val="en-GB"/>
        </w:rPr>
        <w:t xml:space="preserve">April 2011 </w:t>
      </w:r>
      <w:hyperlink r:id="rId3" w:history="1">
        <w:r w:rsidRPr="002A5538">
          <w:rPr>
            <w:rStyle w:val="Hyperlink1"/>
            <w:rFonts w:ascii="Amnesty Trade Gothic Light" w:hAnsi="Amnesty Trade Gothic Light"/>
            <w:sz w:val="16"/>
            <w:szCs w:val="16"/>
            <w:lang w:val="en-GB"/>
          </w:rPr>
          <w:t>https://www.es.amnesty.org/uploads/pics/derechos_a_la_intemperie.pdf</w:t>
        </w:r>
      </w:hyperlink>
      <w:r w:rsidR="003754CC" w:rsidRPr="002A5538">
        <w:rPr>
          <w:rStyle w:val="Hyperlink1"/>
          <w:rFonts w:ascii="Amnesty Trade Gothic Light" w:hAnsi="Amnesty Trade Gothic Light"/>
          <w:sz w:val="16"/>
          <w:szCs w:val="16"/>
          <w:lang w:val="en-GB"/>
        </w:rPr>
        <w:t xml:space="preserve">  </w:t>
      </w:r>
    </w:p>
  </w:footnote>
  <w:footnote w:id="13">
    <w:p w14:paraId="343D4D59" w14:textId="7AEF1F44"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CESCR Com</w:t>
      </w:r>
      <w:r w:rsidR="003754CC" w:rsidRPr="002A5538">
        <w:rPr>
          <w:rFonts w:ascii="Amnesty Trade Gothic Light" w:hAnsi="Amnesty Trade Gothic Light"/>
          <w:sz w:val="16"/>
          <w:szCs w:val="16"/>
          <w:lang w:val="en-GB"/>
        </w:rPr>
        <w:t>m</w:t>
      </w:r>
      <w:r w:rsidRPr="002A5538">
        <w:rPr>
          <w:rFonts w:ascii="Amnesty Trade Gothic Light" w:hAnsi="Amnesty Trade Gothic Light"/>
          <w:sz w:val="16"/>
          <w:szCs w:val="16"/>
          <w:lang w:val="en-GB"/>
        </w:rPr>
        <w:t>unication Nº 5/2015, E/C.12/61/D/5/2015. June 2017.</w:t>
      </w:r>
    </w:p>
  </w:footnote>
  <w:footnote w:id="14">
    <w:p w14:paraId="343D4D5A" w14:textId="428F63CC"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Committee on Economic, Social and Cultural Rights, General Comment N. 7. The right to adequate housing (art. 11 (1) of the Covenant):  Forced evictions</w:t>
      </w:r>
      <w:r w:rsidR="00355D75" w:rsidRPr="002A5538">
        <w:rPr>
          <w:rFonts w:ascii="Amnesty Trade Gothic Light" w:hAnsi="Amnesty Trade Gothic Light"/>
          <w:sz w:val="16"/>
          <w:szCs w:val="16"/>
          <w:lang w:val="en-GB"/>
        </w:rPr>
        <w:t>.</w:t>
      </w:r>
    </w:p>
  </w:footnote>
  <w:footnote w:id="15">
    <w:p w14:paraId="343D4D5B" w14:textId="11F458C3"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 xml:space="preserve">CESCR E/C.12/ESP/CO/6, April 2018, CESCR </w:t>
      </w:r>
      <w:r w:rsidR="00355D75" w:rsidRPr="002A5538">
        <w:rPr>
          <w:rFonts w:ascii="Amnesty Trade Gothic Light" w:hAnsi="Amnesty Trade Gothic Light"/>
          <w:sz w:val="16"/>
          <w:szCs w:val="16"/>
          <w:lang w:val="en-GB"/>
        </w:rPr>
        <w:t>Communication</w:t>
      </w:r>
      <w:r w:rsidRPr="002A5538">
        <w:rPr>
          <w:rFonts w:ascii="Amnesty Trade Gothic Light" w:hAnsi="Amnesty Trade Gothic Light"/>
          <w:sz w:val="16"/>
          <w:szCs w:val="16"/>
          <w:lang w:val="en-GB"/>
        </w:rPr>
        <w:t xml:space="preserve"> Nº 5/2015, E/C.12/61/D/5/2015. June 2017; CESCR (2012): Concluding </w:t>
      </w:r>
      <w:r w:rsidR="00355D75" w:rsidRPr="002A5538">
        <w:rPr>
          <w:rFonts w:ascii="Amnesty Trade Gothic Light" w:hAnsi="Amnesty Trade Gothic Light"/>
          <w:sz w:val="16"/>
          <w:szCs w:val="16"/>
          <w:lang w:val="en-GB"/>
        </w:rPr>
        <w:t xml:space="preserve">Observations: Spain, para. 21, </w:t>
      </w:r>
      <w:r w:rsidRPr="002A5538">
        <w:rPr>
          <w:rFonts w:ascii="Amnesty Trade Gothic Light" w:hAnsi="Amnesty Trade Gothic Light"/>
          <w:sz w:val="16"/>
          <w:szCs w:val="16"/>
          <w:lang w:val="en-GB"/>
        </w:rPr>
        <w:t xml:space="preserve">Special Rapporteur on the Right to Housing, </w:t>
      </w:r>
      <w:proofErr w:type="spellStart"/>
      <w:r w:rsidRPr="002A5538">
        <w:rPr>
          <w:rFonts w:ascii="Amnesty Trade Gothic Light" w:hAnsi="Amnesty Trade Gothic Light"/>
          <w:sz w:val="16"/>
          <w:szCs w:val="16"/>
          <w:lang w:val="en-GB"/>
        </w:rPr>
        <w:t>Miloon</w:t>
      </w:r>
      <w:proofErr w:type="spellEnd"/>
      <w:r w:rsidRPr="002A5538">
        <w:rPr>
          <w:rFonts w:ascii="Amnesty Trade Gothic Light" w:hAnsi="Amnesty Trade Gothic Light"/>
          <w:sz w:val="16"/>
          <w:szCs w:val="16"/>
          <w:lang w:val="en-GB"/>
        </w:rPr>
        <w:t xml:space="preserve"> Kothari (2008): Report after mission to Spain, para. 101.</w:t>
      </w:r>
    </w:p>
  </w:footnote>
  <w:footnote w:id="16">
    <w:p w14:paraId="343D4D5C" w14:textId="65FDE789"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Ministerio</w:t>
      </w:r>
      <w:proofErr w:type="spellEnd"/>
      <w:r w:rsidRPr="002A5538">
        <w:rPr>
          <w:rFonts w:ascii="Amnesty Trade Gothic Light" w:hAnsi="Amnesty Trade Gothic Light"/>
          <w:sz w:val="16"/>
          <w:szCs w:val="16"/>
          <w:lang w:val="en-GB"/>
        </w:rPr>
        <w:t xml:space="preserve"> de Hacienda y </w:t>
      </w:r>
      <w:proofErr w:type="spellStart"/>
      <w:r w:rsidRPr="002A5538">
        <w:rPr>
          <w:rFonts w:ascii="Amnesty Trade Gothic Light" w:hAnsi="Amnesty Trade Gothic Light"/>
          <w:sz w:val="16"/>
          <w:szCs w:val="16"/>
          <w:lang w:val="en-GB"/>
        </w:rPr>
        <w:t>Administraciones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Públicas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Estadísticas</w:t>
      </w:r>
      <w:proofErr w:type="spellEnd"/>
      <w:r w:rsidRPr="002A5538">
        <w:rPr>
          <w:rFonts w:ascii="Amnesty Trade Gothic Light" w:hAnsi="Amnesty Trade Gothic Light"/>
          <w:sz w:val="16"/>
          <w:szCs w:val="16"/>
          <w:lang w:val="en-GB"/>
        </w:rPr>
        <w:t xml:space="preserve"> 2007-2016 </w:t>
      </w:r>
      <w:proofErr w:type="spellStart"/>
      <w:r w:rsidRPr="002A5538">
        <w:rPr>
          <w:rFonts w:ascii="Amnesty Trade Gothic Light" w:hAnsi="Amnesty Trade Gothic Light"/>
          <w:sz w:val="16"/>
          <w:szCs w:val="16"/>
          <w:lang w:val="en-GB"/>
        </w:rPr>
        <w:t>Presupuestos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Generales</w:t>
      </w:r>
      <w:proofErr w:type="spellEnd"/>
      <w:r w:rsidRPr="002A5538">
        <w:rPr>
          <w:rFonts w:ascii="Amnesty Trade Gothic Light" w:hAnsi="Amnesty Trade Gothic Light"/>
          <w:sz w:val="16"/>
          <w:szCs w:val="16"/>
          <w:lang w:val="en-GB"/>
        </w:rPr>
        <w:t xml:space="preserve"> del Estado </w:t>
      </w:r>
      <w:proofErr w:type="spellStart"/>
      <w:r w:rsidRPr="002A5538">
        <w:rPr>
          <w:rFonts w:ascii="Amnesty Trade Gothic Light" w:hAnsi="Amnesty Trade Gothic Light"/>
          <w:sz w:val="16"/>
          <w:szCs w:val="16"/>
          <w:lang w:val="en-GB"/>
        </w:rPr>
        <w:t>Consolidados</w:t>
      </w:r>
      <w:proofErr w:type="spellEnd"/>
      <w:r w:rsidRPr="002A5538">
        <w:rPr>
          <w:rFonts w:ascii="Amnesty Trade Gothic Light" w:hAnsi="Amnesty Trade Gothic Light"/>
          <w:sz w:val="16"/>
          <w:szCs w:val="16"/>
          <w:lang w:val="en-GB"/>
        </w:rPr>
        <w:t xml:space="preserve"> 2016, 18 de </w:t>
      </w:r>
      <w:proofErr w:type="spellStart"/>
      <w:r w:rsidRPr="002A5538">
        <w:rPr>
          <w:rFonts w:ascii="Amnesty Trade Gothic Light" w:hAnsi="Amnesty Trade Gothic Light"/>
          <w:sz w:val="16"/>
          <w:szCs w:val="16"/>
          <w:lang w:val="en-GB"/>
        </w:rPr>
        <w:t>noviembre</w:t>
      </w:r>
      <w:proofErr w:type="spellEnd"/>
      <w:r w:rsidRPr="002A5538">
        <w:rPr>
          <w:rFonts w:ascii="Amnesty Trade Gothic Light" w:hAnsi="Amnesty Trade Gothic Light"/>
          <w:sz w:val="16"/>
          <w:szCs w:val="16"/>
          <w:lang w:val="en-GB"/>
        </w:rPr>
        <w:t xml:space="preserve"> de 2015, p. 11.</w:t>
      </w:r>
    </w:p>
  </w:footnote>
  <w:footnote w:id="17">
    <w:p w14:paraId="343D4D5D" w14:textId="58A86389"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Spanish public budget on access to housing and support for housing renovation was just over €450.352</w:t>
      </w:r>
      <w:proofErr w:type="gramStart"/>
      <w:r w:rsidRPr="002A5538">
        <w:rPr>
          <w:rFonts w:ascii="Amnesty Trade Gothic Light" w:hAnsi="Amnesty Trade Gothic Light"/>
          <w:sz w:val="16"/>
          <w:szCs w:val="16"/>
          <w:lang w:val="en-GB"/>
        </w:rPr>
        <w:t>,67</w:t>
      </w:r>
      <w:proofErr w:type="gramEnd"/>
      <w:r w:rsidRPr="002A5538">
        <w:rPr>
          <w:rFonts w:ascii="Amnesty Trade Gothic Light" w:hAnsi="Amnesty Trade Gothic Light"/>
          <w:sz w:val="16"/>
          <w:szCs w:val="16"/>
          <w:lang w:val="en-GB"/>
        </w:rPr>
        <w:t xml:space="preserve"> million in 2017, for €1,606 billion in 2009.</w:t>
      </w:r>
    </w:p>
  </w:footnote>
  <w:footnote w:id="18">
    <w:p w14:paraId="343D4D5E" w14:textId="39C37B9E"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Housing Europe, State of Housing within the EU, 2019</w:t>
      </w:r>
      <w:r w:rsidR="00355D75" w:rsidRPr="002A5538">
        <w:rPr>
          <w:rFonts w:ascii="Amnesty Trade Gothic Light" w:hAnsi="Amnesty Trade Gothic Light"/>
          <w:sz w:val="16"/>
          <w:szCs w:val="16"/>
          <w:lang w:val="en-GB"/>
        </w:rPr>
        <w:t>.</w:t>
      </w:r>
    </w:p>
  </w:footnote>
  <w:footnote w:id="19">
    <w:p w14:paraId="343D4D60" w14:textId="4EFF66C5"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754CC"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Tenants were misinformed on the sell and its conditions and monthly rents went up, resulting in increasing numbers</w:t>
      </w:r>
      <w:r w:rsidR="00355D75"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of tenants being evicted, while others vacated their apartments prior to the judicial eviction. Amnesty International “Evicted rights: Right to housing and mortgage evictions in Sp</w:t>
      </w:r>
      <w:r w:rsidR="00355D75" w:rsidRPr="002A5538">
        <w:rPr>
          <w:rFonts w:ascii="Amnesty Trade Gothic Light" w:hAnsi="Amnesty Trade Gothic Light"/>
          <w:sz w:val="16"/>
          <w:szCs w:val="16"/>
          <w:lang w:val="en-GB"/>
        </w:rPr>
        <w:t>ain”,</w:t>
      </w:r>
      <w:r w:rsidRPr="002A5538">
        <w:rPr>
          <w:rFonts w:ascii="Amnesty Trade Gothic Light" w:hAnsi="Amnesty Trade Gothic Light"/>
          <w:sz w:val="16"/>
          <w:szCs w:val="16"/>
          <w:lang w:val="en-GB"/>
        </w:rPr>
        <w:t xml:space="preserve"> June 2015.</w:t>
      </w:r>
    </w:p>
  </w:footnote>
  <w:footnote w:id="20">
    <w:p w14:paraId="343D4D61" w14:textId="0567FDBE"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 xml:space="preserve">Special Rapporteur on the Right to Housing, </w:t>
      </w:r>
      <w:proofErr w:type="spellStart"/>
      <w:r w:rsidRPr="002A5538">
        <w:rPr>
          <w:rFonts w:ascii="Amnesty Trade Gothic Light" w:hAnsi="Amnesty Trade Gothic Light"/>
          <w:sz w:val="16"/>
          <w:szCs w:val="16"/>
          <w:lang w:val="en-GB"/>
        </w:rPr>
        <w:t>Miloon</w:t>
      </w:r>
      <w:proofErr w:type="spellEnd"/>
      <w:r w:rsidRPr="002A5538">
        <w:rPr>
          <w:rFonts w:ascii="Amnesty Trade Gothic Light" w:hAnsi="Amnesty Trade Gothic Light"/>
          <w:sz w:val="16"/>
          <w:szCs w:val="16"/>
          <w:lang w:val="en-GB"/>
        </w:rPr>
        <w:t xml:space="preserve"> Kothari (2008): Report after mission to Spain, para. 101 and 91</w:t>
      </w:r>
      <w:r w:rsidR="00355D75" w:rsidRPr="002A5538">
        <w:rPr>
          <w:rFonts w:ascii="Amnesty Trade Gothic Light" w:hAnsi="Amnesty Trade Gothic Light"/>
          <w:sz w:val="16"/>
          <w:szCs w:val="16"/>
          <w:lang w:val="en-GB"/>
        </w:rPr>
        <w:t>.</w:t>
      </w:r>
    </w:p>
  </w:footnote>
  <w:footnote w:id="21">
    <w:p w14:paraId="343D4D62" w14:textId="1360D8C0"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Instituto</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Nacional</w:t>
      </w:r>
      <w:proofErr w:type="spellEnd"/>
      <w:r w:rsidRPr="002A5538">
        <w:rPr>
          <w:rFonts w:ascii="Amnesty Trade Gothic Light" w:hAnsi="Amnesty Trade Gothic Light"/>
          <w:color w:val="000000"/>
          <w:sz w:val="16"/>
          <w:szCs w:val="16"/>
          <w:lang w:val="en-GB"/>
        </w:rPr>
        <w:t xml:space="preserve"> de </w:t>
      </w:r>
      <w:proofErr w:type="spellStart"/>
      <w:r w:rsidRPr="002A5538">
        <w:rPr>
          <w:rFonts w:ascii="Amnesty Trade Gothic Light" w:hAnsi="Amnesty Trade Gothic Light"/>
          <w:color w:val="000000"/>
          <w:sz w:val="16"/>
          <w:szCs w:val="16"/>
          <w:lang w:val="en-GB"/>
        </w:rPr>
        <w:t>Estadística</w:t>
      </w:r>
      <w:proofErr w:type="spellEnd"/>
      <w:r w:rsidRPr="002A5538">
        <w:rPr>
          <w:rFonts w:ascii="Amnesty Trade Gothic Light" w:hAnsi="Amnesty Trade Gothic Light"/>
          <w:color w:val="000000"/>
          <w:sz w:val="16"/>
          <w:szCs w:val="16"/>
          <w:lang w:val="en-GB"/>
        </w:rPr>
        <w:t xml:space="preserve">. Available in: </w:t>
      </w:r>
      <w:hyperlink r:id="rId4" w:history="1">
        <w:r w:rsidRPr="002A5538">
          <w:rPr>
            <w:rFonts w:ascii="Amnesty Trade Gothic Light" w:hAnsi="Amnesty Trade Gothic Light"/>
            <w:sz w:val="16"/>
            <w:szCs w:val="16"/>
            <w:lang w:val="en-GB"/>
          </w:rPr>
          <w:t>http://www.ine.es/censos2011_datos/cen11_datos_inicio.htm</w:t>
        </w:r>
      </w:hyperlink>
    </w:p>
  </w:footnote>
  <w:footnote w:id="22">
    <w:p w14:paraId="343D4D63" w14:textId="017E1A26"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color w:val="000000"/>
          <w:sz w:val="16"/>
          <w:szCs w:val="16"/>
          <w:lang w:val="en-GB"/>
        </w:rPr>
        <w:t xml:space="preserve"> </w:t>
      </w:r>
      <w:r w:rsidRPr="002A5538">
        <w:rPr>
          <w:rFonts w:ascii="Amnesty Trade Gothic Light" w:hAnsi="Amnesty Trade Gothic Light"/>
          <w:color w:val="000000"/>
          <w:sz w:val="16"/>
          <w:szCs w:val="16"/>
          <w:lang w:val="en-GB"/>
        </w:rPr>
        <w:t xml:space="preserve">Real </w:t>
      </w:r>
      <w:proofErr w:type="spellStart"/>
      <w:r w:rsidRPr="002A5538">
        <w:rPr>
          <w:rFonts w:ascii="Amnesty Trade Gothic Light" w:hAnsi="Amnesty Trade Gothic Light"/>
          <w:color w:val="000000"/>
          <w:sz w:val="16"/>
          <w:szCs w:val="16"/>
          <w:lang w:val="en-GB"/>
        </w:rPr>
        <w:t>Decreto</w:t>
      </w:r>
      <w:proofErr w:type="spellEnd"/>
      <w:r w:rsidRPr="002A5538">
        <w:rPr>
          <w:rFonts w:ascii="Amnesty Trade Gothic Light" w:hAnsi="Amnesty Trade Gothic Light"/>
          <w:color w:val="000000"/>
          <w:sz w:val="16"/>
          <w:szCs w:val="16"/>
          <w:lang w:val="en-GB"/>
        </w:rPr>
        <w:t xml:space="preserve"> Ley 7/2019. </w:t>
      </w:r>
      <w:proofErr w:type="spellStart"/>
      <w:r w:rsidRPr="002A5538">
        <w:rPr>
          <w:rFonts w:ascii="Amnesty Trade Gothic Light" w:hAnsi="Amnesty Trade Gothic Light"/>
          <w:color w:val="000000"/>
          <w:sz w:val="16"/>
          <w:szCs w:val="16"/>
          <w:lang w:val="en-GB"/>
        </w:rPr>
        <w:t>Disposición</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adicional</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primera</w:t>
      </w:r>
      <w:proofErr w:type="spellEnd"/>
      <w:r w:rsidRPr="002A5538">
        <w:rPr>
          <w:rFonts w:ascii="Amnesty Trade Gothic Light" w:hAnsi="Amnesty Trade Gothic Light"/>
          <w:color w:val="000000"/>
          <w:sz w:val="16"/>
          <w:szCs w:val="16"/>
          <w:lang w:val="en-GB"/>
        </w:rPr>
        <w:t xml:space="preserve">. </w:t>
      </w:r>
      <w:proofErr w:type="spellStart"/>
      <w:r w:rsidRPr="002A5538">
        <w:rPr>
          <w:rFonts w:ascii="Amnesty Trade Gothic Light" w:hAnsi="Amnesty Trade Gothic Light"/>
          <w:color w:val="000000"/>
          <w:sz w:val="16"/>
          <w:szCs w:val="16"/>
          <w:lang w:val="en-GB"/>
        </w:rPr>
        <w:t>Medidas</w:t>
      </w:r>
      <w:proofErr w:type="spellEnd"/>
      <w:r w:rsidRPr="002A5538">
        <w:rPr>
          <w:rFonts w:ascii="Amnesty Trade Gothic Light" w:hAnsi="Amnesty Trade Gothic Light"/>
          <w:color w:val="000000"/>
          <w:sz w:val="16"/>
          <w:szCs w:val="16"/>
          <w:lang w:val="en-GB"/>
        </w:rPr>
        <w:t xml:space="preserve"> para </w:t>
      </w:r>
      <w:proofErr w:type="spellStart"/>
      <w:r w:rsidRPr="002A5538">
        <w:rPr>
          <w:rFonts w:ascii="Amnesty Trade Gothic Light" w:hAnsi="Amnesty Trade Gothic Light"/>
          <w:color w:val="000000"/>
          <w:sz w:val="16"/>
          <w:szCs w:val="16"/>
          <w:lang w:val="en-GB"/>
        </w:rPr>
        <w:t>promover</w:t>
      </w:r>
      <w:proofErr w:type="spellEnd"/>
      <w:r w:rsidRPr="002A5538">
        <w:rPr>
          <w:rFonts w:ascii="Amnesty Trade Gothic Light" w:hAnsi="Amnesty Trade Gothic Light"/>
          <w:color w:val="000000"/>
          <w:sz w:val="16"/>
          <w:szCs w:val="16"/>
          <w:lang w:val="en-GB"/>
        </w:rPr>
        <w:t xml:space="preserve"> la </w:t>
      </w:r>
      <w:proofErr w:type="spellStart"/>
      <w:r w:rsidRPr="002A5538">
        <w:rPr>
          <w:rFonts w:ascii="Amnesty Trade Gothic Light" w:hAnsi="Amnesty Trade Gothic Light"/>
          <w:color w:val="000000"/>
          <w:sz w:val="16"/>
          <w:szCs w:val="16"/>
          <w:lang w:val="en-GB"/>
        </w:rPr>
        <w:t>oferta</w:t>
      </w:r>
      <w:proofErr w:type="spellEnd"/>
      <w:r w:rsidRPr="002A5538">
        <w:rPr>
          <w:rFonts w:ascii="Amnesty Trade Gothic Light" w:hAnsi="Amnesty Trade Gothic Light"/>
          <w:color w:val="000000"/>
          <w:sz w:val="16"/>
          <w:szCs w:val="16"/>
          <w:lang w:val="en-GB"/>
        </w:rPr>
        <w:t xml:space="preserve"> de </w:t>
      </w:r>
      <w:proofErr w:type="spellStart"/>
      <w:r w:rsidRPr="002A5538">
        <w:rPr>
          <w:rFonts w:ascii="Amnesty Trade Gothic Light" w:hAnsi="Amnesty Trade Gothic Light"/>
          <w:color w:val="000000"/>
          <w:sz w:val="16"/>
          <w:szCs w:val="16"/>
          <w:lang w:val="en-GB"/>
        </w:rPr>
        <w:t>vivienda</w:t>
      </w:r>
      <w:proofErr w:type="spellEnd"/>
      <w:r w:rsidRPr="002A5538">
        <w:rPr>
          <w:rFonts w:ascii="Amnesty Trade Gothic Light" w:hAnsi="Amnesty Trade Gothic Light"/>
          <w:color w:val="000000"/>
          <w:sz w:val="16"/>
          <w:szCs w:val="16"/>
          <w:lang w:val="en-GB"/>
        </w:rPr>
        <w:t xml:space="preserve"> en </w:t>
      </w:r>
      <w:proofErr w:type="spellStart"/>
      <w:r w:rsidRPr="002A5538">
        <w:rPr>
          <w:rFonts w:ascii="Amnesty Trade Gothic Light" w:hAnsi="Amnesty Trade Gothic Light"/>
          <w:color w:val="000000"/>
          <w:sz w:val="16"/>
          <w:szCs w:val="16"/>
          <w:lang w:val="en-GB"/>
        </w:rPr>
        <w:t>alquiler</w:t>
      </w:r>
      <w:proofErr w:type="spellEnd"/>
      <w:r w:rsidRPr="002A5538">
        <w:rPr>
          <w:rFonts w:ascii="Amnesty Trade Gothic Light" w:hAnsi="Amnesty Trade Gothic Light"/>
          <w:color w:val="000000"/>
          <w:sz w:val="16"/>
          <w:szCs w:val="16"/>
          <w:lang w:val="en-GB"/>
        </w:rPr>
        <w:t>.</w:t>
      </w:r>
    </w:p>
    <w:p w14:paraId="343D4D64" w14:textId="77777777" w:rsidR="004755EA" w:rsidRPr="002A5538" w:rsidRDefault="001F18E8" w:rsidP="00355D75">
      <w:pPr>
        <w:pStyle w:val="Footnote"/>
        <w:ind w:left="0" w:firstLine="0"/>
        <w:rPr>
          <w:rFonts w:ascii="Amnesty Trade Gothic Light" w:hAnsi="Amnesty Trade Gothic Light"/>
          <w:sz w:val="16"/>
          <w:szCs w:val="16"/>
          <w:lang w:val="en-GB"/>
        </w:rPr>
      </w:pPr>
      <w:hyperlink r:id="rId5" w:history="1">
        <w:r w:rsidR="00C9333F" w:rsidRPr="002A5538">
          <w:rPr>
            <w:rFonts w:ascii="Amnesty Trade Gothic Light" w:hAnsi="Amnesty Trade Gothic Light"/>
            <w:sz w:val="16"/>
            <w:szCs w:val="16"/>
            <w:lang w:val="en-GB"/>
          </w:rPr>
          <w:t>https://www.boe.es/buscar/doc.php?id=BOE-A-2019-3108</w:t>
        </w:r>
      </w:hyperlink>
    </w:p>
  </w:footnote>
  <w:footnote w:id="23">
    <w:p w14:paraId="343D4D65"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Real </w:t>
      </w:r>
      <w:proofErr w:type="spellStart"/>
      <w:r w:rsidRPr="002A5538">
        <w:rPr>
          <w:rFonts w:ascii="Amnesty Trade Gothic Light" w:hAnsi="Amnesty Trade Gothic Light"/>
          <w:sz w:val="16"/>
          <w:szCs w:val="16"/>
          <w:lang w:val="en-GB"/>
        </w:rPr>
        <w:t>Decreto</w:t>
      </w:r>
      <w:proofErr w:type="spellEnd"/>
      <w:r w:rsidRPr="002A5538">
        <w:rPr>
          <w:rFonts w:ascii="Amnesty Trade Gothic Light" w:hAnsi="Amnesty Trade Gothic Light"/>
          <w:sz w:val="16"/>
          <w:szCs w:val="16"/>
          <w:lang w:val="en-GB"/>
        </w:rPr>
        <w:t xml:space="preserve"> Ley 7/2019. </w:t>
      </w:r>
      <w:proofErr w:type="spellStart"/>
      <w:r w:rsidRPr="002A5538">
        <w:rPr>
          <w:rFonts w:ascii="Amnesty Trade Gothic Light" w:hAnsi="Amnesty Trade Gothic Light"/>
          <w:sz w:val="16"/>
          <w:szCs w:val="16"/>
          <w:lang w:val="en-GB"/>
        </w:rPr>
        <w:t>Artículo</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cuarto</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Modificación</w:t>
      </w:r>
      <w:proofErr w:type="spellEnd"/>
      <w:r w:rsidRPr="002A5538">
        <w:rPr>
          <w:rFonts w:ascii="Amnesty Trade Gothic Light" w:hAnsi="Amnesty Trade Gothic Light"/>
          <w:sz w:val="16"/>
          <w:szCs w:val="16"/>
          <w:lang w:val="en-GB"/>
        </w:rPr>
        <w:t xml:space="preserve"> del </w:t>
      </w:r>
      <w:proofErr w:type="spellStart"/>
      <w:r w:rsidRPr="002A5538">
        <w:rPr>
          <w:rFonts w:ascii="Amnesty Trade Gothic Light" w:hAnsi="Amnesty Trade Gothic Light"/>
          <w:sz w:val="16"/>
          <w:szCs w:val="16"/>
          <w:lang w:val="en-GB"/>
        </w:rPr>
        <w:t>texto</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refundido</w:t>
      </w:r>
      <w:proofErr w:type="spellEnd"/>
      <w:r w:rsidRPr="002A5538">
        <w:rPr>
          <w:rFonts w:ascii="Amnesty Trade Gothic Light" w:hAnsi="Amnesty Trade Gothic Light"/>
          <w:sz w:val="16"/>
          <w:szCs w:val="16"/>
          <w:lang w:val="en-GB"/>
        </w:rPr>
        <w:t xml:space="preserve"> de la Ley </w:t>
      </w:r>
      <w:proofErr w:type="spellStart"/>
      <w:r w:rsidRPr="002A5538">
        <w:rPr>
          <w:rFonts w:ascii="Amnesty Trade Gothic Light" w:hAnsi="Amnesty Trade Gothic Light"/>
          <w:sz w:val="16"/>
          <w:szCs w:val="16"/>
          <w:lang w:val="en-GB"/>
        </w:rPr>
        <w:t>Reguladora</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las</w:t>
      </w:r>
      <w:proofErr w:type="spellEnd"/>
      <w:r w:rsidRPr="002A5538">
        <w:rPr>
          <w:rFonts w:ascii="Amnesty Trade Gothic Light" w:hAnsi="Amnesty Trade Gothic Light"/>
          <w:sz w:val="16"/>
          <w:szCs w:val="16"/>
          <w:lang w:val="en-GB"/>
        </w:rPr>
        <w:t xml:space="preserve"> Haciendas</w:t>
      </w:r>
    </w:p>
    <w:p w14:paraId="343D4D66"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Fonts w:ascii="Amnesty Trade Gothic Light" w:hAnsi="Amnesty Trade Gothic Light"/>
          <w:sz w:val="16"/>
          <w:szCs w:val="16"/>
          <w:lang w:val="en-GB"/>
        </w:rPr>
        <w:t xml:space="preserve">Locales, </w:t>
      </w:r>
      <w:proofErr w:type="spellStart"/>
      <w:r w:rsidRPr="002A5538">
        <w:rPr>
          <w:rFonts w:ascii="Amnesty Trade Gothic Light" w:hAnsi="Amnesty Trade Gothic Light"/>
          <w:sz w:val="16"/>
          <w:szCs w:val="16"/>
          <w:lang w:val="en-GB"/>
        </w:rPr>
        <w:t>aprobado</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por</w:t>
      </w:r>
      <w:proofErr w:type="spellEnd"/>
      <w:r w:rsidRPr="002A5538">
        <w:rPr>
          <w:rFonts w:ascii="Amnesty Trade Gothic Light" w:hAnsi="Amnesty Trade Gothic Light"/>
          <w:sz w:val="16"/>
          <w:szCs w:val="16"/>
          <w:lang w:val="en-GB"/>
        </w:rPr>
        <w:t xml:space="preserve"> Real </w:t>
      </w:r>
      <w:proofErr w:type="spellStart"/>
      <w:r w:rsidRPr="002A5538">
        <w:rPr>
          <w:rFonts w:ascii="Amnesty Trade Gothic Light" w:hAnsi="Amnesty Trade Gothic Light"/>
          <w:sz w:val="16"/>
          <w:szCs w:val="16"/>
          <w:lang w:val="en-GB"/>
        </w:rPr>
        <w:t>Decreto</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Legislativo</w:t>
      </w:r>
      <w:proofErr w:type="spellEnd"/>
      <w:r w:rsidRPr="002A5538">
        <w:rPr>
          <w:rFonts w:ascii="Amnesty Trade Gothic Light" w:hAnsi="Amnesty Trade Gothic Light"/>
          <w:sz w:val="16"/>
          <w:szCs w:val="16"/>
          <w:lang w:val="en-GB"/>
        </w:rPr>
        <w:t xml:space="preserve"> 2/2004, de 5 de </w:t>
      </w:r>
      <w:proofErr w:type="spellStart"/>
      <w:r w:rsidRPr="002A5538">
        <w:rPr>
          <w:rFonts w:ascii="Amnesty Trade Gothic Light" w:hAnsi="Amnesty Trade Gothic Light"/>
          <w:sz w:val="16"/>
          <w:szCs w:val="16"/>
          <w:lang w:val="en-GB"/>
        </w:rPr>
        <w:t>marzo</w:t>
      </w:r>
      <w:proofErr w:type="spellEnd"/>
      <w:r w:rsidRPr="002A5538">
        <w:rPr>
          <w:rFonts w:ascii="Amnesty Trade Gothic Light" w:hAnsi="Amnesty Trade Gothic Light"/>
          <w:sz w:val="16"/>
          <w:szCs w:val="16"/>
          <w:lang w:val="en-GB"/>
        </w:rPr>
        <w:t>.</w:t>
      </w:r>
    </w:p>
  </w:footnote>
  <w:footnote w:id="24">
    <w:p w14:paraId="343D4D67" w14:textId="5DBDD92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 xml:space="preserve">ECSR, </w:t>
      </w:r>
      <w:proofErr w:type="spellStart"/>
      <w:r w:rsidRPr="002A5538">
        <w:rPr>
          <w:rFonts w:ascii="Amnesty Trade Gothic Light" w:hAnsi="Amnesty Trade Gothic Light"/>
          <w:sz w:val="16"/>
          <w:szCs w:val="16"/>
          <w:lang w:val="en-GB"/>
        </w:rPr>
        <w:t>Feantsa</w:t>
      </w:r>
      <w:proofErr w:type="spellEnd"/>
      <w:r w:rsidRPr="002A5538">
        <w:rPr>
          <w:rFonts w:ascii="Amnesty Trade Gothic Light" w:hAnsi="Amnesty Trade Gothic Light"/>
          <w:sz w:val="16"/>
          <w:szCs w:val="16"/>
          <w:lang w:val="en-GB"/>
        </w:rPr>
        <w:t xml:space="preserve"> v. Slovenia, Complaint No. 53/2007, para. 76-77.</w:t>
      </w:r>
    </w:p>
  </w:footnote>
  <w:footnote w:id="25">
    <w:p w14:paraId="343D4D68" w14:textId="57409398"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CESCR E/C.12/ESP/CO/6, April 2018, para. 35 and 36 b.</w:t>
      </w:r>
    </w:p>
  </w:footnote>
  <w:footnote w:id="26">
    <w:p w14:paraId="343D4D69" w14:textId="636B1F22"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sz w:val="16"/>
          <w:szCs w:val="16"/>
          <w:lang w:val="en-GB"/>
        </w:rPr>
        <w:t xml:space="preserve"> </w:t>
      </w:r>
      <w:r w:rsidRPr="002A5538">
        <w:rPr>
          <w:rFonts w:ascii="Amnesty Trade Gothic Light" w:hAnsi="Amnesty Trade Gothic Light"/>
          <w:sz w:val="16"/>
          <w:szCs w:val="16"/>
          <w:lang w:val="en-GB"/>
        </w:rPr>
        <w:t xml:space="preserve">Eurostat. Final consumption expenditure of households by consumption purpose (COICOP 3 digit). October 2019 </w:t>
      </w:r>
      <w:hyperlink r:id="rId6" w:history="1">
        <w:r w:rsidRPr="002A5538">
          <w:rPr>
            <w:rFonts w:ascii="Amnesty Trade Gothic Light" w:hAnsi="Amnesty Trade Gothic Light"/>
            <w:sz w:val="16"/>
            <w:szCs w:val="16"/>
            <w:lang w:val="en-GB"/>
          </w:rPr>
          <w:t>http://appsso.eurostat.ec.europa.eu/nui/submitViewTableAction.do</w:t>
        </w:r>
      </w:hyperlink>
    </w:p>
  </w:footnote>
  <w:footnote w:id="27">
    <w:p w14:paraId="343D4D6A" w14:textId="1F96514A"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Banco</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España</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Evolución</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reciente</w:t>
      </w:r>
      <w:proofErr w:type="spellEnd"/>
      <w:r w:rsidRPr="002A5538">
        <w:rPr>
          <w:rFonts w:ascii="Amnesty Trade Gothic Light" w:hAnsi="Amnesty Trade Gothic Light"/>
          <w:sz w:val="16"/>
          <w:szCs w:val="16"/>
          <w:lang w:val="en-GB"/>
        </w:rPr>
        <w:t xml:space="preserve"> </w:t>
      </w:r>
      <w:proofErr w:type="gramStart"/>
      <w:r w:rsidRPr="002A5538">
        <w:rPr>
          <w:rFonts w:ascii="Amnesty Trade Gothic Light" w:hAnsi="Amnesty Trade Gothic Light"/>
          <w:sz w:val="16"/>
          <w:szCs w:val="16"/>
          <w:lang w:val="en-GB"/>
        </w:rPr>
        <w:t>del</w:t>
      </w:r>
      <w:proofErr w:type="gram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mercado</w:t>
      </w:r>
      <w:proofErr w:type="spellEnd"/>
      <w:r w:rsidRPr="002A5538">
        <w:rPr>
          <w:rFonts w:ascii="Amnesty Trade Gothic Light" w:hAnsi="Amnesty Trade Gothic Light"/>
          <w:sz w:val="16"/>
          <w:szCs w:val="16"/>
          <w:lang w:val="en-GB"/>
        </w:rPr>
        <w:t xml:space="preserve"> del </w:t>
      </w:r>
      <w:proofErr w:type="spellStart"/>
      <w:r w:rsidRPr="002A5538">
        <w:rPr>
          <w:rFonts w:ascii="Amnesty Trade Gothic Light" w:hAnsi="Amnesty Trade Gothic Light"/>
          <w:sz w:val="16"/>
          <w:szCs w:val="16"/>
          <w:lang w:val="en-GB"/>
        </w:rPr>
        <w:t>alquiler</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vivienda</w:t>
      </w:r>
      <w:proofErr w:type="spellEnd"/>
      <w:r w:rsidRPr="002A5538">
        <w:rPr>
          <w:rFonts w:ascii="Amnesty Trade Gothic Light" w:hAnsi="Amnesty Trade Gothic Light"/>
          <w:sz w:val="16"/>
          <w:szCs w:val="16"/>
          <w:lang w:val="en-GB"/>
        </w:rPr>
        <w:t xml:space="preserve"> en </w:t>
      </w:r>
      <w:proofErr w:type="spellStart"/>
      <w:r w:rsidRPr="002A5538">
        <w:rPr>
          <w:rFonts w:ascii="Amnesty Trade Gothic Light" w:hAnsi="Amnesty Trade Gothic Light"/>
          <w:sz w:val="16"/>
          <w:szCs w:val="16"/>
          <w:lang w:val="en-GB"/>
        </w:rPr>
        <w:t>España</w:t>
      </w:r>
      <w:proofErr w:type="spellEnd"/>
      <w:r w:rsidRPr="002A5538">
        <w:rPr>
          <w:rFonts w:ascii="Amnesty Trade Gothic Light" w:hAnsi="Amnesty Trade Gothic Light"/>
          <w:sz w:val="16"/>
          <w:szCs w:val="16"/>
          <w:lang w:val="en-GB"/>
        </w:rPr>
        <w:t xml:space="preserve">. David López-Rodríguez y María de los Llanos </w:t>
      </w:r>
      <w:proofErr w:type="spellStart"/>
      <w:r w:rsidRPr="002A5538">
        <w:rPr>
          <w:rFonts w:ascii="Amnesty Trade Gothic Light" w:hAnsi="Amnesty Trade Gothic Light"/>
          <w:sz w:val="16"/>
          <w:szCs w:val="16"/>
          <w:lang w:val="en-GB"/>
        </w:rPr>
        <w:t>Matea</w:t>
      </w:r>
      <w:proofErr w:type="spellEnd"/>
      <w:r w:rsidRPr="002A5538">
        <w:rPr>
          <w:rFonts w:ascii="Amnesty Trade Gothic Light" w:hAnsi="Amnesty Trade Gothic Light"/>
          <w:sz w:val="16"/>
          <w:szCs w:val="16"/>
          <w:lang w:val="en-GB"/>
        </w:rPr>
        <w:t>. August 2019</w:t>
      </w:r>
    </w:p>
  </w:footnote>
  <w:footnote w:id="28">
    <w:p w14:paraId="343D4D6B" w14:textId="64B959F9"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color w:val="000000"/>
          <w:sz w:val="16"/>
          <w:szCs w:val="16"/>
          <w:lang w:val="en-GB"/>
        </w:rPr>
        <w:t xml:space="preserve"> </w:t>
      </w:r>
      <w:r w:rsidRPr="002A5538">
        <w:rPr>
          <w:rFonts w:ascii="Amnesty Trade Gothic Light" w:hAnsi="Amnesty Trade Gothic Light"/>
          <w:color w:val="000000"/>
          <w:sz w:val="16"/>
          <w:szCs w:val="16"/>
          <w:lang w:val="en-GB"/>
        </w:rPr>
        <w:t xml:space="preserve">Fotocasa.es, La </w:t>
      </w:r>
      <w:proofErr w:type="spellStart"/>
      <w:r w:rsidRPr="002A5538">
        <w:rPr>
          <w:rFonts w:ascii="Amnesty Trade Gothic Light" w:hAnsi="Amnesty Trade Gothic Light"/>
          <w:color w:val="000000"/>
          <w:sz w:val="16"/>
          <w:szCs w:val="16"/>
          <w:lang w:val="en-GB"/>
        </w:rPr>
        <w:t>vivienda</w:t>
      </w:r>
      <w:proofErr w:type="spellEnd"/>
      <w:r w:rsidRPr="002A5538">
        <w:rPr>
          <w:rFonts w:ascii="Amnesty Trade Gothic Light" w:hAnsi="Amnesty Trade Gothic Light"/>
          <w:color w:val="000000"/>
          <w:sz w:val="16"/>
          <w:szCs w:val="16"/>
          <w:lang w:val="en-GB"/>
        </w:rPr>
        <w:t xml:space="preserve"> en el primer </w:t>
      </w:r>
      <w:proofErr w:type="spellStart"/>
      <w:r w:rsidRPr="002A5538">
        <w:rPr>
          <w:rFonts w:ascii="Amnesty Trade Gothic Light" w:hAnsi="Amnesty Trade Gothic Light"/>
          <w:color w:val="000000"/>
          <w:sz w:val="16"/>
          <w:szCs w:val="16"/>
          <w:lang w:val="en-GB"/>
        </w:rPr>
        <w:t>trimestre</w:t>
      </w:r>
      <w:proofErr w:type="spellEnd"/>
      <w:r w:rsidRPr="002A5538">
        <w:rPr>
          <w:rFonts w:ascii="Amnesty Trade Gothic Light" w:hAnsi="Amnesty Trade Gothic Light"/>
          <w:color w:val="000000"/>
          <w:sz w:val="16"/>
          <w:szCs w:val="16"/>
          <w:lang w:val="en-GB"/>
        </w:rPr>
        <w:t xml:space="preserve"> de 2015, April 2015.</w:t>
      </w:r>
    </w:p>
  </w:footnote>
  <w:footnote w:id="29">
    <w:p w14:paraId="343D4D6C" w14:textId="35BD9A59"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color w:val="000000"/>
          <w:sz w:val="16"/>
          <w:szCs w:val="16"/>
          <w:lang w:val="en-GB"/>
        </w:rPr>
        <w:t xml:space="preserve"> </w:t>
      </w:r>
      <w:r w:rsidRPr="002A5538">
        <w:rPr>
          <w:rFonts w:ascii="Amnesty Trade Gothic Light" w:hAnsi="Amnesty Trade Gothic Light"/>
          <w:color w:val="000000"/>
          <w:sz w:val="16"/>
          <w:szCs w:val="16"/>
          <w:lang w:val="en-GB"/>
        </w:rPr>
        <w:t xml:space="preserve">Fotocasa.es, </w:t>
      </w:r>
      <w:hyperlink r:id="rId7" w:history="1">
        <w:r w:rsidRPr="002A5538">
          <w:rPr>
            <w:rFonts w:ascii="Amnesty Trade Gothic Light" w:hAnsi="Amnesty Trade Gothic Light"/>
            <w:sz w:val="16"/>
            <w:szCs w:val="16"/>
            <w:lang w:val="en-GB"/>
          </w:rPr>
          <w:t>https://www.fotocasa.es/blog/alquiler/precio-del-alquiler-sube-un-89-en-2017</w:t>
        </w:r>
      </w:hyperlink>
    </w:p>
  </w:footnote>
  <w:footnote w:id="30">
    <w:p w14:paraId="343D4D6D" w14:textId="45D70998"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00355D75"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Instituto</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Nacional</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Estadística</w:t>
      </w:r>
      <w:proofErr w:type="spellEnd"/>
      <w:r w:rsidRPr="002A5538">
        <w:rPr>
          <w:rFonts w:ascii="Amnesty Trade Gothic Light" w:hAnsi="Amnesty Trade Gothic Light"/>
          <w:sz w:val="16"/>
          <w:szCs w:val="16"/>
          <w:lang w:val="en-GB"/>
        </w:rPr>
        <w:t xml:space="preserve"> (INE) </w:t>
      </w:r>
      <w:proofErr w:type="spellStart"/>
      <w:r w:rsidRPr="002A5538">
        <w:rPr>
          <w:rFonts w:ascii="Amnesty Trade Gothic Light" w:hAnsi="Amnesty Trade Gothic Light"/>
          <w:sz w:val="16"/>
          <w:szCs w:val="16"/>
          <w:lang w:val="en-GB"/>
        </w:rPr>
        <w:t>Encuesta</w:t>
      </w:r>
      <w:proofErr w:type="spellEnd"/>
      <w:r w:rsidRPr="002A5538">
        <w:rPr>
          <w:rFonts w:ascii="Amnesty Trade Gothic Light" w:hAnsi="Amnesty Trade Gothic Light"/>
          <w:sz w:val="16"/>
          <w:szCs w:val="16"/>
          <w:lang w:val="en-GB"/>
        </w:rPr>
        <w:t xml:space="preserve"> Trimestral de </w:t>
      </w:r>
      <w:proofErr w:type="spellStart"/>
      <w:r w:rsidRPr="002A5538">
        <w:rPr>
          <w:rFonts w:ascii="Amnesty Trade Gothic Light" w:hAnsi="Amnesty Trade Gothic Light"/>
          <w:sz w:val="16"/>
          <w:szCs w:val="16"/>
          <w:lang w:val="en-GB"/>
        </w:rPr>
        <w:t>Coste</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Laboral</w:t>
      </w:r>
      <w:proofErr w:type="spellEnd"/>
      <w:r w:rsidRPr="002A5538">
        <w:rPr>
          <w:rFonts w:ascii="Amnesty Trade Gothic Light" w:hAnsi="Amnesty Trade Gothic Light"/>
          <w:sz w:val="16"/>
          <w:szCs w:val="16"/>
          <w:lang w:val="en-GB"/>
        </w:rPr>
        <w:t xml:space="preserve"> (ETCL) Segundo </w:t>
      </w:r>
      <w:proofErr w:type="spellStart"/>
      <w:r w:rsidRPr="002A5538">
        <w:rPr>
          <w:rFonts w:ascii="Amnesty Trade Gothic Light" w:hAnsi="Amnesty Trade Gothic Light"/>
          <w:sz w:val="16"/>
          <w:szCs w:val="16"/>
          <w:lang w:val="en-GB"/>
        </w:rPr>
        <w:t>trimestre</w:t>
      </w:r>
      <w:proofErr w:type="spellEnd"/>
      <w:r w:rsidRPr="002A5538">
        <w:rPr>
          <w:rFonts w:ascii="Amnesty Trade Gothic Light" w:hAnsi="Amnesty Trade Gothic Light"/>
          <w:sz w:val="16"/>
          <w:szCs w:val="16"/>
          <w:lang w:val="en-GB"/>
        </w:rPr>
        <w:t xml:space="preserve"> de 2019.</w:t>
      </w:r>
    </w:p>
    <w:p w14:paraId="343D4D6E"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Fonts w:ascii="Amnesty Trade Gothic Light" w:hAnsi="Amnesty Trade Gothic Light"/>
          <w:sz w:val="16"/>
          <w:szCs w:val="16"/>
          <w:lang w:val="en-GB"/>
        </w:rPr>
        <w:t xml:space="preserve">September 20019 </w:t>
      </w:r>
      <w:hyperlink r:id="rId8" w:history="1">
        <w:r w:rsidRPr="002A5538">
          <w:rPr>
            <w:rFonts w:ascii="Amnesty Trade Gothic Light" w:hAnsi="Amnesty Trade Gothic Light"/>
            <w:sz w:val="16"/>
            <w:szCs w:val="16"/>
            <w:lang w:val="en-GB"/>
          </w:rPr>
          <w:t>https://www.ine.es/daco/daco42/etcl/etcl0219.pdf</w:t>
        </w:r>
      </w:hyperlink>
    </w:p>
  </w:footnote>
  <w:footnote w:id="31">
    <w:p w14:paraId="343D4D6F"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color w:val="000000"/>
          <w:sz w:val="16"/>
          <w:szCs w:val="16"/>
          <w:lang w:val="en-GB"/>
        </w:rPr>
        <w:t xml:space="preserve"> UGT. http://www.ugt.es/los-salarios-tienen-que-despegar-en-2019</w:t>
      </w:r>
    </w:p>
  </w:footnote>
  <w:footnote w:id="32">
    <w:p w14:paraId="343D4D70" w14:textId="47AD2253" w:rsidR="004755EA" w:rsidRPr="004D1845" w:rsidRDefault="00C9333F" w:rsidP="00355D75">
      <w:pPr>
        <w:pStyle w:val="Footnote"/>
        <w:ind w:left="0" w:firstLine="0"/>
        <w:rPr>
          <w:rFonts w:ascii="Amnesty Trade Gothic Light" w:hAnsi="Amnesty Trade Gothic Light"/>
          <w:sz w:val="16"/>
          <w:szCs w:val="16"/>
          <w:lang w:val="en-GB"/>
        </w:rPr>
      </w:pPr>
      <w:r w:rsidRPr="004D1845">
        <w:rPr>
          <w:rStyle w:val="FootnoteReference"/>
          <w:rFonts w:ascii="Amnesty Trade Gothic Light" w:hAnsi="Amnesty Trade Gothic Light"/>
          <w:sz w:val="16"/>
          <w:szCs w:val="16"/>
          <w:lang w:val="en-GB"/>
        </w:rPr>
        <w:footnoteRef/>
      </w:r>
      <w:r w:rsidRPr="004D1845">
        <w:rPr>
          <w:rFonts w:ascii="Amnesty Trade Gothic Light" w:hAnsi="Amnesty Trade Gothic Light"/>
          <w:color w:val="000000"/>
          <w:sz w:val="16"/>
          <w:szCs w:val="16"/>
          <w:lang w:val="en-GB"/>
        </w:rPr>
        <w:t xml:space="preserve"> INE </w:t>
      </w:r>
      <w:proofErr w:type="spellStart"/>
      <w:r w:rsidRPr="004D1845">
        <w:rPr>
          <w:rFonts w:ascii="Amnesty Trade Gothic Light" w:hAnsi="Amnesty Trade Gothic Light"/>
          <w:color w:val="000000"/>
          <w:sz w:val="16"/>
          <w:szCs w:val="16"/>
          <w:lang w:val="en-GB"/>
        </w:rPr>
        <w:t>Encuesta</w:t>
      </w:r>
      <w:proofErr w:type="spellEnd"/>
      <w:r w:rsidRPr="004D1845">
        <w:rPr>
          <w:rFonts w:ascii="Amnesty Trade Gothic Light" w:hAnsi="Amnesty Trade Gothic Light"/>
          <w:color w:val="000000"/>
          <w:sz w:val="16"/>
          <w:szCs w:val="16"/>
          <w:lang w:val="en-GB"/>
        </w:rPr>
        <w:t xml:space="preserve"> </w:t>
      </w:r>
      <w:proofErr w:type="spellStart"/>
      <w:r w:rsidRPr="004D1845">
        <w:rPr>
          <w:rFonts w:ascii="Amnesty Trade Gothic Light" w:hAnsi="Amnesty Trade Gothic Light"/>
          <w:color w:val="000000"/>
          <w:sz w:val="16"/>
          <w:szCs w:val="16"/>
          <w:lang w:val="en-GB"/>
        </w:rPr>
        <w:t>anual</w:t>
      </w:r>
      <w:proofErr w:type="spellEnd"/>
      <w:r w:rsidRPr="004D1845">
        <w:rPr>
          <w:rFonts w:ascii="Amnesty Trade Gothic Light" w:hAnsi="Amnesty Trade Gothic Light"/>
          <w:color w:val="000000"/>
          <w:sz w:val="16"/>
          <w:szCs w:val="16"/>
          <w:lang w:val="en-GB"/>
        </w:rPr>
        <w:t xml:space="preserve"> de </w:t>
      </w:r>
      <w:proofErr w:type="spellStart"/>
      <w:r w:rsidRPr="004D1845">
        <w:rPr>
          <w:rFonts w:ascii="Amnesty Trade Gothic Light" w:hAnsi="Amnesty Trade Gothic Light"/>
          <w:color w:val="000000"/>
          <w:sz w:val="16"/>
          <w:szCs w:val="16"/>
          <w:lang w:val="en-GB"/>
        </w:rPr>
        <w:t>estructura</w:t>
      </w:r>
      <w:proofErr w:type="spellEnd"/>
      <w:r w:rsidRPr="004D1845">
        <w:rPr>
          <w:rFonts w:ascii="Amnesty Trade Gothic Light" w:hAnsi="Amnesty Trade Gothic Light"/>
          <w:color w:val="000000"/>
          <w:sz w:val="16"/>
          <w:szCs w:val="16"/>
          <w:lang w:val="en-GB"/>
        </w:rPr>
        <w:t xml:space="preserve"> </w:t>
      </w:r>
      <w:proofErr w:type="spellStart"/>
      <w:r w:rsidRPr="004D1845">
        <w:rPr>
          <w:rFonts w:ascii="Amnesty Trade Gothic Light" w:hAnsi="Amnesty Trade Gothic Light"/>
          <w:color w:val="000000"/>
          <w:sz w:val="16"/>
          <w:szCs w:val="16"/>
          <w:lang w:val="en-GB"/>
        </w:rPr>
        <w:t>salarial</w:t>
      </w:r>
      <w:proofErr w:type="spellEnd"/>
      <w:r w:rsidR="00B83332" w:rsidRPr="004D1845">
        <w:rPr>
          <w:rFonts w:ascii="Amnesty Trade Gothic Light" w:hAnsi="Amnesty Trade Gothic Light"/>
          <w:color w:val="000000"/>
          <w:sz w:val="16"/>
          <w:szCs w:val="16"/>
          <w:lang w:val="en-GB"/>
        </w:rPr>
        <w:t xml:space="preserve"> de 2017, </w:t>
      </w:r>
      <w:r w:rsidR="007A60B9" w:rsidRPr="004D1845">
        <w:rPr>
          <w:rFonts w:ascii="Amnesty Trade Gothic Light" w:hAnsi="Amnesty Trade Gothic Light"/>
          <w:color w:val="000000"/>
          <w:sz w:val="16"/>
          <w:szCs w:val="16"/>
          <w:lang w:val="en-GB"/>
        </w:rPr>
        <w:t xml:space="preserve">published </w:t>
      </w:r>
      <w:r w:rsidR="00FE3D99" w:rsidRPr="004D1845">
        <w:rPr>
          <w:rFonts w:ascii="Amnesty Trade Gothic Light" w:hAnsi="Amnesty Trade Gothic Light"/>
          <w:color w:val="000000"/>
          <w:sz w:val="16"/>
          <w:szCs w:val="16"/>
          <w:lang w:val="en-GB"/>
        </w:rPr>
        <w:t>21 June</w:t>
      </w:r>
      <w:r w:rsidR="007A60B9" w:rsidRPr="004D1845">
        <w:rPr>
          <w:rFonts w:ascii="Amnesty Trade Gothic Light" w:hAnsi="Amnesty Trade Gothic Light"/>
          <w:color w:val="000000"/>
          <w:sz w:val="16"/>
          <w:szCs w:val="16"/>
          <w:lang w:val="en-GB"/>
        </w:rPr>
        <w:t xml:space="preserve"> 2019</w:t>
      </w:r>
      <w:r w:rsidRPr="004D1845">
        <w:rPr>
          <w:rFonts w:ascii="Amnesty Trade Gothic Light" w:hAnsi="Amnesty Trade Gothic Light"/>
          <w:color w:val="000000"/>
          <w:sz w:val="16"/>
          <w:szCs w:val="16"/>
          <w:lang w:val="en-GB"/>
        </w:rPr>
        <w:t>, https://www.ine.es/dyngs/INEbase/es/operacion.htm?</w:t>
      </w:r>
    </w:p>
    <w:p w14:paraId="343D4D71" w14:textId="77777777" w:rsidR="004755EA" w:rsidRPr="004D1845" w:rsidRDefault="00C9333F" w:rsidP="00355D75">
      <w:pPr>
        <w:pStyle w:val="Footnote"/>
        <w:ind w:left="0" w:firstLine="0"/>
        <w:rPr>
          <w:rFonts w:ascii="Amnesty Trade Gothic Light" w:hAnsi="Amnesty Trade Gothic Light"/>
          <w:sz w:val="16"/>
          <w:szCs w:val="16"/>
          <w:lang w:val="en-GB"/>
        </w:rPr>
      </w:pPr>
      <w:r w:rsidRPr="004D1845">
        <w:rPr>
          <w:rFonts w:ascii="Amnesty Trade Gothic Light" w:hAnsi="Amnesty Trade Gothic Light"/>
          <w:sz w:val="16"/>
          <w:szCs w:val="16"/>
          <w:lang w:val="en-GB"/>
        </w:rPr>
        <w:t>c=Estadistica_C&amp;cid=1254736177025&amp;menu=ultiDatos&amp;idp=1254735976596</w:t>
      </w:r>
    </w:p>
  </w:footnote>
  <w:footnote w:id="33">
    <w:p w14:paraId="343D4D72" w14:textId="085FCAD6" w:rsidR="004755EA" w:rsidRPr="004D1845" w:rsidRDefault="00C9333F" w:rsidP="004D1845">
      <w:pPr>
        <w:suppressAutoHyphens w:val="0"/>
        <w:rPr>
          <w:rFonts w:ascii="Amnesty Trade Gothic Light" w:eastAsia="Times New Roman" w:hAnsi="Amnesty Trade Gothic Light" w:cs="Times New Roman"/>
          <w:kern w:val="0"/>
          <w:sz w:val="16"/>
          <w:szCs w:val="16"/>
          <w:lang w:val="en-US" w:eastAsia="en-GB" w:bidi="ar-SA"/>
        </w:rPr>
      </w:pPr>
      <w:r w:rsidRPr="004D1845">
        <w:rPr>
          <w:rStyle w:val="FootnoteReference"/>
          <w:rFonts w:ascii="Amnesty Trade Gothic Light" w:hAnsi="Amnesty Trade Gothic Light"/>
          <w:sz w:val="16"/>
          <w:szCs w:val="16"/>
          <w:lang w:val="en-GB"/>
        </w:rPr>
        <w:footnoteRef/>
      </w:r>
      <w:r w:rsidR="00355D75" w:rsidRPr="004D1845">
        <w:rPr>
          <w:rFonts w:ascii="Amnesty Trade Gothic Light" w:hAnsi="Amnesty Trade Gothic Light"/>
          <w:color w:val="000000"/>
          <w:sz w:val="16"/>
          <w:szCs w:val="16"/>
          <w:lang w:val="en-GB"/>
        </w:rPr>
        <w:t xml:space="preserve"> </w:t>
      </w:r>
      <w:proofErr w:type="spellStart"/>
      <w:r w:rsidRPr="004D1845">
        <w:rPr>
          <w:rFonts w:ascii="Amnesty Trade Gothic Light" w:hAnsi="Amnesty Trade Gothic Light"/>
          <w:color w:val="000000"/>
          <w:sz w:val="16"/>
          <w:szCs w:val="16"/>
          <w:lang w:val="en-GB"/>
        </w:rPr>
        <w:t>Instituto</w:t>
      </w:r>
      <w:proofErr w:type="spellEnd"/>
      <w:r w:rsidRPr="004D1845">
        <w:rPr>
          <w:rFonts w:ascii="Amnesty Trade Gothic Light" w:hAnsi="Amnesty Trade Gothic Light"/>
          <w:color w:val="000000"/>
          <w:sz w:val="16"/>
          <w:szCs w:val="16"/>
          <w:lang w:val="en-GB"/>
        </w:rPr>
        <w:t xml:space="preserve"> </w:t>
      </w:r>
      <w:proofErr w:type="spellStart"/>
      <w:r w:rsidRPr="004D1845">
        <w:rPr>
          <w:rFonts w:ascii="Amnesty Trade Gothic Light" w:hAnsi="Amnesty Trade Gothic Light"/>
          <w:color w:val="000000"/>
          <w:sz w:val="16"/>
          <w:szCs w:val="16"/>
          <w:lang w:val="en-GB"/>
        </w:rPr>
        <w:t>Nacional</w:t>
      </w:r>
      <w:proofErr w:type="spellEnd"/>
      <w:r w:rsidRPr="004D1845">
        <w:rPr>
          <w:rFonts w:ascii="Amnesty Trade Gothic Light" w:hAnsi="Amnesty Trade Gothic Light"/>
          <w:color w:val="000000"/>
          <w:sz w:val="16"/>
          <w:szCs w:val="16"/>
          <w:lang w:val="en-GB"/>
        </w:rPr>
        <w:t xml:space="preserve"> </w:t>
      </w:r>
      <w:proofErr w:type="spellStart"/>
      <w:r w:rsidRPr="004D1845">
        <w:rPr>
          <w:rFonts w:ascii="Amnesty Trade Gothic Light" w:hAnsi="Amnesty Trade Gothic Light"/>
          <w:color w:val="000000"/>
          <w:sz w:val="16"/>
          <w:szCs w:val="16"/>
          <w:lang w:val="en-GB"/>
        </w:rPr>
        <w:t>Estadística</w:t>
      </w:r>
      <w:proofErr w:type="spellEnd"/>
      <w:r w:rsidRPr="004D1845">
        <w:rPr>
          <w:rFonts w:ascii="Amnesty Trade Gothic Light" w:hAnsi="Amnesty Trade Gothic Light"/>
          <w:color w:val="000000"/>
          <w:sz w:val="16"/>
          <w:szCs w:val="16"/>
          <w:lang w:val="en-GB"/>
        </w:rPr>
        <w:t xml:space="preserve"> (INE) </w:t>
      </w:r>
      <w:proofErr w:type="spellStart"/>
      <w:r w:rsidRPr="004D1845">
        <w:rPr>
          <w:rFonts w:ascii="Amnesty Trade Gothic Light" w:hAnsi="Amnesty Trade Gothic Light"/>
          <w:color w:val="000000"/>
          <w:sz w:val="16"/>
          <w:szCs w:val="16"/>
          <w:lang w:val="en-GB"/>
        </w:rPr>
        <w:t>Encuesta</w:t>
      </w:r>
      <w:proofErr w:type="spellEnd"/>
      <w:r w:rsidRPr="004D1845">
        <w:rPr>
          <w:rFonts w:ascii="Amnesty Trade Gothic Light" w:hAnsi="Amnesty Trade Gothic Light"/>
          <w:color w:val="000000"/>
          <w:sz w:val="16"/>
          <w:szCs w:val="16"/>
          <w:lang w:val="en-GB"/>
        </w:rPr>
        <w:t xml:space="preserve"> de </w:t>
      </w:r>
      <w:proofErr w:type="spellStart"/>
      <w:r w:rsidRPr="004D1845">
        <w:rPr>
          <w:rFonts w:ascii="Amnesty Trade Gothic Light" w:hAnsi="Amnesty Trade Gothic Light"/>
          <w:color w:val="000000"/>
          <w:sz w:val="16"/>
          <w:szCs w:val="16"/>
          <w:lang w:val="en-GB"/>
        </w:rPr>
        <w:t>condiciones</w:t>
      </w:r>
      <w:proofErr w:type="spellEnd"/>
      <w:r w:rsidRPr="004D1845">
        <w:rPr>
          <w:rFonts w:ascii="Amnesty Trade Gothic Light" w:hAnsi="Amnesty Trade Gothic Light"/>
          <w:color w:val="000000"/>
          <w:sz w:val="16"/>
          <w:szCs w:val="16"/>
          <w:lang w:val="en-GB"/>
        </w:rPr>
        <w:t xml:space="preserve"> de </w:t>
      </w:r>
      <w:proofErr w:type="spellStart"/>
      <w:r w:rsidRPr="004D1845">
        <w:rPr>
          <w:rFonts w:ascii="Amnesty Trade Gothic Light" w:hAnsi="Amnesty Trade Gothic Light"/>
          <w:color w:val="000000"/>
          <w:sz w:val="16"/>
          <w:szCs w:val="16"/>
          <w:lang w:val="en-GB"/>
        </w:rPr>
        <w:t>vida</w:t>
      </w:r>
      <w:proofErr w:type="spellEnd"/>
      <w:r w:rsidRPr="004D1845">
        <w:rPr>
          <w:rFonts w:ascii="Amnesty Trade Gothic Light" w:hAnsi="Amnesty Trade Gothic Light"/>
          <w:color w:val="000000"/>
          <w:sz w:val="16"/>
          <w:szCs w:val="16"/>
          <w:lang w:val="en-GB"/>
        </w:rPr>
        <w:t xml:space="preserve">, </w:t>
      </w:r>
      <w:r w:rsidR="00821598" w:rsidRPr="004D1845">
        <w:rPr>
          <w:rFonts w:ascii="Amnesty Trade Gothic Light" w:eastAsia="Times New Roman" w:hAnsi="Amnesty Trade Gothic Light" w:cs="Times New Roman"/>
          <w:kern w:val="0"/>
          <w:sz w:val="16"/>
          <w:szCs w:val="16"/>
          <w:lang w:val="en-US" w:eastAsia="en-GB" w:bidi="ar-SA"/>
        </w:rPr>
        <w:t xml:space="preserve">2013 - 2018, published </w:t>
      </w:r>
      <w:r w:rsidR="004D1845" w:rsidRPr="004D1845">
        <w:rPr>
          <w:rFonts w:ascii="Amnesty Trade Gothic Light" w:eastAsia="Times New Roman" w:hAnsi="Amnesty Trade Gothic Light" w:cs="Times New Roman"/>
          <w:kern w:val="0"/>
          <w:sz w:val="16"/>
          <w:szCs w:val="16"/>
          <w:lang w:val="en-US" w:eastAsia="en-GB" w:bidi="ar-SA"/>
        </w:rPr>
        <w:t>on 27 June 2019.</w:t>
      </w:r>
    </w:p>
  </w:footnote>
  <w:footnote w:id="34">
    <w:p w14:paraId="343D4D73" w14:textId="75DD26E4" w:rsidR="004755EA" w:rsidRPr="004D1845" w:rsidRDefault="00C9333F" w:rsidP="00355D75">
      <w:pPr>
        <w:pStyle w:val="Footnote"/>
        <w:ind w:left="0" w:firstLine="0"/>
        <w:rPr>
          <w:rFonts w:ascii="Amnesty Trade Gothic Light" w:hAnsi="Amnesty Trade Gothic Light"/>
          <w:sz w:val="16"/>
          <w:szCs w:val="16"/>
          <w:lang w:val="en-GB"/>
        </w:rPr>
      </w:pPr>
      <w:r w:rsidRPr="004D1845">
        <w:rPr>
          <w:rStyle w:val="FootnoteReference"/>
          <w:rFonts w:ascii="Amnesty Trade Gothic Light" w:hAnsi="Amnesty Trade Gothic Light"/>
          <w:sz w:val="16"/>
          <w:szCs w:val="16"/>
          <w:lang w:val="en-GB"/>
        </w:rPr>
        <w:footnoteRef/>
      </w:r>
      <w:r w:rsidR="00355D75" w:rsidRPr="004D1845">
        <w:rPr>
          <w:rFonts w:ascii="Amnesty Trade Gothic Light" w:hAnsi="Amnesty Trade Gothic Light"/>
          <w:color w:val="000000"/>
          <w:sz w:val="16"/>
          <w:szCs w:val="16"/>
          <w:lang w:val="en-GB"/>
        </w:rPr>
        <w:t xml:space="preserve"> </w:t>
      </w:r>
      <w:r w:rsidRPr="004D1845">
        <w:rPr>
          <w:rFonts w:ascii="Amnesty Trade Gothic Light" w:hAnsi="Amnesty Trade Gothic Light"/>
          <w:color w:val="000000"/>
          <w:sz w:val="16"/>
          <w:szCs w:val="16"/>
          <w:lang w:val="en-GB"/>
        </w:rPr>
        <w:t xml:space="preserve">INE </w:t>
      </w:r>
      <w:proofErr w:type="spellStart"/>
      <w:r w:rsidRPr="004D1845">
        <w:rPr>
          <w:rFonts w:ascii="Amnesty Trade Gothic Light" w:hAnsi="Amnesty Trade Gothic Light"/>
          <w:color w:val="000000"/>
          <w:sz w:val="16"/>
          <w:szCs w:val="16"/>
          <w:lang w:val="en-GB"/>
        </w:rPr>
        <w:t>encuesta</w:t>
      </w:r>
      <w:proofErr w:type="spellEnd"/>
      <w:r w:rsidRPr="004D1845">
        <w:rPr>
          <w:rFonts w:ascii="Amnesty Trade Gothic Light" w:hAnsi="Amnesty Trade Gothic Light"/>
          <w:color w:val="000000"/>
          <w:sz w:val="16"/>
          <w:szCs w:val="16"/>
          <w:lang w:val="en-GB"/>
        </w:rPr>
        <w:t xml:space="preserve"> de </w:t>
      </w:r>
      <w:proofErr w:type="spellStart"/>
      <w:r w:rsidRPr="004D1845">
        <w:rPr>
          <w:rFonts w:ascii="Amnesty Trade Gothic Light" w:hAnsi="Amnesty Trade Gothic Light"/>
          <w:color w:val="000000"/>
          <w:sz w:val="16"/>
          <w:szCs w:val="16"/>
          <w:lang w:val="en-GB"/>
        </w:rPr>
        <w:t>condiciones</w:t>
      </w:r>
      <w:proofErr w:type="spellEnd"/>
      <w:r w:rsidRPr="004D1845">
        <w:rPr>
          <w:rFonts w:ascii="Amnesty Trade Gothic Light" w:hAnsi="Amnesty Trade Gothic Light"/>
          <w:color w:val="000000"/>
          <w:sz w:val="16"/>
          <w:szCs w:val="16"/>
          <w:lang w:val="en-GB"/>
        </w:rPr>
        <w:t xml:space="preserve"> de </w:t>
      </w:r>
      <w:proofErr w:type="spellStart"/>
      <w:r w:rsidRPr="004D1845">
        <w:rPr>
          <w:rFonts w:ascii="Amnesty Trade Gothic Light" w:hAnsi="Amnesty Trade Gothic Light"/>
          <w:color w:val="000000"/>
          <w:sz w:val="16"/>
          <w:szCs w:val="16"/>
          <w:lang w:val="en-GB"/>
        </w:rPr>
        <w:t>vida</w:t>
      </w:r>
      <w:proofErr w:type="spellEnd"/>
      <w:r w:rsidRPr="004D1845">
        <w:rPr>
          <w:rFonts w:ascii="Amnesty Trade Gothic Light" w:hAnsi="Amnesty Trade Gothic Light"/>
          <w:color w:val="000000"/>
          <w:sz w:val="16"/>
          <w:szCs w:val="16"/>
          <w:lang w:val="en-GB"/>
        </w:rPr>
        <w:t>, 2019.</w:t>
      </w:r>
    </w:p>
  </w:footnote>
  <w:footnote w:id="35">
    <w:p w14:paraId="343D4D74" w14:textId="77777777" w:rsidR="004755EA" w:rsidRPr="004D1845" w:rsidRDefault="00C9333F" w:rsidP="00355D75">
      <w:pPr>
        <w:pStyle w:val="Footnote"/>
        <w:ind w:left="0" w:firstLine="0"/>
        <w:rPr>
          <w:rFonts w:ascii="Amnesty Trade Gothic Light" w:hAnsi="Amnesty Trade Gothic Light"/>
          <w:sz w:val="16"/>
          <w:szCs w:val="16"/>
          <w:lang w:val="en-GB"/>
        </w:rPr>
      </w:pPr>
      <w:r w:rsidRPr="004D1845">
        <w:rPr>
          <w:rStyle w:val="FootnoteReference"/>
          <w:rFonts w:ascii="Amnesty Trade Gothic Light" w:hAnsi="Amnesty Trade Gothic Light"/>
          <w:sz w:val="16"/>
          <w:szCs w:val="16"/>
          <w:lang w:val="en-GB"/>
        </w:rPr>
        <w:footnoteRef/>
      </w:r>
      <w:r w:rsidRPr="004D1845">
        <w:rPr>
          <w:rFonts w:ascii="Amnesty Trade Gothic Light" w:hAnsi="Amnesty Trade Gothic Light"/>
          <w:color w:val="000000"/>
          <w:sz w:val="16"/>
          <w:szCs w:val="16"/>
          <w:lang w:val="en-GB"/>
        </w:rPr>
        <w:t xml:space="preserve"> </w:t>
      </w:r>
      <w:r w:rsidR="00355D75" w:rsidRPr="004D1845">
        <w:rPr>
          <w:rFonts w:ascii="Amnesty Trade Gothic Light" w:hAnsi="Amnesty Trade Gothic Light"/>
          <w:color w:val="000000"/>
          <w:sz w:val="16"/>
          <w:szCs w:val="16"/>
          <w:lang w:val="en-GB"/>
        </w:rPr>
        <w:t>Statistics from</w:t>
      </w:r>
      <w:r w:rsidRPr="004D1845">
        <w:rPr>
          <w:rFonts w:ascii="Amnesty Trade Gothic Light" w:hAnsi="Amnesty Trade Gothic Light"/>
          <w:color w:val="000000"/>
          <w:sz w:val="16"/>
          <w:szCs w:val="16"/>
          <w:lang w:val="en-GB"/>
        </w:rPr>
        <w:t xml:space="preserve"> </w:t>
      </w:r>
      <w:proofErr w:type="spellStart"/>
      <w:r w:rsidRPr="004D1845">
        <w:rPr>
          <w:rFonts w:ascii="Amnesty Trade Gothic Light" w:hAnsi="Amnesty Trade Gothic Light"/>
          <w:color w:val="000000"/>
          <w:sz w:val="16"/>
          <w:szCs w:val="16"/>
          <w:lang w:val="en-GB"/>
        </w:rPr>
        <w:t>Instituto</w:t>
      </w:r>
      <w:proofErr w:type="spellEnd"/>
      <w:r w:rsidRPr="004D1845">
        <w:rPr>
          <w:rFonts w:ascii="Amnesty Trade Gothic Light" w:hAnsi="Amnesty Trade Gothic Light"/>
          <w:color w:val="000000"/>
          <w:sz w:val="16"/>
          <w:szCs w:val="16"/>
          <w:lang w:val="en-GB"/>
        </w:rPr>
        <w:t xml:space="preserve"> de la </w:t>
      </w:r>
      <w:proofErr w:type="spellStart"/>
      <w:r w:rsidRPr="004D1845">
        <w:rPr>
          <w:rFonts w:ascii="Amnesty Trade Gothic Light" w:hAnsi="Amnesty Trade Gothic Light"/>
          <w:color w:val="000000"/>
          <w:sz w:val="16"/>
          <w:szCs w:val="16"/>
          <w:lang w:val="en-GB"/>
        </w:rPr>
        <w:t>Mujer</w:t>
      </w:r>
      <w:proofErr w:type="spellEnd"/>
      <w:r w:rsidRPr="004D1845">
        <w:rPr>
          <w:rFonts w:ascii="Amnesty Trade Gothic Light" w:hAnsi="Amnesty Trade Gothic Light"/>
          <w:color w:val="000000"/>
          <w:sz w:val="16"/>
          <w:szCs w:val="16"/>
          <w:lang w:val="en-GB"/>
        </w:rPr>
        <w:t xml:space="preserve">. April 2019 </w:t>
      </w:r>
      <w:hyperlink r:id="rId9" w:history="1">
        <w:r w:rsidRPr="004D1845">
          <w:rPr>
            <w:rFonts w:ascii="Amnesty Trade Gothic Light" w:hAnsi="Amnesty Trade Gothic Light"/>
            <w:sz w:val="16"/>
            <w:szCs w:val="16"/>
            <w:lang w:val="en-GB"/>
          </w:rPr>
          <w:t>http://www.inmujer.gob.es/MujerCifras/FamiliaHogares/FamiliaHogares.htm</w:t>
        </w:r>
      </w:hyperlink>
    </w:p>
  </w:footnote>
  <w:footnote w:id="36">
    <w:p w14:paraId="343D4D75" w14:textId="371671E7" w:rsidR="004755EA" w:rsidRPr="002A5538" w:rsidRDefault="00C9333F" w:rsidP="00355D75">
      <w:pPr>
        <w:pStyle w:val="Footnote"/>
        <w:ind w:left="0" w:firstLine="0"/>
        <w:rPr>
          <w:rFonts w:ascii="Amnesty Trade Gothic Light" w:hAnsi="Amnesty Trade Gothic Light"/>
          <w:sz w:val="16"/>
          <w:szCs w:val="16"/>
          <w:lang w:val="en-GB"/>
        </w:rPr>
      </w:pPr>
      <w:r w:rsidRPr="004D1845">
        <w:rPr>
          <w:rStyle w:val="FootnoteReference"/>
          <w:rFonts w:ascii="Amnesty Trade Gothic Light" w:hAnsi="Amnesty Trade Gothic Light"/>
          <w:sz w:val="16"/>
          <w:szCs w:val="16"/>
          <w:lang w:val="en-GB"/>
        </w:rPr>
        <w:footnoteRef/>
      </w:r>
      <w:r w:rsidR="003754CC" w:rsidRPr="004D1845">
        <w:rPr>
          <w:rFonts w:ascii="Amnesty Trade Gothic Light" w:hAnsi="Amnesty Trade Gothic Light"/>
          <w:color w:val="000000"/>
          <w:sz w:val="16"/>
          <w:szCs w:val="16"/>
          <w:lang w:val="en-GB"/>
        </w:rPr>
        <w:t xml:space="preserve"> </w:t>
      </w:r>
      <w:r w:rsidRPr="004D1845">
        <w:rPr>
          <w:rFonts w:ascii="Amnesty Trade Gothic Light" w:hAnsi="Amnesty Trade Gothic Light"/>
          <w:color w:val="000000"/>
          <w:sz w:val="16"/>
          <w:szCs w:val="16"/>
          <w:lang w:val="en-GB"/>
        </w:rPr>
        <w:t>IN</w:t>
      </w:r>
      <w:r w:rsidR="003754CC" w:rsidRPr="004D1845">
        <w:rPr>
          <w:rFonts w:ascii="Amnesty Trade Gothic Light" w:hAnsi="Amnesty Trade Gothic Light"/>
          <w:color w:val="000000"/>
          <w:sz w:val="16"/>
          <w:szCs w:val="16"/>
          <w:lang w:val="en-GB"/>
        </w:rPr>
        <w:t xml:space="preserve">E. </w:t>
      </w:r>
      <w:proofErr w:type="spellStart"/>
      <w:r w:rsidR="003754CC" w:rsidRPr="004D1845">
        <w:rPr>
          <w:rFonts w:ascii="Amnesty Trade Gothic Light" w:hAnsi="Amnesty Trade Gothic Light"/>
          <w:color w:val="000000"/>
          <w:sz w:val="16"/>
          <w:szCs w:val="16"/>
          <w:lang w:val="en-GB"/>
        </w:rPr>
        <w:t>Encuesta</w:t>
      </w:r>
      <w:proofErr w:type="spellEnd"/>
      <w:r w:rsidR="003754CC" w:rsidRPr="004D1845">
        <w:rPr>
          <w:rFonts w:ascii="Amnesty Trade Gothic Light" w:hAnsi="Amnesty Trade Gothic Light"/>
          <w:color w:val="000000"/>
          <w:sz w:val="16"/>
          <w:szCs w:val="16"/>
          <w:lang w:val="en-GB"/>
        </w:rPr>
        <w:t xml:space="preserve"> de </w:t>
      </w:r>
      <w:proofErr w:type="spellStart"/>
      <w:r w:rsidR="003754CC" w:rsidRPr="004D1845">
        <w:rPr>
          <w:rFonts w:ascii="Amnesty Trade Gothic Light" w:hAnsi="Amnesty Trade Gothic Light"/>
          <w:color w:val="000000"/>
          <w:sz w:val="16"/>
          <w:szCs w:val="16"/>
          <w:lang w:val="en-GB"/>
        </w:rPr>
        <w:t>población</w:t>
      </w:r>
      <w:proofErr w:type="spellEnd"/>
      <w:r w:rsidR="003754CC" w:rsidRPr="004D1845">
        <w:rPr>
          <w:rFonts w:ascii="Amnesty Trade Gothic Light" w:hAnsi="Amnesty Trade Gothic Light"/>
          <w:color w:val="000000"/>
          <w:sz w:val="16"/>
          <w:szCs w:val="16"/>
          <w:lang w:val="en-GB"/>
        </w:rPr>
        <w:t xml:space="preserve"> active,</w:t>
      </w:r>
      <w:r w:rsidRPr="004D1845">
        <w:rPr>
          <w:rFonts w:ascii="Amnesty Trade Gothic Light" w:hAnsi="Amnesty Trade Gothic Light"/>
          <w:color w:val="000000"/>
          <w:sz w:val="16"/>
          <w:szCs w:val="16"/>
          <w:lang w:val="en-GB"/>
        </w:rPr>
        <w:t xml:space="preserve"> 2019</w:t>
      </w:r>
      <w:r w:rsidR="003754CC" w:rsidRPr="004D1845">
        <w:rPr>
          <w:rFonts w:ascii="Amnesty Trade Gothic Light" w:hAnsi="Amnesty Trade Gothic Light"/>
          <w:color w:val="000000"/>
          <w:sz w:val="16"/>
          <w:szCs w:val="16"/>
          <w:lang w:val="en-GB"/>
        </w:rPr>
        <w:t>.</w:t>
      </w:r>
    </w:p>
  </w:footnote>
  <w:footnote w:id="37">
    <w:p w14:paraId="343D4D76" w14:textId="160D6B6A"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Amnesty International, Wrong Prescription: The Impact of Austerity Measures on the right to hea</w:t>
      </w:r>
      <w:r w:rsidR="00355D75" w:rsidRPr="002A5538">
        <w:rPr>
          <w:rFonts w:ascii="Amnesty Trade Gothic Light" w:hAnsi="Amnesty Trade Gothic Light"/>
          <w:sz w:val="16"/>
          <w:szCs w:val="16"/>
          <w:lang w:val="en-GB"/>
        </w:rPr>
        <w:t xml:space="preserve">lth in Spain, EUR 41/8136/2018, </w:t>
      </w:r>
      <w:r w:rsidRPr="002A5538">
        <w:rPr>
          <w:rFonts w:ascii="Amnesty Trade Gothic Light" w:hAnsi="Amnesty Trade Gothic Light"/>
          <w:sz w:val="16"/>
          <w:szCs w:val="16"/>
          <w:lang w:val="en-GB"/>
        </w:rPr>
        <w:t xml:space="preserve">available here: </w:t>
      </w:r>
      <w:hyperlink r:id="rId10" w:history="1">
        <w:r w:rsidRPr="002A5538">
          <w:rPr>
            <w:rStyle w:val="Internetlink"/>
            <w:rFonts w:ascii="Amnesty Trade Gothic Light" w:eastAsia="SimSun" w:hAnsi="Amnesty Trade Gothic Light"/>
            <w:sz w:val="16"/>
            <w:szCs w:val="16"/>
            <w:lang w:val="en-GB"/>
          </w:rPr>
          <w:t>https://www.amnesty.org/download/Documents/EUR4181362018ENGLISH.PDF</w:t>
        </w:r>
      </w:hyperlink>
      <w:r w:rsidRPr="002A5538">
        <w:rPr>
          <w:rFonts w:ascii="Amnesty Trade Gothic Light" w:hAnsi="Amnesty Trade Gothic Light"/>
          <w:sz w:val="16"/>
          <w:szCs w:val="16"/>
          <w:lang w:val="en-GB"/>
        </w:rPr>
        <w:t xml:space="preserve"> [hereinafter, “Wrong Prescription”]</w:t>
      </w:r>
    </w:p>
  </w:footnote>
  <w:footnote w:id="38">
    <w:p w14:paraId="343D4D77"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OECD (2018), Unemployment rate (indicator). </w:t>
      </w:r>
      <w:proofErr w:type="spellStart"/>
      <w:proofErr w:type="gramStart"/>
      <w:r w:rsidRPr="002A5538">
        <w:rPr>
          <w:rFonts w:ascii="Amnesty Trade Gothic Light" w:hAnsi="Amnesty Trade Gothic Light"/>
          <w:sz w:val="16"/>
          <w:szCs w:val="16"/>
          <w:lang w:val="en-GB"/>
        </w:rPr>
        <w:t>doi</w:t>
      </w:r>
      <w:proofErr w:type="spellEnd"/>
      <w:proofErr w:type="gramEnd"/>
      <w:r w:rsidRPr="002A5538">
        <w:rPr>
          <w:rFonts w:ascii="Amnesty Trade Gothic Light" w:hAnsi="Amnesty Trade Gothic Light"/>
          <w:sz w:val="16"/>
          <w:szCs w:val="16"/>
          <w:lang w:val="en-GB"/>
        </w:rPr>
        <w:t>: 10.1787/997c8750-en. These were the second highest unemployment rates in the EU, and more than double the average unemployment rate in the EU. They have since improved.</w:t>
      </w:r>
    </w:p>
  </w:footnote>
  <w:footnote w:id="39">
    <w:p w14:paraId="343D4D78"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OECD (2018), Youth unemployment rate (indicator). </w:t>
      </w:r>
      <w:proofErr w:type="spellStart"/>
      <w:r w:rsidRPr="002A5538">
        <w:rPr>
          <w:rFonts w:ascii="Amnesty Trade Gothic Light" w:hAnsi="Amnesty Trade Gothic Light"/>
          <w:sz w:val="16"/>
          <w:szCs w:val="16"/>
          <w:lang w:val="en-GB"/>
        </w:rPr>
        <w:t>doi</w:t>
      </w:r>
      <w:proofErr w:type="spellEnd"/>
      <w:r w:rsidRPr="002A5538">
        <w:rPr>
          <w:rFonts w:ascii="Amnesty Trade Gothic Light" w:hAnsi="Amnesty Trade Gothic Light"/>
          <w:sz w:val="16"/>
          <w:szCs w:val="16"/>
          <w:lang w:val="en-GB"/>
        </w:rPr>
        <w:t>: 10.1787/c3634df7-en</w:t>
      </w:r>
    </w:p>
  </w:footnote>
  <w:footnote w:id="40">
    <w:p w14:paraId="343D4D79"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OECD (2018), Long-term unemployment rate (indicator). </w:t>
      </w:r>
      <w:proofErr w:type="spellStart"/>
      <w:r w:rsidRPr="002A5538">
        <w:rPr>
          <w:rFonts w:ascii="Amnesty Trade Gothic Light" w:hAnsi="Amnesty Trade Gothic Light"/>
          <w:sz w:val="16"/>
          <w:szCs w:val="16"/>
          <w:lang w:val="en-GB"/>
        </w:rPr>
        <w:t>doi</w:t>
      </w:r>
      <w:proofErr w:type="spellEnd"/>
      <w:r w:rsidRPr="002A5538">
        <w:rPr>
          <w:rFonts w:ascii="Amnesty Trade Gothic Light" w:hAnsi="Amnesty Trade Gothic Light"/>
          <w:sz w:val="16"/>
          <w:szCs w:val="16"/>
          <w:lang w:val="en-GB"/>
        </w:rPr>
        <w:t>: 10.1787/76471ad5-en</w:t>
      </w:r>
    </w:p>
  </w:footnote>
  <w:footnote w:id="41">
    <w:p w14:paraId="343D4D7A" w14:textId="31B4E141"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Eurostat, Mean and median income by age and sex - EU-SILC survey, available here: ec.europa.eu/</w:t>
      </w:r>
      <w:proofErr w:type="spellStart"/>
      <w:r w:rsidRPr="002A5538">
        <w:rPr>
          <w:rFonts w:ascii="Amnesty Trade Gothic Light" w:hAnsi="Amnesty Trade Gothic Light"/>
          <w:sz w:val="16"/>
          <w:szCs w:val="16"/>
          <w:lang w:val="en-GB"/>
        </w:rPr>
        <w:t>eurostat</w:t>
      </w:r>
      <w:proofErr w:type="spellEnd"/>
      <w:r w:rsidRPr="002A5538">
        <w:rPr>
          <w:rFonts w:ascii="Amnesty Trade Gothic Light" w:hAnsi="Amnesty Trade Gothic Light"/>
          <w:sz w:val="16"/>
          <w:szCs w:val="16"/>
          <w:lang w:val="en-GB"/>
        </w:rPr>
        <w:t>/en/web/products-datasets/- /ILC_DI03</w:t>
      </w:r>
      <w:r w:rsidR="00DF4167" w:rsidRPr="002A5538">
        <w:rPr>
          <w:rFonts w:ascii="Amnesty Trade Gothic Light" w:hAnsi="Amnesty Trade Gothic Light"/>
          <w:sz w:val="16"/>
          <w:szCs w:val="16"/>
          <w:lang w:val="en-GB"/>
        </w:rPr>
        <w:t xml:space="preserve"> </w:t>
      </w:r>
    </w:p>
  </w:footnote>
  <w:footnote w:id="42">
    <w:p w14:paraId="343D4D7B" w14:textId="7B6B0145"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Eurostat, Inability to face unexpected financial expenses - EU-SILC survey, available here: appsso.eurostat.ec.europa.eu/nui/show.do?dataset=ilc_mdes04&amp;lang=en </w:t>
      </w:r>
    </w:p>
  </w:footnote>
  <w:footnote w:id="43">
    <w:p w14:paraId="343D4D7C"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OECD (2018), Poverty rate (indicator). </w:t>
      </w:r>
      <w:proofErr w:type="spellStart"/>
      <w:proofErr w:type="gramStart"/>
      <w:r w:rsidRPr="002A5538">
        <w:rPr>
          <w:rFonts w:ascii="Amnesty Trade Gothic Light" w:hAnsi="Amnesty Trade Gothic Light"/>
          <w:sz w:val="16"/>
          <w:szCs w:val="16"/>
          <w:lang w:val="en-GB"/>
        </w:rPr>
        <w:t>doi</w:t>
      </w:r>
      <w:proofErr w:type="spellEnd"/>
      <w:proofErr w:type="gramEnd"/>
      <w:r w:rsidRPr="002A5538">
        <w:rPr>
          <w:rFonts w:ascii="Amnesty Trade Gothic Light" w:hAnsi="Amnesty Trade Gothic Light"/>
          <w:sz w:val="16"/>
          <w:szCs w:val="16"/>
          <w:lang w:val="en-GB"/>
        </w:rPr>
        <w:t>: 10.1787/0fe1315d-en. For children - 23.5% (2013) and 22.1% (2015).</w:t>
      </w:r>
    </w:p>
  </w:footnote>
  <w:footnote w:id="44">
    <w:p w14:paraId="343D4D7D" w14:textId="79EF35DA"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Eurostat, People at risk of poverty or social exclusion by age and sex, available here: </w:t>
      </w:r>
      <w:hyperlink r:id="rId11" w:history="1">
        <w:r w:rsidR="003754CC" w:rsidRPr="002A5538">
          <w:rPr>
            <w:rStyle w:val="Hyperlink"/>
            <w:rFonts w:ascii="Amnesty Trade Gothic Light" w:hAnsi="Amnesty Trade Gothic Light"/>
            <w:sz w:val="16"/>
            <w:szCs w:val="16"/>
            <w:lang w:val="en-GB"/>
          </w:rPr>
          <w:t>http://ec.europa.eu/eurostat/statisticsexplained/index.php/People_at_risk_of_poverty_or_social_exclusion</w:t>
        </w:r>
      </w:hyperlink>
      <w:r w:rsidR="003754CC" w:rsidRPr="002A5538">
        <w:rPr>
          <w:rFonts w:ascii="Amnesty Trade Gothic Light" w:hAnsi="Amnesty Trade Gothic Light"/>
          <w:sz w:val="16"/>
          <w:szCs w:val="16"/>
          <w:lang w:val="en-GB"/>
        </w:rPr>
        <w:t xml:space="preserve"> </w:t>
      </w:r>
    </w:p>
  </w:footnote>
  <w:footnote w:id="45">
    <w:p w14:paraId="343D4D7E" w14:textId="68F1F370"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OECD (2018), Income inequality (indicator). </w:t>
      </w:r>
      <w:proofErr w:type="spellStart"/>
      <w:r w:rsidRPr="002A5538">
        <w:rPr>
          <w:rFonts w:ascii="Amnesty Trade Gothic Light" w:hAnsi="Amnesty Trade Gothic Light"/>
          <w:sz w:val="16"/>
          <w:szCs w:val="16"/>
          <w:lang w:val="en-GB"/>
        </w:rPr>
        <w:t>doi</w:t>
      </w:r>
      <w:proofErr w:type="spellEnd"/>
      <w:r w:rsidRPr="002A5538">
        <w:rPr>
          <w:rFonts w:ascii="Amnesty Trade Gothic Light" w:hAnsi="Amnesty Trade Gothic Light"/>
          <w:sz w:val="16"/>
          <w:szCs w:val="16"/>
          <w:lang w:val="en-GB"/>
        </w:rPr>
        <w:t>: 10.1787/459aa7f1-en</w:t>
      </w:r>
      <w:r w:rsidR="003754CC" w:rsidRPr="002A5538">
        <w:rPr>
          <w:rFonts w:ascii="Amnesty Trade Gothic Light" w:hAnsi="Amnesty Trade Gothic Light"/>
          <w:sz w:val="16"/>
          <w:szCs w:val="16"/>
          <w:lang w:val="en-GB"/>
        </w:rPr>
        <w:t xml:space="preserve"> </w:t>
      </w:r>
    </w:p>
  </w:footnote>
  <w:footnote w:id="46">
    <w:p w14:paraId="343D4D7F"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For more details, see Wrong Prescription, page 14.</w:t>
      </w:r>
    </w:p>
  </w:footnote>
  <w:footnote w:id="47">
    <w:p w14:paraId="343D4D80"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For more analysis on this, see Wrong Prescription, page 16.</w:t>
      </w:r>
    </w:p>
  </w:footnote>
  <w:footnote w:id="48">
    <w:p w14:paraId="343D4D81" w14:textId="14EB9B28"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Eurostat Data on Indirect taxes, available at: </w:t>
      </w:r>
      <w:hyperlink r:id="rId12" w:history="1">
        <w:r w:rsidR="003754CC" w:rsidRPr="002A5538">
          <w:rPr>
            <w:rStyle w:val="Hyperlink"/>
            <w:rFonts w:ascii="Amnesty Trade Gothic Light" w:hAnsi="Amnesty Trade Gothic Light"/>
            <w:sz w:val="16"/>
            <w:szCs w:val="16"/>
            <w:lang w:val="en-GB"/>
          </w:rPr>
          <w:t>https://ec.europa.eu/taxation_customs/business/economic-analysis-taxation/data-taxation_en</w:t>
        </w:r>
      </w:hyperlink>
      <w:r w:rsidR="003754CC" w:rsidRPr="002A5538">
        <w:rPr>
          <w:rFonts w:ascii="Amnesty Trade Gothic Light" w:hAnsi="Amnesty Trade Gothic Light"/>
          <w:sz w:val="16"/>
          <w:szCs w:val="16"/>
          <w:lang w:val="en-GB"/>
        </w:rPr>
        <w:t xml:space="preserve"> </w:t>
      </w:r>
    </w:p>
  </w:footnote>
  <w:footnote w:id="49">
    <w:p w14:paraId="343D4D82" w14:textId="5A7ACB1C"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EGSP Data, Table 1 (Public Health Expenditure Statistics [hereinafter: EGSP data] is available here: </w:t>
      </w:r>
      <w:hyperlink r:id="rId13" w:history="1">
        <w:r w:rsidRPr="002A5538">
          <w:rPr>
            <w:rStyle w:val="Internetlink"/>
            <w:rFonts w:ascii="Amnesty Trade Gothic Light" w:hAnsi="Amnesty Trade Gothic Light"/>
            <w:sz w:val="16"/>
            <w:szCs w:val="16"/>
            <w:lang w:val="en-GB"/>
          </w:rPr>
          <w:t>www.msssi.gob.es/estadEstudios/estadisticas/inforRecopilaciones/gastoSanitario2005/home.htm</w:t>
        </w:r>
      </w:hyperlink>
      <w:r w:rsidRPr="002A5538">
        <w:rPr>
          <w:rFonts w:ascii="Amnesty Trade Gothic Light" w:hAnsi="Amnesty Trade Gothic Light"/>
          <w:sz w:val="16"/>
          <w:szCs w:val="16"/>
          <w:lang w:val="en-GB"/>
        </w:rPr>
        <w:t xml:space="preserve">) and Sistema de </w:t>
      </w:r>
      <w:proofErr w:type="spellStart"/>
      <w:r w:rsidRPr="002A5538">
        <w:rPr>
          <w:rFonts w:ascii="Amnesty Trade Gothic Light" w:hAnsi="Amnesty Trade Gothic Light"/>
          <w:sz w:val="16"/>
          <w:szCs w:val="16"/>
          <w:lang w:val="en-GB"/>
        </w:rPr>
        <w:t>Cuentas</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Salud</w:t>
      </w:r>
      <w:proofErr w:type="spellEnd"/>
      <w:r w:rsidRPr="002A5538">
        <w:rPr>
          <w:rFonts w:ascii="Amnesty Trade Gothic Light" w:hAnsi="Amnesty Trade Gothic Light"/>
          <w:sz w:val="16"/>
          <w:szCs w:val="16"/>
          <w:lang w:val="en-GB"/>
        </w:rPr>
        <w:t xml:space="preserve"> (SCS) Data Table 23. SCS Data is available here: </w:t>
      </w:r>
      <w:hyperlink r:id="rId14" w:history="1">
        <w:r w:rsidR="003754CC" w:rsidRPr="002A5538">
          <w:rPr>
            <w:rStyle w:val="Hyperlink"/>
            <w:rFonts w:ascii="Amnesty Trade Gothic Light" w:hAnsi="Amnesty Trade Gothic Light"/>
            <w:sz w:val="16"/>
            <w:szCs w:val="16"/>
            <w:lang w:val="en-GB"/>
          </w:rPr>
          <w:t>www.msssi.gob.es/estadEstudios/estadisticas/sisInfSanSNS/SCS.htm</w:t>
        </w:r>
      </w:hyperlink>
      <w:r w:rsidR="003754CC" w:rsidRPr="002A5538">
        <w:rPr>
          <w:rFonts w:ascii="Amnesty Trade Gothic Light" w:hAnsi="Amnesty Trade Gothic Light"/>
          <w:sz w:val="16"/>
          <w:szCs w:val="16"/>
          <w:lang w:val="en-GB"/>
        </w:rPr>
        <w:t xml:space="preserve"> </w:t>
      </w:r>
    </w:p>
  </w:footnote>
  <w:footnote w:id="50">
    <w:p w14:paraId="343D4D83"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ESGP Data. This has started to improve, but as of 2015 (the last year for which data was available at the time of publication of the report) it has still not reached 2009 levels. For example, it was €31336619 in 2009; €27778955 in 2013; and €28908257 in 2015</w:t>
      </w:r>
    </w:p>
  </w:footnote>
  <w:footnote w:id="51">
    <w:p w14:paraId="343D4D84" w14:textId="49448120" w:rsidR="004755EA" w:rsidRPr="002A5538" w:rsidRDefault="00C9333F" w:rsidP="00355D75">
      <w:pPr>
        <w:pStyle w:val="FootnoteText"/>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See </w:t>
      </w:r>
      <w:proofErr w:type="spellStart"/>
      <w:r w:rsidRPr="002A5538">
        <w:rPr>
          <w:rFonts w:ascii="Amnesty Trade Gothic Light" w:hAnsi="Amnesty Trade Gothic Light"/>
          <w:sz w:val="16"/>
          <w:szCs w:val="16"/>
          <w:lang w:val="en-GB"/>
        </w:rPr>
        <w:t>Ministerio</w:t>
      </w:r>
      <w:proofErr w:type="spellEnd"/>
      <w:r w:rsidRPr="002A5538">
        <w:rPr>
          <w:rFonts w:ascii="Amnesty Trade Gothic Light" w:hAnsi="Amnesty Trade Gothic Light"/>
          <w:sz w:val="16"/>
          <w:szCs w:val="16"/>
          <w:lang w:val="en-GB"/>
        </w:rPr>
        <w:t xml:space="preserve"> de Hacienda y </w:t>
      </w:r>
      <w:proofErr w:type="spellStart"/>
      <w:r w:rsidRPr="002A5538">
        <w:rPr>
          <w:rFonts w:ascii="Amnesty Trade Gothic Light" w:hAnsi="Amnesty Trade Gothic Light"/>
          <w:sz w:val="16"/>
          <w:szCs w:val="16"/>
          <w:lang w:val="en-GB"/>
        </w:rPr>
        <w:t>Administraciones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Publicas</w:t>
      </w:r>
      <w:proofErr w:type="spellEnd"/>
      <w:r w:rsidRPr="002A5538">
        <w:rPr>
          <w:rFonts w:ascii="Amnesty Trade Gothic Light" w:hAnsi="Amnesty Trade Gothic Light"/>
          <w:sz w:val="16"/>
          <w:szCs w:val="16"/>
          <w:lang w:val="en-GB"/>
        </w:rPr>
        <w:t>, “</w:t>
      </w:r>
      <w:proofErr w:type="spellStart"/>
      <w:r w:rsidRPr="002A5538">
        <w:rPr>
          <w:rFonts w:ascii="Amnesty Trade Gothic Light" w:hAnsi="Amnesty Trade Gothic Light"/>
          <w:sz w:val="16"/>
          <w:szCs w:val="16"/>
          <w:lang w:val="en-GB"/>
        </w:rPr>
        <w:t>Boletín</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estadístico</w:t>
      </w:r>
      <w:proofErr w:type="spellEnd"/>
      <w:r w:rsidRPr="002A5538">
        <w:rPr>
          <w:rFonts w:ascii="Amnesty Trade Gothic Light" w:hAnsi="Amnesty Trade Gothic Light"/>
          <w:sz w:val="16"/>
          <w:szCs w:val="16"/>
          <w:lang w:val="en-GB"/>
        </w:rPr>
        <w:t xml:space="preserve"> del personal al </w:t>
      </w:r>
      <w:proofErr w:type="spellStart"/>
      <w:r w:rsidRPr="002A5538">
        <w:rPr>
          <w:rFonts w:ascii="Amnesty Trade Gothic Light" w:hAnsi="Amnesty Trade Gothic Light"/>
          <w:sz w:val="16"/>
          <w:szCs w:val="16"/>
          <w:lang w:val="en-GB"/>
        </w:rPr>
        <w:t>servicio</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las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Administraciones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Públicas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Registro</w:t>
      </w:r>
      <w:proofErr w:type="spellEnd"/>
      <w:r w:rsidRPr="002A5538">
        <w:rPr>
          <w:rFonts w:ascii="Amnesty Trade Gothic Light" w:hAnsi="Amnesty Trade Gothic Light"/>
          <w:sz w:val="16"/>
          <w:szCs w:val="16"/>
          <w:lang w:val="en-GB"/>
        </w:rPr>
        <w:t xml:space="preserve"> C</w:t>
      </w:r>
      <w:r w:rsidR="00DF4167" w:rsidRPr="002A5538">
        <w:rPr>
          <w:rFonts w:ascii="Amnesty Trade Gothic Light" w:hAnsi="Amnesty Trade Gothic Light"/>
          <w:sz w:val="16"/>
          <w:szCs w:val="16"/>
          <w:lang w:val="en-GB"/>
        </w:rPr>
        <w:t xml:space="preserve">entral de Personal </w:t>
      </w:r>
      <w:proofErr w:type="spellStart"/>
      <w:r w:rsidR="00DF4167" w:rsidRPr="002A5538">
        <w:rPr>
          <w:rFonts w:ascii="Amnesty Trade Gothic Light" w:hAnsi="Amnesty Trade Gothic Light"/>
          <w:sz w:val="16"/>
          <w:szCs w:val="16"/>
          <w:lang w:val="en-GB"/>
        </w:rPr>
        <w:t>Enero</w:t>
      </w:r>
      <w:proofErr w:type="spellEnd"/>
      <w:r w:rsidR="00DF4167" w:rsidRPr="002A5538">
        <w:rPr>
          <w:rFonts w:ascii="Amnesty Trade Gothic Light" w:hAnsi="Amnesty Trade Gothic Light"/>
          <w:sz w:val="16"/>
          <w:szCs w:val="16"/>
          <w:lang w:val="en-GB"/>
        </w:rPr>
        <w:t>” [here</w:t>
      </w:r>
      <w:r w:rsidRPr="002A5538">
        <w:rPr>
          <w:rFonts w:ascii="Amnesty Trade Gothic Light" w:hAnsi="Amnesty Trade Gothic Light"/>
          <w:sz w:val="16"/>
          <w:szCs w:val="16"/>
          <w:lang w:val="en-GB"/>
        </w:rPr>
        <w:t xml:space="preserve">after: </w:t>
      </w:r>
      <w:proofErr w:type="spellStart"/>
      <w:r w:rsidRPr="002A5538">
        <w:rPr>
          <w:rFonts w:ascii="Amnesty Trade Gothic Light" w:hAnsi="Amnesty Trade Gothic Light"/>
          <w:sz w:val="16"/>
          <w:szCs w:val="16"/>
          <w:lang w:val="en-GB"/>
        </w:rPr>
        <w:t>Registro</w:t>
      </w:r>
      <w:proofErr w:type="spellEnd"/>
      <w:r w:rsidRPr="002A5538">
        <w:rPr>
          <w:rFonts w:ascii="Amnesty Trade Gothic Light" w:hAnsi="Amnesty Trade Gothic Light"/>
          <w:sz w:val="16"/>
          <w:szCs w:val="16"/>
          <w:lang w:val="en-GB"/>
        </w:rPr>
        <w:t xml:space="preserve"> Central de Personal] 2012, http://www.sefp.minhafp.gob.es/dam/es/web/publicaciones/centro_de_publicaciones_de_la_sgt/Periodicas/parrafo/Boletin_Estadis_Personal /Bol_estad_pers-ener12-INTERNET.pdf. In 2014, the number had dropped to 476 689. See </w:t>
      </w:r>
      <w:proofErr w:type="spellStart"/>
      <w:r w:rsidRPr="002A5538">
        <w:rPr>
          <w:rFonts w:ascii="Amnesty Trade Gothic Light" w:hAnsi="Amnesty Trade Gothic Light"/>
          <w:sz w:val="16"/>
          <w:szCs w:val="16"/>
          <w:lang w:val="en-GB"/>
        </w:rPr>
        <w:t>Registro</w:t>
      </w:r>
      <w:proofErr w:type="spellEnd"/>
      <w:r w:rsidRPr="002A5538">
        <w:rPr>
          <w:rFonts w:ascii="Amnesty Trade Gothic Light" w:hAnsi="Amnesty Trade Gothic Light"/>
          <w:sz w:val="16"/>
          <w:szCs w:val="16"/>
          <w:lang w:val="en-GB"/>
        </w:rPr>
        <w:t xml:space="preserve"> Central de Personal 2014, </w:t>
      </w:r>
      <w:hyperlink r:id="rId15" w:history="1">
        <w:r w:rsidR="003754CC" w:rsidRPr="002A5538">
          <w:rPr>
            <w:rStyle w:val="Hyperlink"/>
            <w:rFonts w:ascii="Amnesty Trade Gothic Light" w:hAnsi="Amnesty Trade Gothic Light"/>
            <w:sz w:val="16"/>
            <w:szCs w:val="16"/>
            <w:lang w:val="en-GB"/>
          </w:rPr>
          <w:t>http://www.sefp.minhafp.gob.es/dam/es/web/publicaciones/centro_de_publicaciones_de_la_sgt/Periodicas/parrafo/Boletin_Estadis_Personal /BE_ENE-2014-PROTEGIDO.pdf</w:t>
        </w:r>
      </w:hyperlink>
      <w:r w:rsidR="003754CC" w:rsidRPr="002A5538">
        <w:rPr>
          <w:rFonts w:ascii="Amnesty Trade Gothic Light" w:hAnsi="Amnesty Trade Gothic Light"/>
          <w:sz w:val="16"/>
          <w:szCs w:val="16"/>
          <w:lang w:val="en-GB"/>
        </w:rPr>
        <w:t xml:space="preserve"> </w:t>
      </w:r>
    </w:p>
  </w:footnote>
  <w:footnote w:id="52">
    <w:p w14:paraId="343D4D85" w14:textId="1A0705BE" w:rsidR="004755EA" w:rsidRPr="002A5538" w:rsidRDefault="00C9333F" w:rsidP="00355D75">
      <w:pPr>
        <w:pStyle w:val="FootnoteText"/>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See articles Article 3, RDL 16/2012 and Article 3 </w:t>
      </w:r>
      <w:proofErr w:type="spellStart"/>
      <w:r w:rsidRPr="002A5538">
        <w:rPr>
          <w:rFonts w:ascii="Amnesty Trade Gothic Light" w:hAnsi="Amnesty Trade Gothic Light"/>
          <w:i/>
          <w:sz w:val="16"/>
          <w:szCs w:val="16"/>
          <w:lang w:val="en-GB"/>
        </w:rPr>
        <w:t>ter</w:t>
      </w:r>
      <w:proofErr w:type="spellEnd"/>
      <w:r w:rsidRPr="002A5538">
        <w:rPr>
          <w:rFonts w:ascii="Amnesty Trade Gothic Light" w:hAnsi="Amnesty Trade Gothic Light"/>
          <w:sz w:val="16"/>
          <w:szCs w:val="16"/>
          <w:lang w:val="en-GB"/>
        </w:rPr>
        <w:t>, RDL 16/2012</w:t>
      </w:r>
      <w:r w:rsidR="003754CC" w:rsidRPr="002A5538">
        <w:rPr>
          <w:rFonts w:ascii="Amnesty Trade Gothic Light" w:hAnsi="Amnesty Trade Gothic Light"/>
          <w:sz w:val="16"/>
          <w:szCs w:val="16"/>
          <w:lang w:val="en-GB"/>
        </w:rPr>
        <w:t>.</w:t>
      </w:r>
    </w:p>
  </w:footnote>
  <w:footnote w:id="53">
    <w:p w14:paraId="343D4D86"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Amnesty International, Spain: Sin </w:t>
      </w:r>
      <w:proofErr w:type="spellStart"/>
      <w:r w:rsidRPr="002A5538">
        <w:rPr>
          <w:rFonts w:ascii="Amnesty Trade Gothic Light" w:hAnsi="Amnesty Trade Gothic Light"/>
          <w:sz w:val="16"/>
          <w:szCs w:val="16"/>
          <w:lang w:val="en-GB"/>
        </w:rPr>
        <w:t>Tarjeta</w:t>
      </w:r>
      <w:proofErr w:type="spellEnd"/>
      <w:r w:rsidRPr="002A5538">
        <w:rPr>
          <w:rFonts w:ascii="Amnesty Trade Gothic Light" w:hAnsi="Amnesty Trade Gothic Light"/>
          <w:sz w:val="16"/>
          <w:szCs w:val="16"/>
          <w:lang w:val="en-GB"/>
        </w:rPr>
        <w:t xml:space="preserve">, No Hay </w:t>
      </w:r>
      <w:proofErr w:type="spellStart"/>
      <w:r w:rsidRPr="002A5538">
        <w:rPr>
          <w:rFonts w:ascii="Amnesty Trade Gothic Light" w:hAnsi="Amnesty Trade Gothic Light"/>
          <w:sz w:val="16"/>
          <w:szCs w:val="16"/>
          <w:lang w:val="en-GB"/>
        </w:rPr>
        <w:t>Derecho</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Impacto</w:t>
      </w:r>
      <w:proofErr w:type="spellEnd"/>
      <w:r w:rsidRPr="002A5538">
        <w:rPr>
          <w:rFonts w:ascii="Amnesty Trade Gothic Light" w:hAnsi="Amnesty Trade Gothic Light"/>
          <w:sz w:val="16"/>
          <w:szCs w:val="16"/>
          <w:lang w:val="en-GB"/>
        </w:rPr>
        <w:t xml:space="preserve"> en </w:t>
      </w:r>
      <w:proofErr w:type="spellStart"/>
      <w:r w:rsidRPr="002A5538">
        <w:rPr>
          <w:rFonts w:ascii="Amnesty Trade Gothic Light" w:hAnsi="Amnesty Trade Gothic Light"/>
          <w:sz w:val="16"/>
          <w:szCs w:val="16"/>
          <w:lang w:val="en-GB"/>
        </w:rPr>
        <w:t>derechos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humanos</w:t>
      </w:r>
      <w:proofErr w:type="spellEnd"/>
      <w:r w:rsidRPr="002A5538">
        <w:rPr>
          <w:rFonts w:ascii="Amnesty Trade Gothic Light" w:hAnsi="Amnesty Trade Gothic Light"/>
          <w:sz w:val="16"/>
          <w:szCs w:val="16"/>
          <w:lang w:val="en-GB"/>
        </w:rPr>
        <w:t xml:space="preserve"> de la </w:t>
      </w:r>
      <w:proofErr w:type="spellStart"/>
      <w:r w:rsidRPr="002A5538">
        <w:rPr>
          <w:rFonts w:ascii="Amnesty Trade Gothic Light" w:hAnsi="Amnesty Trade Gothic Light"/>
          <w:sz w:val="16"/>
          <w:szCs w:val="16"/>
          <w:lang w:val="en-GB"/>
        </w:rPr>
        <w:t>reforma</w:t>
      </w:r>
      <w:proofErr w:type="spellEnd"/>
      <w:r w:rsidRPr="002A5538">
        <w:rPr>
          <w:rFonts w:ascii="Amnesty Trade Gothic Light" w:hAnsi="Amnesty Trade Gothic Light"/>
          <w:sz w:val="16"/>
          <w:szCs w:val="16"/>
          <w:lang w:val="en-GB"/>
        </w:rPr>
        <w:t xml:space="preserve"> sanitaria en </w:t>
      </w:r>
      <w:proofErr w:type="spellStart"/>
      <w:r w:rsidRPr="002A5538">
        <w:rPr>
          <w:rFonts w:ascii="Amnesty Trade Gothic Light" w:hAnsi="Amnesty Trade Gothic Light"/>
          <w:sz w:val="16"/>
          <w:szCs w:val="16"/>
          <w:lang w:val="en-GB"/>
        </w:rPr>
        <w:t>Castilla</w:t>
      </w:r>
      <w:proofErr w:type="spellEnd"/>
      <w:r w:rsidRPr="002A5538">
        <w:rPr>
          <w:rFonts w:ascii="Amnesty Trade Gothic Light" w:hAnsi="Amnesty Trade Gothic Light"/>
          <w:sz w:val="16"/>
          <w:szCs w:val="16"/>
          <w:lang w:val="en-GB"/>
        </w:rPr>
        <w:t xml:space="preserve">-La Mancha y en la </w:t>
      </w:r>
      <w:proofErr w:type="spellStart"/>
      <w:r w:rsidRPr="002A5538">
        <w:rPr>
          <w:rFonts w:ascii="Amnesty Trade Gothic Light" w:hAnsi="Amnesty Trade Gothic Light"/>
          <w:sz w:val="16"/>
          <w:szCs w:val="16"/>
          <w:lang w:val="en-GB"/>
        </w:rPr>
        <w:t>Comunitat</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Valenciana</w:t>
      </w:r>
      <w:proofErr w:type="spellEnd"/>
      <w:r w:rsidRPr="002A5538">
        <w:rPr>
          <w:rFonts w:ascii="Amnesty Trade Gothic Light" w:hAnsi="Amnesty Trade Gothic Light"/>
          <w:sz w:val="16"/>
          <w:szCs w:val="16"/>
          <w:lang w:val="en-GB"/>
        </w:rPr>
        <w:t xml:space="preserve"> (EUR4140015); Amnesty International, Spain: El </w:t>
      </w:r>
      <w:proofErr w:type="spellStart"/>
      <w:r w:rsidRPr="002A5538">
        <w:rPr>
          <w:rFonts w:ascii="Amnesty Trade Gothic Light" w:hAnsi="Amnesty Trade Gothic Light"/>
          <w:sz w:val="16"/>
          <w:szCs w:val="16"/>
          <w:lang w:val="en-GB"/>
        </w:rPr>
        <w:t>Laberinto</w:t>
      </w:r>
      <w:proofErr w:type="spellEnd"/>
      <w:r w:rsidRPr="002A5538">
        <w:rPr>
          <w:rFonts w:ascii="Amnesty Trade Gothic Light" w:hAnsi="Amnesty Trade Gothic Light"/>
          <w:sz w:val="16"/>
          <w:szCs w:val="16"/>
          <w:lang w:val="en-GB"/>
        </w:rPr>
        <w:t xml:space="preserve"> De La </w:t>
      </w:r>
      <w:proofErr w:type="spellStart"/>
      <w:r w:rsidRPr="002A5538">
        <w:rPr>
          <w:rFonts w:ascii="Amnesty Trade Gothic Light" w:hAnsi="Amnesty Trade Gothic Light"/>
          <w:sz w:val="16"/>
          <w:szCs w:val="16"/>
          <w:lang w:val="en-GB"/>
        </w:rPr>
        <w:t>Exclusión</w:t>
      </w:r>
      <w:proofErr w:type="spellEnd"/>
      <w:r w:rsidRPr="002A5538">
        <w:rPr>
          <w:rFonts w:ascii="Amnesty Trade Gothic Light" w:hAnsi="Amnesty Trade Gothic Light"/>
          <w:sz w:val="16"/>
          <w:szCs w:val="16"/>
          <w:lang w:val="en-GB"/>
        </w:rPr>
        <w:t xml:space="preserve"> Sanitaria. </w:t>
      </w:r>
      <w:proofErr w:type="spellStart"/>
      <w:r w:rsidRPr="002A5538">
        <w:rPr>
          <w:rFonts w:ascii="Amnesty Trade Gothic Light" w:hAnsi="Amnesty Trade Gothic Light"/>
          <w:sz w:val="16"/>
          <w:szCs w:val="16"/>
          <w:lang w:val="en-GB"/>
        </w:rPr>
        <w:t>Vulneraciones</w:t>
      </w:r>
      <w:proofErr w:type="spellEnd"/>
      <w:r w:rsidRPr="002A5538">
        <w:rPr>
          <w:rFonts w:ascii="Amnesty Trade Gothic Light" w:hAnsi="Amnesty Trade Gothic Light"/>
          <w:sz w:val="16"/>
          <w:szCs w:val="16"/>
          <w:lang w:val="en-GB"/>
        </w:rPr>
        <w:t xml:space="preserve"> del </w:t>
      </w:r>
      <w:proofErr w:type="spellStart"/>
      <w:r w:rsidRPr="002A5538">
        <w:rPr>
          <w:rFonts w:ascii="Amnesty Trade Gothic Light" w:hAnsi="Amnesty Trade Gothic Light"/>
          <w:sz w:val="16"/>
          <w:szCs w:val="16"/>
          <w:lang w:val="en-GB"/>
        </w:rPr>
        <w:t>derecho</w:t>
      </w:r>
      <w:proofErr w:type="spellEnd"/>
      <w:r w:rsidRPr="002A5538">
        <w:rPr>
          <w:rFonts w:ascii="Amnesty Trade Gothic Light" w:hAnsi="Amnesty Trade Gothic Light"/>
          <w:sz w:val="16"/>
          <w:szCs w:val="16"/>
          <w:lang w:val="en-GB"/>
        </w:rPr>
        <w:t xml:space="preserve"> a la </w:t>
      </w:r>
      <w:proofErr w:type="spellStart"/>
      <w:r w:rsidRPr="002A5538">
        <w:rPr>
          <w:rFonts w:ascii="Amnesty Trade Gothic Light" w:hAnsi="Amnesty Trade Gothic Light"/>
          <w:sz w:val="16"/>
          <w:szCs w:val="16"/>
          <w:lang w:val="en-GB"/>
        </w:rPr>
        <w:t>salud</w:t>
      </w:r>
      <w:proofErr w:type="spellEnd"/>
      <w:r w:rsidRPr="002A5538">
        <w:rPr>
          <w:rFonts w:ascii="Amnesty Trade Gothic Light" w:hAnsi="Amnesty Trade Gothic Light"/>
          <w:sz w:val="16"/>
          <w:szCs w:val="16"/>
          <w:lang w:val="en-GB"/>
        </w:rPr>
        <w:t xml:space="preserve"> en </w:t>
      </w:r>
      <w:proofErr w:type="spellStart"/>
      <w:r w:rsidRPr="002A5538">
        <w:rPr>
          <w:rFonts w:ascii="Amnesty Trade Gothic Light" w:hAnsi="Amnesty Trade Gothic Light"/>
          <w:sz w:val="16"/>
          <w:szCs w:val="16"/>
          <w:lang w:val="en-GB"/>
        </w:rPr>
        <w:t>las</w:t>
      </w:r>
      <w:proofErr w:type="spellEnd"/>
      <w:r w:rsidRPr="002A5538">
        <w:rPr>
          <w:rFonts w:ascii="Amnesty Trade Gothic Light" w:hAnsi="Amnesty Trade Gothic Light"/>
          <w:sz w:val="16"/>
          <w:szCs w:val="16"/>
          <w:lang w:val="en-GB"/>
        </w:rPr>
        <w:t xml:space="preserve"> Islas Baleares (EUR4160013).</w:t>
      </w:r>
    </w:p>
  </w:footnote>
  <w:footnote w:id="54">
    <w:p w14:paraId="343D4D88" w14:textId="55C7A615"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Amnistía</w:t>
      </w:r>
      <w:proofErr w:type="spellEnd"/>
      <w:r w:rsidRPr="002A5538">
        <w:rPr>
          <w:rFonts w:ascii="Amnesty Trade Gothic Light" w:hAnsi="Amnesty Trade Gothic Light"/>
          <w:sz w:val="16"/>
          <w:szCs w:val="16"/>
          <w:lang w:val="en-GB"/>
        </w:rPr>
        <w:t xml:space="preserve"> Internacional </w:t>
      </w:r>
      <w:proofErr w:type="spellStart"/>
      <w:r w:rsidRPr="002A5538">
        <w:rPr>
          <w:rFonts w:ascii="Amnesty Trade Gothic Light" w:hAnsi="Amnesty Trade Gothic Light"/>
          <w:sz w:val="16"/>
          <w:szCs w:val="16"/>
          <w:lang w:val="en-GB"/>
        </w:rPr>
        <w:t>Organizaciones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sociales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exigen</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una</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nueva</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regulación</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que</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proteja</w:t>
      </w:r>
      <w:proofErr w:type="spellEnd"/>
      <w:r w:rsidRPr="002A5538">
        <w:rPr>
          <w:rFonts w:ascii="Amnesty Trade Gothic Light" w:hAnsi="Amnesty Trade Gothic Light"/>
          <w:sz w:val="16"/>
          <w:szCs w:val="16"/>
          <w:lang w:val="en-GB"/>
        </w:rPr>
        <w:t xml:space="preserve"> el </w:t>
      </w:r>
      <w:proofErr w:type="spellStart"/>
      <w:r w:rsidRPr="002A5538">
        <w:rPr>
          <w:rFonts w:ascii="Amnesty Trade Gothic Light" w:hAnsi="Amnesty Trade Gothic Light"/>
          <w:sz w:val="16"/>
          <w:szCs w:val="16"/>
          <w:lang w:val="en-GB"/>
        </w:rPr>
        <w:t>derecho</w:t>
      </w:r>
      <w:proofErr w:type="spellEnd"/>
      <w:r w:rsidRPr="002A5538">
        <w:rPr>
          <w:rFonts w:ascii="Amnesty Trade Gothic Light" w:hAnsi="Amnesty Trade Gothic Light"/>
          <w:sz w:val="16"/>
          <w:szCs w:val="16"/>
          <w:lang w:val="en-GB"/>
        </w:rPr>
        <w:t xml:space="preserve"> a la </w:t>
      </w:r>
      <w:proofErr w:type="spellStart"/>
      <w:r w:rsidRPr="002A5538">
        <w:rPr>
          <w:rFonts w:ascii="Amnesty Trade Gothic Light" w:hAnsi="Amnesty Trade Gothic Light"/>
          <w:sz w:val="16"/>
          <w:szCs w:val="16"/>
          <w:lang w:val="en-GB"/>
        </w:rPr>
        <w:t>salud</w:t>
      </w:r>
      <w:proofErr w:type="spellEnd"/>
      <w:r w:rsidRPr="002A5538">
        <w:rPr>
          <w:rFonts w:ascii="Amnesty Trade Gothic Light" w:hAnsi="Amnesty Trade Gothic Light"/>
          <w:sz w:val="16"/>
          <w:szCs w:val="16"/>
          <w:lang w:val="en-GB"/>
        </w:rPr>
        <w:t xml:space="preserve"> de </w:t>
      </w:r>
      <w:proofErr w:type="spellStart"/>
      <w:r w:rsidRPr="002A5538">
        <w:rPr>
          <w:rFonts w:ascii="Amnesty Trade Gothic Light" w:hAnsi="Amnesty Trade Gothic Light"/>
          <w:sz w:val="16"/>
          <w:szCs w:val="16"/>
          <w:lang w:val="en-GB"/>
        </w:rPr>
        <w:t>todas</w:t>
      </w:r>
      <w:proofErr w:type="spellEnd"/>
      <w:r w:rsidRPr="002A5538">
        <w:rPr>
          <w:rFonts w:ascii="Amnesty Trade Gothic Light" w:hAnsi="Amnesty Trade Gothic Light"/>
          <w:sz w:val="16"/>
          <w:szCs w:val="16"/>
          <w:lang w:val="en-GB"/>
        </w:rPr>
        <w:t xml:space="preserve"> </w:t>
      </w:r>
      <w:proofErr w:type="spellStart"/>
      <w:r w:rsidRPr="002A5538">
        <w:rPr>
          <w:rFonts w:ascii="Amnesty Trade Gothic Light" w:hAnsi="Amnesty Trade Gothic Light"/>
          <w:sz w:val="16"/>
          <w:szCs w:val="16"/>
          <w:lang w:val="en-GB"/>
        </w:rPr>
        <w:t>las</w:t>
      </w:r>
      <w:proofErr w:type="spellEnd"/>
      <w:r w:rsidRPr="002A5538">
        <w:rPr>
          <w:rFonts w:ascii="Amnesty Trade Gothic Light" w:hAnsi="Amnesty Trade Gothic Light"/>
          <w:sz w:val="16"/>
          <w:szCs w:val="16"/>
          <w:lang w:val="en-GB"/>
        </w:rPr>
        <w:t xml:space="preserve"> personas </w:t>
      </w:r>
      <w:hyperlink r:id="rId16" w:history="1">
        <w:r w:rsidRPr="002A5538">
          <w:rPr>
            <w:rFonts w:ascii="Amnesty Trade Gothic Light" w:hAnsi="Amnesty Trade Gothic Light"/>
            <w:sz w:val="16"/>
            <w:szCs w:val="16"/>
            <w:lang w:val="en-GB"/>
          </w:rPr>
          <w:t>https://www.es.amnesty.org/en-que-estamos/noticias/noticia/articulo/organizaciones-sociales-exigen-una-nueva-regulacion-que-recupere-el-derecho-a-la-salud-de-todas-las/</w:t>
        </w:r>
      </w:hyperlink>
      <w:r w:rsidRPr="002A5538">
        <w:rPr>
          <w:rFonts w:ascii="Amnesty Trade Gothic Light" w:hAnsi="Amnesty Trade Gothic Light"/>
          <w:sz w:val="16"/>
          <w:szCs w:val="16"/>
          <w:lang w:val="en-GB"/>
        </w:rPr>
        <w:t xml:space="preserve"> Also note that  in June 2019, a Supreme Court ruling prevented access to health care to a woman of Cuban nationality legally regrouped by her daughter. This decision is contrary to the UN and Council of Europe human rights protection mechanisms recommendations to Spain regarding the need to ensure the equal access to health care without any kind of discrimination</w:t>
      </w:r>
      <w:r w:rsidR="00355D75" w:rsidRPr="002A5538">
        <w:rPr>
          <w:rFonts w:ascii="Amnesty Trade Gothic Light" w:hAnsi="Amnesty Trade Gothic Light"/>
          <w:sz w:val="16"/>
          <w:szCs w:val="16"/>
          <w:lang w:val="en-GB"/>
        </w:rPr>
        <w:t xml:space="preserve">. </w:t>
      </w:r>
    </w:p>
  </w:footnote>
  <w:footnote w:id="55">
    <w:p w14:paraId="343D4D89"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See Wrong Prescription, page 21.</w:t>
      </w:r>
    </w:p>
  </w:footnote>
  <w:footnote w:id="56">
    <w:p w14:paraId="343D4D8A" w14:textId="251522C6"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Based on data from MSSSI’s ‘Key Indicators of the Health System’, available here: </w:t>
      </w:r>
      <w:hyperlink r:id="rId17" w:history="1">
        <w:r w:rsidR="003754CC" w:rsidRPr="002A5538">
          <w:rPr>
            <w:rStyle w:val="Hyperlink"/>
            <w:rFonts w:ascii="Amnesty Trade Gothic Light" w:hAnsi="Amnesty Trade Gothic Light"/>
            <w:sz w:val="16"/>
            <w:szCs w:val="16"/>
            <w:lang w:val="en-GB"/>
          </w:rPr>
          <w:t>http://inclasns.msssi.es/main.html</w:t>
        </w:r>
      </w:hyperlink>
      <w:r w:rsidR="003754CC" w:rsidRPr="002A5538">
        <w:rPr>
          <w:rFonts w:ascii="Amnesty Trade Gothic Light" w:hAnsi="Amnesty Trade Gothic Light"/>
          <w:sz w:val="16"/>
          <w:szCs w:val="16"/>
          <w:lang w:val="en-GB"/>
        </w:rPr>
        <w:t xml:space="preserve"> </w:t>
      </w:r>
    </w:p>
  </w:footnote>
  <w:footnote w:id="57">
    <w:p w14:paraId="343D4D8B"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See Wrong Prescription, page 31.</w:t>
      </w:r>
    </w:p>
  </w:footnote>
  <w:footnote w:id="58">
    <w:p w14:paraId="343D4D8C"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For a more detailed analysis of the changes in the tax structure in Spain, see Wrong Prescription, page 40.</w:t>
      </w:r>
    </w:p>
  </w:footnote>
  <w:footnote w:id="59">
    <w:p w14:paraId="343D4D8D" w14:textId="4B7B9F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w:t>
      </w:r>
      <w:hyperlink r:id="rId18" w:history="1">
        <w:r w:rsidR="003754CC" w:rsidRPr="002A5538">
          <w:rPr>
            <w:rStyle w:val="Hyperlink"/>
            <w:rFonts w:ascii="Amnesty Trade Gothic Light" w:hAnsi="Amnesty Trade Gothic Light"/>
            <w:sz w:val="16"/>
            <w:szCs w:val="16"/>
            <w:lang w:val="en-GB"/>
          </w:rPr>
          <w:t>www.gestha.es/index.php?seccion=actualidad&amp;num=464</w:t>
        </w:r>
      </w:hyperlink>
      <w:r w:rsidR="003754CC" w:rsidRPr="002A5538">
        <w:rPr>
          <w:rFonts w:ascii="Amnesty Trade Gothic Light" w:hAnsi="Amnesty Trade Gothic Light"/>
          <w:sz w:val="16"/>
          <w:szCs w:val="16"/>
          <w:lang w:val="en-GB"/>
        </w:rPr>
        <w:t xml:space="preserve"> </w:t>
      </w:r>
    </w:p>
  </w:footnote>
  <w:footnote w:id="60">
    <w:p w14:paraId="343D4D8E"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See Wrong Prescription, page 38.</w:t>
      </w:r>
    </w:p>
  </w:footnote>
  <w:footnote w:id="61">
    <w:p w14:paraId="343D4D8F" w14:textId="77777777" w:rsidR="004755EA" w:rsidRPr="002A5538" w:rsidRDefault="00C9333F" w:rsidP="00355D75">
      <w:pPr>
        <w:pStyle w:val="Footnote"/>
        <w:ind w:left="0" w:firstLine="0"/>
        <w:rPr>
          <w:rFonts w:ascii="Amnesty Trade Gothic Light" w:hAnsi="Amnesty Trade Gothic Light"/>
          <w:sz w:val="16"/>
          <w:szCs w:val="16"/>
          <w:lang w:val="en-GB"/>
        </w:rPr>
      </w:pPr>
      <w:r w:rsidRPr="002A5538">
        <w:rPr>
          <w:rStyle w:val="FootnoteReference"/>
          <w:rFonts w:ascii="Amnesty Trade Gothic Light" w:hAnsi="Amnesty Trade Gothic Light"/>
          <w:sz w:val="16"/>
          <w:szCs w:val="16"/>
          <w:lang w:val="en-GB"/>
        </w:rPr>
        <w:footnoteRef/>
      </w:r>
      <w:r w:rsidRPr="002A5538">
        <w:rPr>
          <w:rFonts w:ascii="Amnesty Trade Gothic Light" w:hAnsi="Amnesty Trade Gothic Light"/>
          <w:sz w:val="16"/>
          <w:szCs w:val="16"/>
          <w:lang w:val="en-GB"/>
        </w:rPr>
        <w:t xml:space="preserve"> For a detailed list of recommendations, see Wrong Prescription, page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E6EE2"/>
    <w:multiLevelType w:val="multilevel"/>
    <w:tmpl w:val="55C0313E"/>
    <w:styleLink w:val="WWNum4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ECA3011"/>
    <w:multiLevelType w:val="multilevel"/>
    <w:tmpl w:val="8390A200"/>
    <w:styleLink w:val="WWNum1"/>
    <w:lvl w:ilvl="0">
      <w:start w:val="1"/>
      <w:numFmt w:val="none"/>
      <w:suff w:val="nothing"/>
      <w:lvlText w:val="%1"/>
      <w:lvlJc w:val="left"/>
      <w:rPr>
        <w:rFonts w:cs="Times New Roman"/>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2">
    <w:nsid w:val="3E270D7A"/>
    <w:multiLevelType w:val="hybridMultilevel"/>
    <w:tmpl w:val="482063A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E6619A5"/>
    <w:multiLevelType w:val="multilevel"/>
    <w:tmpl w:val="09C65A08"/>
    <w:styleLink w:val="WWNum4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64096CF4"/>
    <w:multiLevelType w:val="multilevel"/>
    <w:tmpl w:val="3702AF8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694E338E"/>
    <w:multiLevelType w:val="multilevel"/>
    <w:tmpl w:val="1646E0C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1895E72"/>
    <w:multiLevelType w:val="multilevel"/>
    <w:tmpl w:val="E7F05F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3"/>
  </w:num>
  <w:num w:numId="3">
    <w:abstractNumId w:val="0"/>
  </w:num>
  <w:num w:numId="4">
    <w:abstractNumId w:val="6"/>
  </w:num>
  <w:num w:numId="5">
    <w:abstractNumId w:val="3"/>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EA"/>
    <w:rsid w:val="001477EF"/>
    <w:rsid w:val="001F18E8"/>
    <w:rsid w:val="00211ED2"/>
    <w:rsid w:val="002416C9"/>
    <w:rsid w:val="00270F15"/>
    <w:rsid w:val="002963C8"/>
    <w:rsid w:val="002A5538"/>
    <w:rsid w:val="00355D75"/>
    <w:rsid w:val="003754CC"/>
    <w:rsid w:val="003E41D4"/>
    <w:rsid w:val="004755EA"/>
    <w:rsid w:val="004D1845"/>
    <w:rsid w:val="005D3679"/>
    <w:rsid w:val="006B0751"/>
    <w:rsid w:val="007352D1"/>
    <w:rsid w:val="007A60B9"/>
    <w:rsid w:val="007D4144"/>
    <w:rsid w:val="00821598"/>
    <w:rsid w:val="00A215F1"/>
    <w:rsid w:val="00B83332"/>
    <w:rsid w:val="00C7704C"/>
    <w:rsid w:val="00C9333F"/>
    <w:rsid w:val="00D25FF7"/>
    <w:rsid w:val="00D840A8"/>
    <w:rsid w:val="00DF4167"/>
    <w:rsid w:val="00E343CF"/>
    <w:rsid w:val="00F014A7"/>
    <w:rsid w:val="00FA1679"/>
    <w:rsid w:val="00FE3D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4D49"/>
  <w15:docId w15:val="{0A3BA3D0-DF6D-4EE8-800E-B98769E2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link w:val="Heading1Char"/>
    <w:uiPriority w:val="9"/>
    <w:qFormat/>
    <w:rsid w:val="00D25FF7"/>
    <w:pPr>
      <w:keepNext/>
      <w:keepLines/>
      <w:spacing w:before="240"/>
      <w:outlineLvl w:val="0"/>
    </w:pPr>
    <w:rPr>
      <w:rFonts w:ascii="Amnesty Trade Gothic Cn" w:eastAsiaTheme="majorEastAsia" w:hAnsi="Amnesty Trade Gothic Cn"/>
      <w:b/>
      <w:sz w:val="32"/>
      <w:szCs w:val="29"/>
    </w:rPr>
  </w:style>
  <w:style w:type="paragraph" w:styleId="Heading2">
    <w:name w:val="heading 2"/>
    <w:basedOn w:val="Standard"/>
    <w:next w:val="Standard"/>
    <w:pPr>
      <w:keepNext/>
      <w:outlineLvl w:val="1"/>
    </w:pPr>
    <w:rPr>
      <w:rFonts w:ascii="Amnesty Trade Gothic Cn" w:eastAsia="Amnesty Trade Gothic Cn" w:hAnsi="Amnesty Trade Gothic Cn" w:cs="Amnesty Trade Gothic Cn"/>
      <w:caps/>
      <w:sz w:val="26"/>
      <w:szCs w:val="28"/>
    </w:rPr>
  </w:style>
  <w:style w:type="paragraph" w:styleId="Heading3">
    <w:name w:val="heading 3"/>
    <w:basedOn w:val="Standard"/>
    <w:next w:val="Standard"/>
    <w:pPr>
      <w:keepNext/>
      <w:outlineLvl w:val="2"/>
    </w:pPr>
    <w:rPr>
      <w:rFonts w:ascii="Amnesty Trade Gothic Cn" w:eastAsia="Amnesty Trade Gothic Cn" w:hAnsi="Amnesty Trade Gothic Cn" w:cs="Amnesty Trade Gothic Cn"/>
      <w:caps/>
      <w:sz w:val="20"/>
      <w:szCs w:val="26"/>
    </w:rPr>
  </w:style>
  <w:style w:type="paragraph" w:styleId="Heading4">
    <w:name w:val="heading 4"/>
    <w:basedOn w:val="Normal"/>
    <w:next w:val="Normal"/>
    <w:link w:val="Heading4Char"/>
    <w:uiPriority w:val="9"/>
    <w:unhideWhenUsed/>
    <w:qFormat/>
    <w:rsid w:val="00D25FF7"/>
    <w:pPr>
      <w:keepNext/>
      <w:keepLines/>
      <w:spacing w:before="40"/>
      <w:outlineLvl w:val="3"/>
    </w:pPr>
    <w:rPr>
      <w:rFonts w:ascii="Amnesty Trade Gothic Cn" w:eastAsiaTheme="majorEastAsia" w:hAnsi="Amnesty Trade Gothic Cn"/>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Encabezamiento2">
    <w:name w:val="Encabezamiento 2"/>
    <w:pPr>
      <w:suppressAutoHyphens/>
      <w:ind w:left="2498"/>
      <w:outlineLvl w:val="1"/>
    </w:pPr>
    <w:rPr>
      <w:rFonts w:ascii="Arial" w:eastAsia="Arial Unicode MS" w:hAnsi="Arial" w:cs="Arial Unicode MS"/>
      <w:b/>
      <w:bCs/>
      <w:color w:val="000000"/>
      <w:sz w:val="72"/>
      <w:szCs w:val="72"/>
    </w:rPr>
  </w:style>
  <w:style w:type="paragraph" w:customStyle="1" w:styleId="Textbodyuser">
    <w:name w:val="Text body (user)"/>
    <w:pPr>
      <w:suppressAutoHyphens/>
      <w:spacing w:after="140" w:line="276" w:lineRule="auto"/>
    </w:pPr>
    <w:rPr>
      <w:rFonts w:ascii="Times New Roman" w:eastAsia="Times New Roman" w:hAnsi="Times New Roman" w:cs="Times New Roman"/>
      <w:color w:val="000000"/>
      <w:lang w:val="es-ES_tradnl"/>
    </w:rPr>
  </w:style>
  <w:style w:type="paragraph" w:customStyle="1" w:styleId="RTBodyText">
    <w:name w:val="RT Body Text"/>
    <w:pPr>
      <w:suppressAutoHyphens/>
      <w:spacing w:after="120"/>
    </w:pPr>
    <w:rPr>
      <w:rFonts w:ascii="Amnesty Trade Gothic Light" w:eastAsia="Amnesty Trade Gothic Light" w:hAnsi="Amnesty Trade Gothic Light" w:cs="Amnesty Trade Gothic Light"/>
      <w:color w:val="000000"/>
      <w:sz w:val="18"/>
      <w:szCs w:val="18"/>
      <w:lang w:val="en-US"/>
    </w:rPr>
  </w:style>
  <w:style w:type="paragraph" w:customStyle="1" w:styleId="Footnote">
    <w:name w:val="Footnote"/>
    <w:basedOn w:val="Standard"/>
    <w:pPr>
      <w:suppressLineNumbers/>
      <w:ind w:left="339" w:hanging="339"/>
    </w:pPr>
    <w:rPr>
      <w:sz w:val="20"/>
      <w:szCs w:val="20"/>
    </w:rPr>
  </w:style>
  <w:style w:type="paragraph" w:customStyle="1" w:styleId="SingleTxtG">
    <w:name w:val="_ Single Txt_G"/>
    <w:basedOn w:val="Standard"/>
    <w:pPr>
      <w:spacing w:after="120"/>
      <w:ind w:left="1134" w:right="1134"/>
      <w:jc w:val="both"/>
    </w:pPr>
    <w:rPr>
      <w:rFonts w:eastAsia="SimSun"/>
    </w:rPr>
  </w:style>
  <w:style w:type="paragraph" w:styleId="ListParagraph">
    <w:name w:val="List Paragraph"/>
    <w:basedOn w:val="Standard"/>
    <w:pPr>
      <w:spacing w:after="246"/>
      <w:ind w:left="720"/>
    </w:pPr>
  </w:style>
  <w:style w:type="paragraph" w:styleId="CommentText">
    <w:name w:val="annotation text"/>
    <w:basedOn w:val="Normal"/>
    <w:rPr>
      <w:sz w:val="20"/>
      <w:szCs w:val="18"/>
    </w:rPr>
  </w:style>
  <w:style w:type="paragraph" w:styleId="BalloonText">
    <w:name w:val="Balloon Text"/>
    <w:basedOn w:val="Normal"/>
    <w:rPr>
      <w:rFonts w:ascii="Segoe UI" w:eastAsia="Segoe UI" w:hAnsi="Segoe UI" w:cs="Segoe UI"/>
      <w:sz w:val="18"/>
      <w:szCs w:val="16"/>
    </w:rPr>
  </w:style>
  <w:style w:type="paragraph" w:styleId="CommentSubject">
    <w:name w:val="annotation subject"/>
    <w:basedOn w:val="CommentText"/>
    <w:next w:val="CommentText"/>
    <w:rPr>
      <w:b/>
      <w:bCs/>
    </w:rPr>
  </w:style>
  <w:style w:type="paragraph" w:styleId="FootnoteText">
    <w:name w:val="footnote text"/>
    <w:basedOn w:val="Normal"/>
    <w:rPr>
      <w:sz w:val="20"/>
      <w:szCs w:val="18"/>
    </w:rPr>
  </w:style>
  <w:style w:type="character" w:customStyle="1" w:styleId="FootnoteSymbol">
    <w:name w:val="Footnote Symbol"/>
  </w:style>
  <w:style w:type="character" w:customStyle="1" w:styleId="Hyperlink0">
    <w:name w:val="Hyperlink.0"/>
    <w:basedOn w:val="FootnoteSymbol"/>
    <w:rPr>
      <w:sz w:val="20"/>
      <w:szCs w:val="20"/>
    </w:rPr>
  </w:style>
  <w:style w:type="character" w:customStyle="1" w:styleId="Internetlink">
    <w:name w:val="Internet link"/>
    <w:rPr>
      <w:color w:val="000080"/>
      <w:u w:val="single"/>
    </w:rPr>
  </w:style>
  <w:style w:type="character" w:customStyle="1" w:styleId="Hyperlink1">
    <w:name w:val="Hyperlink.1"/>
    <w:basedOn w:val="FootnoteSymbol"/>
  </w:style>
  <w:style w:type="character" w:customStyle="1" w:styleId="Footnoteanchor">
    <w:name w:val="Footnote anchor"/>
    <w:rPr>
      <w:position w:val="0"/>
      <w:vertAlign w:val="superscript"/>
    </w:rPr>
  </w:style>
  <w:style w:type="character" w:customStyle="1" w:styleId="Fuentedeprrafopredeter">
    <w:name w:val="Fuente de párrafo predeter."/>
  </w:style>
  <w:style w:type="character" w:customStyle="1" w:styleId="BulletSymbols">
    <w:name w:val="Bullet Symbols"/>
    <w:rPr>
      <w:rFonts w:ascii="OpenSymbol" w:eastAsia="OpenSymbol" w:hAnsi="OpenSymbol" w:cs="OpenSymbol"/>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335">
    <w:name w:val="ListLabel 335"/>
    <w:rPr>
      <w:rFonts w:cs="Courier New"/>
    </w:rPr>
  </w:style>
  <w:style w:type="character" w:customStyle="1" w:styleId="ListLabel336">
    <w:name w:val="ListLabel 336"/>
    <w:rPr>
      <w:rFonts w:cs="Courier New"/>
    </w:rPr>
  </w:style>
  <w:style w:type="character" w:customStyle="1" w:styleId="ListLabel337">
    <w:name w:val="ListLabel 337"/>
    <w:rPr>
      <w:rFonts w:cs="Courier New"/>
    </w:rPr>
  </w:style>
  <w:style w:type="character" w:customStyle="1" w:styleId="ListLabel338">
    <w:name w:val="ListLabel 338"/>
    <w:rPr>
      <w:rFonts w:cs="Courier New"/>
    </w:rPr>
  </w:style>
  <w:style w:type="character" w:customStyle="1" w:styleId="ListLabel339">
    <w:name w:val="ListLabel 339"/>
    <w:rPr>
      <w:rFonts w:cs="Courier New"/>
    </w:rPr>
  </w:style>
  <w:style w:type="character" w:customStyle="1" w:styleId="ListLabel340">
    <w:name w:val="ListLabel 340"/>
    <w:rPr>
      <w:rFonts w:cs="Courier New"/>
    </w:rPr>
  </w:style>
  <w:style w:type="character" w:customStyle="1" w:styleId="ListLabel341">
    <w:name w:val="ListLabel 341"/>
    <w:rPr>
      <w:rFonts w:cs="Courier New"/>
    </w:rPr>
  </w:style>
  <w:style w:type="character" w:customStyle="1" w:styleId="ListLabel342">
    <w:name w:val="ListLabel 342"/>
    <w:rPr>
      <w:rFonts w:cs="Courier New"/>
    </w:rPr>
  </w:style>
  <w:style w:type="character" w:styleId="FootnoteReference">
    <w:name w:val="footnote reference"/>
    <w:basedOn w:val="DefaultParagraphFont"/>
    <w:rPr>
      <w:position w:val="0"/>
      <w:vertAlign w:val="superscript"/>
    </w:rPr>
  </w:style>
  <w:style w:type="character" w:customStyle="1" w:styleId="CommentTextChar">
    <w:name w:val="Comment Text Char"/>
    <w:basedOn w:val="DefaultParagraphFont"/>
    <w:rPr>
      <w:sz w:val="20"/>
      <w:szCs w:val="18"/>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6"/>
    </w:rPr>
  </w:style>
  <w:style w:type="character" w:customStyle="1" w:styleId="CommentSubjectChar">
    <w:name w:val="Comment Subject Char"/>
    <w:basedOn w:val="CommentTextChar"/>
    <w:rPr>
      <w:b/>
      <w:bCs/>
      <w:sz w:val="20"/>
      <w:szCs w:val="18"/>
    </w:rPr>
  </w:style>
  <w:style w:type="character" w:customStyle="1" w:styleId="FootnoteTextChar">
    <w:name w:val="Footnote Text Char"/>
    <w:basedOn w:val="DefaultParagraphFont"/>
    <w:rPr>
      <w:sz w:val="20"/>
      <w:szCs w:val="18"/>
    </w:rPr>
  </w:style>
  <w:style w:type="character" w:customStyle="1" w:styleId="VisitedInternetLink">
    <w:name w:val="Visited Internet Link"/>
    <w:rPr>
      <w:color w:val="800000"/>
      <w:u w:val="single"/>
    </w:rPr>
  </w:style>
  <w:style w:type="character" w:customStyle="1" w:styleId="Heading1Char">
    <w:name w:val="Heading 1 Char"/>
    <w:basedOn w:val="DefaultParagraphFont"/>
    <w:link w:val="Heading1"/>
    <w:uiPriority w:val="9"/>
    <w:rsid w:val="00D25FF7"/>
    <w:rPr>
      <w:rFonts w:ascii="Amnesty Trade Gothic Cn" w:eastAsiaTheme="majorEastAsia" w:hAnsi="Amnesty Trade Gothic Cn"/>
      <w:b/>
      <w:sz w:val="32"/>
      <w:szCs w:val="29"/>
    </w:rPr>
  </w:style>
  <w:style w:type="character" w:customStyle="1" w:styleId="Heading4Char">
    <w:name w:val="Heading 4 Char"/>
    <w:basedOn w:val="DefaultParagraphFont"/>
    <w:link w:val="Heading4"/>
    <w:uiPriority w:val="9"/>
    <w:rsid w:val="00D25FF7"/>
    <w:rPr>
      <w:rFonts w:ascii="Amnesty Trade Gothic Cn" w:eastAsiaTheme="majorEastAsia" w:hAnsi="Amnesty Trade Gothic Cn"/>
      <w:b/>
      <w:iCs/>
      <w:szCs w:val="21"/>
    </w:rPr>
  </w:style>
  <w:style w:type="paragraph" w:styleId="NoSpacing">
    <w:name w:val="No Spacing"/>
    <w:uiPriority w:val="1"/>
    <w:qFormat/>
    <w:rsid w:val="00D25FF7"/>
    <w:pPr>
      <w:suppressAutoHyphens/>
    </w:pPr>
    <w:rPr>
      <w:szCs w:val="21"/>
    </w:rPr>
  </w:style>
  <w:style w:type="character" w:styleId="Hyperlink">
    <w:name w:val="Hyperlink"/>
    <w:basedOn w:val="DefaultParagraphFont"/>
    <w:uiPriority w:val="99"/>
    <w:unhideWhenUsed/>
    <w:rsid w:val="003754CC"/>
    <w:rPr>
      <w:color w:val="0563C1" w:themeColor="hyperlink"/>
      <w:u w:val="single"/>
    </w:rPr>
  </w:style>
  <w:style w:type="character" w:customStyle="1" w:styleId="UnresolvedMention">
    <w:name w:val="Unresolved Mention"/>
    <w:basedOn w:val="DefaultParagraphFont"/>
    <w:uiPriority w:val="99"/>
    <w:semiHidden/>
    <w:unhideWhenUsed/>
    <w:rsid w:val="003754CC"/>
    <w:rPr>
      <w:color w:val="808080"/>
      <w:shd w:val="clear" w:color="auto" w:fill="E6E6E6"/>
    </w:rPr>
  </w:style>
  <w:style w:type="character" w:styleId="Strong">
    <w:name w:val="Strong"/>
    <w:basedOn w:val="DefaultParagraphFont"/>
    <w:uiPriority w:val="22"/>
    <w:qFormat/>
    <w:rsid w:val="00C9333F"/>
    <w:rPr>
      <w:b/>
      <w:bCs/>
    </w:rPr>
  </w:style>
  <w:style w:type="character" w:customStyle="1" w:styleId="xfootnotereference">
    <w:name w:val="x_footnotereference"/>
    <w:basedOn w:val="DefaultParagraphFont"/>
    <w:rsid w:val="00C9333F"/>
  </w:style>
  <w:style w:type="paragraph" w:customStyle="1" w:styleId="xfootnote">
    <w:name w:val="x_footnote"/>
    <w:basedOn w:val="Normal"/>
    <w:rsid w:val="00C9333F"/>
    <w:pPr>
      <w:suppressAutoHyphens w:val="0"/>
      <w:autoSpaceDN/>
      <w:spacing w:before="100" w:beforeAutospacing="1" w:after="100" w:afterAutospacing="1"/>
      <w:textAlignment w:val="auto"/>
    </w:pPr>
    <w:rPr>
      <w:rFonts w:ascii="Times New Roman" w:eastAsia="Times New Roman" w:hAnsi="Times New Roman" w:cs="Times New Roman"/>
      <w:kern w:val="0"/>
      <w:lang w:val="en-GB" w:eastAsia="en-GB" w:bidi="ar-SA"/>
    </w:rPr>
  </w:style>
  <w:style w:type="character" w:customStyle="1" w:styleId="xmsofootnotereference">
    <w:name w:val="x_msofootnotereference"/>
    <w:basedOn w:val="DefaultParagraphFont"/>
    <w:rsid w:val="00C9333F"/>
  </w:style>
  <w:style w:type="numbering" w:customStyle="1" w:styleId="WWNum1">
    <w:name w:val="WWNum1"/>
    <w:basedOn w:val="NoList"/>
    <w:pPr>
      <w:numPr>
        <w:numId w:val="1"/>
      </w:numPr>
    </w:pPr>
  </w:style>
  <w:style w:type="numbering" w:customStyle="1" w:styleId="WWNum41">
    <w:name w:val="WWNum41"/>
    <w:basedOn w:val="NoList"/>
    <w:pPr>
      <w:numPr>
        <w:numId w:val="2"/>
      </w:numPr>
    </w:pPr>
  </w:style>
  <w:style w:type="numbering" w:customStyle="1" w:styleId="WWNum42">
    <w:name w:val="WWNum42"/>
    <w:basedOn w:val="NoList"/>
    <w:pPr>
      <w:numPr>
        <w:numId w:val="3"/>
      </w:numPr>
    </w:pPr>
  </w:style>
  <w:style w:type="paragraph" w:styleId="Header">
    <w:name w:val="header"/>
    <w:basedOn w:val="Normal"/>
    <w:link w:val="HeaderChar"/>
    <w:uiPriority w:val="99"/>
    <w:unhideWhenUsed/>
    <w:rsid w:val="00E343CF"/>
    <w:pPr>
      <w:tabs>
        <w:tab w:val="center" w:pos="4703"/>
        <w:tab w:val="right" w:pos="9406"/>
      </w:tabs>
    </w:pPr>
    <w:rPr>
      <w:szCs w:val="21"/>
    </w:rPr>
  </w:style>
  <w:style w:type="character" w:customStyle="1" w:styleId="HeaderChar">
    <w:name w:val="Header Char"/>
    <w:basedOn w:val="DefaultParagraphFont"/>
    <w:link w:val="Header"/>
    <w:uiPriority w:val="99"/>
    <w:rsid w:val="00E343CF"/>
    <w:rPr>
      <w:szCs w:val="21"/>
    </w:rPr>
  </w:style>
  <w:style w:type="paragraph" w:styleId="Footer">
    <w:name w:val="footer"/>
    <w:basedOn w:val="Normal"/>
    <w:link w:val="FooterChar"/>
    <w:uiPriority w:val="99"/>
    <w:unhideWhenUsed/>
    <w:rsid w:val="00E343CF"/>
    <w:pPr>
      <w:tabs>
        <w:tab w:val="center" w:pos="4703"/>
        <w:tab w:val="right" w:pos="9406"/>
      </w:tabs>
    </w:pPr>
    <w:rPr>
      <w:szCs w:val="21"/>
    </w:rPr>
  </w:style>
  <w:style w:type="character" w:customStyle="1" w:styleId="FooterChar">
    <w:name w:val="Footer Char"/>
    <w:basedOn w:val="DefaultParagraphFont"/>
    <w:link w:val="Footer"/>
    <w:uiPriority w:val="99"/>
    <w:rsid w:val="00E343C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264636">
      <w:bodyDiv w:val="1"/>
      <w:marLeft w:val="0"/>
      <w:marRight w:val="0"/>
      <w:marTop w:val="0"/>
      <w:marBottom w:val="0"/>
      <w:divBdr>
        <w:top w:val="none" w:sz="0" w:space="0" w:color="auto"/>
        <w:left w:val="none" w:sz="0" w:space="0" w:color="auto"/>
        <w:bottom w:val="none" w:sz="0" w:space="0" w:color="auto"/>
        <w:right w:val="none" w:sz="0" w:space="0" w:color="auto"/>
      </w:divBdr>
      <w:divsChild>
        <w:div w:id="1924757427">
          <w:marLeft w:val="0"/>
          <w:marRight w:val="0"/>
          <w:marTop w:val="0"/>
          <w:marBottom w:val="0"/>
          <w:divBdr>
            <w:top w:val="none" w:sz="0" w:space="0" w:color="auto"/>
            <w:left w:val="none" w:sz="0" w:space="0" w:color="auto"/>
            <w:bottom w:val="none" w:sz="0" w:space="0" w:color="auto"/>
            <w:right w:val="none" w:sz="0" w:space="0" w:color="auto"/>
          </w:divBdr>
          <w:divsChild>
            <w:div w:id="245843836">
              <w:marLeft w:val="0"/>
              <w:marRight w:val="0"/>
              <w:marTop w:val="0"/>
              <w:marBottom w:val="0"/>
              <w:divBdr>
                <w:top w:val="none" w:sz="0" w:space="0" w:color="auto"/>
                <w:left w:val="none" w:sz="0" w:space="0" w:color="auto"/>
                <w:bottom w:val="none" w:sz="0" w:space="0" w:color="auto"/>
                <w:right w:val="none" w:sz="0" w:space="0" w:color="auto"/>
              </w:divBdr>
              <w:divsChild>
                <w:div w:id="795561686">
                  <w:marLeft w:val="0"/>
                  <w:marRight w:val="0"/>
                  <w:marTop w:val="0"/>
                  <w:marBottom w:val="0"/>
                  <w:divBdr>
                    <w:top w:val="none" w:sz="0" w:space="0" w:color="auto"/>
                    <w:left w:val="none" w:sz="0" w:space="0" w:color="auto"/>
                    <w:bottom w:val="none" w:sz="0" w:space="0" w:color="auto"/>
                    <w:right w:val="none" w:sz="0" w:space="0" w:color="auto"/>
                  </w:divBdr>
                  <w:divsChild>
                    <w:div w:id="1008752434">
                      <w:marLeft w:val="0"/>
                      <w:marRight w:val="0"/>
                      <w:marTop w:val="0"/>
                      <w:marBottom w:val="0"/>
                      <w:divBdr>
                        <w:top w:val="none" w:sz="0" w:space="0" w:color="auto"/>
                        <w:left w:val="none" w:sz="0" w:space="0" w:color="auto"/>
                        <w:bottom w:val="none" w:sz="0" w:space="0" w:color="auto"/>
                        <w:right w:val="none" w:sz="0" w:space="0" w:color="auto"/>
                      </w:divBdr>
                      <w:divsChild>
                        <w:div w:id="1150100317">
                          <w:marLeft w:val="0"/>
                          <w:marRight w:val="0"/>
                          <w:marTop w:val="0"/>
                          <w:marBottom w:val="0"/>
                          <w:divBdr>
                            <w:top w:val="none" w:sz="0" w:space="0" w:color="auto"/>
                            <w:left w:val="none" w:sz="0" w:space="0" w:color="auto"/>
                            <w:bottom w:val="none" w:sz="0" w:space="0" w:color="auto"/>
                            <w:right w:val="none" w:sz="0" w:space="0" w:color="auto"/>
                          </w:divBdr>
                          <w:divsChild>
                            <w:div w:id="1980569303">
                              <w:marLeft w:val="0"/>
                              <w:marRight w:val="0"/>
                              <w:marTop w:val="0"/>
                              <w:marBottom w:val="0"/>
                              <w:divBdr>
                                <w:top w:val="none" w:sz="0" w:space="0" w:color="auto"/>
                                <w:left w:val="none" w:sz="0" w:space="0" w:color="auto"/>
                                <w:bottom w:val="none" w:sz="0" w:space="0" w:color="auto"/>
                                <w:right w:val="none" w:sz="0" w:space="0" w:color="auto"/>
                              </w:divBdr>
                              <w:divsChild>
                                <w:div w:id="687488301">
                                  <w:marLeft w:val="0"/>
                                  <w:marRight w:val="0"/>
                                  <w:marTop w:val="0"/>
                                  <w:marBottom w:val="0"/>
                                  <w:divBdr>
                                    <w:top w:val="none" w:sz="0" w:space="0" w:color="auto"/>
                                    <w:left w:val="none" w:sz="0" w:space="0" w:color="auto"/>
                                    <w:bottom w:val="none" w:sz="0" w:space="0" w:color="auto"/>
                                    <w:right w:val="none" w:sz="0" w:space="0" w:color="auto"/>
                                  </w:divBdr>
                                  <w:divsChild>
                                    <w:div w:id="1269196912">
                                      <w:marLeft w:val="0"/>
                                      <w:marRight w:val="0"/>
                                      <w:marTop w:val="0"/>
                                      <w:marBottom w:val="0"/>
                                      <w:divBdr>
                                        <w:top w:val="none" w:sz="0" w:space="0" w:color="auto"/>
                                        <w:left w:val="none" w:sz="0" w:space="0" w:color="auto"/>
                                        <w:bottom w:val="none" w:sz="0" w:space="0" w:color="auto"/>
                                        <w:right w:val="none" w:sz="0" w:space="0" w:color="auto"/>
                                      </w:divBdr>
                                      <w:divsChild>
                                        <w:div w:id="864320883">
                                          <w:marLeft w:val="0"/>
                                          <w:marRight w:val="0"/>
                                          <w:marTop w:val="0"/>
                                          <w:marBottom w:val="0"/>
                                          <w:divBdr>
                                            <w:top w:val="none" w:sz="0" w:space="0" w:color="auto"/>
                                            <w:left w:val="none" w:sz="0" w:space="0" w:color="auto"/>
                                            <w:bottom w:val="none" w:sz="0" w:space="0" w:color="auto"/>
                                            <w:right w:val="none" w:sz="0" w:space="0" w:color="auto"/>
                                          </w:divBdr>
                                          <w:divsChild>
                                            <w:div w:id="746807037">
                                              <w:marLeft w:val="0"/>
                                              <w:marRight w:val="0"/>
                                              <w:marTop w:val="0"/>
                                              <w:marBottom w:val="0"/>
                                              <w:divBdr>
                                                <w:top w:val="none" w:sz="0" w:space="0" w:color="auto"/>
                                                <w:left w:val="none" w:sz="0" w:space="0" w:color="auto"/>
                                                <w:bottom w:val="none" w:sz="0" w:space="0" w:color="auto"/>
                                                <w:right w:val="none" w:sz="0" w:space="0" w:color="auto"/>
                                              </w:divBdr>
                                              <w:divsChild>
                                                <w:div w:id="812798249">
                                                  <w:marLeft w:val="0"/>
                                                  <w:marRight w:val="0"/>
                                                  <w:marTop w:val="0"/>
                                                  <w:marBottom w:val="0"/>
                                                  <w:divBdr>
                                                    <w:top w:val="none" w:sz="0" w:space="0" w:color="auto"/>
                                                    <w:left w:val="none" w:sz="0" w:space="0" w:color="auto"/>
                                                    <w:bottom w:val="none" w:sz="0" w:space="0" w:color="auto"/>
                                                    <w:right w:val="none" w:sz="0" w:space="0" w:color="auto"/>
                                                  </w:divBdr>
                                                  <w:divsChild>
                                                    <w:div w:id="2107918829">
                                                      <w:marLeft w:val="0"/>
                                                      <w:marRight w:val="0"/>
                                                      <w:marTop w:val="0"/>
                                                      <w:marBottom w:val="0"/>
                                                      <w:divBdr>
                                                        <w:top w:val="none" w:sz="0" w:space="0" w:color="auto"/>
                                                        <w:left w:val="none" w:sz="0" w:space="0" w:color="auto"/>
                                                        <w:bottom w:val="none" w:sz="0" w:space="0" w:color="auto"/>
                                                        <w:right w:val="none" w:sz="0" w:space="0" w:color="auto"/>
                                                      </w:divBdr>
                                                      <w:divsChild>
                                                        <w:div w:id="1463419971">
                                                          <w:marLeft w:val="0"/>
                                                          <w:marRight w:val="0"/>
                                                          <w:marTop w:val="0"/>
                                                          <w:marBottom w:val="0"/>
                                                          <w:divBdr>
                                                            <w:top w:val="none" w:sz="0" w:space="0" w:color="auto"/>
                                                            <w:left w:val="none" w:sz="0" w:space="0" w:color="auto"/>
                                                            <w:bottom w:val="none" w:sz="0" w:space="0" w:color="auto"/>
                                                            <w:right w:val="none" w:sz="0" w:space="0" w:color="auto"/>
                                                          </w:divBdr>
                                                          <w:divsChild>
                                                            <w:div w:id="1531795361">
                                                              <w:marLeft w:val="0"/>
                                                              <w:marRight w:val="0"/>
                                                              <w:marTop w:val="0"/>
                                                              <w:marBottom w:val="0"/>
                                                              <w:divBdr>
                                                                <w:top w:val="none" w:sz="0" w:space="0" w:color="auto"/>
                                                                <w:left w:val="none" w:sz="0" w:space="0" w:color="auto"/>
                                                                <w:bottom w:val="none" w:sz="0" w:space="0" w:color="auto"/>
                                                                <w:right w:val="none" w:sz="0" w:space="0" w:color="auto"/>
                                                              </w:divBdr>
                                                              <w:divsChild>
                                                                <w:div w:id="1701658838">
                                                                  <w:marLeft w:val="0"/>
                                                                  <w:marRight w:val="0"/>
                                                                  <w:marTop w:val="0"/>
                                                                  <w:marBottom w:val="0"/>
                                                                  <w:divBdr>
                                                                    <w:top w:val="none" w:sz="0" w:space="0" w:color="auto"/>
                                                                    <w:left w:val="none" w:sz="0" w:space="0" w:color="auto"/>
                                                                    <w:bottom w:val="none" w:sz="0" w:space="0" w:color="auto"/>
                                                                    <w:right w:val="none" w:sz="0" w:space="0" w:color="auto"/>
                                                                  </w:divBdr>
                                                                  <w:divsChild>
                                                                    <w:div w:id="655494237">
                                                                      <w:marLeft w:val="0"/>
                                                                      <w:marRight w:val="0"/>
                                                                      <w:marTop w:val="0"/>
                                                                      <w:marBottom w:val="0"/>
                                                                      <w:divBdr>
                                                                        <w:top w:val="none" w:sz="0" w:space="0" w:color="auto"/>
                                                                        <w:left w:val="none" w:sz="0" w:space="0" w:color="auto"/>
                                                                        <w:bottom w:val="none" w:sz="0" w:space="0" w:color="auto"/>
                                                                        <w:right w:val="none" w:sz="0" w:space="0" w:color="auto"/>
                                                                      </w:divBdr>
                                                                      <w:divsChild>
                                                                        <w:div w:id="2060475870">
                                                                          <w:marLeft w:val="0"/>
                                                                          <w:marRight w:val="0"/>
                                                                          <w:marTop w:val="0"/>
                                                                          <w:marBottom w:val="0"/>
                                                                          <w:divBdr>
                                                                            <w:top w:val="none" w:sz="0" w:space="0" w:color="auto"/>
                                                                            <w:left w:val="none" w:sz="0" w:space="0" w:color="auto"/>
                                                                            <w:bottom w:val="none" w:sz="0" w:space="0" w:color="auto"/>
                                                                            <w:right w:val="none" w:sz="0" w:space="0" w:color="auto"/>
                                                                          </w:divBdr>
                                                                          <w:divsChild>
                                                                            <w:div w:id="1903326539">
                                                                              <w:marLeft w:val="0"/>
                                                                              <w:marRight w:val="0"/>
                                                                              <w:marTop w:val="0"/>
                                                                              <w:marBottom w:val="0"/>
                                                                              <w:divBdr>
                                                                                <w:top w:val="none" w:sz="0" w:space="0" w:color="auto"/>
                                                                                <w:left w:val="none" w:sz="0" w:space="0" w:color="auto"/>
                                                                                <w:bottom w:val="none" w:sz="0" w:space="0" w:color="auto"/>
                                                                                <w:right w:val="none" w:sz="0" w:space="0" w:color="auto"/>
                                                                              </w:divBdr>
                                                                              <w:divsChild>
                                                                                <w:div w:id="2080399049">
                                                                                  <w:marLeft w:val="0"/>
                                                                                  <w:marRight w:val="0"/>
                                                                                  <w:marTop w:val="0"/>
                                                                                  <w:marBottom w:val="0"/>
                                                                                  <w:divBdr>
                                                                                    <w:top w:val="none" w:sz="0" w:space="0" w:color="auto"/>
                                                                                    <w:left w:val="none" w:sz="0" w:space="0" w:color="auto"/>
                                                                                    <w:bottom w:val="none" w:sz="0" w:space="0" w:color="auto"/>
                                                                                    <w:right w:val="none" w:sz="0" w:space="0" w:color="auto"/>
                                                                                  </w:divBdr>
                                                                                  <w:divsChild>
                                                                                    <w:div w:id="2057200934">
                                                                                      <w:marLeft w:val="0"/>
                                                                                      <w:marRight w:val="0"/>
                                                                                      <w:marTop w:val="0"/>
                                                                                      <w:marBottom w:val="0"/>
                                                                                      <w:divBdr>
                                                                                        <w:top w:val="none" w:sz="0" w:space="0" w:color="auto"/>
                                                                                        <w:left w:val="none" w:sz="0" w:space="0" w:color="auto"/>
                                                                                        <w:bottom w:val="none" w:sz="0" w:space="0" w:color="auto"/>
                                                                                        <w:right w:val="none" w:sz="0" w:space="0" w:color="auto"/>
                                                                                      </w:divBdr>
                                                                                      <w:divsChild>
                                                                                        <w:div w:id="177013400">
                                                                                          <w:marLeft w:val="0"/>
                                                                                          <w:marRight w:val="0"/>
                                                                                          <w:marTop w:val="0"/>
                                                                                          <w:marBottom w:val="0"/>
                                                                                          <w:divBdr>
                                                                                            <w:top w:val="none" w:sz="0" w:space="0" w:color="auto"/>
                                                                                            <w:left w:val="none" w:sz="0" w:space="0" w:color="auto"/>
                                                                                            <w:bottom w:val="none" w:sz="0" w:space="0" w:color="auto"/>
                                                                                            <w:right w:val="none" w:sz="0" w:space="0" w:color="auto"/>
                                                                                          </w:divBdr>
                                                                                          <w:divsChild>
                                                                                            <w:div w:id="1946423924">
                                                                                              <w:marLeft w:val="0"/>
                                                                                              <w:marRight w:val="0"/>
                                                                                              <w:marTop w:val="0"/>
                                                                                              <w:marBottom w:val="0"/>
                                                                                              <w:divBdr>
                                                                                                <w:top w:val="none" w:sz="0" w:space="0" w:color="auto"/>
                                                                                                <w:left w:val="none" w:sz="0" w:space="0" w:color="auto"/>
                                                                                                <w:bottom w:val="none" w:sz="0" w:space="0" w:color="auto"/>
                                                                                                <w:right w:val="none" w:sz="0" w:space="0" w:color="auto"/>
                                                                                              </w:divBdr>
                                                                                              <w:divsChild>
                                                                                                <w:div w:id="661012224">
                                                                                                  <w:marLeft w:val="0"/>
                                                                                                  <w:marRight w:val="0"/>
                                                                                                  <w:marTop w:val="0"/>
                                                                                                  <w:marBottom w:val="0"/>
                                                                                                  <w:divBdr>
                                                                                                    <w:top w:val="none" w:sz="0" w:space="0" w:color="auto"/>
                                                                                                    <w:left w:val="none" w:sz="0" w:space="0" w:color="auto"/>
                                                                                                    <w:bottom w:val="none" w:sz="0" w:space="0" w:color="auto"/>
                                                                                                    <w:right w:val="none" w:sz="0" w:space="0" w:color="auto"/>
                                                                                                  </w:divBdr>
                                                                                                  <w:divsChild>
                                                                                                    <w:div w:id="1040014981">
                                                                                                      <w:marLeft w:val="0"/>
                                                                                                      <w:marRight w:val="0"/>
                                                                                                      <w:marTop w:val="0"/>
                                                                                                      <w:marBottom w:val="0"/>
                                                                                                      <w:divBdr>
                                                                                                        <w:top w:val="none" w:sz="0" w:space="0" w:color="auto"/>
                                                                                                        <w:left w:val="none" w:sz="0" w:space="0" w:color="auto"/>
                                                                                                        <w:bottom w:val="none" w:sz="0" w:space="0" w:color="auto"/>
                                                                                                        <w:right w:val="none" w:sz="0" w:space="0" w:color="auto"/>
                                                                                                      </w:divBdr>
                                                                                                      <w:divsChild>
                                                                                                        <w:div w:id="538326345">
                                                                                                          <w:marLeft w:val="0"/>
                                                                                                          <w:marRight w:val="0"/>
                                                                                                          <w:marTop w:val="0"/>
                                                                                                          <w:marBottom w:val="0"/>
                                                                                                          <w:divBdr>
                                                                                                            <w:top w:val="none" w:sz="0" w:space="0" w:color="auto"/>
                                                                                                            <w:left w:val="none" w:sz="0" w:space="0" w:color="auto"/>
                                                                                                            <w:bottom w:val="none" w:sz="0" w:space="0" w:color="auto"/>
                                                                                                            <w:right w:val="none" w:sz="0" w:space="0" w:color="auto"/>
                                                                                                          </w:divBdr>
                                                                                                        </w:div>
                                                                                                        <w:div w:id="1461802320">
                                                                                                          <w:marLeft w:val="0"/>
                                                                                                          <w:marRight w:val="0"/>
                                                                                                          <w:marTop w:val="0"/>
                                                                                                          <w:marBottom w:val="0"/>
                                                                                                          <w:divBdr>
                                                                                                            <w:top w:val="none" w:sz="0" w:space="0" w:color="auto"/>
                                                                                                            <w:left w:val="none" w:sz="0" w:space="0" w:color="auto"/>
                                                                                                            <w:bottom w:val="none" w:sz="0" w:space="0" w:color="auto"/>
                                                                                                            <w:right w:val="none" w:sz="0" w:space="0" w:color="auto"/>
                                                                                                          </w:divBdr>
                                                                                                        </w:div>
                                                                                                        <w:div w:id="1845700773">
                                                                                                          <w:marLeft w:val="0"/>
                                                                                                          <w:marRight w:val="0"/>
                                                                                                          <w:marTop w:val="0"/>
                                                                                                          <w:marBottom w:val="0"/>
                                                                                                          <w:divBdr>
                                                                                                            <w:top w:val="none" w:sz="0" w:space="0" w:color="auto"/>
                                                                                                            <w:left w:val="none" w:sz="0" w:space="0" w:color="auto"/>
                                                                                                            <w:bottom w:val="none" w:sz="0" w:space="0" w:color="auto"/>
                                                                                                            <w:right w:val="none" w:sz="0" w:space="0" w:color="auto"/>
                                                                                                          </w:divBdr>
                                                                                                        </w:div>
                                                                                                        <w:div w:id="1237859385">
                                                                                                          <w:marLeft w:val="0"/>
                                                                                                          <w:marRight w:val="0"/>
                                                                                                          <w:marTop w:val="0"/>
                                                                                                          <w:marBottom w:val="0"/>
                                                                                                          <w:divBdr>
                                                                                                            <w:top w:val="none" w:sz="0" w:space="0" w:color="auto"/>
                                                                                                            <w:left w:val="none" w:sz="0" w:space="0" w:color="auto"/>
                                                                                                            <w:bottom w:val="none" w:sz="0" w:space="0" w:color="auto"/>
                                                                                                            <w:right w:val="none" w:sz="0" w:space="0" w:color="auto"/>
                                                                                                          </w:divBdr>
                                                                                                        </w:div>
                                                                                                        <w:div w:id="570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e.es/daco/daco42/etcl/etcl0219.pdf" TargetMode="External"/><Relationship Id="rId13" Type="http://schemas.openxmlformats.org/officeDocument/2006/relationships/hyperlink" Target="http://www.msssi.gob.es/estadEstudios/estadisticas/inforRecopilaciones/gastoSanitario2005/home.htm" TargetMode="External"/><Relationship Id="rId18" Type="http://schemas.openxmlformats.org/officeDocument/2006/relationships/hyperlink" Target="http://www.gestha.es/index.php?seccion=actualidad&amp;num=464" TargetMode="External"/><Relationship Id="rId3" Type="http://schemas.openxmlformats.org/officeDocument/2006/relationships/hyperlink" Target="https://www.es.amnesty.org/uploads/pics/derechos_a_la_intemperie.pdf" TargetMode="External"/><Relationship Id="rId7" Type="http://schemas.openxmlformats.org/officeDocument/2006/relationships/hyperlink" Target="https://www.fotocasa.es/blog/alquiler/precio-del-alquiler-sube-un-89-en-2017" TargetMode="External"/><Relationship Id="rId12" Type="http://schemas.openxmlformats.org/officeDocument/2006/relationships/hyperlink" Target="https://ec.europa.eu/taxation_customs/business/economic-analysis-taxation/data-taxation_en" TargetMode="External"/><Relationship Id="rId17" Type="http://schemas.openxmlformats.org/officeDocument/2006/relationships/hyperlink" Target="http://inclasns.msssi.es/main.html" TargetMode="External"/><Relationship Id="rId2" Type="http://schemas.openxmlformats.org/officeDocument/2006/relationships/hyperlink" Target="https://www.boe.es/buscar/doc.php?id=BOE-A-2019-3108" TargetMode="External"/><Relationship Id="rId16" Type="http://schemas.openxmlformats.org/officeDocument/2006/relationships/hyperlink" Target="https://www.es.amnesty.org/en-que-estamos/noticias/noticia/articulo/organizaciones-sociales-exigen-una-nueva-regulacion-que-recupere-el-derecho-a-la-salud-de-todas-las/" TargetMode="External"/><Relationship Id="rId1" Type="http://schemas.openxmlformats.org/officeDocument/2006/relationships/hyperlink" Target="http://www.poderjudicial.es/cgpj/es/Temas/Estadistica-Judicial/Estudios-e-Informes/Efecto-de-la-Crisis-en-los-organos-judiciales/" TargetMode="External"/><Relationship Id="rId6" Type="http://schemas.openxmlformats.org/officeDocument/2006/relationships/hyperlink" Target="http://appsso.eurostat.ec.europa.eu/nui/submitViewTableAction.do" TargetMode="External"/><Relationship Id="rId11" Type="http://schemas.openxmlformats.org/officeDocument/2006/relationships/hyperlink" Target="http://ec.europa.eu/eurostat/statisticsexplained/index.php/People_at_risk_of_poverty_or_social_exclusion" TargetMode="External"/><Relationship Id="rId5" Type="http://schemas.openxmlformats.org/officeDocument/2006/relationships/hyperlink" Target="https://www.boe.es/buscar/doc.php?id=BOE-A-2019-3108" TargetMode="External"/><Relationship Id="rId15" Type="http://schemas.openxmlformats.org/officeDocument/2006/relationships/hyperlink" Target="http://www.sefp.minhafp.gob.es/dam/es/web/publicaciones/centro_de_publicaciones_de_la_sgt/Periodicas/parrafo/Boletin_Estadis_Personal%20/BE_ENE-2014-PROTEGIDO.pdf" TargetMode="External"/><Relationship Id="rId10" Type="http://schemas.openxmlformats.org/officeDocument/2006/relationships/hyperlink" Target="https://www.amnesty.org/download/Documents/EUR4181362018ENGLISH.PDF" TargetMode="External"/><Relationship Id="rId4" Type="http://schemas.openxmlformats.org/officeDocument/2006/relationships/hyperlink" Target="http://www.ine.es/censos2011_datos/cen11_datos_inicio.htm" TargetMode="External"/><Relationship Id="rId9" Type="http://schemas.openxmlformats.org/officeDocument/2006/relationships/hyperlink" Target="http://www.inmujer.gob.es/MujerCifras/FamiliaHogares/FamiliaHogares.htm" TargetMode="External"/><Relationship Id="rId14" Type="http://schemas.openxmlformats.org/officeDocument/2006/relationships/hyperlink" Target="http://www.msssi.gob.es/estadEstudios/estadisticas/sisInfSanSNS/SCS.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style val="2"/>
  <c:chart>
    <c:autoTitleDeleted val="1"/>
    <c:plotArea>
      <c:layout/>
      <c:lineChart>
        <c:grouping val="standard"/>
        <c:varyColors val="0"/>
        <c:ser>
          <c:idx val="0"/>
          <c:order val="0"/>
          <c:tx>
            <c:v>Rental evictions</c:v>
          </c:tx>
          <c:spPr>
            <a:ln w="28803" cap="rnd">
              <a:solidFill>
                <a:srgbClr val="004586"/>
              </a:solidFill>
              <a:prstDash val="solid"/>
              <a:round/>
            </a:ln>
          </c:spPr>
          <c:marker>
            <c:symbol val="none"/>
          </c:marker>
          <c:cat>
            <c:numLit>
              <c:formatCode>General</c:formatCode>
              <c:ptCount val="6"/>
              <c:pt idx="0">
                <c:v>2013</c:v>
              </c:pt>
              <c:pt idx="1">
                <c:v>2014</c:v>
              </c:pt>
              <c:pt idx="2">
                <c:v>2015</c:v>
              </c:pt>
              <c:pt idx="3">
                <c:v>2016</c:v>
              </c:pt>
              <c:pt idx="4">
                <c:v>2017</c:v>
              </c:pt>
              <c:pt idx="5">
                <c:v>2018</c:v>
              </c:pt>
            </c:numLit>
          </c:cat>
          <c:val>
            <c:numLit>
              <c:formatCode>General</c:formatCode>
              <c:ptCount val="6"/>
              <c:pt idx="0">
                <c:v>38141</c:v>
              </c:pt>
              <c:pt idx="1">
                <c:v>36044</c:v>
              </c:pt>
              <c:pt idx="2">
                <c:v>35677</c:v>
              </c:pt>
              <c:pt idx="3">
                <c:v>34193</c:v>
              </c:pt>
              <c:pt idx="4">
                <c:v>35666</c:v>
              </c:pt>
              <c:pt idx="5">
                <c:v>37285</c:v>
              </c:pt>
            </c:numLit>
          </c:val>
          <c:smooth val="0"/>
          <c:extLst xmlns:c16r2="http://schemas.microsoft.com/office/drawing/2015/06/chart">
            <c:ext xmlns:c16="http://schemas.microsoft.com/office/drawing/2014/chart" uri="{C3380CC4-5D6E-409C-BE32-E72D297353CC}">
              <c16:uniqueId val="{00000000-AEB0-43D7-B118-9DF5E1F5BA93}"/>
            </c:ext>
          </c:extLst>
        </c:ser>
        <c:ser>
          <c:idx val="1"/>
          <c:order val="1"/>
          <c:tx>
            <c:v>Mortgage evictions</c:v>
          </c:tx>
          <c:spPr>
            <a:ln w="28803" cap="rnd">
              <a:solidFill>
                <a:srgbClr val="FF420E"/>
              </a:solidFill>
              <a:prstDash val="solid"/>
              <a:round/>
            </a:ln>
          </c:spPr>
          <c:marker>
            <c:symbol val="none"/>
          </c:marker>
          <c:cat>
            <c:numLit>
              <c:formatCode>General</c:formatCode>
              <c:ptCount val="6"/>
              <c:pt idx="0">
                <c:v>2013</c:v>
              </c:pt>
              <c:pt idx="1">
                <c:v>2014</c:v>
              </c:pt>
              <c:pt idx="2">
                <c:v>2015</c:v>
              </c:pt>
              <c:pt idx="3">
                <c:v>2016</c:v>
              </c:pt>
              <c:pt idx="4">
                <c:v>2017</c:v>
              </c:pt>
              <c:pt idx="5">
                <c:v>2018</c:v>
              </c:pt>
            </c:numLit>
          </c:cat>
          <c:val>
            <c:numLit>
              <c:formatCode>General</c:formatCode>
              <c:ptCount val="6"/>
              <c:pt idx="0">
                <c:v>25811</c:v>
              </c:pt>
              <c:pt idx="1">
                <c:v>28877</c:v>
              </c:pt>
              <c:pt idx="2">
                <c:v>29225</c:v>
              </c:pt>
              <c:pt idx="3">
                <c:v>26397</c:v>
              </c:pt>
              <c:pt idx="4">
                <c:v>22330</c:v>
              </c:pt>
              <c:pt idx="5">
                <c:v>18945</c:v>
              </c:pt>
            </c:numLit>
          </c:val>
          <c:smooth val="0"/>
          <c:extLst xmlns:c16r2="http://schemas.microsoft.com/office/drawing/2015/06/chart">
            <c:ext xmlns:c16="http://schemas.microsoft.com/office/drawing/2014/chart" uri="{C3380CC4-5D6E-409C-BE32-E72D297353CC}">
              <c16:uniqueId val="{00000001-AEB0-43D7-B118-9DF5E1F5BA93}"/>
            </c:ext>
          </c:extLst>
        </c:ser>
        <c:ser>
          <c:idx val="2"/>
          <c:order val="2"/>
          <c:tx>
            <c:v>Others</c:v>
          </c:tx>
          <c:spPr>
            <a:ln w="28803" cap="rnd">
              <a:solidFill>
                <a:srgbClr val="FFD320"/>
              </a:solidFill>
              <a:prstDash val="solid"/>
              <a:round/>
            </a:ln>
          </c:spPr>
          <c:marker>
            <c:symbol val="none"/>
          </c:marker>
          <c:cat>
            <c:numLit>
              <c:formatCode>General</c:formatCode>
              <c:ptCount val="6"/>
              <c:pt idx="0">
                <c:v>2013</c:v>
              </c:pt>
              <c:pt idx="1">
                <c:v>2014</c:v>
              </c:pt>
              <c:pt idx="2">
                <c:v>2015</c:v>
              </c:pt>
              <c:pt idx="3">
                <c:v>2016</c:v>
              </c:pt>
              <c:pt idx="4">
                <c:v>2017</c:v>
              </c:pt>
              <c:pt idx="5">
                <c:v>2018</c:v>
              </c:pt>
            </c:numLit>
          </c:cat>
          <c:val>
            <c:numLit>
              <c:formatCode>General</c:formatCode>
              <c:ptCount val="6"/>
              <c:pt idx="0">
                <c:v>3237</c:v>
              </c:pt>
              <c:pt idx="1">
                <c:v>3170</c:v>
              </c:pt>
              <c:pt idx="2">
                <c:v>2457</c:v>
              </c:pt>
              <c:pt idx="3">
                <c:v>2447</c:v>
              </c:pt>
              <c:pt idx="4">
                <c:v>2758</c:v>
              </c:pt>
              <c:pt idx="5">
                <c:v>3441</c:v>
              </c:pt>
            </c:numLit>
          </c:val>
          <c:smooth val="0"/>
          <c:extLst xmlns:c16r2="http://schemas.microsoft.com/office/drawing/2015/06/chart">
            <c:ext xmlns:c16="http://schemas.microsoft.com/office/drawing/2014/chart" uri="{C3380CC4-5D6E-409C-BE32-E72D297353CC}">
              <c16:uniqueId val="{00000002-AEB0-43D7-B118-9DF5E1F5BA93}"/>
            </c:ext>
          </c:extLst>
        </c:ser>
        <c:dLbls>
          <c:showLegendKey val="0"/>
          <c:showVal val="0"/>
          <c:showCatName val="0"/>
          <c:showSerName val="0"/>
          <c:showPercent val="0"/>
          <c:showBubbleSize val="0"/>
        </c:dLbls>
        <c:smooth val="0"/>
        <c:axId val="188063984"/>
        <c:axId val="188062808"/>
      </c:lineChart>
      <c:valAx>
        <c:axId val="188062808"/>
        <c:scaling>
          <c:orientation val="minMax"/>
        </c:scaling>
        <c:delete val="0"/>
        <c:axPos val="l"/>
        <c:majorGridlines>
          <c:spPr>
            <a:ln w="6483" cap="flat">
              <a:solidFill>
                <a:srgbClr val="B3B3B3"/>
              </a:solidFill>
              <a:prstDash val="solid"/>
              <a:round/>
            </a:ln>
          </c:spPr>
        </c:majorGridlines>
        <c:numFmt formatCode="#,##0.00" sourceLinked="0"/>
        <c:majorTickMark val="none"/>
        <c:minorTickMark val="none"/>
        <c:tickLblPos val="nextTo"/>
        <c:spPr>
          <a:noFill/>
          <a:ln w="6483"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crossAx val="188063984"/>
        <c:crosses val="autoZero"/>
        <c:crossBetween val="between"/>
      </c:valAx>
      <c:catAx>
        <c:axId val="188063984"/>
        <c:scaling>
          <c:orientation val="minMax"/>
        </c:scaling>
        <c:delete val="0"/>
        <c:axPos val="b"/>
        <c:numFmt formatCode="General" sourceLinked="0"/>
        <c:majorTickMark val="none"/>
        <c:minorTickMark val="none"/>
        <c:tickLblPos val="low"/>
        <c:spPr>
          <a:noFill/>
          <a:ln w="6483"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crossAx val="188062808"/>
        <c:crossesAt val="0"/>
        <c:auto val="1"/>
        <c:lblAlgn val="ctr"/>
        <c:lblOffset val="100"/>
        <c:noMultiLvlLbl val="0"/>
      </c:catAx>
      <c:spPr>
        <a:noFill/>
        <a:ln w="9363">
          <a:solidFill>
            <a:srgbClr val="B3B3B3"/>
          </a:solidFill>
          <a:prstDash val="solid"/>
        </a:ln>
      </c:spPr>
    </c:plotArea>
    <c:legend>
      <c:legendPos val="r"/>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1FE31-876A-46F5-8FD9-F11E01C12763}">
  <ds:schemaRefs>
    <ds:schemaRef ds:uri="http://schemas.microsoft.com/sharepoint/v3/contenttype/forms"/>
  </ds:schemaRefs>
</ds:datastoreItem>
</file>

<file path=customXml/itemProps2.xml><?xml version="1.0" encoding="utf-8"?>
<ds:datastoreItem xmlns:ds="http://schemas.openxmlformats.org/officeDocument/2006/customXml" ds:itemID="{AE9590A0-4550-4CFC-A884-5307C9A89417}">
  <ds:schemaRefs>
    <ds:schemaRef ds:uri="http://schemas.microsoft.com/office/2006/documentManagement/types"/>
    <ds:schemaRef ds:uri="http://schemas.openxmlformats.org/package/2006/metadata/core-properties"/>
    <ds:schemaRef ds:uri="4b5947dd-7730-416c-936e-bbd54af86036"/>
    <ds:schemaRef ds:uri="http://purl.org/dc/dcmitype/"/>
    <ds:schemaRef ds:uri="http://schemas.microsoft.com/office/infopath/2007/PartnerControls"/>
    <ds:schemaRef ds:uri="http://purl.org/dc/elements/1.1/"/>
    <ds:schemaRef ds:uri="http://schemas.microsoft.com/office/2006/metadata/properties"/>
    <ds:schemaRef ds:uri="22bd3bdb-fcef-41f5-922d-2da61019cbde"/>
    <ds:schemaRef ds:uri="http://www.w3.org/XML/1998/namespace"/>
    <ds:schemaRef ds:uri="http://purl.org/dc/terms/"/>
  </ds:schemaRefs>
</ds:datastoreItem>
</file>

<file path=customXml/itemProps3.xml><?xml version="1.0" encoding="utf-8"?>
<ds:datastoreItem xmlns:ds="http://schemas.openxmlformats.org/officeDocument/2006/customXml" ds:itemID="{628DFF22-4356-4A50-A37A-DCB91E557145}"/>
</file>

<file path=docProps/app.xml><?xml version="1.0" encoding="utf-8"?>
<Properties xmlns="http://schemas.openxmlformats.org/officeDocument/2006/extended-properties" xmlns:vt="http://schemas.openxmlformats.org/officeDocument/2006/docPropsVTypes">
  <Template>Normal.dotm</Template>
  <TotalTime>0</TotalTime>
  <Pages>8</Pages>
  <Words>3900</Words>
  <Characters>22231</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Mendiola</dc:creator>
  <cp:lastModifiedBy>TADAKI Junko</cp:lastModifiedBy>
  <cp:revision>2</cp:revision>
  <dcterms:created xsi:type="dcterms:W3CDTF">2019-11-04T10:12:00Z</dcterms:created>
  <dcterms:modified xsi:type="dcterms:W3CDTF">2019-11-04T10:12:00Z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