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2E9" w:rsidRPr="00A61004" w:rsidRDefault="001052E9" w:rsidP="00B225E1">
      <w:pPr>
        <w:spacing w:after="120"/>
      </w:pPr>
      <w:r w:rsidRPr="00A61004">
        <w:t>To the attention of:</w:t>
      </w:r>
    </w:p>
    <w:p w:rsidR="000C04E8" w:rsidRPr="0032634D" w:rsidRDefault="000C04E8" w:rsidP="00B225E1">
      <w:pPr>
        <w:pStyle w:val="FRAADDRESS"/>
        <w:spacing w:line="264" w:lineRule="auto"/>
        <w:rPr>
          <w:rFonts w:cs="Segoe UI"/>
          <w:szCs w:val="20"/>
        </w:rPr>
      </w:pPr>
      <w:r w:rsidRPr="0032634D">
        <w:rPr>
          <w:rStyle w:val="Strong"/>
          <w:rFonts w:cs="Segoe UI"/>
          <w:szCs w:val="20"/>
        </w:rPr>
        <w:t>Committee against Torture (CAT</w:t>
      </w:r>
      <w:proofErr w:type="gramStart"/>
      <w:r w:rsidRPr="0032634D">
        <w:rPr>
          <w:rStyle w:val="Strong"/>
          <w:rFonts w:cs="Segoe UI"/>
          <w:szCs w:val="20"/>
        </w:rPr>
        <w:t>)</w:t>
      </w:r>
      <w:proofErr w:type="gramEnd"/>
      <w:r w:rsidRPr="0032634D">
        <w:rPr>
          <w:rFonts w:cs="Segoe UI"/>
          <w:szCs w:val="20"/>
        </w:rPr>
        <w:br/>
        <w:t>Human Rights Treaties Division (HRTD)</w:t>
      </w:r>
      <w:r w:rsidRPr="0032634D">
        <w:rPr>
          <w:rFonts w:cs="Segoe UI"/>
          <w:szCs w:val="20"/>
        </w:rPr>
        <w:br/>
        <w:t>Office of the United Nations High Commissioner for Human Rights (OHCHR)</w:t>
      </w:r>
      <w:r w:rsidRPr="0032634D">
        <w:rPr>
          <w:rFonts w:cs="Segoe UI"/>
          <w:szCs w:val="20"/>
        </w:rPr>
        <w:br/>
      </w:r>
      <w:proofErr w:type="spellStart"/>
      <w:r w:rsidRPr="0032634D">
        <w:rPr>
          <w:rFonts w:cs="Segoe UI"/>
          <w:szCs w:val="20"/>
        </w:rPr>
        <w:t>Palais</w:t>
      </w:r>
      <w:proofErr w:type="spellEnd"/>
      <w:r w:rsidRPr="0032634D">
        <w:rPr>
          <w:rFonts w:cs="Segoe UI"/>
          <w:szCs w:val="20"/>
        </w:rPr>
        <w:t xml:space="preserve"> Wilson – 52, rue des </w:t>
      </w:r>
      <w:proofErr w:type="spellStart"/>
      <w:r w:rsidRPr="0032634D">
        <w:rPr>
          <w:rFonts w:cs="Segoe UI"/>
          <w:szCs w:val="20"/>
        </w:rPr>
        <w:t>Pâquis</w:t>
      </w:r>
      <w:proofErr w:type="spellEnd"/>
      <w:r w:rsidRPr="0032634D">
        <w:rPr>
          <w:rFonts w:cs="Segoe UI"/>
          <w:szCs w:val="20"/>
        </w:rPr>
        <w:br/>
        <w:t xml:space="preserve">CH-1201 Geneva </w:t>
      </w:r>
    </w:p>
    <w:p w:rsidR="001052E9" w:rsidRPr="00A61004" w:rsidRDefault="00D0261E" w:rsidP="00B225E1">
      <w:pPr>
        <w:pStyle w:val="FRAADDRESS"/>
        <w:spacing w:after="120" w:line="264" w:lineRule="auto"/>
      </w:pPr>
      <w:r>
        <w:rPr>
          <w:rFonts w:cs="Segoe UI"/>
          <w:szCs w:val="20"/>
        </w:rPr>
        <w:t>Switzerland</w:t>
      </w:r>
    </w:p>
    <w:p w:rsidR="001833D4" w:rsidRPr="0014373A" w:rsidRDefault="001833D4" w:rsidP="00F06942">
      <w:pPr>
        <w:pStyle w:val="FRAdate"/>
        <w:spacing w:before="240" w:after="120"/>
      </w:pPr>
      <w:r w:rsidRPr="0014373A">
        <w:t xml:space="preserve">Vienna, </w:t>
      </w:r>
      <w:r w:rsidR="000C04E8">
        <w:rPr>
          <w:lang w:val="en-GB"/>
        </w:rPr>
        <w:t>20 February 2017</w:t>
      </w:r>
    </w:p>
    <w:p w:rsidR="001833D4" w:rsidRPr="0014373A" w:rsidRDefault="001833D4" w:rsidP="00F06942">
      <w:pPr>
        <w:pStyle w:val="FRAReference"/>
        <w:spacing w:after="360"/>
      </w:pPr>
      <w:r w:rsidRPr="0014373A">
        <w:t xml:space="preserve">Ref: </w:t>
      </w:r>
      <w:r w:rsidR="0088538E">
        <w:rPr>
          <w:rFonts w:ascii="Segoe UI" w:hAnsi="Segoe UI" w:cs="Segoe UI"/>
          <w:color w:val="444444"/>
          <w:sz w:val="20"/>
          <w:szCs w:val="20"/>
        </w:rPr>
        <w:t>2017-outgoing-000227</w:t>
      </w:r>
      <w:bookmarkStart w:id="0" w:name="_GoBack"/>
      <w:bookmarkEnd w:id="0"/>
    </w:p>
    <w:p w:rsidR="0032634D" w:rsidRPr="0032634D" w:rsidRDefault="000C04E8" w:rsidP="00F06942">
      <w:pPr>
        <w:spacing w:line="240" w:lineRule="auto"/>
        <w:jc w:val="both"/>
        <w:rPr>
          <w:b/>
          <w:bCs/>
          <w:szCs w:val="20"/>
        </w:rPr>
      </w:pPr>
      <w:r w:rsidRPr="00D0261E">
        <w:rPr>
          <w:szCs w:val="20"/>
          <w:u w:val="single"/>
        </w:rPr>
        <w:t>Subject</w:t>
      </w:r>
      <w:r>
        <w:rPr>
          <w:szCs w:val="20"/>
        </w:rPr>
        <w:t xml:space="preserve">: </w:t>
      </w:r>
      <w:r w:rsidRPr="0032634D">
        <w:rPr>
          <w:b/>
          <w:szCs w:val="20"/>
        </w:rPr>
        <w:t xml:space="preserve">FRA </w:t>
      </w:r>
      <w:r w:rsidR="0032634D" w:rsidRPr="0032634D">
        <w:rPr>
          <w:b/>
          <w:szCs w:val="20"/>
        </w:rPr>
        <w:t xml:space="preserve">contribution to the call </w:t>
      </w:r>
      <w:r w:rsidR="0032634D" w:rsidRPr="0032634D">
        <w:rPr>
          <w:b/>
          <w:bCs/>
          <w:szCs w:val="20"/>
        </w:rPr>
        <w:t xml:space="preserve">for written submissions to </w:t>
      </w:r>
      <w:r w:rsidR="0032634D">
        <w:rPr>
          <w:b/>
          <w:bCs/>
          <w:szCs w:val="20"/>
        </w:rPr>
        <w:t xml:space="preserve">the </w:t>
      </w:r>
      <w:r w:rsidR="0032634D">
        <w:rPr>
          <w:b/>
          <w:szCs w:val="20"/>
        </w:rPr>
        <w:t xml:space="preserve">Committee against Torture </w:t>
      </w:r>
      <w:r w:rsidR="0032634D" w:rsidRPr="0032634D">
        <w:rPr>
          <w:b/>
          <w:szCs w:val="20"/>
        </w:rPr>
        <w:t>on the dr</w:t>
      </w:r>
      <w:r w:rsidR="0032634D">
        <w:rPr>
          <w:b/>
          <w:szCs w:val="20"/>
        </w:rPr>
        <w:t>aft revised general comment</w:t>
      </w:r>
      <w:r w:rsidR="0032634D" w:rsidRPr="0032634D">
        <w:rPr>
          <w:b/>
          <w:szCs w:val="20"/>
        </w:rPr>
        <w:t xml:space="preserve"> "on the implementation of article 3 of the Convention in the context of article 22" </w:t>
      </w:r>
    </w:p>
    <w:p w:rsidR="001833D4" w:rsidRPr="001833D4" w:rsidRDefault="000C04E8" w:rsidP="0032634D">
      <w:pPr>
        <w:pStyle w:val="FRASubject"/>
        <w:spacing w:after="12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</w:t>
      </w:r>
    </w:p>
    <w:p w:rsidR="001052E9" w:rsidRPr="00D0261E" w:rsidRDefault="0032634D" w:rsidP="00F06942">
      <w:pPr>
        <w:spacing w:line="264" w:lineRule="auto"/>
        <w:rPr>
          <w:szCs w:val="20"/>
        </w:rPr>
      </w:pPr>
      <w:r w:rsidRPr="00D0261E">
        <w:rPr>
          <w:szCs w:val="20"/>
        </w:rPr>
        <w:t>Dear Sir/Madam,</w:t>
      </w:r>
    </w:p>
    <w:p w:rsidR="001052E9" w:rsidRPr="00D0261E" w:rsidRDefault="001052E9" w:rsidP="00F06942">
      <w:pPr>
        <w:spacing w:line="264" w:lineRule="auto"/>
        <w:rPr>
          <w:szCs w:val="20"/>
        </w:rPr>
      </w:pPr>
    </w:p>
    <w:p w:rsidR="0032634D" w:rsidRPr="00D0261E" w:rsidRDefault="0032634D" w:rsidP="00F06942">
      <w:pPr>
        <w:spacing w:after="120" w:line="264" w:lineRule="auto"/>
        <w:jc w:val="both"/>
        <w:rPr>
          <w:szCs w:val="20"/>
        </w:rPr>
      </w:pPr>
      <w:r w:rsidRPr="00D0261E">
        <w:rPr>
          <w:szCs w:val="20"/>
        </w:rPr>
        <w:t>With reference to the above mentioned call for written submissions, please find attached a recent report of the EU Fundamental Rights Agency entitled “</w:t>
      </w:r>
      <w:r w:rsidRPr="00D0261E">
        <w:rPr>
          <w:i/>
          <w:szCs w:val="20"/>
        </w:rPr>
        <w:t>Scope of the principle of non-refoulement in contemporary border management: evolving areas of law</w:t>
      </w:r>
      <w:r w:rsidRPr="00D0261E">
        <w:rPr>
          <w:szCs w:val="20"/>
        </w:rPr>
        <w:t>”</w:t>
      </w:r>
      <w:r w:rsidR="00247B2F">
        <w:rPr>
          <w:szCs w:val="20"/>
        </w:rPr>
        <w:t xml:space="preserve"> </w:t>
      </w:r>
      <w:r w:rsidR="00247B2F" w:rsidRPr="00B225E1">
        <w:rPr>
          <w:color w:val="FF0000"/>
          <w:szCs w:val="20"/>
        </w:rPr>
        <w:t xml:space="preserve">(also available via our website at: </w:t>
      </w:r>
      <w:hyperlink r:id="rId7" w:history="1">
        <w:r w:rsidR="00247B2F" w:rsidRPr="00B225E1">
          <w:rPr>
            <w:rStyle w:val="Hyperlink"/>
            <w:color w:val="FF0000"/>
            <w:szCs w:val="20"/>
          </w:rPr>
          <w:t>http://fra.europa.eu/en/publication/2016/scope-principle-non-refoulement-contemporary-border-management-evolving-areas-law</w:t>
        </w:r>
      </w:hyperlink>
      <w:r w:rsidR="00247B2F" w:rsidRPr="00B225E1">
        <w:rPr>
          <w:color w:val="FF0000"/>
          <w:szCs w:val="20"/>
        </w:rPr>
        <w:t>)</w:t>
      </w:r>
      <w:r w:rsidRPr="00B225E1">
        <w:rPr>
          <w:color w:val="FF0000"/>
          <w:szCs w:val="20"/>
        </w:rPr>
        <w:t xml:space="preserve">. </w:t>
      </w:r>
    </w:p>
    <w:p w:rsidR="00D0261E" w:rsidRDefault="0032634D" w:rsidP="00F06942">
      <w:pPr>
        <w:spacing w:after="120" w:line="264" w:lineRule="auto"/>
        <w:jc w:val="both"/>
        <w:rPr>
          <w:szCs w:val="20"/>
        </w:rPr>
      </w:pPr>
      <w:r w:rsidRPr="00D0261E">
        <w:rPr>
          <w:szCs w:val="20"/>
        </w:rPr>
        <w:t>This report aims to encourage fundamental-rights compliant approaches to border management, including by highlighting potential grey area</w:t>
      </w:r>
      <w:r w:rsidR="00247B2F">
        <w:rPr>
          <w:szCs w:val="20"/>
        </w:rPr>
        <w:t xml:space="preserve"> </w:t>
      </w:r>
      <w:r w:rsidR="00247B2F" w:rsidRPr="00B225E1">
        <w:rPr>
          <w:color w:val="FF0000"/>
          <w:szCs w:val="20"/>
        </w:rPr>
        <w:t>(see e.g. chapter 2.1</w:t>
      </w:r>
      <w:r w:rsidR="00B225E1" w:rsidRPr="00B225E1">
        <w:rPr>
          <w:color w:val="FF0000"/>
          <w:szCs w:val="20"/>
        </w:rPr>
        <w:t xml:space="preserve"> and the scenarios therein</w:t>
      </w:r>
      <w:r w:rsidR="00247B2F" w:rsidRPr="00B225E1">
        <w:rPr>
          <w:color w:val="FF0000"/>
          <w:szCs w:val="20"/>
        </w:rPr>
        <w:t>)</w:t>
      </w:r>
      <w:r w:rsidRPr="00D0261E">
        <w:rPr>
          <w:szCs w:val="20"/>
        </w:rPr>
        <w:t>. As a recent trend, EU Member States are increasingly involved in border management activities on the high seas</w:t>
      </w:r>
      <w:r w:rsidR="00B225E1">
        <w:rPr>
          <w:szCs w:val="20"/>
        </w:rPr>
        <w:t xml:space="preserve"> </w:t>
      </w:r>
      <w:r w:rsidR="00B225E1" w:rsidRPr="00B225E1">
        <w:rPr>
          <w:color w:val="FF0000"/>
          <w:szCs w:val="20"/>
        </w:rPr>
        <w:t>(chapter 2.2)</w:t>
      </w:r>
      <w:r w:rsidRPr="00D0261E">
        <w:rPr>
          <w:szCs w:val="20"/>
        </w:rPr>
        <w:t>, within – or in cooperation with – third countries, and at the EU’s external borders</w:t>
      </w:r>
      <w:r w:rsidR="00B225E1">
        <w:rPr>
          <w:szCs w:val="20"/>
        </w:rPr>
        <w:t xml:space="preserve"> </w:t>
      </w:r>
      <w:r w:rsidR="00B225E1" w:rsidRPr="00B225E1">
        <w:rPr>
          <w:color w:val="FF0000"/>
          <w:szCs w:val="20"/>
        </w:rPr>
        <w:t>(chapter 2.3)</w:t>
      </w:r>
      <w:r w:rsidRPr="00D0261E">
        <w:rPr>
          <w:szCs w:val="20"/>
        </w:rPr>
        <w:t xml:space="preserve">. Such activities entail risks of violating the principle of </w:t>
      </w:r>
      <w:r w:rsidRPr="00D0261E">
        <w:rPr>
          <w:i/>
          <w:szCs w:val="20"/>
        </w:rPr>
        <w:t>non-refoulement</w:t>
      </w:r>
      <w:r w:rsidRPr="00D0261E">
        <w:rPr>
          <w:szCs w:val="20"/>
        </w:rPr>
        <w:t>, the cornerstone of the international legal regime for the protection of refugees</w:t>
      </w:r>
      <w:r w:rsidR="00D0261E" w:rsidRPr="00D0261E">
        <w:rPr>
          <w:szCs w:val="20"/>
        </w:rPr>
        <w:t xml:space="preserve"> and beyond</w:t>
      </w:r>
      <w:r w:rsidRPr="00D0261E">
        <w:rPr>
          <w:szCs w:val="20"/>
        </w:rPr>
        <w:t xml:space="preserve">, which prohibits returning individuals to a risk of persecution or </w:t>
      </w:r>
      <w:r w:rsidR="00D0261E">
        <w:rPr>
          <w:szCs w:val="20"/>
        </w:rPr>
        <w:t>to a country</w:t>
      </w:r>
      <w:r w:rsidRPr="00D0261E">
        <w:rPr>
          <w:szCs w:val="20"/>
        </w:rPr>
        <w:t xml:space="preserve"> they would face the serious </w:t>
      </w:r>
      <w:r w:rsidR="00D0261E" w:rsidRPr="00D0261E">
        <w:rPr>
          <w:szCs w:val="20"/>
        </w:rPr>
        <w:t>risk</w:t>
      </w:r>
      <w:r w:rsidRPr="00D0261E">
        <w:rPr>
          <w:szCs w:val="20"/>
        </w:rPr>
        <w:t xml:space="preserve"> of </w:t>
      </w:r>
      <w:r w:rsidR="00D0261E" w:rsidRPr="00D0261E">
        <w:rPr>
          <w:szCs w:val="20"/>
        </w:rPr>
        <w:t>torture</w:t>
      </w:r>
      <w:r w:rsidRPr="00D0261E">
        <w:rPr>
          <w:szCs w:val="20"/>
        </w:rPr>
        <w:t xml:space="preserve"> </w:t>
      </w:r>
      <w:r w:rsidR="00D0261E" w:rsidRPr="00D0261E">
        <w:rPr>
          <w:szCs w:val="20"/>
        </w:rPr>
        <w:t xml:space="preserve">or cruel, </w:t>
      </w:r>
      <w:r w:rsidRPr="00D0261E">
        <w:rPr>
          <w:szCs w:val="20"/>
        </w:rPr>
        <w:t xml:space="preserve">inhuman </w:t>
      </w:r>
      <w:r w:rsidR="00D0261E" w:rsidRPr="00D0261E">
        <w:rPr>
          <w:szCs w:val="20"/>
        </w:rPr>
        <w:t xml:space="preserve">or degrading treatment or punishment. </w:t>
      </w:r>
    </w:p>
    <w:p w:rsidR="0032634D" w:rsidRPr="00D0261E" w:rsidRDefault="0032634D" w:rsidP="00F06942">
      <w:pPr>
        <w:spacing w:line="264" w:lineRule="auto"/>
        <w:jc w:val="both"/>
        <w:rPr>
          <w:szCs w:val="20"/>
        </w:rPr>
      </w:pPr>
      <w:r w:rsidRPr="00D0261E">
        <w:rPr>
          <w:szCs w:val="20"/>
        </w:rPr>
        <w:t xml:space="preserve">The analysis presented </w:t>
      </w:r>
      <w:r w:rsidR="00D0261E">
        <w:rPr>
          <w:szCs w:val="20"/>
        </w:rPr>
        <w:t xml:space="preserve">in the report </w:t>
      </w:r>
      <w:r w:rsidRPr="00D0261E">
        <w:rPr>
          <w:szCs w:val="20"/>
        </w:rPr>
        <w:t xml:space="preserve">is complemented by concrete guidance on how to reduce the risk of </w:t>
      </w:r>
      <w:r w:rsidRPr="00D0261E">
        <w:rPr>
          <w:i/>
          <w:szCs w:val="20"/>
        </w:rPr>
        <w:t>refoulement</w:t>
      </w:r>
      <w:r w:rsidRPr="00D0261E">
        <w:rPr>
          <w:szCs w:val="20"/>
        </w:rPr>
        <w:t xml:space="preserve"> in these situations – a practical tool </w:t>
      </w:r>
      <w:r w:rsidR="00D0261E" w:rsidRPr="00D0261E">
        <w:rPr>
          <w:szCs w:val="20"/>
        </w:rPr>
        <w:t xml:space="preserve">(10 suggestions to EU Member States) </w:t>
      </w:r>
      <w:r w:rsidRPr="00D0261E">
        <w:rPr>
          <w:szCs w:val="20"/>
        </w:rPr>
        <w:t>developed with the input of experts during a mee</w:t>
      </w:r>
      <w:r w:rsidR="00D0261E">
        <w:rPr>
          <w:szCs w:val="20"/>
        </w:rPr>
        <w:t xml:space="preserve">ting held in Vienna in March </w:t>
      </w:r>
      <w:r w:rsidRPr="00D0261E">
        <w:rPr>
          <w:szCs w:val="20"/>
        </w:rPr>
        <w:t>2016.</w:t>
      </w:r>
    </w:p>
    <w:p w:rsidR="00543C72" w:rsidRPr="00D0261E" w:rsidRDefault="00543C72" w:rsidP="00F06942">
      <w:pPr>
        <w:spacing w:after="120" w:line="240" w:lineRule="auto"/>
        <w:rPr>
          <w:szCs w:val="20"/>
        </w:rPr>
      </w:pPr>
    </w:p>
    <w:p w:rsidR="001052E9" w:rsidRPr="00D0261E" w:rsidRDefault="0032634D" w:rsidP="00F06942">
      <w:pPr>
        <w:spacing w:after="120" w:line="240" w:lineRule="auto"/>
        <w:rPr>
          <w:szCs w:val="20"/>
        </w:rPr>
      </w:pPr>
      <w:r w:rsidRPr="00D0261E">
        <w:rPr>
          <w:szCs w:val="20"/>
        </w:rPr>
        <w:t xml:space="preserve">Sincerely </w:t>
      </w:r>
      <w:r w:rsidR="00D0261E" w:rsidRPr="00D0261E">
        <w:rPr>
          <w:szCs w:val="20"/>
        </w:rPr>
        <w:t>yours</w:t>
      </w:r>
      <w:r w:rsidRPr="00D0261E">
        <w:rPr>
          <w:szCs w:val="20"/>
        </w:rPr>
        <w:t>,</w:t>
      </w:r>
    </w:p>
    <w:p w:rsidR="001833D4" w:rsidRPr="00D0261E" w:rsidRDefault="001833D4" w:rsidP="00F06942">
      <w:pPr>
        <w:spacing w:after="120" w:line="240" w:lineRule="auto"/>
        <w:rPr>
          <w:szCs w:val="20"/>
        </w:rPr>
      </w:pPr>
    </w:p>
    <w:p w:rsidR="001052E9" w:rsidRPr="00D0261E" w:rsidRDefault="00D0261E" w:rsidP="00F06942">
      <w:pPr>
        <w:spacing w:line="240" w:lineRule="auto"/>
        <w:rPr>
          <w:b/>
          <w:szCs w:val="20"/>
        </w:rPr>
      </w:pPr>
      <w:r w:rsidRPr="00D0261E">
        <w:rPr>
          <w:b/>
          <w:szCs w:val="20"/>
        </w:rPr>
        <w:t>Adriano</w:t>
      </w:r>
      <w:r w:rsidR="0032634D" w:rsidRPr="00D0261E">
        <w:rPr>
          <w:b/>
          <w:szCs w:val="20"/>
        </w:rPr>
        <w:t xml:space="preserve"> SILVESTRI</w:t>
      </w:r>
    </w:p>
    <w:p w:rsidR="0032634D" w:rsidRPr="00D0261E" w:rsidRDefault="00DA5E82" w:rsidP="00F06942">
      <w:pPr>
        <w:spacing w:line="240" w:lineRule="auto"/>
        <w:rPr>
          <w:szCs w:val="20"/>
        </w:rPr>
      </w:pPr>
      <w:r>
        <w:rPr>
          <w:szCs w:val="20"/>
        </w:rPr>
        <w:t>Head of Sector</w:t>
      </w:r>
    </w:p>
    <w:p w:rsidR="0032634D" w:rsidRPr="00D0261E" w:rsidRDefault="00D0261E" w:rsidP="00F06942">
      <w:pPr>
        <w:spacing w:line="240" w:lineRule="auto"/>
        <w:rPr>
          <w:szCs w:val="20"/>
        </w:rPr>
      </w:pPr>
      <w:r w:rsidRPr="00D0261E">
        <w:rPr>
          <w:szCs w:val="20"/>
        </w:rPr>
        <w:t>Asylum</w:t>
      </w:r>
      <w:r w:rsidR="0032634D" w:rsidRPr="00D0261E">
        <w:rPr>
          <w:szCs w:val="20"/>
        </w:rPr>
        <w:t xml:space="preserve">, </w:t>
      </w:r>
      <w:r>
        <w:rPr>
          <w:szCs w:val="20"/>
        </w:rPr>
        <w:t>M</w:t>
      </w:r>
      <w:r w:rsidR="0032634D" w:rsidRPr="00D0261E">
        <w:rPr>
          <w:szCs w:val="20"/>
        </w:rPr>
        <w:t xml:space="preserve">igration and Border </w:t>
      </w:r>
      <w:r>
        <w:rPr>
          <w:szCs w:val="20"/>
        </w:rPr>
        <w:t>S</w:t>
      </w:r>
      <w:r w:rsidRPr="00D0261E">
        <w:rPr>
          <w:szCs w:val="20"/>
        </w:rPr>
        <w:t>ector</w:t>
      </w:r>
    </w:p>
    <w:p w:rsidR="00F06942" w:rsidRDefault="00F06942" w:rsidP="00F06942">
      <w:pPr>
        <w:spacing w:after="240" w:line="240" w:lineRule="auto"/>
      </w:pPr>
    </w:p>
    <w:p w:rsidR="00F06942" w:rsidRPr="00F06942" w:rsidRDefault="00F06942" w:rsidP="00F06942">
      <w:pPr>
        <w:spacing w:after="120" w:line="240" w:lineRule="auto"/>
      </w:pPr>
      <w:r w:rsidRPr="00F06942">
        <w:rPr>
          <w:u w:val="single"/>
        </w:rPr>
        <w:t>Annex</w:t>
      </w:r>
      <w:r w:rsidRPr="00F06942">
        <w:t>: FRA report – “</w:t>
      </w:r>
      <w:r w:rsidRPr="00F06942">
        <w:rPr>
          <w:szCs w:val="20"/>
        </w:rPr>
        <w:t>Scope of the principle of non-refoulement in contemporary border management: evolving areas of law”</w:t>
      </w:r>
    </w:p>
    <w:sectPr w:rsidR="00F06942" w:rsidRPr="00F06942" w:rsidSect="00C977C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418" w:bottom="1701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5DA" w:rsidRDefault="00E675DA" w:rsidP="001833D4">
      <w:pPr>
        <w:spacing w:after="120"/>
      </w:pPr>
      <w:r>
        <w:separator/>
      </w:r>
    </w:p>
  </w:endnote>
  <w:endnote w:type="continuationSeparator" w:id="0">
    <w:p w:rsidR="00E675DA" w:rsidRDefault="00E675DA" w:rsidP="001833D4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A0B" w:rsidRPr="00A84C64" w:rsidRDefault="00C53A0B" w:rsidP="00A84C64">
    <w:pPr>
      <w:pStyle w:val="FRAFooter"/>
    </w:pPr>
    <w:r w:rsidRPr="00A84C64">
      <w:rPr>
        <w:noProof/>
      </w:rPr>
      <w:drawing>
        <wp:anchor distT="0" distB="0" distL="114300" distR="114300" simplePos="0" relativeHeight="251665408" behindDoc="0" locked="0" layoutInCell="1" allowOverlap="1" wp14:anchorId="7D3494E3" wp14:editId="6540C49E">
          <wp:simplePos x="0" y="0"/>
          <wp:positionH relativeFrom="margin">
            <wp:posOffset>-101600</wp:posOffset>
          </wp:positionH>
          <wp:positionV relativeFrom="paragraph">
            <wp:posOffset>-125095</wp:posOffset>
          </wp:positionV>
          <wp:extent cx="862962" cy="10800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62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977CA" w:rsidRPr="00F96470" w:rsidRDefault="00C977CA" w:rsidP="00C977CA">
    <w:pPr>
      <w:pStyle w:val="FRAFooter"/>
      <w:rPr>
        <w:b/>
        <w:spacing w:val="-4"/>
        <w:kern w:val="16"/>
      </w:rPr>
    </w:pPr>
    <w:r w:rsidRPr="00F96470">
      <w:rPr>
        <w:b/>
        <w:spacing w:val="-4"/>
        <w:kern w:val="16"/>
      </w:rPr>
      <w:t>Michael O’Flaherty, Director</w:t>
    </w:r>
  </w:p>
  <w:p w:rsidR="00C977CA" w:rsidRPr="00964132" w:rsidRDefault="00C977CA" w:rsidP="00C977CA">
    <w:pPr>
      <w:pStyle w:val="FRAFooter"/>
    </w:pPr>
    <w:r w:rsidRPr="00964132">
      <w:t xml:space="preserve">European Union Agency for Fundamental Rights </w:t>
    </w:r>
    <w:r w:rsidRPr="00964132">
      <w:rPr>
        <w:b/>
        <w:color w:val="F9DD16"/>
      </w:rPr>
      <w:t>|</w:t>
    </w:r>
    <w:r w:rsidRPr="00964132">
      <w:t xml:space="preserve"> </w:t>
    </w:r>
    <w:proofErr w:type="spellStart"/>
    <w:r w:rsidRPr="00964132">
      <w:t>Agentur</w:t>
    </w:r>
    <w:proofErr w:type="spellEnd"/>
    <w:r w:rsidRPr="00964132">
      <w:t xml:space="preserve"> der </w:t>
    </w:r>
    <w:proofErr w:type="spellStart"/>
    <w:r w:rsidRPr="00964132">
      <w:t>Europäischen</w:t>
    </w:r>
    <w:proofErr w:type="spellEnd"/>
    <w:r w:rsidRPr="00964132">
      <w:t xml:space="preserve"> Union </w:t>
    </w:r>
    <w:proofErr w:type="spellStart"/>
    <w:r w:rsidRPr="00964132">
      <w:t>für</w:t>
    </w:r>
    <w:proofErr w:type="spellEnd"/>
    <w:r w:rsidRPr="00964132">
      <w:t xml:space="preserve"> </w:t>
    </w:r>
    <w:proofErr w:type="spellStart"/>
    <w:r w:rsidRPr="00964132">
      <w:t>Grundrechte</w:t>
    </w:r>
    <w:proofErr w:type="spellEnd"/>
    <w:r w:rsidRPr="00964132">
      <w:t xml:space="preserve"> </w:t>
    </w:r>
    <w:r w:rsidRPr="00964132">
      <w:rPr>
        <w:b/>
        <w:color w:val="F9DD16"/>
      </w:rPr>
      <w:t>|</w:t>
    </w:r>
    <w:r w:rsidRPr="00964132">
      <w:t xml:space="preserve"> </w:t>
    </w:r>
    <w:proofErr w:type="spellStart"/>
    <w:r w:rsidRPr="00964132">
      <w:t>Agence</w:t>
    </w:r>
    <w:proofErr w:type="spellEnd"/>
    <w:r w:rsidRPr="00964132">
      <w:t xml:space="preserve"> des droits </w:t>
    </w:r>
    <w:proofErr w:type="spellStart"/>
    <w:r w:rsidRPr="00964132">
      <w:t>fondamentaux</w:t>
    </w:r>
    <w:proofErr w:type="spellEnd"/>
    <w:r w:rsidRPr="00964132">
      <w:t xml:space="preserve"> de </w:t>
    </w:r>
    <w:proofErr w:type="spellStart"/>
    <w:r w:rsidRPr="00964132">
      <w:t>l’Union</w:t>
    </w:r>
    <w:proofErr w:type="spellEnd"/>
    <w:r w:rsidRPr="00964132">
      <w:t xml:space="preserve"> </w:t>
    </w:r>
    <w:proofErr w:type="spellStart"/>
    <w:r w:rsidRPr="00964132">
      <w:t>Européenne</w:t>
    </w:r>
    <w:proofErr w:type="spellEnd"/>
  </w:p>
  <w:p w:rsidR="00C977CA" w:rsidRPr="00C977CA" w:rsidRDefault="00C977CA" w:rsidP="00C977CA">
    <w:pPr>
      <w:pStyle w:val="FRAFooter"/>
      <w:rPr>
        <w:lang w:val="de-DE"/>
      </w:rPr>
    </w:pPr>
    <w:r w:rsidRPr="00C977CA">
      <w:rPr>
        <w:lang w:val="de-DE"/>
      </w:rPr>
      <w:t xml:space="preserve">Schwarzenbergplatz 11 </w:t>
    </w:r>
    <w:r w:rsidRPr="00C977CA">
      <w:rPr>
        <w:b/>
        <w:color w:val="F9DD16"/>
        <w:lang w:val="de-DE"/>
      </w:rPr>
      <w:t>|</w:t>
    </w:r>
    <w:r w:rsidRPr="00C977CA">
      <w:rPr>
        <w:lang w:val="de-DE"/>
      </w:rPr>
      <w:t xml:space="preserve"> 1040 Vienna </w:t>
    </w:r>
    <w:r w:rsidRPr="00C977CA">
      <w:rPr>
        <w:b/>
        <w:color w:val="F9DD16"/>
        <w:lang w:val="de-DE"/>
      </w:rPr>
      <w:t>|</w:t>
    </w:r>
    <w:r w:rsidRPr="00C977CA">
      <w:rPr>
        <w:lang w:val="de-DE"/>
      </w:rPr>
      <w:t xml:space="preserve"> Austria </w:t>
    </w:r>
    <w:r w:rsidRPr="00C977CA">
      <w:rPr>
        <w:b/>
        <w:color w:val="F9DD16"/>
        <w:lang w:val="de-DE"/>
      </w:rPr>
      <w:t>|</w:t>
    </w:r>
    <w:r w:rsidRPr="00C977CA">
      <w:rPr>
        <w:lang w:val="de-DE"/>
      </w:rPr>
      <w:t xml:space="preserve"> T +43 (1) 580 30 - 0 </w:t>
    </w:r>
    <w:r w:rsidRPr="00C977CA">
      <w:rPr>
        <w:b/>
        <w:color w:val="F9DD16"/>
        <w:lang w:val="de-DE"/>
      </w:rPr>
      <w:t>|</w:t>
    </w:r>
    <w:r w:rsidRPr="00C977CA">
      <w:rPr>
        <w:lang w:val="de-DE"/>
      </w:rPr>
      <w:t xml:space="preserve"> info@fra.europa.eu</w:t>
    </w:r>
  </w:p>
  <w:p w:rsidR="00C53A0B" w:rsidRPr="00C977CA" w:rsidRDefault="00C977CA" w:rsidP="00C977CA">
    <w:pPr>
      <w:pStyle w:val="FRAFooter"/>
      <w:rPr>
        <w:lang w:val="de-DE"/>
      </w:rPr>
    </w:pPr>
    <w:r w:rsidRPr="00C977CA">
      <w:rPr>
        <w:lang w:val="de-DE"/>
      </w:rPr>
      <w:t xml:space="preserve">fra.europa.eu </w:t>
    </w:r>
    <w:r w:rsidRPr="00C977CA">
      <w:rPr>
        <w:b/>
        <w:color w:val="F9DD16"/>
        <w:lang w:val="de-DE"/>
      </w:rPr>
      <w:t>|</w:t>
    </w:r>
    <w:r w:rsidRPr="00C977CA">
      <w:rPr>
        <w:lang w:val="de-DE"/>
      </w:rPr>
      <w:t xml:space="preserve"> www.facebook.com/fundamentalrights </w:t>
    </w:r>
    <w:r w:rsidRPr="00C977CA">
      <w:rPr>
        <w:b/>
        <w:color w:val="F9DD16"/>
        <w:lang w:val="de-DE"/>
      </w:rPr>
      <w:t>|</w:t>
    </w:r>
    <w:r w:rsidRPr="00C977CA">
      <w:rPr>
        <w:lang w:val="de-DE"/>
      </w:rPr>
      <w:t xml:space="preserve"> twitter.com/EURightsAgency </w:t>
    </w:r>
    <w:r w:rsidRPr="00C977CA">
      <w:rPr>
        <w:b/>
        <w:color w:val="F9DD16"/>
        <w:lang w:val="de-DE"/>
      </w:rPr>
      <w:t>|</w:t>
    </w:r>
    <w:r w:rsidRPr="00C977CA">
      <w:rPr>
        <w:lang w:val="de-DE"/>
      </w:rPr>
      <w:t xml:space="preserve"> www.linkedin.com/company/eu-fundamental-rights-agency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D1F" w:rsidRPr="001833D4" w:rsidRDefault="00106D1F" w:rsidP="00C977CA">
    <w:pPr>
      <w:pStyle w:val="FRAFooter"/>
      <w:rPr>
        <w:spacing w:val="-4"/>
        <w:kern w:val="16"/>
      </w:rPr>
    </w:pPr>
    <w:r w:rsidRPr="001833D4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-101600</wp:posOffset>
          </wp:positionH>
          <wp:positionV relativeFrom="paragraph">
            <wp:posOffset>-125095</wp:posOffset>
          </wp:positionV>
          <wp:extent cx="862962" cy="108000"/>
          <wp:effectExtent l="0" t="0" r="0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62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06D1F" w:rsidRPr="00964132" w:rsidRDefault="00106D1F" w:rsidP="00234B3E">
    <w:pPr>
      <w:pStyle w:val="FRAFooter"/>
    </w:pPr>
    <w:r w:rsidRPr="00964132">
      <w:t>European Union</w:t>
    </w:r>
    <w:r w:rsidR="000208E3" w:rsidRPr="00964132">
      <w:t xml:space="preserve"> Agency for Fundamental Rights </w:t>
    </w:r>
    <w:r w:rsidRPr="00964132">
      <w:rPr>
        <w:b/>
        <w:color w:val="F9DD16"/>
      </w:rPr>
      <w:t>|</w:t>
    </w:r>
    <w:r w:rsidR="000208E3" w:rsidRPr="00964132">
      <w:t xml:space="preserve"> </w:t>
    </w:r>
    <w:proofErr w:type="spellStart"/>
    <w:r w:rsidRPr="00964132">
      <w:t>Agentur</w:t>
    </w:r>
    <w:proofErr w:type="spellEnd"/>
    <w:r w:rsidRPr="00964132">
      <w:t xml:space="preserve"> der </w:t>
    </w:r>
    <w:proofErr w:type="spellStart"/>
    <w:r w:rsidRPr="00964132">
      <w:t>Euro</w:t>
    </w:r>
    <w:r w:rsidR="000208E3" w:rsidRPr="00964132">
      <w:t>päischen</w:t>
    </w:r>
    <w:proofErr w:type="spellEnd"/>
    <w:r w:rsidR="000208E3" w:rsidRPr="00964132">
      <w:t xml:space="preserve"> Union </w:t>
    </w:r>
    <w:proofErr w:type="spellStart"/>
    <w:r w:rsidR="000208E3" w:rsidRPr="00964132">
      <w:t>für</w:t>
    </w:r>
    <w:proofErr w:type="spellEnd"/>
    <w:r w:rsidR="000208E3" w:rsidRPr="00964132">
      <w:t xml:space="preserve"> </w:t>
    </w:r>
    <w:proofErr w:type="spellStart"/>
    <w:r w:rsidR="000208E3" w:rsidRPr="00964132">
      <w:t>Grundrechte</w:t>
    </w:r>
    <w:proofErr w:type="spellEnd"/>
    <w:r w:rsidR="000208E3" w:rsidRPr="00964132">
      <w:t xml:space="preserve"> </w:t>
    </w:r>
    <w:r w:rsidRPr="00964132">
      <w:rPr>
        <w:b/>
        <w:color w:val="F9DD16"/>
      </w:rPr>
      <w:t>|</w:t>
    </w:r>
    <w:r w:rsidR="000208E3" w:rsidRPr="00964132">
      <w:t xml:space="preserve"> </w:t>
    </w:r>
    <w:proofErr w:type="spellStart"/>
    <w:r w:rsidRPr="00964132">
      <w:t>Agence</w:t>
    </w:r>
    <w:proofErr w:type="spellEnd"/>
    <w:r w:rsidRPr="00964132">
      <w:t xml:space="preserve"> des droits </w:t>
    </w:r>
    <w:proofErr w:type="spellStart"/>
    <w:r w:rsidRPr="00964132">
      <w:t>fondamentaux</w:t>
    </w:r>
    <w:proofErr w:type="spellEnd"/>
    <w:r w:rsidRPr="00964132">
      <w:t xml:space="preserve"> de </w:t>
    </w:r>
    <w:proofErr w:type="spellStart"/>
    <w:r w:rsidRPr="00964132">
      <w:t>l’Union</w:t>
    </w:r>
    <w:proofErr w:type="spellEnd"/>
    <w:r w:rsidRPr="00964132">
      <w:t xml:space="preserve"> </w:t>
    </w:r>
    <w:proofErr w:type="spellStart"/>
    <w:r w:rsidRPr="00964132">
      <w:t>Européenne</w:t>
    </w:r>
    <w:proofErr w:type="spellEnd"/>
  </w:p>
  <w:p w:rsidR="00106D1F" w:rsidRPr="00247B2F" w:rsidRDefault="000208E3" w:rsidP="00234B3E">
    <w:pPr>
      <w:pStyle w:val="FRAFooter"/>
    </w:pPr>
    <w:r w:rsidRPr="00247B2F">
      <w:t>Schwarzenbergplatz 11</w:t>
    </w:r>
    <w:r w:rsidR="00106D1F" w:rsidRPr="00247B2F">
      <w:t xml:space="preserve"> </w:t>
    </w:r>
    <w:r w:rsidR="00106D1F" w:rsidRPr="00247B2F">
      <w:rPr>
        <w:b/>
        <w:color w:val="F9DD16"/>
      </w:rPr>
      <w:t>|</w:t>
    </w:r>
    <w:r w:rsidRPr="00247B2F">
      <w:t xml:space="preserve"> 1040 Vienna</w:t>
    </w:r>
    <w:r w:rsidR="00106D1F" w:rsidRPr="00247B2F">
      <w:t xml:space="preserve"> </w:t>
    </w:r>
    <w:r w:rsidR="00106D1F" w:rsidRPr="00247B2F">
      <w:rPr>
        <w:b/>
        <w:color w:val="F9DD16"/>
      </w:rPr>
      <w:t>|</w:t>
    </w:r>
    <w:r w:rsidR="00106D1F" w:rsidRPr="00247B2F">
      <w:t xml:space="preserve"> </w:t>
    </w:r>
    <w:r w:rsidRPr="00247B2F">
      <w:t>Austria</w:t>
    </w:r>
    <w:r w:rsidR="00106D1F" w:rsidRPr="00247B2F">
      <w:t xml:space="preserve"> </w:t>
    </w:r>
    <w:r w:rsidR="00106D1F" w:rsidRPr="00247B2F">
      <w:rPr>
        <w:b/>
        <w:color w:val="F9DD16"/>
      </w:rPr>
      <w:t>|</w:t>
    </w:r>
    <w:r w:rsidRPr="00247B2F">
      <w:t xml:space="preserve"> T +43 (1) 580 30 - 0</w:t>
    </w:r>
    <w:r w:rsidR="00106D1F" w:rsidRPr="00247B2F">
      <w:t xml:space="preserve"> </w:t>
    </w:r>
    <w:r w:rsidR="00106D1F" w:rsidRPr="00247B2F">
      <w:rPr>
        <w:b/>
        <w:color w:val="F9DD16"/>
      </w:rPr>
      <w:t>|</w:t>
    </w:r>
    <w:r w:rsidR="00106D1F" w:rsidRPr="00247B2F">
      <w:t xml:space="preserve"> info@fra.europa.eu</w:t>
    </w:r>
  </w:p>
  <w:p w:rsidR="00106D1F" w:rsidRPr="00247B2F" w:rsidRDefault="000208E3" w:rsidP="00234B3E">
    <w:pPr>
      <w:pStyle w:val="FRAFooter"/>
    </w:pPr>
    <w:r w:rsidRPr="00247B2F">
      <w:t>fra.europa.eu</w:t>
    </w:r>
    <w:r w:rsidR="00106D1F" w:rsidRPr="00247B2F">
      <w:t xml:space="preserve"> </w:t>
    </w:r>
    <w:r w:rsidR="00106D1F" w:rsidRPr="00247B2F">
      <w:rPr>
        <w:b/>
        <w:color w:val="F9DD16"/>
      </w:rPr>
      <w:t>|</w:t>
    </w:r>
    <w:r w:rsidR="00106D1F" w:rsidRPr="00247B2F">
      <w:t xml:space="preserve"> </w:t>
    </w:r>
    <w:r w:rsidR="00964132" w:rsidRPr="00247B2F">
      <w:t>www.facebook.com/fundamentalrights</w:t>
    </w:r>
    <w:r w:rsidR="00106D1F" w:rsidRPr="00247B2F">
      <w:t xml:space="preserve"> </w:t>
    </w:r>
    <w:r w:rsidR="00106D1F" w:rsidRPr="00247B2F">
      <w:rPr>
        <w:b/>
        <w:color w:val="F9DD16"/>
      </w:rPr>
      <w:t>|</w:t>
    </w:r>
    <w:r w:rsidRPr="00247B2F">
      <w:t xml:space="preserve"> twitter.com/EURightsAgency </w:t>
    </w:r>
    <w:r w:rsidR="00106D1F" w:rsidRPr="00247B2F">
      <w:rPr>
        <w:b/>
        <w:color w:val="F9DD16"/>
      </w:rPr>
      <w:t>|</w:t>
    </w:r>
    <w:r w:rsidR="00106D1F" w:rsidRPr="00247B2F">
      <w:t xml:space="preserve"> www.linkedin.com/company/eu-fundamental-rights-agency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5DA" w:rsidRDefault="00E675DA" w:rsidP="001833D4">
      <w:pPr>
        <w:spacing w:after="120"/>
      </w:pPr>
      <w:r>
        <w:separator/>
      </w:r>
    </w:p>
  </w:footnote>
  <w:footnote w:type="continuationSeparator" w:id="0">
    <w:p w:rsidR="00E675DA" w:rsidRDefault="00E675DA" w:rsidP="001833D4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A0B" w:rsidRDefault="00234B3E" w:rsidP="00234B3E">
    <w:pPr>
      <w:pStyle w:val="Header"/>
      <w:tabs>
        <w:tab w:val="clear" w:pos="4513"/>
        <w:tab w:val="clear" w:pos="9026"/>
        <w:tab w:val="left" w:pos="6792"/>
      </w:tabs>
      <w:ind w:left="-170"/>
    </w:pPr>
    <w:r>
      <w:rPr>
        <w:noProof/>
      </w:rPr>
      <w:drawing>
        <wp:inline distT="0" distB="0" distL="0" distR="0" wp14:anchorId="41390E01" wp14:editId="44DB129B">
          <wp:extent cx="1756800" cy="720000"/>
          <wp:effectExtent l="0" t="0" r="0" b="4445"/>
          <wp:docPr id="6" name="Picture 6" descr="C:\Users\LSchwartz\AppData\Local\Microsoft\Windows\INetCache\Content.Word\FRA_cmyk smal-bord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Schwartz\AppData\Local\Microsoft\Windows\INetCache\Content.Word\FRA_cmyk smal-bord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D1F" w:rsidRDefault="00543C72" w:rsidP="00073326">
    <w:pPr>
      <w:ind w:left="-17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1" layoutInCell="0" allowOverlap="0">
              <wp:simplePos x="0" y="0"/>
              <wp:positionH relativeFrom="page">
                <wp:posOffset>7275195</wp:posOffset>
              </wp:positionH>
              <wp:positionV relativeFrom="page">
                <wp:posOffset>3695064</wp:posOffset>
              </wp:positionV>
              <wp:extent cx="288290" cy="0"/>
              <wp:effectExtent l="0" t="0" r="3556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88C63E" id="Straight Connector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72.85pt,290.95pt" to="595.55pt,2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" o:allowincell="f" o:allowoverlap="f" strokecolor="gray">
              <w10:wrap anchorx="page" anchory="page"/>
              <w10:anchorlock/>
            </v:line>
          </w:pict>
        </mc:Fallback>
      </mc:AlternateContent>
    </w:r>
    <w:r w:rsidR="00234B3E">
      <w:rPr>
        <w:noProof/>
      </w:rPr>
      <w:drawing>
        <wp:inline distT="0" distB="0" distL="0" distR="0">
          <wp:extent cx="1756800" cy="720000"/>
          <wp:effectExtent l="0" t="0" r="0" b="4445"/>
          <wp:docPr id="4" name="Picture 4" descr="C:\Users\LSchwartz\AppData\Local\Microsoft\Windows\INetCache\Content.Word\FRA_cmyk smal-bord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Schwartz\AppData\Local\Microsoft\Windows\INetCache\Content.Word\FRA_cmyk smal-bord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70AF6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FE05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B83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74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8695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4055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AC41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D07E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ACB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363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8448D9"/>
    <w:multiLevelType w:val="multilevel"/>
    <w:tmpl w:val="D0527ABC"/>
    <w:styleLink w:val="FRAHeadings"/>
    <w:lvl w:ilvl="0">
      <w:start w:val="1"/>
      <w:numFmt w:val="decimal"/>
      <w:pStyle w:val="Heading1Numbered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none"/>
      <w:pStyle w:val="Heading4Unnumbered"/>
      <w:lvlText w:val="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4" w:firstLine="0"/>
      </w:pPr>
      <w:rPr>
        <w:rFonts w:hint="default"/>
      </w:rPr>
    </w:lvl>
    <w:lvl w:ilvl="5">
      <w:start w:val="1"/>
      <w:numFmt w:val="bullet"/>
      <w:lvlRestart w:val="0"/>
      <w:lvlText w:val=""/>
      <w:lvlJc w:val="left"/>
      <w:pPr>
        <w:ind w:left="284" w:firstLine="0"/>
      </w:pPr>
      <w:rPr>
        <w:rFonts w:ascii="Symbol" w:hAnsi="Symbol" w:hint="default"/>
        <w:color w:val="auto"/>
      </w:rPr>
    </w:lvl>
    <w:lvl w:ilvl="6">
      <w:start w:val="1"/>
      <w:numFmt w:val="none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none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none"/>
      <w:lvlText w:val="%9."/>
      <w:lvlJc w:val="right"/>
      <w:pPr>
        <w:ind w:left="907" w:hanging="907"/>
      </w:pPr>
      <w:rPr>
        <w:rFonts w:hint="default"/>
      </w:rPr>
    </w:lvl>
  </w:abstractNum>
  <w:num w:numId="1">
    <w:abstractNumId w:val="10"/>
  </w:num>
  <w:num w:numId="2">
    <w:abstractNumId w:val="10"/>
    <w:lvlOverride w:ilvl="0">
      <w:lvl w:ilvl="0">
        <w:start w:val="1"/>
        <w:numFmt w:val="decimal"/>
        <w:pStyle w:val="Heading1Numbered"/>
        <w:lvlText w:val="%1"/>
        <w:lvlJc w:val="left"/>
        <w:pPr>
          <w:ind w:left="907" w:hanging="907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2Numbered"/>
        <w:lvlText w:val="%1.%2"/>
        <w:lvlJc w:val="left"/>
        <w:pPr>
          <w:ind w:left="907" w:hanging="907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Numbered"/>
        <w:lvlText w:val="%1.%2.%3"/>
        <w:lvlJc w:val="left"/>
        <w:pPr>
          <w:ind w:left="1191" w:hanging="907"/>
        </w:pPr>
        <w:rPr>
          <w:rFonts w:hint="default"/>
        </w:rPr>
      </w:lvl>
    </w:lvlOverride>
    <w:lvlOverride w:ilvl="3">
      <w:lvl w:ilvl="3">
        <w:start w:val="1"/>
        <w:numFmt w:val="none"/>
        <w:pStyle w:val="Heading4Unnumbered"/>
        <w:lvlText w:val=""/>
        <w:lvlJc w:val="left"/>
        <w:pPr>
          <w:ind w:left="907" w:hanging="90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84" w:firstLine="0"/>
        </w:pPr>
        <w:rPr>
          <w:rFonts w:hint="default"/>
        </w:rPr>
      </w:lvl>
    </w:lvlOverride>
    <w:lvlOverride w:ilvl="5">
      <w:lvl w:ilvl="5">
        <w:start w:val="1"/>
        <w:numFmt w:val="bullet"/>
        <w:lvlRestart w:val="0"/>
        <w:lvlText w:val=""/>
        <w:lvlJc w:val="left"/>
        <w:pPr>
          <w:ind w:left="284" w:firstLine="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none"/>
        <w:lvlText w:val="%7."/>
        <w:lvlJc w:val="left"/>
        <w:pPr>
          <w:ind w:left="907" w:hanging="907"/>
        </w:pPr>
        <w:rPr>
          <w:rFonts w:hint="default"/>
        </w:rPr>
      </w:lvl>
    </w:lvlOverride>
    <w:lvlOverride w:ilvl="7">
      <w:lvl w:ilvl="7">
        <w:start w:val="1"/>
        <w:numFmt w:val="none"/>
        <w:lvlText w:val="%8."/>
        <w:lvlJc w:val="left"/>
        <w:pPr>
          <w:ind w:left="907" w:hanging="907"/>
        </w:pPr>
        <w:rPr>
          <w:rFonts w:hint="default"/>
        </w:rPr>
      </w:lvl>
    </w:lvlOverride>
    <w:lvlOverride w:ilvl="8">
      <w:lvl w:ilvl="8">
        <w:start w:val="1"/>
        <w:numFmt w:val="none"/>
        <w:lvlText w:val="%9."/>
        <w:lvlJc w:val="right"/>
        <w:pPr>
          <w:ind w:left="907" w:hanging="907"/>
        </w:pPr>
        <w:rPr>
          <w:rFonts w:hint="default"/>
        </w:rPr>
      </w:lvl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E8"/>
    <w:rsid w:val="000208E3"/>
    <w:rsid w:val="00073326"/>
    <w:rsid w:val="000775D3"/>
    <w:rsid w:val="000C04E8"/>
    <w:rsid w:val="001052E9"/>
    <w:rsid w:val="00106D1F"/>
    <w:rsid w:val="001833D4"/>
    <w:rsid w:val="00234B3E"/>
    <w:rsid w:val="00247B2F"/>
    <w:rsid w:val="002E7227"/>
    <w:rsid w:val="002F5DED"/>
    <w:rsid w:val="0032634D"/>
    <w:rsid w:val="00364A0D"/>
    <w:rsid w:val="00543C72"/>
    <w:rsid w:val="005628DE"/>
    <w:rsid w:val="005E74F3"/>
    <w:rsid w:val="00621F02"/>
    <w:rsid w:val="007C0F78"/>
    <w:rsid w:val="007F6EA1"/>
    <w:rsid w:val="0088538E"/>
    <w:rsid w:val="0089542F"/>
    <w:rsid w:val="00922291"/>
    <w:rsid w:val="00933C12"/>
    <w:rsid w:val="00964132"/>
    <w:rsid w:val="00A84C64"/>
    <w:rsid w:val="00B225E1"/>
    <w:rsid w:val="00C53A0B"/>
    <w:rsid w:val="00C977CA"/>
    <w:rsid w:val="00D0261E"/>
    <w:rsid w:val="00D16A9E"/>
    <w:rsid w:val="00D72BDE"/>
    <w:rsid w:val="00DA5E82"/>
    <w:rsid w:val="00E27F61"/>
    <w:rsid w:val="00E62926"/>
    <w:rsid w:val="00E675DA"/>
    <w:rsid w:val="00F0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213CFE-3393-4882-84AA-74177A4C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A0B"/>
    <w:pPr>
      <w:autoSpaceDE w:val="0"/>
      <w:autoSpaceDN w:val="0"/>
      <w:adjustRightInd w:val="0"/>
      <w:spacing w:after="0" w:line="288" w:lineRule="auto"/>
    </w:pPr>
    <w:rPr>
      <w:rFonts w:ascii="Verdana" w:eastAsia="Times New Roman" w:hAnsi="Verdana" w:cs="Times New Roman"/>
      <w:sz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EA1"/>
    <w:pPr>
      <w:keepNext/>
      <w:keepLines/>
      <w:tabs>
        <w:tab w:val="left" w:pos="851"/>
      </w:tabs>
      <w:spacing w:before="360" w:after="240" w:line="240" w:lineRule="auto"/>
      <w:outlineLvl w:val="0"/>
    </w:pPr>
    <w:rPr>
      <w:b/>
      <w:bCs/>
      <w:sz w:val="32"/>
      <w:szCs w:val="32"/>
      <w:lang w:val="en-I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F6EA1"/>
    <w:pPr>
      <w:keepNext/>
      <w:keepLines/>
      <w:tabs>
        <w:tab w:val="left" w:pos="851"/>
      </w:tabs>
      <w:spacing w:before="360" w:after="240" w:line="240" w:lineRule="auto"/>
      <w:outlineLvl w:val="1"/>
    </w:pPr>
    <w:rPr>
      <w:b/>
      <w:bCs/>
      <w:sz w:val="28"/>
      <w:szCs w:val="28"/>
      <w:lang w:val="en-I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F6EA1"/>
    <w:pPr>
      <w:keepNext/>
      <w:keepLines/>
      <w:tabs>
        <w:tab w:val="left" w:pos="851"/>
      </w:tabs>
      <w:spacing w:before="360" w:after="240" w:line="240" w:lineRule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F6EA1"/>
    <w:pPr>
      <w:keepNext/>
      <w:keepLines/>
      <w:tabs>
        <w:tab w:val="left" w:pos="1134"/>
      </w:tabs>
      <w:spacing w:before="360" w:after="240" w:line="240" w:lineRule="auto"/>
      <w:outlineLvl w:val="3"/>
    </w:pPr>
    <w:rPr>
      <w:bCs/>
      <w:iCs/>
      <w:sz w:val="24"/>
      <w:szCs w:val="24"/>
      <w:lang w:val="en-IE"/>
    </w:rPr>
  </w:style>
  <w:style w:type="paragraph" w:styleId="Heading5">
    <w:name w:val="heading 5"/>
    <w:basedOn w:val="Normal"/>
    <w:next w:val="Normal"/>
    <w:link w:val="Heading5Char"/>
    <w:unhideWhenUsed/>
    <w:rsid w:val="007F6EA1"/>
    <w:pPr>
      <w:keepNext/>
      <w:keepLines/>
      <w:tabs>
        <w:tab w:val="left" w:pos="1134"/>
      </w:tabs>
      <w:spacing w:before="240" w:after="120" w:line="240" w:lineRule="auto"/>
      <w:outlineLvl w:val="4"/>
    </w:pPr>
    <w:rPr>
      <w:b/>
      <w:szCs w:val="20"/>
      <w:lang w:val="en-IE"/>
    </w:rPr>
  </w:style>
  <w:style w:type="paragraph" w:styleId="Heading6">
    <w:name w:val="heading 6"/>
    <w:basedOn w:val="Normal"/>
    <w:next w:val="Normal"/>
    <w:link w:val="Heading6Char"/>
    <w:unhideWhenUsed/>
    <w:qFormat/>
    <w:rsid w:val="007F6EA1"/>
    <w:pPr>
      <w:spacing w:line="240" w:lineRule="auto"/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7F6EA1"/>
    <w:pPr>
      <w:spacing w:line="240" w:lineRule="auto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2E9"/>
    <w:pPr>
      <w:ind w:left="720"/>
      <w:contextualSpacing/>
    </w:pPr>
  </w:style>
  <w:style w:type="paragraph" w:styleId="NoSpacing">
    <w:name w:val="No Spacing"/>
    <w:uiPriority w:val="1"/>
    <w:qFormat/>
    <w:rsid w:val="001833D4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0"/>
      <w:lang w:eastAsia="en-GB"/>
    </w:rPr>
  </w:style>
  <w:style w:type="paragraph" w:customStyle="1" w:styleId="FRAdate">
    <w:name w:val="(FRA) date"/>
    <w:basedOn w:val="Normal"/>
    <w:next w:val="Normal"/>
    <w:qFormat/>
    <w:rsid w:val="001833D4"/>
    <w:pPr>
      <w:ind w:left="4820"/>
      <w:jc w:val="right"/>
    </w:pPr>
    <w:rPr>
      <w:szCs w:val="20"/>
      <w:lang w:val="en-IE"/>
    </w:rPr>
  </w:style>
  <w:style w:type="paragraph" w:customStyle="1" w:styleId="FRAReference">
    <w:name w:val="(FRA) Reference"/>
    <w:basedOn w:val="Normal"/>
    <w:next w:val="Normal"/>
    <w:qFormat/>
    <w:rsid w:val="001833D4"/>
    <w:pPr>
      <w:ind w:left="4820"/>
      <w:jc w:val="right"/>
    </w:pPr>
    <w:rPr>
      <w:sz w:val="16"/>
      <w:szCs w:val="16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1052E9"/>
    <w:pPr>
      <w:spacing w:line="240" w:lineRule="auto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2E9"/>
    <w:rPr>
      <w:rFonts w:ascii="Verdana" w:eastAsiaTheme="majorEastAsia" w:hAnsi="Verdana" w:cstheme="majorBidi"/>
      <w:spacing w:val="-10"/>
      <w:kern w:val="28"/>
      <w:sz w:val="32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3D4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833D4"/>
    <w:rPr>
      <w:rFonts w:ascii="Verdana" w:eastAsiaTheme="minorEastAsia" w:hAnsi="Verdana"/>
      <w:color w:val="5A5A5A" w:themeColor="text1" w:themeTint="A5"/>
      <w:spacing w:val="15"/>
      <w:lang w:eastAsia="en-GB"/>
    </w:rPr>
  </w:style>
  <w:style w:type="character" w:styleId="SubtleEmphasis">
    <w:name w:val="Subtle Emphasis"/>
    <w:basedOn w:val="DefaultParagraphFont"/>
    <w:uiPriority w:val="19"/>
    <w:qFormat/>
    <w:rsid w:val="001052E9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7F6EA1"/>
    <w:rPr>
      <w:rFonts w:ascii="Verdana" w:eastAsia="Times New Roman" w:hAnsi="Verdana" w:cs="Times New Roman"/>
      <w:b/>
      <w:bCs/>
      <w:sz w:val="32"/>
      <w:szCs w:val="32"/>
      <w:lang w:val="en-IE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F6EA1"/>
    <w:rPr>
      <w:rFonts w:ascii="Verdana" w:eastAsia="Times New Roman" w:hAnsi="Verdana" w:cs="Times New Roman"/>
      <w:b/>
      <w:bCs/>
      <w:sz w:val="28"/>
      <w:szCs w:val="28"/>
      <w:lang w:val="en-IE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6EA1"/>
    <w:rPr>
      <w:rFonts w:ascii="Verdana" w:eastAsia="Times New Roman" w:hAnsi="Verdana" w:cs="Times New Roman"/>
      <w:b/>
      <w:bCs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7F6EA1"/>
    <w:rPr>
      <w:rFonts w:ascii="Verdana" w:eastAsia="Times New Roman" w:hAnsi="Verdana" w:cs="Times New Roman"/>
      <w:bCs/>
      <w:iCs/>
      <w:sz w:val="24"/>
      <w:szCs w:val="24"/>
      <w:lang w:val="en-IE" w:eastAsia="en-GB"/>
    </w:rPr>
  </w:style>
  <w:style w:type="character" w:customStyle="1" w:styleId="Heading5Char">
    <w:name w:val="Heading 5 Char"/>
    <w:basedOn w:val="DefaultParagraphFont"/>
    <w:link w:val="Heading5"/>
    <w:rsid w:val="007F6EA1"/>
    <w:rPr>
      <w:rFonts w:ascii="Verdana" w:eastAsia="Times New Roman" w:hAnsi="Verdana" w:cs="Times New Roman"/>
      <w:b/>
      <w:sz w:val="20"/>
      <w:szCs w:val="20"/>
      <w:lang w:val="en-IE" w:eastAsia="en-GB"/>
    </w:rPr>
  </w:style>
  <w:style w:type="character" w:customStyle="1" w:styleId="Heading6Char">
    <w:name w:val="Heading 6 Char"/>
    <w:basedOn w:val="DefaultParagraphFont"/>
    <w:link w:val="Heading6"/>
    <w:rsid w:val="007F6EA1"/>
    <w:rPr>
      <w:rFonts w:ascii="Verdana" w:eastAsia="Times New Roman" w:hAnsi="Verdana" w:cs="Times New Roman"/>
      <w:bCs/>
      <w:sz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7F6EA1"/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Heading1Numbered">
    <w:name w:val="Heading 1 (Numbered)"/>
    <w:basedOn w:val="Normal"/>
    <w:next w:val="Normal"/>
    <w:uiPriority w:val="1"/>
    <w:qFormat/>
    <w:locked/>
    <w:rsid w:val="007F6EA1"/>
    <w:pPr>
      <w:keepNext/>
      <w:numPr>
        <w:numId w:val="1"/>
      </w:numPr>
      <w:tabs>
        <w:tab w:val="left" w:pos="907"/>
      </w:tabs>
      <w:spacing w:before="360" w:after="240" w:line="240" w:lineRule="auto"/>
      <w:outlineLvl w:val="0"/>
    </w:pPr>
    <w:rPr>
      <w:rFonts w:eastAsia="Calibri" w:cs="Arial"/>
      <w:b/>
      <w:sz w:val="32"/>
      <w:szCs w:val="32"/>
      <w:lang w:eastAsia="en-US" w:bidi="en-US"/>
    </w:rPr>
  </w:style>
  <w:style w:type="paragraph" w:customStyle="1" w:styleId="Heading2Numbered">
    <w:name w:val="Heading 2 (Numbered)"/>
    <w:basedOn w:val="Heading1Numbered"/>
    <w:next w:val="Normal"/>
    <w:uiPriority w:val="1"/>
    <w:qFormat/>
    <w:locked/>
    <w:rsid w:val="007F6EA1"/>
    <w:pPr>
      <w:numPr>
        <w:ilvl w:val="1"/>
      </w:numPr>
      <w:outlineLvl w:val="1"/>
    </w:pPr>
    <w:rPr>
      <w:sz w:val="28"/>
      <w:szCs w:val="28"/>
    </w:rPr>
  </w:style>
  <w:style w:type="paragraph" w:customStyle="1" w:styleId="Heading3Numbered">
    <w:name w:val="Heading 3 (Numbered)"/>
    <w:basedOn w:val="Heading2Numbered"/>
    <w:next w:val="Normal"/>
    <w:uiPriority w:val="1"/>
    <w:qFormat/>
    <w:locked/>
    <w:rsid w:val="007F6EA1"/>
    <w:pPr>
      <w:numPr>
        <w:ilvl w:val="2"/>
      </w:numPr>
      <w:outlineLvl w:val="2"/>
    </w:pPr>
    <w:rPr>
      <w:sz w:val="24"/>
      <w:szCs w:val="24"/>
    </w:rPr>
  </w:style>
  <w:style w:type="paragraph" w:customStyle="1" w:styleId="Heading4Unnumbered">
    <w:name w:val="Heading 4 (Un numbered)"/>
    <w:basedOn w:val="Heading3Numbered"/>
    <w:next w:val="Normal"/>
    <w:rsid w:val="007F6EA1"/>
    <w:pPr>
      <w:numPr>
        <w:ilvl w:val="3"/>
      </w:numPr>
      <w:outlineLvl w:val="3"/>
    </w:pPr>
    <w:rPr>
      <w:sz w:val="22"/>
      <w:u w:val="single"/>
    </w:rPr>
  </w:style>
  <w:style w:type="numbering" w:customStyle="1" w:styleId="FRAHeadings">
    <w:name w:val="(FRA) Headings"/>
    <w:uiPriority w:val="99"/>
    <w:rsid w:val="007F6EA1"/>
    <w:pPr>
      <w:numPr>
        <w:numId w:val="1"/>
      </w:numPr>
    </w:pPr>
  </w:style>
  <w:style w:type="character" w:styleId="Emphasis">
    <w:name w:val="Emphasis"/>
    <w:basedOn w:val="DefaultParagraphFont"/>
    <w:uiPriority w:val="20"/>
    <w:qFormat/>
    <w:rsid w:val="001052E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052E9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1052E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052E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2E9"/>
    <w:rPr>
      <w:rFonts w:ascii="Verdana" w:eastAsia="Times New Roman" w:hAnsi="Verdana" w:cs="Times New Roman"/>
      <w:i/>
      <w:iCs/>
      <w:color w:val="404040" w:themeColor="text1" w:themeTint="BF"/>
      <w:sz w:val="20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2E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2E9"/>
    <w:rPr>
      <w:rFonts w:ascii="Verdana" w:eastAsia="Times New Roman" w:hAnsi="Verdana" w:cs="Times New Roman"/>
      <w:i/>
      <w:iCs/>
      <w:color w:val="5B9BD5" w:themeColor="accent1"/>
      <w:sz w:val="20"/>
      <w:lang w:eastAsia="en-GB"/>
    </w:rPr>
  </w:style>
  <w:style w:type="character" w:styleId="SubtleReference">
    <w:name w:val="Subtle Reference"/>
    <w:basedOn w:val="DefaultParagraphFont"/>
    <w:uiPriority w:val="31"/>
    <w:qFormat/>
    <w:rsid w:val="001052E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052E9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052E9"/>
    <w:rPr>
      <w:b/>
      <w:bCs/>
      <w:i/>
      <w:iCs/>
      <w:spacing w:val="5"/>
    </w:rPr>
  </w:style>
  <w:style w:type="paragraph" w:customStyle="1" w:styleId="FRASubject">
    <w:name w:val="(FRA) Subject"/>
    <w:basedOn w:val="Normal"/>
    <w:next w:val="Normal"/>
    <w:qFormat/>
    <w:rsid w:val="001833D4"/>
    <w:pPr>
      <w:widowControl w:val="0"/>
      <w:textAlignment w:val="center"/>
    </w:pPr>
    <w:rPr>
      <w:rFonts w:eastAsia="Cambria" w:cs="MinionPro-Regular"/>
      <w:b/>
      <w:color w:val="000000"/>
      <w:sz w:val="22"/>
      <w:lang w:val="en-IE" w:eastAsia="de-DE"/>
    </w:rPr>
  </w:style>
  <w:style w:type="paragraph" w:styleId="Header">
    <w:name w:val="header"/>
    <w:basedOn w:val="Normal"/>
    <w:link w:val="HeaderChar"/>
    <w:uiPriority w:val="99"/>
    <w:unhideWhenUsed/>
    <w:rsid w:val="001833D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3D4"/>
    <w:rPr>
      <w:rFonts w:ascii="Verdana" w:eastAsia="Times New Roman" w:hAnsi="Verdana" w:cs="Times New Roman"/>
      <w:noProof/>
      <w:sz w:val="20"/>
      <w:lang w:eastAsia="en-GB"/>
    </w:rPr>
  </w:style>
  <w:style w:type="paragraph" w:customStyle="1" w:styleId="FRAFooter">
    <w:name w:val="(FRA) Footer"/>
    <w:basedOn w:val="Normal"/>
    <w:qFormat/>
    <w:rsid w:val="00922291"/>
    <w:pPr>
      <w:ind w:left="-170"/>
    </w:pPr>
    <w:rPr>
      <w:color w:val="404040"/>
      <w:w w:val="95"/>
      <w:sz w:val="12"/>
      <w:szCs w:val="12"/>
    </w:rPr>
  </w:style>
  <w:style w:type="paragraph" w:styleId="Footer">
    <w:name w:val="footer"/>
    <w:basedOn w:val="Normal"/>
    <w:link w:val="FooterChar"/>
    <w:uiPriority w:val="99"/>
    <w:unhideWhenUsed/>
    <w:rsid w:val="00543C72"/>
    <w:pPr>
      <w:tabs>
        <w:tab w:val="center" w:pos="4513"/>
        <w:tab w:val="right" w:pos="9026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964132"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43C72"/>
    <w:rPr>
      <w:rFonts w:ascii="Verdana" w:eastAsia="Times New Roman" w:hAnsi="Verdana" w:cs="Times New Roman"/>
      <w:noProof/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C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C72"/>
    <w:rPr>
      <w:rFonts w:ascii="Segoe UI" w:eastAsia="Times New Roman" w:hAnsi="Segoe UI" w:cs="Segoe UI"/>
      <w:noProof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21F02"/>
    <w:rPr>
      <w:color w:val="808080"/>
    </w:rPr>
  </w:style>
  <w:style w:type="paragraph" w:customStyle="1" w:styleId="FRAFot">
    <w:name w:val="(FRA) Fot"/>
    <w:basedOn w:val="Normal"/>
    <w:qFormat/>
    <w:rsid w:val="00073326"/>
    <w:pPr>
      <w:ind w:left="-170"/>
    </w:pPr>
    <w:rPr>
      <w:color w:val="404040"/>
      <w:w w:val="95"/>
      <w:sz w:val="12"/>
      <w:szCs w:val="12"/>
    </w:rPr>
  </w:style>
  <w:style w:type="paragraph" w:customStyle="1" w:styleId="FRAADDRESS">
    <w:name w:val="(FRA) ADDRESS"/>
    <w:basedOn w:val="Normal"/>
    <w:qFormat/>
    <w:rsid w:val="00234B3E"/>
  </w:style>
  <w:style w:type="character" w:customStyle="1" w:styleId="date-display-single1">
    <w:name w:val="date-display-single1"/>
    <w:basedOn w:val="DefaultParagraphFont"/>
    <w:rsid w:val="0032634D"/>
    <w:rPr>
      <w:i/>
      <w:iCs/>
      <w:color w:val="808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3403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6324">
                  <w:marLeft w:val="0"/>
                  <w:marRight w:val="-14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9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63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622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9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3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ra.europa.eu/en/publication/2016/scope-principle-non-refoulement-contemporary-border-management-evolving-areas-la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FRA_Templates\FRA-Letters\Letter_Dir-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0B09A8-3E42-471A-97E4-390629A95702}"/>
</file>

<file path=customXml/itemProps2.xml><?xml version="1.0" encoding="utf-8"?>
<ds:datastoreItem xmlns:ds="http://schemas.openxmlformats.org/officeDocument/2006/customXml" ds:itemID="{63F22F0A-48A6-4EEA-AACF-7B373E2BA2D0}"/>
</file>

<file path=customXml/itemProps3.xml><?xml version="1.0" encoding="utf-8"?>
<ds:datastoreItem xmlns:ds="http://schemas.openxmlformats.org/officeDocument/2006/customXml" ds:itemID="{465E9245-AB40-4760-8A73-03F09F3A060A}"/>
</file>

<file path=docProps/app.xml><?xml version="1.0" encoding="utf-8"?>
<Properties xmlns="http://schemas.openxmlformats.org/officeDocument/2006/extended-properties" xmlns:vt="http://schemas.openxmlformats.org/officeDocument/2006/docPropsVTypes">
  <Template>Letter_Dir-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 - Letter</vt:lpstr>
    </vt:vector>
  </TitlesOfParts>
  <Company>EU Fundamental Rights Agency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 Tamas (FRA)</dc:creator>
  <cp:keywords>FRA</cp:keywords>
  <dc:description/>
  <cp:lastModifiedBy>PERLIN Zorana (FRA)</cp:lastModifiedBy>
  <cp:revision>2</cp:revision>
  <cp:lastPrinted>2016-05-03T12:12:00Z</cp:lastPrinted>
  <dcterms:created xsi:type="dcterms:W3CDTF">2017-02-20T09:09:00Z</dcterms:created>
  <dcterms:modified xsi:type="dcterms:W3CDTF">2017-02-20T09:09:00Z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