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41" w:rsidRPr="00364864" w:rsidRDefault="008513F8" w:rsidP="008513F8">
      <w:pPr>
        <w:pStyle w:val="NormalWeb"/>
        <w:spacing w:before="2" w:after="2"/>
        <w:jc w:val="center"/>
        <w:rPr>
          <w:rFonts w:ascii="Times New Roman,Bold" w:hAnsi="Times New Roman,Bold"/>
          <w:b/>
          <w:sz w:val="24"/>
          <w:szCs w:val="28"/>
        </w:rPr>
      </w:pPr>
      <w:bookmarkStart w:id="0" w:name="_GoBack"/>
      <w:bookmarkEnd w:id="0"/>
      <w:r w:rsidRPr="00364864">
        <w:rPr>
          <w:rFonts w:ascii="Times New Roman,Bold" w:hAnsi="Times New Roman,Bold"/>
          <w:b/>
          <w:sz w:val="24"/>
          <w:szCs w:val="28"/>
        </w:rPr>
        <w:t>Debate general sobre el borrador de la nueva Observación General sobre la aplicación del artículo 3 de la Convención</w:t>
      </w:r>
      <w:r w:rsidR="001F3F41" w:rsidRPr="00364864">
        <w:rPr>
          <w:rFonts w:ascii="Times New Roman,Bold" w:hAnsi="Times New Roman,Bold"/>
          <w:b/>
          <w:sz w:val="24"/>
          <w:szCs w:val="28"/>
        </w:rPr>
        <w:t xml:space="preserve"> contra la Tortura</w:t>
      </w:r>
      <w:r w:rsidRPr="00364864">
        <w:rPr>
          <w:rFonts w:ascii="Times New Roman,Bold" w:hAnsi="Times New Roman,Bold"/>
          <w:b/>
          <w:sz w:val="24"/>
          <w:szCs w:val="28"/>
        </w:rPr>
        <w:t xml:space="preserve"> en el contexto del artículo 22</w:t>
      </w:r>
    </w:p>
    <w:p w:rsidR="001F3F41" w:rsidRPr="00364864" w:rsidRDefault="001F3F41" w:rsidP="008513F8">
      <w:pPr>
        <w:pStyle w:val="NormalWeb"/>
        <w:spacing w:before="2" w:after="2"/>
        <w:jc w:val="center"/>
        <w:rPr>
          <w:rFonts w:ascii="Times New Roman,Bold" w:hAnsi="Times New Roman,Bold"/>
          <w:b/>
          <w:sz w:val="24"/>
          <w:szCs w:val="28"/>
        </w:rPr>
      </w:pPr>
    </w:p>
    <w:p w:rsidR="001F3F41" w:rsidRPr="00364864" w:rsidRDefault="001F3F41" w:rsidP="008513F8">
      <w:pPr>
        <w:pStyle w:val="NormalWeb"/>
        <w:spacing w:before="2" w:after="2"/>
        <w:jc w:val="center"/>
        <w:rPr>
          <w:rFonts w:ascii="Times New Roman,Bold" w:hAnsi="Times New Roman,Bold"/>
          <w:b/>
          <w:sz w:val="24"/>
          <w:szCs w:val="28"/>
        </w:rPr>
      </w:pPr>
      <w:r w:rsidRPr="00364864">
        <w:rPr>
          <w:rFonts w:ascii="Times New Roman,Bold" w:hAnsi="Times New Roman,Bold"/>
          <w:b/>
          <w:sz w:val="24"/>
          <w:szCs w:val="28"/>
        </w:rPr>
        <w:t>Intervención de España</w:t>
      </w:r>
    </w:p>
    <w:p w:rsidR="008513F8" w:rsidRPr="00364864" w:rsidRDefault="008513F8" w:rsidP="008513F8">
      <w:pPr>
        <w:pStyle w:val="NormalWeb"/>
        <w:spacing w:before="2" w:after="2"/>
        <w:jc w:val="center"/>
        <w:rPr>
          <w:rFonts w:ascii="Times New Roman,Bold" w:hAnsi="Times New Roman,Bold"/>
          <w:b/>
          <w:sz w:val="24"/>
          <w:szCs w:val="28"/>
        </w:rPr>
      </w:pPr>
    </w:p>
    <w:p w:rsidR="008513F8" w:rsidRPr="00364864" w:rsidRDefault="008513F8" w:rsidP="008513F8">
      <w:pPr>
        <w:spacing w:after="0"/>
        <w:jc w:val="center"/>
        <w:rPr>
          <w:rFonts w:ascii="Times New Roman" w:eastAsia="Times New Roman" w:hAnsi="Times New Roman" w:cs="Times New Roman"/>
          <w:szCs w:val="26"/>
        </w:rPr>
      </w:pPr>
      <w:r w:rsidRPr="00364864">
        <w:rPr>
          <w:rFonts w:ascii="Times New Roman,Bold" w:hAnsi="Times New Roman,Bold"/>
          <w:szCs w:val="28"/>
        </w:rPr>
        <w:t xml:space="preserve">Ginebra, </w:t>
      </w:r>
      <w:r w:rsidRPr="00364864">
        <w:rPr>
          <w:rFonts w:ascii="Times New Roman" w:eastAsia="Times New Roman" w:hAnsi="Times New Roman" w:cs="Times New Roman"/>
          <w:szCs w:val="26"/>
        </w:rPr>
        <w:t>28 Abril 2017, 10 – 1</w:t>
      </w:r>
      <w:r w:rsidR="00364864">
        <w:rPr>
          <w:rFonts w:ascii="Times New Roman" w:eastAsia="Times New Roman" w:hAnsi="Times New Roman" w:cs="Times New Roman"/>
          <w:szCs w:val="26"/>
        </w:rPr>
        <w:t>3h (</w:t>
      </w:r>
      <w:r w:rsidRPr="00364864">
        <w:rPr>
          <w:rFonts w:ascii="Times New Roman" w:eastAsia="Times New Roman" w:hAnsi="Times New Roman" w:cs="Times New Roman"/>
          <w:szCs w:val="26"/>
        </w:rPr>
        <w:t>Palais des Nations, Sala XVII</w:t>
      </w:r>
      <w:r w:rsidR="00364864">
        <w:rPr>
          <w:rFonts w:ascii="Times New Roman" w:eastAsia="Times New Roman" w:hAnsi="Times New Roman" w:cs="Times New Roman"/>
          <w:szCs w:val="26"/>
        </w:rPr>
        <w:t>)</w:t>
      </w:r>
    </w:p>
    <w:p w:rsidR="008513F8" w:rsidRPr="008513F8" w:rsidRDefault="008513F8" w:rsidP="008513F8">
      <w:pPr>
        <w:pStyle w:val="NormalWeb"/>
        <w:spacing w:before="2" w:after="2"/>
        <w:jc w:val="center"/>
        <w:rPr>
          <w:rFonts w:ascii="Times New Roman,Bold" w:hAnsi="Times New Roman,Bold"/>
          <w:sz w:val="28"/>
          <w:szCs w:val="28"/>
        </w:rPr>
      </w:pPr>
    </w:p>
    <w:p w:rsidR="008513F8" w:rsidRPr="001F3F41" w:rsidRDefault="008513F8" w:rsidP="008513F8">
      <w:pPr>
        <w:pStyle w:val="NormalWeb"/>
        <w:spacing w:before="2" w:after="2"/>
        <w:jc w:val="both"/>
        <w:rPr>
          <w:rFonts w:ascii="Times New Roman,Bold" w:hAnsi="Times New Roman,Bold"/>
          <w:sz w:val="24"/>
          <w:szCs w:val="28"/>
        </w:rPr>
      </w:pPr>
    </w:p>
    <w:p w:rsidR="008D16FF" w:rsidRDefault="001F3F41" w:rsidP="008513F8">
      <w:pPr>
        <w:pStyle w:val="NormalWeb"/>
        <w:spacing w:before="2" w:after="2"/>
        <w:jc w:val="both"/>
        <w:rPr>
          <w:rFonts w:ascii="Times New Roman,Bold" w:hAnsi="Times New Roman,Bold"/>
          <w:sz w:val="24"/>
          <w:szCs w:val="28"/>
        </w:rPr>
      </w:pPr>
      <w:r>
        <w:rPr>
          <w:rFonts w:ascii="Times New Roman,Bold" w:hAnsi="Times New Roman,Bold"/>
          <w:sz w:val="24"/>
          <w:szCs w:val="28"/>
        </w:rPr>
        <w:t xml:space="preserve">España agradece, en primer lugar, </w:t>
      </w:r>
      <w:r w:rsidR="008513F8" w:rsidRPr="001F3F41">
        <w:rPr>
          <w:rFonts w:ascii="Times New Roman,Bold" w:hAnsi="Times New Roman,Bold"/>
          <w:sz w:val="24"/>
          <w:szCs w:val="28"/>
        </w:rPr>
        <w:t xml:space="preserve">al Comité la </w:t>
      </w:r>
      <w:r>
        <w:rPr>
          <w:rFonts w:ascii="Times New Roman,Bold" w:hAnsi="Times New Roman,Bold"/>
          <w:sz w:val="24"/>
          <w:szCs w:val="28"/>
        </w:rPr>
        <w:t>prep</w:t>
      </w:r>
      <w:r w:rsidR="008513F8" w:rsidRPr="001F3F41">
        <w:rPr>
          <w:rFonts w:ascii="Times New Roman,Bold" w:hAnsi="Times New Roman,Bold"/>
          <w:sz w:val="24"/>
          <w:szCs w:val="28"/>
        </w:rPr>
        <w:t>a</w:t>
      </w:r>
      <w:r>
        <w:rPr>
          <w:rFonts w:ascii="Times New Roman,Bold" w:hAnsi="Times New Roman,Bold"/>
          <w:sz w:val="24"/>
          <w:szCs w:val="28"/>
        </w:rPr>
        <w:t>ra</w:t>
      </w:r>
      <w:r w:rsidR="008513F8" w:rsidRPr="001F3F41">
        <w:rPr>
          <w:rFonts w:ascii="Times New Roman,Bold" w:hAnsi="Times New Roman,Bold"/>
          <w:sz w:val="24"/>
          <w:szCs w:val="28"/>
        </w:rPr>
        <w:t>ción de</w:t>
      </w:r>
      <w:r>
        <w:rPr>
          <w:rFonts w:ascii="Times New Roman,Bold" w:hAnsi="Times New Roman,Bold"/>
          <w:sz w:val="24"/>
          <w:szCs w:val="28"/>
        </w:rPr>
        <w:t>l borrador d</w:t>
      </w:r>
      <w:r w:rsidR="008513F8" w:rsidRPr="001F3F41">
        <w:rPr>
          <w:rFonts w:ascii="Times New Roman,Bold" w:hAnsi="Times New Roman,Bold"/>
          <w:sz w:val="24"/>
          <w:szCs w:val="28"/>
        </w:rPr>
        <w:t xml:space="preserve">e la nueva </w:t>
      </w:r>
      <w:r>
        <w:rPr>
          <w:rFonts w:ascii="Times New Roman,Bold" w:hAnsi="Times New Roman,Bold"/>
          <w:sz w:val="24"/>
          <w:szCs w:val="28"/>
        </w:rPr>
        <w:t xml:space="preserve">Observación </w:t>
      </w:r>
      <w:r w:rsidR="0092397B">
        <w:rPr>
          <w:rFonts w:ascii="Times New Roman,Bold" w:hAnsi="Times New Roman,Bold"/>
          <w:sz w:val="24"/>
          <w:szCs w:val="28"/>
        </w:rPr>
        <w:t>G</w:t>
      </w:r>
      <w:r>
        <w:rPr>
          <w:rFonts w:ascii="Times New Roman,Bold" w:hAnsi="Times New Roman,Bold"/>
          <w:sz w:val="24"/>
          <w:szCs w:val="28"/>
        </w:rPr>
        <w:t xml:space="preserve">eneral número 1 y desea referirse a la cuestión de las “garantías diplomáticas” tratadas en los párrafos 19 y 20. </w:t>
      </w:r>
    </w:p>
    <w:p w:rsidR="008D16FF" w:rsidRDefault="008D16FF" w:rsidP="008513F8">
      <w:pPr>
        <w:pStyle w:val="NormalWeb"/>
        <w:spacing w:before="2" w:after="2"/>
        <w:jc w:val="both"/>
        <w:rPr>
          <w:rFonts w:ascii="Times New Roman,Bold" w:hAnsi="Times New Roman,Bold"/>
          <w:sz w:val="24"/>
          <w:szCs w:val="28"/>
        </w:rPr>
      </w:pPr>
    </w:p>
    <w:p w:rsidR="00E61A74" w:rsidRDefault="008D16FF" w:rsidP="008513F8">
      <w:pPr>
        <w:pStyle w:val="NormalWeb"/>
        <w:spacing w:before="2" w:after="2"/>
        <w:jc w:val="both"/>
        <w:rPr>
          <w:rFonts w:ascii="Times New Roman,Bold" w:hAnsi="Times New Roman,Bold"/>
          <w:sz w:val="24"/>
          <w:szCs w:val="28"/>
        </w:rPr>
      </w:pPr>
      <w:r>
        <w:rPr>
          <w:rFonts w:ascii="Times New Roman,Bold" w:hAnsi="Times New Roman,Bold"/>
          <w:sz w:val="24"/>
          <w:szCs w:val="28"/>
        </w:rPr>
        <w:t>El principio de no devolución en caso de riesgo de tortura</w:t>
      </w:r>
      <w:r w:rsidR="00AE5B52">
        <w:rPr>
          <w:rFonts w:ascii="Times New Roman,Bold" w:hAnsi="Times New Roman,Bold"/>
          <w:sz w:val="24"/>
          <w:szCs w:val="28"/>
        </w:rPr>
        <w:t xml:space="preserve"> fue </w:t>
      </w:r>
      <w:r>
        <w:rPr>
          <w:rFonts w:ascii="Times New Roman,Bold" w:hAnsi="Times New Roman,Bold"/>
          <w:sz w:val="24"/>
          <w:szCs w:val="28"/>
        </w:rPr>
        <w:t xml:space="preserve">reconocido </w:t>
      </w:r>
      <w:r w:rsidR="00AE5B52">
        <w:rPr>
          <w:rFonts w:ascii="Times New Roman,Bold" w:hAnsi="Times New Roman,Bold"/>
          <w:sz w:val="24"/>
          <w:szCs w:val="28"/>
        </w:rPr>
        <w:t xml:space="preserve">expresamente </w:t>
      </w:r>
      <w:r>
        <w:rPr>
          <w:rFonts w:ascii="Times New Roman,Bold" w:hAnsi="Times New Roman,Bold"/>
          <w:sz w:val="24"/>
          <w:szCs w:val="28"/>
        </w:rPr>
        <w:t xml:space="preserve">por primera vez en el </w:t>
      </w:r>
      <w:r w:rsidR="00AE5B52">
        <w:rPr>
          <w:rFonts w:ascii="Times New Roman,Bold" w:hAnsi="Times New Roman,Bold"/>
          <w:sz w:val="24"/>
          <w:szCs w:val="28"/>
        </w:rPr>
        <w:t>CAT</w:t>
      </w:r>
      <w:r>
        <w:rPr>
          <w:rFonts w:ascii="Times New Roman,Bold" w:hAnsi="Times New Roman,Bold"/>
          <w:sz w:val="24"/>
          <w:szCs w:val="28"/>
        </w:rPr>
        <w:t xml:space="preserve"> y ha sido después reproducido por otros instrumentos internacionales. </w:t>
      </w:r>
      <w:r w:rsidR="00AE5B52">
        <w:rPr>
          <w:rFonts w:ascii="Times New Roman,Bold" w:hAnsi="Times New Roman,Bold"/>
          <w:sz w:val="24"/>
          <w:szCs w:val="28"/>
        </w:rPr>
        <w:t>Se trata de un principio fundamental e inherente al sistema de</w:t>
      </w:r>
      <w:r w:rsidR="00812E23">
        <w:rPr>
          <w:rFonts w:ascii="Times New Roman,Bold" w:hAnsi="Times New Roman,Bold"/>
          <w:sz w:val="24"/>
          <w:szCs w:val="28"/>
        </w:rPr>
        <w:t xml:space="preserve"> </w:t>
      </w:r>
      <w:r w:rsidR="00AE5B52">
        <w:rPr>
          <w:rFonts w:ascii="Times New Roman,Bold" w:hAnsi="Times New Roman,Bold"/>
          <w:sz w:val="24"/>
          <w:szCs w:val="28"/>
        </w:rPr>
        <w:t>l</w:t>
      </w:r>
      <w:r w:rsidR="00812E23">
        <w:rPr>
          <w:rFonts w:ascii="Times New Roman,Bold" w:hAnsi="Times New Roman,Bold"/>
          <w:sz w:val="24"/>
          <w:szCs w:val="28"/>
        </w:rPr>
        <w:t xml:space="preserve">a Convención </w:t>
      </w:r>
      <w:r w:rsidR="00E61A74">
        <w:rPr>
          <w:rFonts w:ascii="Times New Roman,Bold" w:hAnsi="Times New Roman,Bold"/>
          <w:sz w:val="24"/>
          <w:szCs w:val="28"/>
        </w:rPr>
        <w:t xml:space="preserve">y </w:t>
      </w:r>
      <w:r w:rsidR="00812E23">
        <w:rPr>
          <w:rFonts w:ascii="Times New Roman,Bold" w:hAnsi="Times New Roman,Bold"/>
          <w:sz w:val="24"/>
          <w:szCs w:val="28"/>
        </w:rPr>
        <w:t xml:space="preserve">a </w:t>
      </w:r>
      <w:r w:rsidR="00E61A74">
        <w:rPr>
          <w:rFonts w:ascii="Times New Roman,Bold" w:hAnsi="Times New Roman,Bold"/>
          <w:sz w:val="24"/>
          <w:szCs w:val="28"/>
        </w:rPr>
        <w:t>la prohibición general de la tortura</w:t>
      </w:r>
      <w:r w:rsidR="00812E23">
        <w:rPr>
          <w:rFonts w:ascii="Times New Roman,Bold" w:hAnsi="Times New Roman,Bold"/>
          <w:sz w:val="24"/>
          <w:szCs w:val="28"/>
        </w:rPr>
        <w:t xml:space="preserve"> en derecho internacional</w:t>
      </w:r>
      <w:r w:rsidR="00E61A74">
        <w:rPr>
          <w:rFonts w:ascii="Times New Roman,Bold" w:hAnsi="Times New Roman,Bold"/>
          <w:sz w:val="24"/>
          <w:szCs w:val="28"/>
        </w:rPr>
        <w:t xml:space="preserve">, </w:t>
      </w:r>
      <w:r w:rsidR="00AE5B52">
        <w:rPr>
          <w:rFonts w:ascii="Times New Roman,Bold" w:hAnsi="Times New Roman,Bold"/>
          <w:sz w:val="24"/>
          <w:szCs w:val="28"/>
        </w:rPr>
        <w:t>que nuestra legislación nacional</w:t>
      </w:r>
      <w:r w:rsidR="00E61A74">
        <w:rPr>
          <w:rFonts w:ascii="Times New Roman,Bold" w:hAnsi="Times New Roman,Bold"/>
          <w:sz w:val="24"/>
          <w:szCs w:val="28"/>
        </w:rPr>
        <w:t xml:space="preserve"> (la ley e</w:t>
      </w:r>
      <w:r w:rsidR="00AE5B52">
        <w:rPr>
          <w:rFonts w:ascii="Times New Roman,Bold" w:hAnsi="Times New Roman,Bold"/>
          <w:sz w:val="24"/>
          <w:szCs w:val="28"/>
        </w:rPr>
        <w:t>spañola de extradición pasiva) también recoge, como no podía se</w:t>
      </w:r>
      <w:r w:rsidR="00812E23">
        <w:rPr>
          <w:rFonts w:ascii="Times New Roman,Bold" w:hAnsi="Times New Roman,Bold"/>
          <w:sz w:val="24"/>
          <w:szCs w:val="28"/>
        </w:rPr>
        <w:t>r</w:t>
      </w:r>
      <w:r w:rsidR="00AE5B52">
        <w:rPr>
          <w:rFonts w:ascii="Times New Roman,Bold" w:hAnsi="Times New Roman,Bold"/>
          <w:sz w:val="24"/>
          <w:szCs w:val="28"/>
        </w:rPr>
        <w:t xml:space="preserve"> de otra forma.</w:t>
      </w:r>
      <w:r w:rsidR="00E61A74">
        <w:rPr>
          <w:rFonts w:ascii="Times New Roman,Bold" w:hAnsi="Times New Roman,Bold"/>
          <w:sz w:val="24"/>
          <w:szCs w:val="28"/>
        </w:rPr>
        <w:t xml:space="preserve"> </w:t>
      </w:r>
    </w:p>
    <w:p w:rsidR="00E61A74" w:rsidRDefault="00E61A74" w:rsidP="008513F8">
      <w:pPr>
        <w:pStyle w:val="NormalWeb"/>
        <w:spacing w:before="2" w:after="2"/>
        <w:jc w:val="both"/>
        <w:rPr>
          <w:rFonts w:ascii="Times New Roman,Bold" w:hAnsi="Times New Roman,Bold"/>
          <w:sz w:val="24"/>
          <w:szCs w:val="28"/>
        </w:rPr>
      </w:pPr>
    </w:p>
    <w:p w:rsidR="00DA6838" w:rsidRDefault="00E61A74" w:rsidP="008513F8">
      <w:pPr>
        <w:pStyle w:val="NormalWeb"/>
        <w:spacing w:before="2" w:after="2"/>
        <w:jc w:val="both"/>
        <w:rPr>
          <w:rFonts w:ascii="Times New Roman,Bold" w:hAnsi="Times New Roman,Bold"/>
          <w:sz w:val="24"/>
          <w:szCs w:val="28"/>
        </w:rPr>
      </w:pPr>
      <w:r>
        <w:rPr>
          <w:rFonts w:ascii="Times New Roman,Bold" w:hAnsi="Times New Roman,Bold"/>
          <w:sz w:val="24"/>
          <w:szCs w:val="28"/>
        </w:rPr>
        <w:t xml:space="preserve">Ahora bien, </w:t>
      </w:r>
      <w:r w:rsidR="006C4DC2">
        <w:rPr>
          <w:rFonts w:ascii="Times New Roman,Bold" w:hAnsi="Times New Roman,Bold"/>
          <w:sz w:val="24"/>
          <w:szCs w:val="28"/>
        </w:rPr>
        <w:t xml:space="preserve">España considera que las denominadas </w:t>
      </w:r>
      <w:r>
        <w:rPr>
          <w:rFonts w:ascii="Times New Roman,Bold" w:hAnsi="Times New Roman,Bold"/>
          <w:sz w:val="24"/>
          <w:szCs w:val="28"/>
        </w:rPr>
        <w:t xml:space="preserve">“garantías </w:t>
      </w:r>
      <w:r w:rsidR="006C4DC2">
        <w:rPr>
          <w:rFonts w:ascii="Times New Roman,Bold" w:hAnsi="Times New Roman,Bold"/>
          <w:sz w:val="24"/>
          <w:szCs w:val="28"/>
        </w:rPr>
        <w:t>diplomáticas</w:t>
      </w:r>
      <w:r>
        <w:rPr>
          <w:rFonts w:ascii="Times New Roman,Bold" w:hAnsi="Times New Roman,Bold"/>
          <w:sz w:val="24"/>
          <w:szCs w:val="28"/>
        </w:rPr>
        <w:t xml:space="preserve">” </w:t>
      </w:r>
      <w:r w:rsidR="006C4DC2">
        <w:rPr>
          <w:rFonts w:ascii="Times New Roman,Bold" w:hAnsi="Times New Roman,Bold"/>
          <w:sz w:val="24"/>
          <w:szCs w:val="28"/>
        </w:rPr>
        <w:t xml:space="preserve">dadas por el Estado receptor pueden </w:t>
      </w:r>
      <w:r w:rsidR="0095274E">
        <w:rPr>
          <w:rFonts w:ascii="Times New Roman,Bold" w:hAnsi="Times New Roman,Bold"/>
          <w:sz w:val="24"/>
          <w:szCs w:val="28"/>
        </w:rPr>
        <w:t>constituir uno de los medios que permitan asegurar el cumplim</w:t>
      </w:r>
      <w:r w:rsidR="00432EBF">
        <w:rPr>
          <w:rFonts w:ascii="Times New Roman,Bold" w:hAnsi="Times New Roman,Bold"/>
          <w:sz w:val="24"/>
          <w:szCs w:val="28"/>
        </w:rPr>
        <w:t xml:space="preserve">iento de </w:t>
      </w:r>
      <w:r w:rsidR="00812E23">
        <w:rPr>
          <w:rFonts w:ascii="Times New Roman,Bold" w:hAnsi="Times New Roman,Bold"/>
          <w:sz w:val="24"/>
          <w:szCs w:val="28"/>
        </w:rPr>
        <w:t xml:space="preserve">dicha </w:t>
      </w:r>
      <w:r w:rsidR="00432EBF">
        <w:rPr>
          <w:rFonts w:ascii="Times New Roman,Bold" w:hAnsi="Times New Roman,Bold"/>
          <w:sz w:val="24"/>
          <w:szCs w:val="28"/>
        </w:rPr>
        <w:t>prohibición y constituir una adecuada protección frente al riesgo de tortura.</w:t>
      </w:r>
      <w:r w:rsidR="0095274E">
        <w:rPr>
          <w:rFonts w:ascii="Times New Roman,Bold" w:hAnsi="Times New Roman,Bold"/>
          <w:sz w:val="24"/>
          <w:szCs w:val="28"/>
        </w:rPr>
        <w:t xml:space="preserve"> Para </w:t>
      </w:r>
      <w:r w:rsidR="00432EBF">
        <w:rPr>
          <w:rFonts w:ascii="Times New Roman,Bold" w:hAnsi="Times New Roman,Bold"/>
          <w:sz w:val="24"/>
          <w:szCs w:val="28"/>
        </w:rPr>
        <w:t>ello</w:t>
      </w:r>
      <w:r w:rsidR="0095274E">
        <w:rPr>
          <w:rFonts w:ascii="Times New Roman,Bold" w:hAnsi="Times New Roman,Bold"/>
          <w:sz w:val="24"/>
          <w:szCs w:val="28"/>
        </w:rPr>
        <w:t>, dichas garantías deben cumplir los requisitos establecidos en la jurisprudencia del Tribunal</w:t>
      </w:r>
      <w:r w:rsidR="00432EBF">
        <w:rPr>
          <w:rFonts w:ascii="Times New Roman,Bold" w:hAnsi="Times New Roman,Bold"/>
          <w:sz w:val="24"/>
          <w:szCs w:val="28"/>
        </w:rPr>
        <w:t xml:space="preserve"> Europeo de Derechos Humanos: </w:t>
      </w:r>
      <w:r w:rsidR="00340F63">
        <w:rPr>
          <w:rFonts w:ascii="Times New Roman,Bold" w:hAnsi="Times New Roman,Bold"/>
          <w:sz w:val="24"/>
          <w:szCs w:val="28"/>
        </w:rPr>
        <w:t xml:space="preserve">entre otros, </w:t>
      </w:r>
      <w:r w:rsidR="00432EBF">
        <w:rPr>
          <w:rFonts w:ascii="Times New Roman,Bold" w:hAnsi="Times New Roman,Bold"/>
          <w:sz w:val="24"/>
          <w:szCs w:val="28"/>
        </w:rPr>
        <w:t xml:space="preserve">ser específicas y no generales, </w:t>
      </w:r>
      <w:r w:rsidR="00340F63">
        <w:rPr>
          <w:rFonts w:ascii="Times New Roman,Bold" w:hAnsi="Times New Roman,Bold"/>
          <w:sz w:val="24"/>
          <w:szCs w:val="28"/>
        </w:rPr>
        <w:t>haber sido</w:t>
      </w:r>
      <w:r w:rsidR="00DA6838">
        <w:rPr>
          <w:rFonts w:ascii="Times New Roman,Bold" w:hAnsi="Times New Roman,Bold"/>
          <w:sz w:val="24"/>
          <w:szCs w:val="28"/>
        </w:rPr>
        <w:t xml:space="preserve"> emitidas por la autoridad competente, existencia de unas relaciones bilaterales sólidas entre ambos Estados</w:t>
      </w:r>
      <w:r w:rsidR="00340F63">
        <w:rPr>
          <w:rFonts w:ascii="Times New Roman,Bold" w:hAnsi="Times New Roman,Bold"/>
          <w:sz w:val="24"/>
          <w:szCs w:val="28"/>
        </w:rPr>
        <w:t xml:space="preserve"> o </w:t>
      </w:r>
      <w:r w:rsidR="00DA6838">
        <w:rPr>
          <w:rFonts w:ascii="Times New Roman,Bold" w:hAnsi="Times New Roman,Bold"/>
          <w:sz w:val="24"/>
          <w:szCs w:val="28"/>
        </w:rPr>
        <w:t>existencia de un sistema de verificación o supervisión fiab</w:t>
      </w:r>
      <w:r w:rsidR="00340F63">
        <w:rPr>
          <w:rFonts w:ascii="Times New Roman,Bold" w:hAnsi="Times New Roman,Bold"/>
          <w:sz w:val="24"/>
          <w:szCs w:val="28"/>
        </w:rPr>
        <w:t>le en el Estado receptor</w:t>
      </w:r>
      <w:r w:rsidR="00DA6838">
        <w:rPr>
          <w:rFonts w:ascii="Times New Roman,Bold" w:hAnsi="Times New Roman,Bold"/>
          <w:sz w:val="24"/>
          <w:szCs w:val="28"/>
        </w:rPr>
        <w:t xml:space="preserve">. El Estado que extradita tiene la responsabilidad de evaluar la “calidad” de estas garantías. </w:t>
      </w:r>
    </w:p>
    <w:p w:rsidR="00DA6838" w:rsidRDefault="00DA6838" w:rsidP="008513F8">
      <w:pPr>
        <w:pStyle w:val="NormalWeb"/>
        <w:spacing w:before="2" w:after="2"/>
        <w:jc w:val="both"/>
        <w:rPr>
          <w:rFonts w:ascii="Times New Roman,Bold" w:hAnsi="Times New Roman,Bold"/>
          <w:sz w:val="24"/>
          <w:szCs w:val="28"/>
        </w:rPr>
      </w:pPr>
    </w:p>
    <w:p w:rsidR="00DA6838" w:rsidRDefault="00DA6838" w:rsidP="008513F8">
      <w:pPr>
        <w:pStyle w:val="NormalWeb"/>
        <w:spacing w:before="2" w:after="2"/>
        <w:jc w:val="both"/>
        <w:rPr>
          <w:rFonts w:ascii="Times New Roman,Bold" w:hAnsi="Times New Roman,Bold"/>
          <w:sz w:val="24"/>
          <w:szCs w:val="28"/>
        </w:rPr>
      </w:pPr>
      <w:r>
        <w:rPr>
          <w:rFonts w:ascii="Times New Roman,Bold" w:hAnsi="Times New Roman,Bold"/>
          <w:sz w:val="24"/>
          <w:szCs w:val="28"/>
        </w:rPr>
        <w:t xml:space="preserve">Las garantías diplomáticas son efectivamente tenidas en cuenta por la legislación española. Mi país considera que la redacción actual del párrafo 20 del borrador es excesivamente tajante en la medida en que no debería considerarse que las garantías diplomáticas son, por su propia naturaleza, contrarias al principio de </w:t>
      </w:r>
      <w:r w:rsidR="00FD71F8">
        <w:rPr>
          <w:rFonts w:ascii="Times New Roman,Bold" w:hAnsi="Times New Roman,Bold"/>
          <w:sz w:val="24"/>
          <w:szCs w:val="28"/>
        </w:rPr>
        <w:t>no devolución</w:t>
      </w:r>
      <w:r>
        <w:rPr>
          <w:rFonts w:ascii="Times New Roman,Bold" w:hAnsi="Times New Roman,Bold"/>
          <w:sz w:val="24"/>
          <w:szCs w:val="28"/>
        </w:rPr>
        <w:t>. Ello sólo sería así si no cumplen los requisitos antes mencionados. No debemos caer en el error de establecer una presunción de que el Estado receptor va a vulnerar los derechos humanos.</w:t>
      </w:r>
    </w:p>
    <w:p w:rsidR="00DA6838" w:rsidRDefault="00DA6838" w:rsidP="008513F8">
      <w:pPr>
        <w:pStyle w:val="NormalWeb"/>
        <w:spacing w:before="2" w:after="2"/>
        <w:jc w:val="both"/>
        <w:rPr>
          <w:rFonts w:ascii="Times New Roman,Bold" w:hAnsi="Times New Roman,Bold"/>
          <w:sz w:val="24"/>
          <w:szCs w:val="28"/>
        </w:rPr>
      </w:pPr>
    </w:p>
    <w:p w:rsidR="00DA6838" w:rsidRDefault="00DA6838" w:rsidP="008513F8">
      <w:pPr>
        <w:pStyle w:val="NormalWeb"/>
        <w:spacing w:before="2" w:after="2"/>
        <w:jc w:val="both"/>
        <w:rPr>
          <w:rFonts w:ascii="Times New Roman,Bold" w:hAnsi="Times New Roman,Bold"/>
          <w:sz w:val="24"/>
          <w:szCs w:val="28"/>
        </w:rPr>
      </w:pPr>
      <w:r>
        <w:rPr>
          <w:rFonts w:ascii="Times New Roman,Bold" w:hAnsi="Times New Roman,Bold"/>
          <w:sz w:val="24"/>
          <w:szCs w:val="28"/>
        </w:rPr>
        <w:t>Por ello, se podría reformular el párrafo 20 como sigue:</w:t>
      </w:r>
    </w:p>
    <w:p w:rsidR="00DA6838" w:rsidRDefault="00DA6838" w:rsidP="008513F8">
      <w:pPr>
        <w:pStyle w:val="NormalWeb"/>
        <w:spacing w:before="2" w:after="2"/>
        <w:jc w:val="both"/>
        <w:rPr>
          <w:rFonts w:ascii="Times New Roman,Bold" w:hAnsi="Times New Roman,Bold"/>
          <w:sz w:val="24"/>
          <w:szCs w:val="28"/>
        </w:rPr>
      </w:pPr>
    </w:p>
    <w:p w:rsidR="00FD71F8" w:rsidRDefault="00DA6838" w:rsidP="00364864">
      <w:pPr>
        <w:pStyle w:val="NormalWeb"/>
        <w:spacing w:before="2" w:after="2"/>
        <w:jc w:val="both"/>
        <w:rPr>
          <w:rFonts w:ascii="Times New Roman,Bold" w:hAnsi="Times New Roman,Bold"/>
          <w:sz w:val="24"/>
          <w:szCs w:val="28"/>
        </w:rPr>
      </w:pPr>
      <w:r>
        <w:rPr>
          <w:rFonts w:ascii="Times New Roman,Bold" w:hAnsi="Times New Roman,Bold"/>
          <w:sz w:val="24"/>
          <w:szCs w:val="28"/>
        </w:rPr>
        <w:t>“</w:t>
      </w:r>
      <w:r w:rsidRPr="00364864">
        <w:rPr>
          <w:rFonts w:ascii="Times New Roman,Bold" w:hAnsi="Times New Roman,Bold"/>
          <w:i/>
          <w:sz w:val="24"/>
          <w:szCs w:val="28"/>
        </w:rPr>
        <w:t>El Comité considera</w:t>
      </w:r>
      <w:r w:rsidR="00364864" w:rsidRPr="00364864">
        <w:rPr>
          <w:rFonts w:ascii="Times New Roman,Bold" w:hAnsi="Times New Roman,Bold"/>
          <w:i/>
          <w:sz w:val="24"/>
          <w:szCs w:val="28"/>
        </w:rPr>
        <w:t xml:space="preserve"> que las garantías diplomáticas, cuando haya motivos fundados para creer que la persona correría el peligro de ser sometida a torturas en ese Estado, </w:t>
      </w:r>
      <w:r w:rsidR="00364864" w:rsidRPr="00364864">
        <w:rPr>
          <w:rFonts w:ascii="Times New Roman,Bold" w:hAnsi="Times New Roman,Bold"/>
          <w:sz w:val="24"/>
          <w:szCs w:val="28"/>
          <w:u w:val="single"/>
        </w:rPr>
        <w:t>podrían llegar a ser</w:t>
      </w:r>
      <w:r w:rsidR="00364864" w:rsidRPr="00364864">
        <w:rPr>
          <w:rFonts w:ascii="Times New Roman,Bold" w:hAnsi="Times New Roman,Bold"/>
          <w:i/>
          <w:sz w:val="24"/>
          <w:szCs w:val="28"/>
        </w:rPr>
        <w:t xml:space="preserve"> contrarias al principio de no devolución dispuesto en el artículo 3 de la Convención y, </w:t>
      </w:r>
      <w:r w:rsidR="00364864" w:rsidRPr="00364864">
        <w:rPr>
          <w:rFonts w:ascii="Times New Roman,Bold" w:hAnsi="Times New Roman,Bold"/>
          <w:sz w:val="24"/>
          <w:szCs w:val="28"/>
          <w:u w:val="single"/>
        </w:rPr>
        <w:t>en tales casos</w:t>
      </w:r>
      <w:r w:rsidR="00364864" w:rsidRPr="00364864">
        <w:rPr>
          <w:rFonts w:ascii="Times New Roman,Bold" w:hAnsi="Times New Roman,Bold"/>
          <w:i/>
          <w:sz w:val="24"/>
          <w:szCs w:val="28"/>
        </w:rPr>
        <w:t>, no se deberían utilizar para evitar la aplicación de ese principio</w:t>
      </w:r>
      <w:r w:rsidR="00364864">
        <w:rPr>
          <w:rFonts w:ascii="Times New Roman,Bold" w:hAnsi="Times New Roman,Bold"/>
          <w:sz w:val="24"/>
          <w:szCs w:val="28"/>
        </w:rPr>
        <w:t xml:space="preserve">”.  </w:t>
      </w:r>
    </w:p>
    <w:p w:rsidR="00FD71F8" w:rsidRDefault="00FD71F8" w:rsidP="00364864">
      <w:pPr>
        <w:pStyle w:val="NormalWeb"/>
        <w:spacing w:before="2" w:after="2"/>
        <w:jc w:val="both"/>
        <w:rPr>
          <w:rFonts w:ascii="Times New Roman,Bold" w:hAnsi="Times New Roman,Bold"/>
          <w:sz w:val="24"/>
          <w:szCs w:val="28"/>
        </w:rPr>
      </w:pPr>
    </w:p>
    <w:p w:rsidR="008513F8" w:rsidRPr="00364864" w:rsidRDefault="00FD71F8" w:rsidP="00364864">
      <w:pPr>
        <w:pStyle w:val="NormalWeb"/>
        <w:spacing w:before="2" w:after="2"/>
        <w:jc w:val="both"/>
        <w:rPr>
          <w:sz w:val="24"/>
        </w:rPr>
      </w:pPr>
      <w:r>
        <w:rPr>
          <w:rFonts w:ascii="Times New Roman,Bold" w:hAnsi="Times New Roman,Bold"/>
          <w:sz w:val="24"/>
          <w:szCs w:val="28"/>
        </w:rPr>
        <w:t xml:space="preserve">Muchas gracias. </w:t>
      </w:r>
    </w:p>
    <w:sectPr w:rsidR="008513F8" w:rsidRPr="00364864" w:rsidSect="008513F8">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Bold">
    <w:altName w:val="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F8"/>
    <w:rsid w:val="001F3F41"/>
    <w:rsid w:val="00340F63"/>
    <w:rsid w:val="00364864"/>
    <w:rsid w:val="00432EBF"/>
    <w:rsid w:val="005C5772"/>
    <w:rsid w:val="006C4DC2"/>
    <w:rsid w:val="00812E23"/>
    <w:rsid w:val="008513F8"/>
    <w:rsid w:val="008D16FF"/>
    <w:rsid w:val="0092397B"/>
    <w:rsid w:val="0095274E"/>
    <w:rsid w:val="00AE5B52"/>
    <w:rsid w:val="00CD05B8"/>
    <w:rsid w:val="00DA6838"/>
    <w:rsid w:val="00E61A74"/>
    <w:rsid w:val="00FD71F8"/>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513F8"/>
    <w:pPr>
      <w:spacing w:beforeLines="1" w:afterLines="1"/>
    </w:pPr>
    <w:rPr>
      <w:rFonts w:ascii="Times" w:hAnsi="Times" w:cs="Times New Roman"/>
      <w:sz w:val="20"/>
      <w:szCs w:val="20"/>
      <w:lang w:eastAsia="es-ES_tradnl"/>
    </w:rPr>
  </w:style>
  <w:style w:type="paragraph" w:styleId="Textosinformato">
    <w:name w:val="Plain Text"/>
    <w:basedOn w:val="Normal"/>
    <w:link w:val="TextosinformatoCar"/>
    <w:uiPriority w:val="99"/>
    <w:unhideWhenUsed/>
    <w:rsid w:val="00432EBF"/>
    <w:pPr>
      <w:spacing w:after="0"/>
    </w:pPr>
    <w:rPr>
      <w:rFonts w:ascii="Calibri" w:hAnsi="Calibri"/>
      <w:sz w:val="22"/>
      <w:szCs w:val="21"/>
      <w:lang w:val="de-DE"/>
    </w:rPr>
  </w:style>
  <w:style w:type="character" w:customStyle="1" w:styleId="TextosinformatoCar">
    <w:name w:val="Texto sin formato Car"/>
    <w:basedOn w:val="Fuentedeprrafopredeter"/>
    <w:link w:val="Textosinformato"/>
    <w:uiPriority w:val="99"/>
    <w:rsid w:val="00432EBF"/>
    <w:rPr>
      <w:rFonts w:ascii="Calibri" w:hAnsi="Calibri"/>
      <w:sz w:val="22"/>
      <w:szCs w:val="2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8513F8"/>
    <w:pPr>
      <w:spacing w:beforeLines="1" w:afterLines="1"/>
    </w:pPr>
    <w:rPr>
      <w:rFonts w:ascii="Times" w:hAnsi="Times" w:cs="Times New Roman"/>
      <w:sz w:val="20"/>
      <w:szCs w:val="20"/>
      <w:lang w:eastAsia="es-ES_tradnl"/>
    </w:rPr>
  </w:style>
  <w:style w:type="paragraph" w:styleId="Textosinformato">
    <w:name w:val="Plain Text"/>
    <w:basedOn w:val="Normal"/>
    <w:link w:val="TextosinformatoCar"/>
    <w:uiPriority w:val="99"/>
    <w:unhideWhenUsed/>
    <w:rsid w:val="00432EBF"/>
    <w:pPr>
      <w:spacing w:after="0"/>
    </w:pPr>
    <w:rPr>
      <w:rFonts w:ascii="Calibri" w:hAnsi="Calibri"/>
      <w:sz w:val="22"/>
      <w:szCs w:val="21"/>
      <w:lang w:val="de-DE"/>
    </w:rPr>
  </w:style>
  <w:style w:type="character" w:customStyle="1" w:styleId="TextosinformatoCar">
    <w:name w:val="Texto sin formato Car"/>
    <w:basedOn w:val="Fuentedeprrafopredeter"/>
    <w:link w:val="Textosinformato"/>
    <w:uiPriority w:val="99"/>
    <w:rsid w:val="00432EBF"/>
    <w:rPr>
      <w:rFonts w:ascii="Calibri" w:hAnsi="Calibri"/>
      <w:sz w:val="22"/>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299990">
      <w:bodyDiv w:val="1"/>
      <w:marLeft w:val="0"/>
      <w:marRight w:val="0"/>
      <w:marTop w:val="0"/>
      <w:marBottom w:val="0"/>
      <w:divBdr>
        <w:top w:val="none" w:sz="0" w:space="0" w:color="auto"/>
        <w:left w:val="none" w:sz="0" w:space="0" w:color="auto"/>
        <w:bottom w:val="none" w:sz="0" w:space="0" w:color="auto"/>
        <w:right w:val="none" w:sz="0" w:space="0" w:color="auto"/>
      </w:divBdr>
    </w:div>
    <w:div w:id="1769545963">
      <w:bodyDiv w:val="1"/>
      <w:marLeft w:val="0"/>
      <w:marRight w:val="0"/>
      <w:marTop w:val="0"/>
      <w:marBottom w:val="0"/>
      <w:divBdr>
        <w:top w:val="none" w:sz="0" w:space="0" w:color="auto"/>
        <w:left w:val="none" w:sz="0" w:space="0" w:color="auto"/>
        <w:bottom w:val="none" w:sz="0" w:space="0" w:color="auto"/>
        <w:right w:val="none" w:sz="0" w:space="0" w:color="auto"/>
      </w:divBdr>
      <w:divsChild>
        <w:div w:id="754979874">
          <w:marLeft w:val="0"/>
          <w:marRight w:val="0"/>
          <w:marTop w:val="0"/>
          <w:marBottom w:val="0"/>
          <w:divBdr>
            <w:top w:val="none" w:sz="0" w:space="0" w:color="auto"/>
            <w:left w:val="none" w:sz="0" w:space="0" w:color="auto"/>
            <w:bottom w:val="none" w:sz="0" w:space="0" w:color="auto"/>
            <w:right w:val="none" w:sz="0" w:space="0" w:color="auto"/>
          </w:divBdr>
          <w:divsChild>
            <w:div w:id="879391900">
              <w:marLeft w:val="0"/>
              <w:marRight w:val="0"/>
              <w:marTop w:val="0"/>
              <w:marBottom w:val="0"/>
              <w:divBdr>
                <w:top w:val="none" w:sz="0" w:space="0" w:color="auto"/>
                <w:left w:val="none" w:sz="0" w:space="0" w:color="auto"/>
                <w:bottom w:val="none" w:sz="0" w:space="0" w:color="auto"/>
                <w:right w:val="none" w:sz="0" w:space="0" w:color="auto"/>
              </w:divBdr>
              <w:divsChild>
                <w:div w:id="15295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73136">
      <w:bodyDiv w:val="1"/>
      <w:marLeft w:val="0"/>
      <w:marRight w:val="0"/>
      <w:marTop w:val="0"/>
      <w:marBottom w:val="0"/>
      <w:divBdr>
        <w:top w:val="none" w:sz="0" w:space="0" w:color="auto"/>
        <w:left w:val="none" w:sz="0" w:space="0" w:color="auto"/>
        <w:bottom w:val="none" w:sz="0" w:space="0" w:color="auto"/>
        <w:right w:val="none" w:sz="0" w:space="0" w:color="auto"/>
      </w:divBdr>
    </w:div>
    <w:div w:id="2036925637">
      <w:bodyDiv w:val="1"/>
      <w:marLeft w:val="0"/>
      <w:marRight w:val="0"/>
      <w:marTop w:val="0"/>
      <w:marBottom w:val="0"/>
      <w:divBdr>
        <w:top w:val="none" w:sz="0" w:space="0" w:color="auto"/>
        <w:left w:val="none" w:sz="0" w:space="0" w:color="auto"/>
        <w:bottom w:val="none" w:sz="0" w:space="0" w:color="auto"/>
        <w:right w:val="none" w:sz="0" w:space="0" w:color="auto"/>
      </w:divBdr>
      <w:divsChild>
        <w:div w:id="2018922161">
          <w:marLeft w:val="0"/>
          <w:marRight w:val="0"/>
          <w:marTop w:val="0"/>
          <w:marBottom w:val="0"/>
          <w:divBdr>
            <w:top w:val="none" w:sz="0" w:space="0" w:color="auto"/>
            <w:left w:val="none" w:sz="0" w:space="0" w:color="auto"/>
            <w:bottom w:val="none" w:sz="0" w:space="0" w:color="auto"/>
            <w:right w:val="none" w:sz="0" w:space="0" w:color="auto"/>
          </w:divBdr>
          <w:divsChild>
            <w:div w:id="1070153105">
              <w:marLeft w:val="0"/>
              <w:marRight w:val="0"/>
              <w:marTop w:val="0"/>
              <w:marBottom w:val="0"/>
              <w:divBdr>
                <w:top w:val="none" w:sz="0" w:space="0" w:color="auto"/>
                <w:left w:val="none" w:sz="0" w:space="0" w:color="auto"/>
                <w:bottom w:val="none" w:sz="0" w:space="0" w:color="auto"/>
                <w:right w:val="none" w:sz="0" w:space="0" w:color="auto"/>
              </w:divBdr>
              <w:divsChild>
                <w:div w:id="2143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4E77D0-6A64-4EB8-9787-F20558386183}"/>
</file>

<file path=customXml/itemProps2.xml><?xml version="1.0" encoding="utf-8"?>
<ds:datastoreItem xmlns:ds="http://schemas.openxmlformats.org/officeDocument/2006/customXml" ds:itemID="{EFB37860-DC54-4AC7-A410-5BAA4010643F}"/>
</file>

<file path=customXml/itemProps3.xml><?xml version="1.0" encoding="utf-8"?>
<ds:datastoreItem xmlns:ds="http://schemas.openxmlformats.org/officeDocument/2006/customXml" ds:itemID="{2A6E97B0-387F-4FED-8EDC-DB640C76D07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 Gómez López</dc:creator>
  <cp:lastModifiedBy>Emilio Pin</cp:lastModifiedBy>
  <cp:revision>2</cp:revision>
  <dcterms:created xsi:type="dcterms:W3CDTF">2017-04-27T06:05:00Z</dcterms:created>
  <dcterms:modified xsi:type="dcterms:W3CDTF">2017-04-27T06:05:00Z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