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A4A" w:rsidRPr="00803A72" w:rsidRDefault="007E0458" w:rsidP="00823A4A">
      <w:pPr>
        <w:pStyle w:val="Header"/>
        <w:rPr>
          <w:rFonts w:cs="Arial"/>
          <w:b/>
          <w:sz w:val="16"/>
          <w:lang w:val="en-GB"/>
        </w:rPr>
      </w:pPr>
      <w:r w:rsidRPr="00803A72">
        <w:rPr>
          <w:rFonts w:cs="Arial"/>
          <w:b/>
          <w:noProof/>
          <w:sz w:val="16"/>
          <w:lang w:val="en-GB"/>
        </w:rPr>
        <mc:AlternateContent>
          <mc:Choice Requires="wps">
            <w:drawing>
              <wp:anchor distT="0" distB="0" distL="114300" distR="114300" simplePos="0" relativeHeight="251657216" behindDoc="0" locked="0" layoutInCell="1" allowOverlap="1" wp14:anchorId="3F759B71" wp14:editId="1DD90768">
                <wp:simplePos x="0" y="0"/>
                <wp:positionH relativeFrom="column">
                  <wp:posOffset>3251835</wp:posOffset>
                </wp:positionH>
                <wp:positionV relativeFrom="paragraph">
                  <wp:posOffset>-111760</wp:posOffset>
                </wp:positionV>
                <wp:extent cx="2514600" cy="6858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685800"/>
                        </a:xfrm>
                        <a:prstGeom prst="rect">
                          <a:avLst/>
                        </a:prstGeom>
                        <a:noFill/>
                        <a:ln>
                          <a:noFill/>
                        </a:ln>
                        <a:extLst>
                          <a:ext uri="{909E8E84-426E-40dd-AFC4-6F175D3DCCD1}">
                            <a14:hiddenFill xmlns:a14="http://schemas.microsoft.com/office/drawing/2010/main">
                              <a:solidFill>
                                <a:srgbClr val="00008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619" w:rsidRPr="00ED214C" w:rsidRDefault="001F0619">
                            <w:pPr>
                              <w:rPr>
                                <w:rFonts w:cs="Arial"/>
                                <w:sz w:val="16"/>
                              </w:rPr>
                            </w:pPr>
                            <w:r w:rsidRPr="00ED214C">
                              <w:rPr>
                                <w:rFonts w:cs="Arial"/>
                                <w:sz w:val="16"/>
                              </w:rPr>
                              <w:t>Telephone (04) 473 1952</w:t>
                            </w:r>
                          </w:p>
                          <w:p w:rsidR="001F0619" w:rsidRPr="00ED214C" w:rsidRDefault="001F0619">
                            <w:pPr>
                              <w:rPr>
                                <w:rFonts w:cs="Arial"/>
                                <w:sz w:val="16"/>
                              </w:rPr>
                            </w:pPr>
                            <w:r w:rsidRPr="00ED214C">
                              <w:rPr>
                                <w:rFonts w:cs="Arial"/>
                                <w:sz w:val="16"/>
                              </w:rPr>
                              <w:t xml:space="preserve">Email </w:t>
                            </w:r>
                            <w:r w:rsidRPr="00ED214C">
                              <w:rPr>
                                <w:rFonts w:cs="Arial"/>
                                <w:sz w:val="16"/>
                              </w:rPr>
                              <w:tab/>
                            </w:r>
                            <w:hyperlink r:id="rId8" w:history="1">
                              <w:r w:rsidRPr="00ED214C">
                                <w:rPr>
                                  <w:rStyle w:val="Hyperlink"/>
                                  <w:rFonts w:cs="Arial"/>
                                  <w:sz w:val="16"/>
                                </w:rPr>
                                <w:t>ellist@tonyellis.co.nz</w:t>
                              </w:r>
                            </w:hyperlink>
                          </w:p>
                          <w:p w:rsidR="001F0619" w:rsidRPr="00ED214C" w:rsidRDefault="001F0619">
                            <w:pPr>
                              <w:rPr>
                                <w:rStyle w:val="Hyperlink"/>
                                <w:rFonts w:cs="Arial"/>
                                <w:sz w:val="16"/>
                              </w:rPr>
                            </w:pPr>
                            <w:hyperlink r:id="rId9" w:history="1">
                              <w:r w:rsidRPr="00ED214C">
                                <w:rPr>
                                  <w:rStyle w:val="Hyperlink"/>
                                  <w:rFonts w:cs="Arial"/>
                                  <w:sz w:val="16"/>
                                </w:rPr>
                                <w:t>http://www.tonyellis.co.nz</w:t>
                              </w:r>
                            </w:hyperlink>
                          </w:p>
                          <w:p w:rsidR="001F0619" w:rsidRPr="00ED214C" w:rsidRDefault="001F0619">
                            <w:pPr>
                              <w:rPr>
                                <w:rFonts w:cs="Arial"/>
                                <w:sz w:val="16"/>
                              </w:rPr>
                            </w:pPr>
                            <w:r w:rsidRPr="00ED214C">
                              <w:rPr>
                                <w:rFonts w:cs="Arial"/>
                                <w:sz w:val="16"/>
                              </w:rPr>
                              <w:t>Appointments available at Vulcan Building Chambers, Vulcan Lane, Auckland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6" type="#_x0000_t202" style="position:absolute;margin-left:256.05pt;margin-top:-8.75pt;width:198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" filled="f" fillcolor="navy" stroked="f">
                <v:textbox>
                  <w:txbxContent>
                    <w:p w:rsidR="001F0619" w:rsidRPr="00ED214C" w:rsidRDefault="001F0619">
                      <w:pPr>
                        <w:rPr>
                          <w:rFonts w:cs="Arial"/>
                          <w:sz w:val="16"/>
                        </w:rPr>
                      </w:pPr>
                      <w:r w:rsidRPr="00ED214C">
                        <w:rPr>
                          <w:rFonts w:cs="Arial"/>
                          <w:sz w:val="16"/>
                        </w:rPr>
                        <w:t>Telephone (04) 473 1952</w:t>
                      </w:r>
                    </w:p>
                    <w:p w:rsidR="001F0619" w:rsidRPr="00ED214C" w:rsidRDefault="001F0619">
                      <w:pPr>
                        <w:rPr>
                          <w:rFonts w:cs="Arial"/>
                          <w:sz w:val="16"/>
                        </w:rPr>
                      </w:pPr>
                      <w:r w:rsidRPr="00ED214C">
                        <w:rPr>
                          <w:rFonts w:cs="Arial"/>
                          <w:sz w:val="16"/>
                        </w:rPr>
                        <w:t xml:space="preserve">Email </w:t>
                      </w:r>
                      <w:r w:rsidRPr="00ED214C">
                        <w:rPr>
                          <w:rFonts w:cs="Arial"/>
                          <w:sz w:val="16"/>
                        </w:rPr>
                        <w:tab/>
                      </w:r>
                      <w:hyperlink r:id="rId10" w:history="1">
                        <w:r w:rsidRPr="00ED214C">
                          <w:rPr>
                            <w:rStyle w:val="Hyperlink"/>
                            <w:rFonts w:cs="Arial"/>
                            <w:sz w:val="16"/>
                          </w:rPr>
                          <w:t>ellist@tonyellis.co.nz</w:t>
                        </w:r>
                      </w:hyperlink>
                    </w:p>
                    <w:p w:rsidR="001F0619" w:rsidRPr="00ED214C" w:rsidRDefault="001F0619">
                      <w:pPr>
                        <w:rPr>
                          <w:rStyle w:val="Hyperlink"/>
                          <w:rFonts w:cs="Arial"/>
                          <w:sz w:val="16"/>
                        </w:rPr>
                      </w:pPr>
                      <w:hyperlink r:id="rId11" w:history="1">
                        <w:r w:rsidRPr="00ED214C">
                          <w:rPr>
                            <w:rStyle w:val="Hyperlink"/>
                            <w:rFonts w:cs="Arial"/>
                            <w:sz w:val="16"/>
                          </w:rPr>
                          <w:t>http://www.tonyellis.co.nz</w:t>
                        </w:r>
                      </w:hyperlink>
                    </w:p>
                    <w:p w:rsidR="001F0619" w:rsidRPr="00ED214C" w:rsidRDefault="001F0619">
                      <w:pPr>
                        <w:rPr>
                          <w:rFonts w:cs="Arial"/>
                          <w:sz w:val="16"/>
                        </w:rPr>
                      </w:pPr>
                      <w:r w:rsidRPr="00ED214C">
                        <w:rPr>
                          <w:rFonts w:cs="Arial"/>
                          <w:sz w:val="16"/>
                        </w:rPr>
                        <w:t>Appointments available at Vulcan Building Chambers, Vulcan Lane, Auckland</w:t>
                      </w:r>
                    </w:p>
                  </w:txbxContent>
                </v:textbox>
              </v:shape>
            </w:pict>
          </mc:Fallback>
        </mc:AlternateContent>
      </w:r>
      <w:r w:rsidRPr="00803A72">
        <w:rPr>
          <w:rFonts w:cs="Arial"/>
          <w:b/>
          <w:noProof/>
          <w:sz w:val="16"/>
          <w:lang w:val="en-GB"/>
        </w:rPr>
        <mc:AlternateContent>
          <mc:Choice Requires="wps">
            <w:drawing>
              <wp:anchor distT="0" distB="0" distL="114300" distR="114300" simplePos="0" relativeHeight="251656192" behindDoc="0" locked="0" layoutInCell="1" allowOverlap="1" wp14:anchorId="29FDF3F4" wp14:editId="0E84A2F2">
                <wp:simplePos x="0" y="0"/>
                <wp:positionH relativeFrom="column">
                  <wp:posOffset>1880235</wp:posOffset>
                </wp:positionH>
                <wp:positionV relativeFrom="paragraph">
                  <wp:posOffset>-111760</wp:posOffset>
                </wp:positionV>
                <wp:extent cx="1280160" cy="685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685800"/>
                        </a:xfrm>
                        <a:prstGeom prst="rect">
                          <a:avLst/>
                        </a:prstGeom>
                        <a:noFill/>
                        <a:ln>
                          <a:noFill/>
                        </a:ln>
                        <a:extLst>
                          <a:ext uri="{909E8E84-426E-40dd-AFC4-6F175D3DCCD1}">
                            <a14:hiddenFill xmlns:a14="http://schemas.microsoft.com/office/drawing/2010/main">
                              <a:solidFill>
                                <a:srgbClr val="000080"/>
                              </a:solidFill>
                            </a14:hiddenFill>
                          </a:ext>
                          <a:ext uri="{91240B29-F687-4f45-9708-019B960494DF}">
                            <a14:hiddenLine xmlns:a14="http://schemas.microsoft.com/office/drawing/2010/main" w="9525">
                              <a:solidFill>
                                <a:srgbClr val="000080"/>
                              </a:solidFill>
                              <a:miter lim="800000"/>
                              <a:headEnd/>
                              <a:tailEnd/>
                            </a14:hiddenLine>
                          </a:ext>
                        </a:extLst>
                      </wps:spPr>
                      <wps:txbx>
                        <w:txbxContent>
                          <w:p w:rsidR="001F0619" w:rsidRPr="00ED214C" w:rsidRDefault="001F0619">
                            <w:pPr>
                              <w:pStyle w:val="Header"/>
                              <w:rPr>
                                <w:rFonts w:cs="Arial"/>
                                <w:sz w:val="16"/>
                              </w:rPr>
                            </w:pPr>
                            <w:r w:rsidRPr="00ED214C">
                              <w:rPr>
                                <w:rFonts w:cs="Arial"/>
                                <w:sz w:val="16"/>
                              </w:rPr>
                              <w:t>Blackstone Chambers</w:t>
                            </w:r>
                          </w:p>
                          <w:p w:rsidR="001F0619" w:rsidRPr="00ED214C" w:rsidRDefault="001F0619">
                            <w:pPr>
                              <w:pStyle w:val="Header"/>
                              <w:rPr>
                                <w:rFonts w:cs="Arial"/>
                                <w:sz w:val="16"/>
                              </w:rPr>
                            </w:pPr>
                            <w:r w:rsidRPr="00ED214C">
                              <w:rPr>
                                <w:rFonts w:cs="Arial"/>
                                <w:sz w:val="16"/>
                              </w:rPr>
                              <w:t>3</w:t>
                            </w:r>
                            <w:r w:rsidRPr="00ED214C">
                              <w:rPr>
                                <w:rFonts w:cs="Arial"/>
                                <w:sz w:val="16"/>
                                <w:vertAlign w:val="superscript"/>
                              </w:rPr>
                              <w:t>rd</w:t>
                            </w:r>
                            <w:r w:rsidRPr="00ED214C">
                              <w:rPr>
                                <w:rFonts w:cs="Arial"/>
                                <w:sz w:val="16"/>
                              </w:rPr>
                              <w:t xml:space="preserve"> Floor</w:t>
                            </w:r>
                          </w:p>
                          <w:p w:rsidR="001F0619" w:rsidRPr="00ED214C" w:rsidRDefault="001F0619">
                            <w:pPr>
                              <w:pStyle w:val="Header"/>
                              <w:rPr>
                                <w:rFonts w:cs="Arial"/>
                                <w:sz w:val="16"/>
                              </w:rPr>
                            </w:pPr>
                            <w:r w:rsidRPr="00ED214C">
                              <w:rPr>
                                <w:rFonts w:cs="Arial"/>
                                <w:sz w:val="16"/>
                              </w:rPr>
                              <w:t>82 Willis Street</w:t>
                            </w:r>
                          </w:p>
                          <w:p w:rsidR="001F0619" w:rsidRPr="00ED214C" w:rsidRDefault="001F0619">
                            <w:pPr>
                              <w:pStyle w:val="Header"/>
                              <w:rPr>
                                <w:rFonts w:cs="Arial"/>
                                <w:sz w:val="16"/>
                              </w:rPr>
                            </w:pPr>
                            <w:r w:rsidRPr="00ED214C">
                              <w:rPr>
                                <w:rFonts w:cs="Arial"/>
                                <w:sz w:val="16"/>
                              </w:rPr>
                              <w:t>PO Box 24347</w:t>
                            </w:r>
                          </w:p>
                          <w:p w:rsidR="001F0619" w:rsidRPr="00ED214C" w:rsidRDefault="001F0619">
                            <w:pPr>
                              <w:rPr>
                                <w:rFonts w:cs="Arial"/>
                              </w:rPr>
                            </w:pPr>
                            <w:r w:rsidRPr="00ED214C">
                              <w:rPr>
                                <w:rFonts w:cs="Arial"/>
                                <w:sz w:val="16"/>
                              </w:rPr>
                              <w:t>Wellington 6142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48.05pt;margin-top:-8.75pt;width:100.8pt;height: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" filled="f" fillcolor="navy" stroked="f" strokecolor="navy">
                <v:textbox>
                  <w:txbxContent>
                    <w:p w:rsidR="001F0619" w:rsidRPr="00ED214C" w:rsidRDefault="001F0619">
                      <w:pPr>
                        <w:pStyle w:val="Header"/>
                        <w:rPr>
                          <w:rFonts w:cs="Arial"/>
                          <w:sz w:val="16"/>
                        </w:rPr>
                      </w:pPr>
                      <w:r w:rsidRPr="00ED214C">
                        <w:rPr>
                          <w:rFonts w:cs="Arial"/>
                          <w:sz w:val="16"/>
                        </w:rPr>
                        <w:t>Blackstone Chambers</w:t>
                      </w:r>
                    </w:p>
                    <w:p w:rsidR="001F0619" w:rsidRPr="00ED214C" w:rsidRDefault="001F0619">
                      <w:pPr>
                        <w:pStyle w:val="Header"/>
                        <w:rPr>
                          <w:rFonts w:cs="Arial"/>
                          <w:sz w:val="16"/>
                        </w:rPr>
                      </w:pPr>
                      <w:r w:rsidRPr="00ED214C">
                        <w:rPr>
                          <w:rFonts w:cs="Arial"/>
                          <w:sz w:val="16"/>
                        </w:rPr>
                        <w:t>3</w:t>
                      </w:r>
                      <w:r w:rsidRPr="00ED214C">
                        <w:rPr>
                          <w:rFonts w:cs="Arial"/>
                          <w:sz w:val="16"/>
                          <w:vertAlign w:val="superscript"/>
                        </w:rPr>
                        <w:t>rd</w:t>
                      </w:r>
                      <w:r w:rsidRPr="00ED214C">
                        <w:rPr>
                          <w:rFonts w:cs="Arial"/>
                          <w:sz w:val="16"/>
                        </w:rPr>
                        <w:t xml:space="preserve"> Floor</w:t>
                      </w:r>
                    </w:p>
                    <w:p w:rsidR="001F0619" w:rsidRPr="00ED214C" w:rsidRDefault="001F0619">
                      <w:pPr>
                        <w:pStyle w:val="Header"/>
                        <w:rPr>
                          <w:rFonts w:cs="Arial"/>
                          <w:sz w:val="16"/>
                        </w:rPr>
                      </w:pPr>
                      <w:r w:rsidRPr="00ED214C">
                        <w:rPr>
                          <w:rFonts w:cs="Arial"/>
                          <w:sz w:val="16"/>
                        </w:rPr>
                        <w:t>82 Willis Street</w:t>
                      </w:r>
                    </w:p>
                    <w:p w:rsidR="001F0619" w:rsidRPr="00ED214C" w:rsidRDefault="001F0619">
                      <w:pPr>
                        <w:pStyle w:val="Header"/>
                        <w:rPr>
                          <w:rFonts w:cs="Arial"/>
                          <w:sz w:val="16"/>
                        </w:rPr>
                      </w:pPr>
                      <w:r w:rsidRPr="00ED214C">
                        <w:rPr>
                          <w:rFonts w:cs="Arial"/>
                          <w:sz w:val="16"/>
                        </w:rPr>
                        <w:t>PO Box 24347</w:t>
                      </w:r>
                    </w:p>
                    <w:p w:rsidR="001F0619" w:rsidRPr="00ED214C" w:rsidRDefault="001F0619">
                      <w:pPr>
                        <w:rPr>
                          <w:rFonts w:cs="Arial"/>
                        </w:rPr>
                      </w:pPr>
                      <w:r w:rsidRPr="00ED214C">
                        <w:rPr>
                          <w:rFonts w:cs="Arial"/>
                          <w:sz w:val="16"/>
                        </w:rPr>
                        <w:t>Wellington 6142</w:t>
                      </w:r>
                    </w:p>
                  </w:txbxContent>
                </v:textbox>
              </v:shape>
            </w:pict>
          </mc:Fallback>
        </mc:AlternateContent>
      </w:r>
      <w:r w:rsidR="00A02446" w:rsidRPr="00803A72">
        <w:rPr>
          <w:rFonts w:cs="Arial"/>
          <w:b/>
          <w:sz w:val="28"/>
          <w:lang w:val="en-GB"/>
        </w:rPr>
        <w:t xml:space="preserve">DR </w:t>
      </w:r>
      <w:r w:rsidR="00823A4A" w:rsidRPr="00803A72">
        <w:rPr>
          <w:rFonts w:cs="Arial"/>
          <w:b/>
          <w:sz w:val="28"/>
          <w:lang w:val="en-GB"/>
        </w:rPr>
        <w:t>TONY ELLIS</w:t>
      </w:r>
    </w:p>
    <w:p w:rsidR="00823A4A" w:rsidRPr="00803A72" w:rsidRDefault="00823A4A" w:rsidP="00823A4A">
      <w:pPr>
        <w:pStyle w:val="Header"/>
        <w:rPr>
          <w:rFonts w:cs="Arial"/>
          <w:sz w:val="16"/>
          <w:lang w:val="en-GB"/>
        </w:rPr>
      </w:pPr>
      <w:r w:rsidRPr="00803A72">
        <w:rPr>
          <w:rFonts w:cs="Arial"/>
          <w:sz w:val="16"/>
          <w:lang w:val="en-GB"/>
        </w:rPr>
        <w:t>BARRISTER</w:t>
      </w:r>
    </w:p>
    <w:p w:rsidR="00823A4A" w:rsidRPr="00803A72" w:rsidRDefault="004B789E" w:rsidP="00823A4A">
      <w:pPr>
        <w:pStyle w:val="Header"/>
        <w:rPr>
          <w:rFonts w:cs="Arial"/>
          <w:sz w:val="20"/>
          <w:lang w:val="en-GB"/>
        </w:rPr>
      </w:pPr>
      <w:proofErr w:type="spellStart"/>
      <w:r w:rsidRPr="00803A72">
        <w:rPr>
          <w:rFonts w:cs="Arial"/>
          <w:sz w:val="16"/>
          <w:lang w:val="en-GB"/>
        </w:rPr>
        <w:t>LL.B</w:t>
      </w:r>
      <w:proofErr w:type="spellEnd"/>
      <w:r w:rsidR="00823A4A" w:rsidRPr="00803A72">
        <w:rPr>
          <w:rFonts w:cs="Arial"/>
          <w:sz w:val="16"/>
          <w:lang w:val="en-GB"/>
        </w:rPr>
        <w:t xml:space="preserve">, </w:t>
      </w:r>
      <w:proofErr w:type="spellStart"/>
      <w:r w:rsidR="00823A4A" w:rsidRPr="00803A72">
        <w:rPr>
          <w:rFonts w:cs="Arial"/>
          <w:sz w:val="16"/>
          <w:lang w:val="en-GB"/>
        </w:rPr>
        <w:t>LL.M</w:t>
      </w:r>
      <w:proofErr w:type="spellEnd"/>
      <w:r w:rsidR="00823A4A" w:rsidRPr="00803A72">
        <w:rPr>
          <w:rFonts w:cs="Arial"/>
          <w:sz w:val="16"/>
          <w:lang w:val="en-GB"/>
        </w:rPr>
        <w:t xml:space="preserve">, </w:t>
      </w:r>
      <w:proofErr w:type="spellStart"/>
      <w:r w:rsidR="00823A4A" w:rsidRPr="00803A72">
        <w:rPr>
          <w:rFonts w:cs="Arial"/>
          <w:sz w:val="16"/>
          <w:lang w:val="en-GB"/>
        </w:rPr>
        <w:t>M.PHIL</w:t>
      </w:r>
      <w:proofErr w:type="spellEnd"/>
      <w:r w:rsidR="00823A4A" w:rsidRPr="00803A72">
        <w:rPr>
          <w:rFonts w:cs="Arial"/>
          <w:sz w:val="16"/>
          <w:lang w:val="en-GB"/>
        </w:rPr>
        <w:t xml:space="preserve">, </w:t>
      </w:r>
      <w:proofErr w:type="spellStart"/>
      <w:r w:rsidR="00A02446" w:rsidRPr="00803A72">
        <w:rPr>
          <w:rFonts w:cs="Arial"/>
          <w:sz w:val="16"/>
          <w:lang w:val="en-GB"/>
        </w:rPr>
        <w:t>SJD</w:t>
      </w:r>
      <w:proofErr w:type="spellEnd"/>
      <w:r w:rsidR="00A02446" w:rsidRPr="00803A72">
        <w:rPr>
          <w:rFonts w:cs="Arial"/>
          <w:sz w:val="16"/>
          <w:lang w:val="en-GB"/>
        </w:rPr>
        <w:t xml:space="preserve">, </w:t>
      </w:r>
      <w:proofErr w:type="spellStart"/>
      <w:r w:rsidR="00823A4A" w:rsidRPr="00803A72">
        <w:rPr>
          <w:rFonts w:cs="Arial"/>
          <w:sz w:val="16"/>
          <w:lang w:val="en-GB"/>
        </w:rPr>
        <w:t>FCIS</w:t>
      </w:r>
      <w:proofErr w:type="spellEnd"/>
    </w:p>
    <w:p w:rsidR="00823A4A" w:rsidRPr="00803A72" w:rsidRDefault="002B1975">
      <w:pPr>
        <w:pStyle w:val="Header"/>
        <w:rPr>
          <w:rFonts w:ascii="Times New Roman" w:hAnsi="Times New Roman"/>
          <w:b/>
          <w:sz w:val="28"/>
          <w:lang w:val="en-GB"/>
        </w:rPr>
      </w:pPr>
      <w:r w:rsidRPr="00803A72">
        <w:rPr>
          <w:rFonts w:ascii="Times New Roman" w:hAnsi="Times New Roman"/>
          <w:b/>
          <w:noProof/>
          <w:sz w:val="16"/>
          <w:lang w:val="en-GB"/>
        </w:rPr>
        <mc:AlternateContent>
          <mc:Choice Requires="wps">
            <w:drawing>
              <wp:anchor distT="0" distB="0" distL="114300" distR="114300" simplePos="0" relativeHeight="251658240" behindDoc="0" locked="0" layoutInCell="1" allowOverlap="1" wp14:anchorId="116BE673" wp14:editId="737476A8">
                <wp:simplePos x="0" y="0"/>
                <wp:positionH relativeFrom="column">
                  <wp:posOffset>-177165</wp:posOffset>
                </wp:positionH>
                <wp:positionV relativeFrom="paragraph">
                  <wp:posOffset>-683260</wp:posOffset>
                </wp:positionV>
                <wp:extent cx="0" cy="969264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9264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pt,-53.75pt" to="-13.9pt,709.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" strokeweight="3pt"/>
            </w:pict>
          </mc:Fallback>
        </mc:AlternateContent>
      </w:r>
    </w:p>
    <w:p w:rsidR="00823A4A" w:rsidRPr="00803A72" w:rsidRDefault="00E47667">
      <w:pPr>
        <w:pStyle w:val="Numbered"/>
        <w:numPr>
          <w:ilvl w:val="0"/>
          <w:numId w:val="0"/>
        </w:numPr>
        <w:rPr>
          <w:lang w:val="en-GB"/>
        </w:rPr>
      </w:pPr>
      <w:r w:rsidRPr="00803A72">
        <w:rPr>
          <w:noProof/>
          <w:lang w:val="en-GB"/>
        </w:rPr>
        <mc:AlternateContent>
          <mc:Choice Requires="wps">
            <w:drawing>
              <wp:anchor distT="0" distB="0" distL="114300" distR="114300" simplePos="0" relativeHeight="251660288" behindDoc="0" locked="0" layoutInCell="1" allowOverlap="1" wp14:anchorId="61F48698" wp14:editId="7CDC5F17">
                <wp:simplePos x="0" y="0"/>
                <wp:positionH relativeFrom="column">
                  <wp:posOffset>-177165</wp:posOffset>
                </wp:positionH>
                <wp:positionV relativeFrom="paragraph">
                  <wp:posOffset>45720</wp:posOffset>
                </wp:positionV>
                <wp:extent cx="5486400" cy="0"/>
                <wp:effectExtent l="0" t="0" r="25400" b="2540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pt,3.6pt" to="418.1pt,3.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"/>
            </w:pict>
          </mc:Fallback>
        </mc:AlternateContent>
      </w:r>
    </w:p>
    <w:p w:rsidR="00B14D6F" w:rsidRPr="00803A72" w:rsidRDefault="00B14D6F" w:rsidP="00B14D6F">
      <w:pPr>
        <w:rPr>
          <w:rFonts w:cs="Arial"/>
          <w:lang w:val="en-GB"/>
        </w:rPr>
      </w:pPr>
      <w:r w:rsidRPr="00803A72">
        <w:rPr>
          <w:rFonts w:cs="Arial"/>
          <w:lang w:val="en-GB"/>
        </w:rPr>
        <w:t>Committee Against Torture</w:t>
      </w:r>
    </w:p>
    <w:p w:rsidR="00B14D6F" w:rsidRPr="00803A72" w:rsidRDefault="00B14D6F" w:rsidP="00B14D6F">
      <w:pPr>
        <w:rPr>
          <w:rFonts w:cs="Arial"/>
          <w:lang w:val="en-GB"/>
        </w:rPr>
      </w:pPr>
      <w:r w:rsidRPr="00803A72">
        <w:rPr>
          <w:rFonts w:cs="Arial"/>
          <w:lang w:val="en-GB"/>
        </w:rPr>
        <w:t>Office of the High Commissioner for Human Rights</w:t>
      </w:r>
    </w:p>
    <w:p w:rsidR="00B14D6F" w:rsidRPr="00803A72" w:rsidRDefault="00B14D6F" w:rsidP="00B14D6F">
      <w:pPr>
        <w:rPr>
          <w:rFonts w:cs="Arial"/>
          <w:lang w:val="en-GB"/>
        </w:rPr>
      </w:pPr>
      <w:r w:rsidRPr="00803A72">
        <w:rPr>
          <w:rFonts w:cs="Arial"/>
          <w:lang w:val="en-GB"/>
        </w:rPr>
        <w:t>United Nations Office at Geneva</w:t>
      </w:r>
    </w:p>
    <w:p w:rsidR="00B14D6F" w:rsidRPr="00803A72" w:rsidRDefault="00B14D6F" w:rsidP="00B14D6F">
      <w:pPr>
        <w:rPr>
          <w:rFonts w:cs="Arial"/>
          <w:lang w:val="en-GB"/>
        </w:rPr>
      </w:pPr>
      <w:r w:rsidRPr="00803A72">
        <w:rPr>
          <w:rFonts w:cs="Arial"/>
          <w:lang w:val="en-GB"/>
        </w:rPr>
        <w:t xml:space="preserve">8-14 Avenue de la </w:t>
      </w:r>
      <w:proofErr w:type="spellStart"/>
      <w:r w:rsidRPr="00803A72">
        <w:rPr>
          <w:rFonts w:cs="Arial"/>
          <w:lang w:val="en-GB"/>
        </w:rPr>
        <w:t>Paix</w:t>
      </w:r>
      <w:proofErr w:type="spellEnd"/>
    </w:p>
    <w:p w:rsidR="00B14D6F" w:rsidRPr="00803A72" w:rsidRDefault="00B14D6F" w:rsidP="00B14D6F">
      <w:pPr>
        <w:rPr>
          <w:rFonts w:cs="Arial"/>
          <w:lang w:val="en-GB"/>
        </w:rPr>
      </w:pPr>
      <w:r w:rsidRPr="00803A72">
        <w:rPr>
          <w:rFonts w:cs="Arial"/>
          <w:lang w:val="en-GB"/>
        </w:rPr>
        <w:t>CH-1211 Geneva 10</w:t>
      </w:r>
    </w:p>
    <w:p w:rsidR="00B14D6F" w:rsidRDefault="00B14D6F" w:rsidP="00B14D6F">
      <w:pPr>
        <w:rPr>
          <w:rFonts w:cs="Arial"/>
          <w:lang w:val="en-GB"/>
        </w:rPr>
      </w:pPr>
      <w:r w:rsidRPr="00803A72">
        <w:rPr>
          <w:rFonts w:cs="Arial"/>
          <w:lang w:val="en-GB"/>
        </w:rPr>
        <w:t>SWITZERLAND</w:t>
      </w:r>
    </w:p>
    <w:p w:rsidR="00DF53B8" w:rsidRPr="00803A72" w:rsidRDefault="00DF53B8" w:rsidP="00B14D6F">
      <w:pPr>
        <w:rPr>
          <w:rFonts w:cs="Arial"/>
          <w:lang w:val="en-GB"/>
        </w:rPr>
      </w:pPr>
    </w:p>
    <w:p w:rsidR="00B14D6F" w:rsidRPr="00803A72" w:rsidRDefault="00365326" w:rsidP="00B14D6F">
      <w:pPr>
        <w:rPr>
          <w:rFonts w:cs="Arial"/>
          <w:lang w:val="en-GB"/>
        </w:rPr>
      </w:pPr>
      <w:proofErr w:type="spellStart"/>
      <w:r>
        <w:rPr>
          <w:rFonts w:cs="Arial"/>
          <w:lang w:val="en-GB"/>
        </w:rPr>
        <w:t>Attention</w:t>
      </w:r>
      <w:proofErr w:type="gramStart"/>
      <w:r>
        <w:rPr>
          <w:rFonts w:cs="Arial"/>
          <w:lang w:val="en-GB"/>
        </w:rPr>
        <w:t>:</w:t>
      </w:r>
      <w:r w:rsidR="00B14D6F" w:rsidRPr="00803A72">
        <w:rPr>
          <w:rFonts w:cs="Arial"/>
          <w:lang w:val="en-GB"/>
        </w:rPr>
        <w:t>The</w:t>
      </w:r>
      <w:proofErr w:type="spellEnd"/>
      <w:proofErr w:type="gramEnd"/>
      <w:r w:rsidR="00B14D6F" w:rsidRPr="00803A72">
        <w:rPr>
          <w:rFonts w:cs="Arial"/>
          <w:lang w:val="en-GB"/>
        </w:rPr>
        <w:t xml:space="preserve"> Secretariat</w:t>
      </w:r>
    </w:p>
    <w:p w:rsidR="00772066" w:rsidRPr="00803A72" w:rsidRDefault="00772066" w:rsidP="00772066">
      <w:pPr>
        <w:rPr>
          <w:lang w:val="en-GB"/>
        </w:rPr>
      </w:pPr>
    </w:p>
    <w:p w:rsidR="00772066" w:rsidRPr="00803A72" w:rsidRDefault="00772066" w:rsidP="00772066">
      <w:pPr>
        <w:rPr>
          <w:lang w:val="en-GB"/>
        </w:rPr>
      </w:pPr>
      <w:r w:rsidRPr="00803A72">
        <w:rPr>
          <w:lang w:val="en-GB"/>
        </w:rPr>
        <w:t xml:space="preserve">Dear </w:t>
      </w:r>
      <w:r w:rsidR="00B14D6F" w:rsidRPr="00803A72">
        <w:rPr>
          <w:lang w:val="en-GB"/>
        </w:rPr>
        <w:t>Sir/Madam</w:t>
      </w:r>
    </w:p>
    <w:p w:rsidR="00772066" w:rsidRPr="00803A72" w:rsidRDefault="00772066" w:rsidP="00772066">
      <w:pPr>
        <w:rPr>
          <w:lang w:val="en-GB"/>
        </w:rPr>
      </w:pPr>
    </w:p>
    <w:p w:rsidR="00772066" w:rsidRPr="00803A72" w:rsidRDefault="00B14D6F" w:rsidP="00772066">
      <w:pPr>
        <w:pStyle w:val="Heading1"/>
        <w:rPr>
          <w:lang w:val="en-GB"/>
        </w:rPr>
      </w:pPr>
      <w:r w:rsidRPr="00803A72">
        <w:rPr>
          <w:lang w:val="en-GB"/>
        </w:rPr>
        <w:t xml:space="preserve">Draft General Committee </w:t>
      </w:r>
      <w:r w:rsidRPr="00803A72">
        <w:rPr>
          <w:rFonts w:eastAsiaTheme="minorEastAsia"/>
          <w:w w:val="103"/>
          <w:lang w:val="en-GB" w:eastAsia="zh-CN"/>
        </w:rPr>
        <w:t>No. 1 (2017) on the implementation of article 3 of the Convention in the context of article 22</w:t>
      </w:r>
    </w:p>
    <w:p w:rsidR="00B14D6F" w:rsidRPr="00803A72" w:rsidRDefault="00B14D6F" w:rsidP="00772066">
      <w:pPr>
        <w:pStyle w:val="Numbered"/>
        <w:rPr>
          <w:lang w:val="en-GB"/>
        </w:rPr>
      </w:pPr>
      <w:r w:rsidRPr="00803A72">
        <w:rPr>
          <w:lang w:val="en-GB"/>
        </w:rPr>
        <w:t>Please consider my comments in your review of the Draft General Comment.</w:t>
      </w:r>
    </w:p>
    <w:p w:rsidR="00772066" w:rsidRPr="00803A72" w:rsidRDefault="00B14D6F" w:rsidP="00772066">
      <w:pPr>
        <w:pStyle w:val="Numbered"/>
        <w:rPr>
          <w:lang w:val="en-GB"/>
        </w:rPr>
      </w:pPr>
      <w:r w:rsidRPr="00803A72">
        <w:rPr>
          <w:lang w:val="en-GB"/>
        </w:rPr>
        <w:t xml:space="preserve">I am a </w:t>
      </w:r>
      <w:r w:rsidR="00DF53B8" w:rsidRPr="00803A72">
        <w:rPr>
          <w:lang w:val="en-GB"/>
        </w:rPr>
        <w:t xml:space="preserve">human </w:t>
      </w:r>
      <w:r w:rsidRPr="00803A72">
        <w:rPr>
          <w:lang w:val="en-GB"/>
        </w:rPr>
        <w:t xml:space="preserve">rights </w:t>
      </w:r>
      <w:r w:rsidR="00DF53B8" w:rsidRPr="00803A72">
        <w:rPr>
          <w:lang w:val="en-GB"/>
        </w:rPr>
        <w:t xml:space="preserve">barrister </w:t>
      </w:r>
      <w:r w:rsidRPr="00803A72">
        <w:rPr>
          <w:lang w:val="en-GB"/>
        </w:rPr>
        <w:t xml:space="preserve">from New Zealand, and have written shadow reports to your Committee </w:t>
      </w:r>
      <w:r w:rsidR="00DF53B8">
        <w:rPr>
          <w:lang w:val="en-GB"/>
        </w:rPr>
        <w:t xml:space="preserve">for each session </w:t>
      </w:r>
      <w:r w:rsidRPr="00803A72">
        <w:rPr>
          <w:lang w:val="en-GB"/>
        </w:rPr>
        <w:t>since 2004.</w:t>
      </w:r>
    </w:p>
    <w:p w:rsidR="00772066" w:rsidRPr="00803A72" w:rsidRDefault="00B14D6F" w:rsidP="00772066">
      <w:pPr>
        <w:pStyle w:val="Numbered"/>
        <w:rPr>
          <w:lang w:val="en-GB"/>
        </w:rPr>
      </w:pPr>
      <w:r w:rsidRPr="00803A72">
        <w:rPr>
          <w:lang w:val="en-GB"/>
        </w:rPr>
        <w:t xml:space="preserve">In my human rights practice I have had a number of clients sought for extradition, </w:t>
      </w:r>
      <w:r w:rsidR="00DF53B8">
        <w:rPr>
          <w:lang w:val="en-GB"/>
        </w:rPr>
        <w:t xml:space="preserve">or deportation. </w:t>
      </w:r>
      <w:r w:rsidR="00DF53B8" w:rsidRPr="00803A72">
        <w:rPr>
          <w:lang w:val="en-GB"/>
        </w:rPr>
        <w:t>O</w:t>
      </w:r>
      <w:r w:rsidRPr="00803A72">
        <w:rPr>
          <w:lang w:val="en-GB"/>
        </w:rPr>
        <w:t xml:space="preserve">ne case seeking extradition to China has been </w:t>
      </w:r>
      <w:proofErr w:type="gramStart"/>
      <w:r w:rsidR="00DF53B8" w:rsidRPr="00803A72">
        <w:rPr>
          <w:lang w:val="en-GB"/>
        </w:rPr>
        <w:t>on-going</w:t>
      </w:r>
      <w:proofErr w:type="gramEnd"/>
      <w:r w:rsidRPr="00803A72">
        <w:rPr>
          <w:lang w:val="en-GB"/>
        </w:rPr>
        <w:t xml:space="preserve"> for 6 years as it involves the possible death penalty, torture and fair trial.</w:t>
      </w:r>
    </w:p>
    <w:p w:rsidR="00803A72" w:rsidRPr="00803A72" w:rsidRDefault="00803A72" w:rsidP="00772066">
      <w:pPr>
        <w:pStyle w:val="Numbered"/>
        <w:rPr>
          <w:lang w:val="en-GB"/>
        </w:rPr>
      </w:pPr>
      <w:r w:rsidRPr="00803A72">
        <w:rPr>
          <w:lang w:val="en-GB"/>
        </w:rPr>
        <w:t>I have t</w:t>
      </w:r>
      <w:r w:rsidR="00313B83">
        <w:rPr>
          <w:lang w:val="en-GB"/>
        </w:rPr>
        <w:t>hree</w:t>
      </w:r>
      <w:r w:rsidRPr="00803A72">
        <w:rPr>
          <w:lang w:val="en-GB"/>
        </w:rPr>
        <w:t xml:space="preserve"> points to make</w:t>
      </w:r>
      <w:r w:rsidR="001F0619">
        <w:rPr>
          <w:lang w:val="en-GB"/>
        </w:rPr>
        <w:t>:</w:t>
      </w:r>
      <w:r w:rsidRPr="00803A72">
        <w:rPr>
          <w:lang w:val="en-GB"/>
        </w:rPr>
        <w:t xml:space="preserve"> the first on diplomatic assurance</w:t>
      </w:r>
      <w:r w:rsidR="001F0619">
        <w:rPr>
          <w:lang w:val="en-GB"/>
        </w:rPr>
        <w:t>s</w:t>
      </w:r>
      <w:r w:rsidRPr="00803A72">
        <w:rPr>
          <w:lang w:val="en-GB"/>
        </w:rPr>
        <w:t xml:space="preserve">, </w:t>
      </w:r>
      <w:r w:rsidR="00DF53B8">
        <w:rPr>
          <w:lang w:val="en-GB"/>
        </w:rPr>
        <w:t>the second</w:t>
      </w:r>
      <w:r w:rsidR="00313B83">
        <w:rPr>
          <w:lang w:val="en-GB"/>
        </w:rPr>
        <w:t xml:space="preserve"> </w:t>
      </w:r>
      <w:r w:rsidR="001F0619" w:rsidRPr="00803A72">
        <w:rPr>
          <w:lang w:val="en-GB"/>
        </w:rPr>
        <w:t>a stylistic technical point on consistency of terminology</w:t>
      </w:r>
      <w:r w:rsidR="001F0619">
        <w:rPr>
          <w:lang w:val="en-GB"/>
        </w:rPr>
        <w:t xml:space="preserve">, the third </w:t>
      </w:r>
      <w:r w:rsidR="00313B83">
        <w:rPr>
          <w:lang w:val="en-GB"/>
        </w:rPr>
        <w:t>a small addition at 18(e</w:t>
      </w:r>
      <w:r w:rsidR="001F0619">
        <w:rPr>
          <w:lang w:val="en-GB"/>
        </w:rPr>
        <w:t>.</w:t>
      </w:r>
      <w:r w:rsidRPr="00803A72">
        <w:rPr>
          <w:lang w:val="en-GB"/>
        </w:rPr>
        <w:t xml:space="preserve"> </w:t>
      </w:r>
    </w:p>
    <w:p w:rsidR="00B14D6F" w:rsidRPr="00803A72" w:rsidRDefault="00B14D6F" w:rsidP="00B14D6F">
      <w:pPr>
        <w:pStyle w:val="Heading1"/>
        <w:rPr>
          <w:lang w:val="en-GB"/>
        </w:rPr>
      </w:pPr>
      <w:r w:rsidRPr="00803A72">
        <w:rPr>
          <w:lang w:val="en-GB"/>
        </w:rPr>
        <w:t>Diplomatic Assurances</w:t>
      </w:r>
    </w:p>
    <w:p w:rsidR="00B14D6F" w:rsidRPr="00803A72" w:rsidRDefault="00B14D6F" w:rsidP="00B14D6F">
      <w:pPr>
        <w:rPr>
          <w:lang w:val="en-GB"/>
        </w:rPr>
      </w:pPr>
    </w:p>
    <w:p w:rsidR="00B14D6F" w:rsidRPr="00803A72" w:rsidRDefault="00313B83" w:rsidP="00B14D6F">
      <w:pPr>
        <w:pStyle w:val="Numbered"/>
        <w:rPr>
          <w:i/>
          <w:lang w:val="en-GB"/>
        </w:rPr>
      </w:pPr>
      <w:r>
        <w:rPr>
          <w:lang w:val="en-GB"/>
        </w:rPr>
        <w:t xml:space="preserve">First, </w:t>
      </w:r>
      <w:r w:rsidR="00B14D6F" w:rsidRPr="00803A72">
        <w:rPr>
          <w:lang w:val="en-GB"/>
        </w:rPr>
        <w:t>I recommend you add a new paragraph 21</w:t>
      </w:r>
      <w:r w:rsidR="00DF53B8" w:rsidRPr="00803A72">
        <w:rPr>
          <w:lang w:val="en-GB"/>
        </w:rPr>
        <w:t>—</w:t>
      </w:r>
      <w:r w:rsidR="00B14D6F" w:rsidRPr="00803A72">
        <w:rPr>
          <w:i/>
          <w:lang w:val="en-GB"/>
        </w:rPr>
        <w:t>The Committee considers that diplomatic assurances from a State party to the Convention should not be accepted where that State party concerned exhibits a consistent pattern of gross, flagrant or mass violations of human rights. Such acceptance undermines the principle that all are equal before the law, and could be seen to accept that persons not subject to such assurances can be tortured.</w:t>
      </w:r>
    </w:p>
    <w:p w:rsidR="00DF53B8" w:rsidRDefault="00803A72" w:rsidP="00B14D6F">
      <w:pPr>
        <w:pStyle w:val="Numbered"/>
        <w:rPr>
          <w:lang w:val="en-GB"/>
        </w:rPr>
      </w:pPr>
      <w:r w:rsidRPr="00803A72">
        <w:rPr>
          <w:lang w:val="en-GB"/>
        </w:rPr>
        <w:lastRenderedPageBreak/>
        <w:t xml:space="preserve">I make this recommendation on the basis that </w:t>
      </w:r>
      <w:r w:rsidR="00DF53B8">
        <w:rPr>
          <w:lang w:val="en-GB"/>
        </w:rPr>
        <w:t xml:space="preserve">human rights law </w:t>
      </w:r>
      <w:r w:rsidR="00B46379">
        <w:rPr>
          <w:lang w:val="en-GB"/>
        </w:rPr>
        <w:t xml:space="preserve">requires as set out in </w:t>
      </w:r>
      <w:r w:rsidRPr="00803A72">
        <w:rPr>
          <w:lang w:val="en-GB"/>
        </w:rPr>
        <w:t xml:space="preserve">Article 14(1) of the ICCPR 1. … </w:t>
      </w:r>
      <w:r w:rsidRPr="00B46379">
        <w:rPr>
          <w:i/>
          <w:lang w:val="en-GB"/>
        </w:rPr>
        <w:t>All persons shall be equal before the courts and tribunals</w:t>
      </w:r>
      <w:r w:rsidRPr="00803A72">
        <w:rPr>
          <w:lang w:val="en-GB"/>
        </w:rPr>
        <w:t xml:space="preserve">. </w:t>
      </w:r>
    </w:p>
    <w:p w:rsidR="00B612CF" w:rsidRDefault="00803A72" w:rsidP="00B14D6F">
      <w:pPr>
        <w:pStyle w:val="Numbered"/>
        <w:rPr>
          <w:lang w:val="en-GB"/>
        </w:rPr>
      </w:pPr>
      <w:r w:rsidRPr="00803A72">
        <w:rPr>
          <w:lang w:val="en-GB"/>
        </w:rPr>
        <w:t>Having one class of persons</w:t>
      </w:r>
      <w:r>
        <w:rPr>
          <w:lang w:val="en-GB"/>
        </w:rPr>
        <w:t xml:space="preserve"> </w:t>
      </w:r>
      <w:r w:rsidR="00B612CF">
        <w:rPr>
          <w:lang w:val="en-GB"/>
        </w:rPr>
        <w:t>with a diplomatic assurance that they won’t be tortured</w:t>
      </w:r>
      <w:r w:rsidR="00DF53B8">
        <w:rPr>
          <w:lang w:val="en-GB"/>
        </w:rPr>
        <w:t xml:space="preserve"> (or put to death)</w:t>
      </w:r>
      <w:r w:rsidR="00B612CF">
        <w:rPr>
          <w:lang w:val="en-GB"/>
        </w:rPr>
        <w:t>, and a second class relying on the Convention is not equal</w:t>
      </w:r>
      <w:r w:rsidR="00B46379">
        <w:rPr>
          <w:lang w:val="en-GB"/>
        </w:rPr>
        <w:t>, and in my opinion actively condones torture of the persons not subject to the assurance.</w:t>
      </w:r>
    </w:p>
    <w:p w:rsidR="00B612CF" w:rsidRPr="006E56B7" w:rsidRDefault="00B612CF" w:rsidP="00B612CF">
      <w:pPr>
        <w:pStyle w:val="Numbered"/>
        <w:rPr>
          <w:szCs w:val="24"/>
        </w:rPr>
      </w:pPr>
      <w:r w:rsidRPr="006E56B7">
        <w:rPr>
          <w:szCs w:val="24"/>
          <w:lang w:val="en-GB"/>
        </w:rPr>
        <w:t>As for the intellectual basis for this</w:t>
      </w:r>
      <w:r w:rsidR="00122F9E" w:rsidRPr="006E56B7">
        <w:rPr>
          <w:szCs w:val="24"/>
          <w:lang w:val="en-GB"/>
        </w:rPr>
        <w:t xml:space="preserve"> which has some complexities</w:t>
      </w:r>
      <w:r w:rsidRPr="006E56B7">
        <w:rPr>
          <w:szCs w:val="24"/>
          <w:lang w:val="en-GB"/>
        </w:rPr>
        <w:t xml:space="preserve"> see </w:t>
      </w:r>
      <w:r w:rsidR="00122F9E" w:rsidRPr="006E56B7">
        <w:rPr>
          <w:szCs w:val="24"/>
          <w:lang w:val="en-GB"/>
        </w:rPr>
        <w:t xml:space="preserve">a 2006 Oxford study by </w:t>
      </w:r>
      <w:r w:rsidR="003735E6" w:rsidRPr="006E56B7">
        <w:rPr>
          <w:szCs w:val="24"/>
        </w:rPr>
        <w:t xml:space="preserve">Nina </w:t>
      </w:r>
      <w:proofErr w:type="spellStart"/>
      <w:r w:rsidR="003735E6" w:rsidRPr="006E56B7">
        <w:rPr>
          <w:szCs w:val="24"/>
        </w:rPr>
        <w:t>Larsaeus</w:t>
      </w:r>
      <w:proofErr w:type="spellEnd"/>
      <w:r w:rsidR="006E56B7">
        <w:rPr>
          <w:szCs w:val="24"/>
        </w:rPr>
        <w:t>.</w:t>
      </w:r>
      <w:r w:rsidR="003735E6" w:rsidRPr="006E56B7">
        <w:rPr>
          <w:rStyle w:val="FootnoteReference"/>
          <w:szCs w:val="24"/>
        </w:rPr>
        <w:footnoteReference w:id="1"/>
      </w:r>
      <w:r w:rsidR="003735E6" w:rsidRPr="006E56B7">
        <w:rPr>
          <w:szCs w:val="24"/>
        </w:rPr>
        <w:t xml:space="preserve"> </w:t>
      </w:r>
      <w:r w:rsidR="00B46379" w:rsidRPr="006E56B7">
        <w:rPr>
          <w:szCs w:val="24"/>
        </w:rPr>
        <w:t>[Annexed as “1”</w:t>
      </w:r>
      <w:r w:rsidR="006E56B7">
        <w:rPr>
          <w:szCs w:val="24"/>
        </w:rPr>
        <w:t>]</w:t>
      </w:r>
    </w:p>
    <w:p w:rsidR="003735E6" w:rsidRPr="008721E8" w:rsidRDefault="003735E6" w:rsidP="003735E6">
      <w:pPr>
        <w:pStyle w:val="Quote"/>
        <w:rPr>
          <w:bCs/>
          <w:szCs w:val="22"/>
        </w:rPr>
      </w:pPr>
      <w:r w:rsidRPr="008721E8">
        <w:rPr>
          <w:bCs/>
          <w:szCs w:val="22"/>
        </w:rPr>
        <w:t xml:space="preserve">While the practice of seeking diplomatic assurances in the context of extraditions and other forms of removals is certainly not new, the current use as a safeguard against torture and other </w:t>
      </w:r>
      <w:proofErr w:type="gramStart"/>
      <w:r w:rsidRPr="008721E8">
        <w:rPr>
          <w:bCs/>
          <w:szCs w:val="22"/>
        </w:rPr>
        <w:t>ill-treatment</w:t>
      </w:r>
      <w:proofErr w:type="gramEnd"/>
      <w:r w:rsidRPr="008721E8">
        <w:rPr>
          <w:bCs/>
          <w:szCs w:val="22"/>
        </w:rPr>
        <w:t xml:space="preserve"> has stirred up a storm within the human rights community. Highly renowned academics, including Guy Goodwin-Gill (see Goodwin-Gill and Husain 2005) and Manfred Nowak (2005), the latter speaking in his capacity as the United Nation’s Special Rapporteur on Torture, have deplored the practice and there is growing support for the claim that diplomatic assurances should be banned as a matter of principle. From a theoretical human rights perspective, the issue of diplomatic assurances is, however, less clear-cut and rather intriguing. What happens when we establish bilateral obligations alongside obligations </w:t>
      </w:r>
      <w:proofErr w:type="spellStart"/>
      <w:r w:rsidRPr="008721E8">
        <w:rPr>
          <w:bCs/>
          <w:i/>
          <w:szCs w:val="22"/>
        </w:rPr>
        <w:t>erga</w:t>
      </w:r>
      <w:proofErr w:type="spellEnd"/>
      <w:r w:rsidRPr="008721E8">
        <w:rPr>
          <w:bCs/>
          <w:i/>
          <w:szCs w:val="22"/>
        </w:rPr>
        <w:t xml:space="preserve"> </w:t>
      </w:r>
      <w:proofErr w:type="spellStart"/>
      <w:r w:rsidRPr="008721E8">
        <w:rPr>
          <w:bCs/>
          <w:i/>
          <w:szCs w:val="22"/>
        </w:rPr>
        <w:t>omnes</w:t>
      </w:r>
      <w:proofErr w:type="spellEnd"/>
      <w:r w:rsidRPr="008721E8">
        <w:rPr>
          <w:bCs/>
          <w:szCs w:val="22"/>
        </w:rPr>
        <w:t>? How can you trust known defectors?</w:t>
      </w:r>
      <w:r w:rsidRPr="008721E8">
        <w:rPr>
          <w:rStyle w:val="FootnoteReference"/>
          <w:bCs/>
          <w:szCs w:val="22"/>
        </w:rPr>
        <w:footnoteReference w:id="2"/>
      </w:r>
    </w:p>
    <w:p w:rsidR="00B612CF" w:rsidRPr="00B612CF" w:rsidRDefault="00B612CF" w:rsidP="00B612CF">
      <w:pPr>
        <w:pStyle w:val="Quote"/>
        <w:rPr>
          <w:sz w:val="19"/>
        </w:rPr>
      </w:pPr>
      <w:r w:rsidRPr="00B612CF">
        <w:rPr>
          <w:b/>
          <w:bCs/>
          <w:sz w:val="19"/>
        </w:rPr>
        <w:t xml:space="preserve">2.5. Do diplomatic assurances defy the ‘object and purpose’ of the prohibition against torture? </w:t>
      </w:r>
    </w:p>
    <w:p w:rsidR="00B612CF" w:rsidRDefault="00B612CF" w:rsidP="003735E6">
      <w:pPr>
        <w:pStyle w:val="Quote"/>
      </w:pPr>
      <w:r w:rsidRPr="00B612CF">
        <w:t xml:space="preserve">In the beginning of this paper, I noted that diplomatic assurances seemed to host an inherent paradox; they are employed in relation to States that are known not to </w:t>
      </w:r>
      <w:proofErr w:type="spellStart"/>
      <w:r w:rsidRPr="00B612CF">
        <w:t>honour</w:t>
      </w:r>
      <w:proofErr w:type="spellEnd"/>
      <w:r w:rsidRPr="00B612CF">
        <w:t xml:space="preserve"> established human rights obligations. By insisting on additional guarantees in certain cases, sending States do effectively acknowledge the existence of a widespread practice of torture in the receiving State while asking for an exception to the practice in the individual case. A number of NGOs have held in this respect that ‘to seek assurances only for the person subject to transfer, amounts to acquiescing tacitly in the torture of others similarly situated in the receiving country’ (Amnesty International </w:t>
      </w:r>
      <w:r w:rsidRPr="00B612CF">
        <w:rPr>
          <w:i/>
        </w:rPr>
        <w:t xml:space="preserve">et al. </w:t>
      </w:r>
      <w:r w:rsidRPr="00B612CF">
        <w:t>2006:2).</w:t>
      </w:r>
      <w:r w:rsidRPr="00B612CF">
        <w:rPr>
          <w:vertAlign w:val="superscript"/>
        </w:rPr>
        <w:t xml:space="preserve"> </w:t>
      </w:r>
      <w:r w:rsidRPr="00B612CF">
        <w:t xml:space="preserve">This statement sparks two questions of immediate relevance for the present study. Firstly, does the use of assurances, while nowhere expressly prohibited, defy the object and purpose of the convention, and is it therefore unlawful? </w:t>
      </w:r>
      <w:r w:rsidRPr="00B612CF">
        <w:lastRenderedPageBreak/>
        <w:t>Secondly, what does it mean to the multilateral system of human rights if violations are ‘tacitly acquiesced to’? From a policy perspective a third question may be added: if any such concerns arise, can they be avoided or resolved by prudent legal drafting?</w:t>
      </w:r>
      <w:r w:rsidR="003735E6">
        <w:rPr>
          <w:rStyle w:val="FootnoteReference"/>
        </w:rPr>
        <w:footnoteReference w:id="3"/>
      </w:r>
    </w:p>
    <w:p w:rsidR="00B46379" w:rsidRDefault="00B46379" w:rsidP="00B46379">
      <w:pPr>
        <w:pStyle w:val="Numbered"/>
        <w:rPr>
          <w:lang w:val="en-GB"/>
        </w:rPr>
      </w:pPr>
      <w:r>
        <w:rPr>
          <w:lang w:val="en-GB"/>
        </w:rPr>
        <w:t>In her conclusion the author says:</w:t>
      </w:r>
    </w:p>
    <w:p w:rsidR="00B46379" w:rsidRPr="00B46379" w:rsidRDefault="00B46379" w:rsidP="00B46379">
      <w:pPr>
        <w:pStyle w:val="Quote"/>
      </w:pPr>
      <w:r w:rsidRPr="00B46379">
        <w:t xml:space="preserve">In the long run, these assurances could help to set up ‘beachheads’ of acceptable </w:t>
      </w:r>
      <w:proofErr w:type="spellStart"/>
      <w:r w:rsidRPr="00B46379">
        <w:t>behaviour</w:t>
      </w:r>
      <w:proofErr w:type="spellEnd"/>
      <w:r w:rsidRPr="00B46379">
        <w:t xml:space="preserve"> in countries </w:t>
      </w:r>
      <w:proofErr w:type="gramStart"/>
      <w:r w:rsidRPr="00B46379">
        <w:t>that</w:t>
      </w:r>
      <w:proofErr w:type="gramEnd"/>
      <w:r w:rsidRPr="00B46379">
        <w:t xml:space="preserve"> otherwise flout human rights habitually. </w:t>
      </w:r>
    </w:p>
    <w:p w:rsidR="006E56B7" w:rsidRDefault="00B46379" w:rsidP="00122F9E">
      <w:pPr>
        <w:pStyle w:val="Quote"/>
      </w:pPr>
      <w:r w:rsidRPr="00B46379">
        <w:t xml:space="preserve">My findings, however, indicate that credible assurances come at a high price for States. Generally speaking, it seems unlikely that, in a North-South relationship, the sending State would </w:t>
      </w:r>
      <w:r w:rsidRPr="00B46379">
        <w:rPr>
          <w:i/>
        </w:rPr>
        <w:t xml:space="preserve">not </w:t>
      </w:r>
      <w:r w:rsidRPr="00B46379">
        <w:t>have the power, if it truly wanted</w:t>
      </w:r>
      <w:proofErr w:type="gramStart"/>
      <w:r w:rsidRPr="00B46379">
        <w:t>,</w:t>
      </w:r>
      <w:proofErr w:type="gramEnd"/>
      <w:r w:rsidRPr="00B46379">
        <w:t xml:space="preserve"> to enforce compliance with such an agreement. The crux is that the sending State might have limited incentives to detect violations and ultimately to apply the necessary pressure. Furthermore, using the power of issue linkages may just as well work in the opposite direction, so that the sending State accepts certain transgressions of the agreement in order to maintain good relations in other areas (e.g. in the prevention of irregular migration or conclusion of readmission agreements). Interestingly, while I have been arguing that assurances need to be legally binding, this fact is not what in the end will determine whether or not the agreement will be complied with. The decisive factor is the relative importance of the human rights of the individual compared to the day-to-day relations of the two States in a geopolitical context. From a legal perspective this is hardly a comfortable answer</w:t>
      </w:r>
      <w:r w:rsidR="00122F9E">
        <w:t>…</w:t>
      </w:r>
    </w:p>
    <w:p w:rsidR="00122F9E" w:rsidRDefault="00122F9E" w:rsidP="00122F9E">
      <w:pPr>
        <w:pStyle w:val="Quote"/>
      </w:pPr>
      <w:r w:rsidRPr="00122F9E">
        <w:t>If, as I have argued, the risk assessment is essentially one of predicting compliance and compliance hinges on a power game that is impossible for the individual to influence or even to evaluate, this points at a very real challenge for human rights.</w:t>
      </w:r>
      <w:r>
        <w:rPr>
          <w:rStyle w:val="FootnoteReference"/>
        </w:rPr>
        <w:footnoteReference w:id="4"/>
      </w:r>
      <w:r w:rsidRPr="00122F9E">
        <w:t xml:space="preserve"> </w:t>
      </w:r>
    </w:p>
    <w:p w:rsidR="00122F9E" w:rsidRPr="00122F9E" w:rsidRDefault="00122F9E" w:rsidP="00122F9E">
      <w:pPr>
        <w:pStyle w:val="Heading1"/>
      </w:pPr>
      <w:r>
        <w:t>Use of terminology</w:t>
      </w:r>
    </w:p>
    <w:p w:rsidR="00122F9E" w:rsidRDefault="00193F71" w:rsidP="00122F9E">
      <w:pPr>
        <w:pStyle w:val="Numbered"/>
      </w:pPr>
      <w:r>
        <w:t xml:space="preserve">Secondly, </w:t>
      </w:r>
      <w:r w:rsidR="00122F9E" w:rsidRPr="00D520F7">
        <w:t>Paragraph 18</w:t>
      </w:r>
      <w:r w:rsidR="00313B83">
        <w:t>/4</w:t>
      </w:r>
      <w:r w:rsidR="00122F9E">
        <w:t xml:space="preserve"> 4 reads: </w:t>
      </w:r>
      <w:r w:rsidR="00122F9E" w:rsidRPr="00271F23">
        <w:t>Article 3, paragraph 1, of the Convention provides that “No State party shall expel, return (</w:t>
      </w:r>
      <w:proofErr w:type="spellStart"/>
      <w:r w:rsidR="00122F9E" w:rsidRPr="00271F23">
        <w:t>refouler</w:t>
      </w:r>
      <w:proofErr w:type="spellEnd"/>
      <w:r w:rsidR="00122F9E" w:rsidRPr="00271F23">
        <w:t>) or extradite a person to another State</w:t>
      </w:r>
      <w:r w:rsidR="00122F9E">
        <w:t>…</w:t>
      </w:r>
    </w:p>
    <w:p w:rsidR="00313B83" w:rsidRPr="00313B83" w:rsidRDefault="00122F9E" w:rsidP="00313B83">
      <w:pPr>
        <w:pStyle w:val="Numbered"/>
      </w:pPr>
      <w:r>
        <w:t>That wide terminology should be consistently used throughout the General Comment, e.g.</w:t>
      </w:r>
      <w:r w:rsidR="00313B83">
        <w:t xml:space="preserve"> </w:t>
      </w:r>
      <w:r w:rsidR="006E56B7">
        <w:t xml:space="preserve">in </w:t>
      </w:r>
      <w:r w:rsidR="00313B83" w:rsidRPr="00313B83">
        <w:t>Para 18(a</w:t>
      </w:r>
      <w:r w:rsidR="008721E8" w:rsidRPr="00313B83">
        <w:t>) delete</w:t>
      </w:r>
      <w:r w:rsidR="00313B83" w:rsidRPr="00313B83">
        <w:t xml:space="preserve"> “deportation” insert “expel, return (</w:t>
      </w:r>
      <w:proofErr w:type="spellStart"/>
      <w:r w:rsidR="00313B83" w:rsidRPr="00313B83">
        <w:t>refouler</w:t>
      </w:r>
      <w:proofErr w:type="spellEnd"/>
      <w:r w:rsidR="00313B83" w:rsidRPr="00313B83">
        <w:t>) or extradite”</w:t>
      </w:r>
    </w:p>
    <w:p w:rsidR="00122F9E" w:rsidRDefault="00313B83" w:rsidP="00122F9E">
      <w:pPr>
        <w:pStyle w:val="Numbered"/>
      </w:pPr>
      <w:r>
        <w:t xml:space="preserve">This should also be adjusted in </w:t>
      </w:r>
      <w:r w:rsidR="008721E8">
        <w:t>paragraph’s</w:t>
      </w:r>
      <w:r>
        <w:t xml:space="preserve"> 18(e) an</w:t>
      </w:r>
      <w:r w:rsidR="008721E8">
        <w:t>d (f), 22, 26</w:t>
      </w:r>
      <w:r>
        <w:t xml:space="preserve">, and 29, </w:t>
      </w:r>
      <w:r>
        <w:rPr>
          <w:rFonts w:eastAsia="Calibri"/>
        </w:rPr>
        <w:t>30 (b), (c), (d), (e), (f), (g), (h), (</w:t>
      </w:r>
      <w:proofErr w:type="spellStart"/>
      <w:r>
        <w:rPr>
          <w:rFonts w:eastAsia="Calibri"/>
        </w:rPr>
        <w:t>i</w:t>
      </w:r>
      <w:proofErr w:type="spellEnd"/>
      <w:r>
        <w:rPr>
          <w:rFonts w:eastAsia="Calibri"/>
        </w:rPr>
        <w:t>),</w:t>
      </w:r>
      <w:r w:rsidR="006E56B7">
        <w:rPr>
          <w:rFonts w:eastAsia="Calibri"/>
        </w:rPr>
        <w:t xml:space="preserve"> </w:t>
      </w:r>
      <w:r>
        <w:rPr>
          <w:rFonts w:eastAsia="Calibri"/>
        </w:rPr>
        <w:t>(j)</w:t>
      </w:r>
      <w:proofErr w:type="gramStart"/>
      <w:r>
        <w:rPr>
          <w:rFonts w:eastAsia="Calibri"/>
        </w:rPr>
        <w:t>,(</w:t>
      </w:r>
      <w:proofErr w:type="gramEnd"/>
      <w:r>
        <w:rPr>
          <w:rFonts w:eastAsia="Calibri"/>
        </w:rPr>
        <w:t>m),and (n)</w:t>
      </w:r>
      <w:r w:rsidR="008721E8">
        <w:rPr>
          <w:rFonts w:eastAsia="Calibri"/>
        </w:rPr>
        <w:t>.</w:t>
      </w:r>
    </w:p>
    <w:p w:rsidR="00B46379" w:rsidRDefault="00313B83" w:rsidP="00122F9E">
      <w:pPr>
        <w:pStyle w:val="Numbered"/>
        <w:rPr>
          <w:lang w:val="en-GB"/>
        </w:rPr>
      </w:pPr>
      <w:r>
        <w:rPr>
          <w:lang w:val="en-GB"/>
        </w:rPr>
        <w:lastRenderedPageBreak/>
        <w:t>It is important to use the full terminology as I have found from experience courts will say but the General Comment does not include ‘extradition’ or ‘deportation’ as the case may be</w:t>
      </w:r>
      <w:r w:rsidR="00193F71">
        <w:rPr>
          <w:lang w:val="en-GB"/>
        </w:rPr>
        <w:t>.</w:t>
      </w:r>
    </w:p>
    <w:p w:rsidR="008721E8" w:rsidRDefault="008721E8" w:rsidP="008721E8">
      <w:pPr>
        <w:pStyle w:val="Heading1"/>
        <w:rPr>
          <w:lang w:val="en-GB"/>
        </w:rPr>
      </w:pPr>
      <w:r>
        <w:rPr>
          <w:lang w:val="en-GB"/>
        </w:rPr>
        <w:t>New 18(e)</w:t>
      </w:r>
    </w:p>
    <w:p w:rsidR="008721E8" w:rsidRDefault="00DB1F11" w:rsidP="00122F9E">
      <w:pPr>
        <w:pStyle w:val="Numbered"/>
        <w:rPr>
          <w:lang w:val="en-GB"/>
        </w:rPr>
      </w:pPr>
      <w:r>
        <w:rPr>
          <w:lang w:val="en-GB"/>
        </w:rPr>
        <w:t>Thirdly, t</w:t>
      </w:r>
      <w:r w:rsidR="008721E8">
        <w:rPr>
          <w:lang w:val="en-GB"/>
        </w:rPr>
        <w:t>here is little point in having independent medical examinations unless there is appropriate follow-up.</w:t>
      </w:r>
    </w:p>
    <w:p w:rsidR="00193F71" w:rsidRPr="00193F71" w:rsidRDefault="00DB1F11" w:rsidP="00122F9E">
      <w:pPr>
        <w:pStyle w:val="Numbered"/>
        <w:rPr>
          <w:lang w:val="en-GB"/>
        </w:rPr>
      </w:pPr>
      <w:r>
        <w:rPr>
          <w:lang w:val="en-GB"/>
        </w:rPr>
        <w:t>It would be useful to add a new 18</w:t>
      </w:r>
      <w:r w:rsidR="00193F71">
        <w:rPr>
          <w:lang w:val="en-GB"/>
        </w:rPr>
        <w:t xml:space="preserve">(e) </w:t>
      </w:r>
      <w:r w:rsidR="00193F71">
        <w:t>and renumber accordingly,  “Provide whatever psychiatric, psychological or other medical assistance as may reasonably be required.”</w:t>
      </w:r>
    </w:p>
    <w:p w:rsidR="00772066" w:rsidRPr="00803A72" w:rsidRDefault="00772066" w:rsidP="00772066">
      <w:pPr>
        <w:rPr>
          <w:noProof/>
          <w:lang w:val="en-GB"/>
        </w:rPr>
      </w:pPr>
      <w:r w:rsidRPr="00803A72">
        <w:rPr>
          <w:lang w:val="en-GB"/>
        </w:rPr>
        <w:t>Yours faithfully</w:t>
      </w:r>
    </w:p>
    <w:p w:rsidR="00772066" w:rsidRPr="00803A72" w:rsidRDefault="00772066" w:rsidP="00772066">
      <w:pPr>
        <w:rPr>
          <w:noProof/>
          <w:lang w:val="en-GB"/>
        </w:rPr>
      </w:pPr>
    </w:p>
    <w:p w:rsidR="00772066" w:rsidRPr="00641DE9" w:rsidRDefault="00DB1F11" w:rsidP="00641DE9">
      <w:pPr>
        <w:pStyle w:val="Numbered"/>
        <w:numPr>
          <w:ilvl w:val="0"/>
          <w:numId w:val="0"/>
        </w:numPr>
      </w:pPr>
      <w:r w:rsidRPr="002C7AE4">
        <w:rPr>
          <w:noProof/>
        </w:rPr>
        <w:drawing>
          <wp:inline distT="0" distB="0" distL="0" distR="0" wp14:anchorId="04CFD04C" wp14:editId="3376ABF5">
            <wp:extent cx="940435" cy="562937"/>
            <wp:effectExtent l="25400" t="0" r="0" b="0"/>
            <wp:docPr id="6" name="Picture 5" descr="signatu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gif"/>
                    <pic:cNvPicPr/>
                  </pic:nvPicPr>
                  <pic:blipFill>
                    <a:blip r:embed="rId12"/>
                    <a:stretch>
                      <a:fillRect/>
                    </a:stretch>
                  </pic:blipFill>
                  <pic:spPr>
                    <a:xfrm>
                      <a:off x="0" y="0"/>
                      <a:ext cx="944077" cy="565117"/>
                    </a:xfrm>
                    <a:prstGeom prst="rect">
                      <a:avLst/>
                    </a:prstGeom>
                  </pic:spPr>
                </pic:pic>
              </a:graphicData>
            </a:graphic>
          </wp:inline>
        </w:drawing>
      </w:r>
      <w:bookmarkStart w:id="0" w:name="_GoBack"/>
      <w:bookmarkEnd w:id="0"/>
    </w:p>
    <w:p w:rsidR="00772066" w:rsidRPr="00803A72" w:rsidRDefault="00772066" w:rsidP="00772066">
      <w:pPr>
        <w:rPr>
          <w:b/>
          <w:lang w:val="en-GB"/>
        </w:rPr>
      </w:pPr>
      <w:r w:rsidRPr="00803A72">
        <w:rPr>
          <w:b/>
          <w:lang w:val="en-GB"/>
        </w:rPr>
        <w:t xml:space="preserve">DR TONY ELLIS </w:t>
      </w:r>
    </w:p>
    <w:p w:rsidR="00772066" w:rsidRPr="00803A72" w:rsidRDefault="00772066" w:rsidP="00772066">
      <w:pPr>
        <w:rPr>
          <w:b/>
          <w:lang w:val="en-GB"/>
        </w:rPr>
      </w:pPr>
      <w:r w:rsidRPr="00803A72">
        <w:rPr>
          <w:b/>
          <w:lang w:val="en-GB"/>
        </w:rPr>
        <w:t>BARRISTER</w:t>
      </w:r>
    </w:p>
    <w:p w:rsidR="00772066" w:rsidRPr="006E56B7" w:rsidRDefault="006E56B7" w:rsidP="00772066">
      <w:pPr>
        <w:rPr>
          <w:b/>
          <w:lang w:val="en-GB"/>
        </w:rPr>
      </w:pPr>
      <w:r w:rsidRPr="006E56B7">
        <w:rPr>
          <w:b/>
          <w:lang w:val="en-GB"/>
        </w:rPr>
        <w:t>24 March 2017</w:t>
      </w:r>
    </w:p>
    <w:p w:rsidR="00823A4A" w:rsidRPr="006E56B7" w:rsidRDefault="00823A4A">
      <w:pPr>
        <w:rPr>
          <w:b/>
          <w:lang w:val="en-GB"/>
        </w:rPr>
      </w:pPr>
    </w:p>
    <w:sectPr w:rsidR="00823A4A" w:rsidRPr="006E56B7" w:rsidSect="003B7188">
      <w:pgSz w:w="11900" w:h="16840"/>
      <w:pgMar w:top="1440" w:right="1800" w:bottom="1440" w:left="1800" w:header="720" w:footer="720" w:gutter="0"/>
      <w:pgNumType w:start="2"/>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619" w:rsidRDefault="001F0619">
      <w:r>
        <w:separator/>
      </w:r>
    </w:p>
  </w:endnote>
  <w:endnote w:type="continuationSeparator" w:id="0">
    <w:p w:rsidR="001F0619" w:rsidRDefault="001F0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619" w:rsidRDefault="001F0619">
      <w:r>
        <w:separator/>
      </w:r>
    </w:p>
  </w:footnote>
  <w:footnote w:type="continuationSeparator" w:id="0">
    <w:p w:rsidR="001F0619" w:rsidRDefault="001F0619">
      <w:r>
        <w:continuationSeparator/>
      </w:r>
    </w:p>
  </w:footnote>
  <w:footnote w:id="1">
    <w:p w:rsidR="001F0619" w:rsidRPr="003735E6" w:rsidRDefault="001F0619">
      <w:pPr>
        <w:pStyle w:val="FootnoteText"/>
        <w:rPr>
          <w:lang w:val="en-GB"/>
        </w:rPr>
      </w:pPr>
      <w:r>
        <w:rPr>
          <w:rStyle w:val="FootnoteReference"/>
        </w:rPr>
        <w:footnoteRef/>
      </w:r>
      <w:r>
        <w:t xml:space="preserve"> </w:t>
      </w:r>
      <w:r>
        <w:tab/>
      </w:r>
      <w:proofErr w:type="gramStart"/>
      <w:r w:rsidRPr="003735E6">
        <w:rPr>
          <w:szCs w:val="22"/>
        </w:rPr>
        <w:t xml:space="preserve">“The Use of Diplomatic Assurances in the Prevention of Prohibited </w:t>
      </w:r>
      <w:r w:rsidR="006E56B7">
        <w:rPr>
          <w:szCs w:val="22"/>
        </w:rPr>
        <w:tab/>
      </w:r>
      <w:r w:rsidRPr="003735E6">
        <w:rPr>
          <w:szCs w:val="22"/>
        </w:rPr>
        <w:t xml:space="preserve">Treatment” (2006) Refugee Studies Centre Working Paper No. 32, </w:t>
      </w:r>
      <w:r w:rsidRPr="003735E6">
        <w:rPr>
          <w:i/>
          <w:szCs w:val="22"/>
        </w:rPr>
        <w:t xml:space="preserve">University </w:t>
      </w:r>
      <w:r w:rsidR="006E56B7">
        <w:rPr>
          <w:i/>
          <w:szCs w:val="22"/>
        </w:rPr>
        <w:tab/>
      </w:r>
      <w:r w:rsidRPr="003735E6">
        <w:rPr>
          <w:i/>
          <w:szCs w:val="22"/>
        </w:rPr>
        <w:t>of Oxford</w:t>
      </w:r>
      <w:r w:rsidR="006E56B7">
        <w:rPr>
          <w:szCs w:val="22"/>
        </w:rPr>
        <w:t>.</w:t>
      </w:r>
      <w:proofErr w:type="gramEnd"/>
    </w:p>
  </w:footnote>
  <w:footnote w:id="2">
    <w:p w:rsidR="001F0619" w:rsidRPr="003735E6" w:rsidRDefault="001F0619">
      <w:pPr>
        <w:pStyle w:val="FootnoteText"/>
        <w:rPr>
          <w:szCs w:val="22"/>
        </w:rPr>
      </w:pPr>
      <w:r w:rsidRPr="003735E6">
        <w:rPr>
          <w:rStyle w:val="FootnoteReference"/>
          <w:szCs w:val="22"/>
        </w:rPr>
        <w:footnoteRef/>
      </w:r>
      <w:r w:rsidRPr="003735E6">
        <w:rPr>
          <w:szCs w:val="22"/>
        </w:rPr>
        <w:t xml:space="preserve"> </w:t>
      </w:r>
      <w:r w:rsidRPr="003735E6">
        <w:rPr>
          <w:szCs w:val="22"/>
        </w:rPr>
        <w:tab/>
      </w:r>
      <w:proofErr w:type="gramStart"/>
      <w:r w:rsidRPr="003735E6">
        <w:rPr>
          <w:szCs w:val="22"/>
        </w:rPr>
        <w:t>Ibid, p</w:t>
      </w:r>
      <w:r>
        <w:rPr>
          <w:szCs w:val="22"/>
        </w:rPr>
        <w:t xml:space="preserve"> </w:t>
      </w:r>
      <w:r w:rsidRPr="003735E6">
        <w:rPr>
          <w:szCs w:val="22"/>
        </w:rPr>
        <w:t>3</w:t>
      </w:r>
      <w:r>
        <w:rPr>
          <w:szCs w:val="22"/>
        </w:rPr>
        <w:t>.</w:t>
      </w:r>
      <w:proofErr w:type="gramEnd"/>
    </w:p>
  </w:footnote>
  <w:footnote w:id="3">
    <w:p w:rsidR="001F0619" w:rsidRPr="00B46379" w:rsidRDefault="001F0619">
      <w:pPr>
        <w:pStyle w:val="FootnoteText"/>
        <w:rPr>
          <w:szCs w:val="22"/>
        </w:rPr>
      </w:pPr>
      <w:r w:rsidRPr="00B46379">
        <w:rPr>
          <w:rStyle w:val="FootnoteReference"/>
          <w:szCs w:val="22"/>
        </w:rPr>
        <w:footnoteRef/>
      </w:r>
      <w:r w:rsidRPr="00B46379">
        <w:rPr>
          <w:szCs w:val="22"/>
        </w:rPr>
        <w:t xml:space="preserve"> </w:t>
      </w:r>
      <w:r w:rsidRPr="00B46379">
        <w:rPr>
          <w:szCs w:val="22"/>
        </w:rPr>
        <w:tab/>
      </w:r>
      <w:proofErr w:type="gramStart"/>
      <w:r w:rsidRPr="00B46379">
        <w:rPr>
          <w:szCs w:val="22"/>
        </w:rPr>
        <w:t>Ibid p 19</w:t>
      </w:r>
      <w:r>
        <w:rPr>
          <w:szCs w:val="22"/>
        </w:rPr>
        <w:t>.</w:t>
      </w:r>
      <w:proofErr w:type="gramEnd"/>
    </w:p>
  </w:footnote>
  <w:footnote w:id="4">
    <w:p w:rsidR="001F0619" w:rsidRDefault="001F0619" w:rsidP="00122F9E">
      <w:pPr>
        <w:pStyle w:val="FootnoteText"/>
      </w:pPr>
      <w:r>
        <w:rPr>
          <w:rStyle w:val="FootnoteReference"/>
        </w:rPr>
        <w:footnoteRef/>
      </w:r>
      <w:r>
        <w:t xml:space="preserve"> </w:t>
      </w:r>
      <w:r>
        <w:tab/>
      </w:r>
      <w:proofErr w:type="gramStart"/>
      <w:r>
        <w:t>Ibid, p 28.</w:t>
      </w:r>
      <w:proofErr w:type="gramEnd"/>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475E8"/>
    <w:multiLevelType w:val="hybridMultilevel"/>
    <w:tmpl w:val="2A0436B2"/>
    <w:lvl w:ilvl="0" w:tplc="9A707E80">
      <w:start w:val="1"/>
      <w:numFmt w:val="decimal"/>
      <w:pStyle w:val="Numbered"/>
      <w:lvlText w:val="%1."/>
      <w:lvlJc w:val="left"/>
      <w:pPr>
        <w:tabs>
          <w:tab w:val="num" w:pos="924"/>
        </w:tabs>
        <w:ind w:left="924" w:hanging="92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3504FED"/>
    <w:multiLevelType w:val="hybridMultilevel"/>
    <w:tmpl w:val="9986522A"/>
    <w:lvl w:ilvl="0" w:tplc="8306F1A8">
      <w:start w:val="1"/>
      <w:numFmt w:val="decimal"/>
      <w:pStyle w:val="Header"/>
      <w:lvlText w:val="%1."/>
      <w:lvlJc w:val="left"/>
      <w:pPr>
        <w:tabs>
          <w:tab w:val="num" w:pos="924"/>
        </w:tabs>
        <w:ind w:left="924" w:hanging="924"/>
      </w:pPr>
      <w:rPr>
        <w:rFonts w:hint="default"/>
        <w:b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40"/>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6C7F1FF7"/>
    <w:multiLevelType w:val="hybridMultilevel"/>
    <w:tmpl w:val="11E4C7EE"/>
    <w:lvl w:ilvl="0" w:tplc="7954D322">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0"/>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D6F"/>
    <w:rsid w:val="00122F9E"/>
    <w:rsid w:val="00193F71"/>
    <w:rsid w:val="001F0619"/>
    <w:rsid w:val="002B1975"/>
    <w:rsid w:val="00313B83"/>
    <w:rsid w:val="00365326"/>
    <w:rsid w:val="003735E6"/>
    <w:rsid w:val="003B7188"/>
    <w:rsid w:val="004B789E"/>
    <w:rsid w:val="004E3757"/>
    <w:rsid w:val="005626EB"/>
    <w:rsid w:val="00641DE9"/>
    <w:rsid w:val="006E56B7"/>
    <w:rsid w:val="00772066"/>
    <w:rsid w:val="007E0458"/>
    <w:rsid w:val="00803A72"/>
    <w:rsid w:val="00823A4A"/>
    <w:rsid w:val="008721E8"/>
    <w:rsid w:val="009A3A0B"/>
    <w:rsid w:val="00A02446"/>
    <w:rsid w:val="00B14D6F"/>
    <w:rsid w:val="00B46379"/>
    <w:rsid w:val="00B612CF"/>
    <w:rsid w:val="00DB1F11"/>
    <w:rsid w:val="00DF53B8"/>
    <w:rsid w:val="00E47667"/>
    <w:rsid w:val="00ED214C"/>
  </w:rsids>
  <m:mathPr>
    <m:mathFont m:val="Cambria Math"/>
    <m:brkBin m:val="before"/>
    <m:brkBinSub m:val="--"/>
    <m:smallFrac m:val="0"/>
    <m:dispDef m:val="0"/>
    <m:lMargin m:val="0"/>
    <m:rMargin m:val="0"/>
    <m:defJc m:val="centerGroup"/>
    <m:wrapRight/>
    <m:intLim m:val="subSup"/>
    <m:naryLim m:val="subSup"/>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96583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NZ" w:eastAsia="en-US" w:bidi="ar-SA"/>
      </w:rPr>
    </w:rPrDefault>
    <w:pPrDefault/>
  </w:docDefaults>
  <w:latentStyles w:defLockedState="0" w:defUIPriority="0" w:defSemiHidden="0" w:defUnhideWhenUsed="0" w:defQFormat="0" w:count="276">
    <w:lsdException w:name="Normal" w:qFormat="1"/>
    <w:lsdException w:name="heading 1" w:qFormat="1"/>
    <w:lsdException w:name="footnote text" w:qFormat="1"/>
    <w:lsdException w:name="Quote" w:qFormat="1"/>
  </w:latentStyles>
  <w:style w:type="paragraph" w:default="1" w:styleId="Normal">
    <w:name w:val="Normal"/>
    <w:qFormat/>
    <w:rsid w:val="00772066"/>
    <w:rPr>
      <w:rFonts w:ascii="Arial" w:hAnsi="Arial"/>
      <w:sz w:val="24"/>
      <w:lang w:val="en-US"/>
    </w:rPr>
  </w:style>
  <w:style w:type="paragraph" w:styleId="Heading1">
    <w:name w:val="heading 1"/>
    <w:basedOn w:val="Normal"/>
    <w:next w:val="Normal"/>
    <w:link w:val="Heading1Char"/>
    <w:qFormat/>
    <w:rsid w:val="00772066"/>
    <w:pPr>
      <w:keepNext/>
      <w:outlineLvl w:val="0"/>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Lines">
    <w:name w:val="Lines"/>
    <w:basedOn w:val="Normal"/>
    <w:pPr>
      <w:pBdr>
        <w:top w:val="single" w:sz="4" w:space="12" w:color="auto"/>
        <w:bottom w:val="single" w:sz="4" w:space="12" w:color="auto"/>
      </w:pBdr>
      <w:spacing w:before="240" w:after="240"/>
      <w:jc w:val="center"/>
    </w:pPr>
    <w:rPr>
      <w:rFonts w:eastAsia="Times New Roman"/>
      <w:b/>
      <w:caps/>
      <w:lang w:val="en-AU"/>
    </w:rPr>
  </w:style>
  <w:style w:type="paragraph" w:customStyle="1" w:styleId="Numbered">
    <w:name w:val="Numbered"/>
    <w:basedOn w:val="Normal"/>
    <w:qFormat/>
    <w:rsid w:val="004E3757"/>
    <w:pPr>
      <w:numPr>
        <w:numId w:val="4"/>
      </w:numPr>
      <w:spacing w:before="120" w:after="120" w:line="360" w:lineRule="auto"/>
      <w:jc w:val="both"/>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Quote">
    <w:name w:val="Quote"/>
    <w:basedOn w:val="Normal"/>
    <w:link w:val="QuoteChar"/>
    <w:qFormat/>
    <w:rsid w:val="00122F9E"/>
    <w:pPr>
      <w:spacing w:before="120" w:after="240"/>
      <w:ind w:left="1418" w:right="567"/>
      <w:jc w:val="both"/>
    </w:pPr>
    <w:rPr>
      <w:iCs/>
      <w:color w:val="000000" w:themeColor="text1"/>
      <w:sz w:val="22"/>
      <w:szCs w:val="18"/>
    </w:rPr>
  </w:style>
  <w:style w:type="character" w:customStyle="1" w:styleId="QuoteChar">
    <w:name w:val="Quote Char"/>
    <w:basedOn w:val="DefaultParagraphFont"/>
    <w:link w:val="Quote"/>
    <w:rsid w:val="00122F9E"/>
    <w:rPr>
      <w:rFonts w:ascii="Arial" w:hAnsi="Arial"/>
      <w:iCs/>
      <w:color w:val="000000" w:themeColor="text1"/>
      <w:sz w:val="22"/>
      <w:szCs w:val="18"/>
      <w:lang w:val="en-US"/>
    </w:rPr>
  </w:style>
  <w:style w:type="character" w:customStyle="1" w:styleId="Heading1Char">
    <w:name w:val="Heading 1 Char"/>
    <w:basedOn w:val="DefaultParagraphFont"/>
    <w:link w:val="Heading1"/>
    <w:rsid w:val="00772066"/>
    <w:rPr>
      <w:rFonts w:ascii="Arial" w:hAnsi="Arial"/>
      <w:b/>
      <w:sz w:val="24"/>
      <w:lang w:val="en-US"/>
    </w:rPr>
  </w:style>
  <w:style w:type="paragraph" w:styleId="FootnoteText">
    <w:name w:val="footnote text"/>
    <w:basedOn w:val="Normal"/>
    <w:link w:val="FootnoteTextChar"/>
    <w:qFormat/>
    <w:rsid w:val="00122F9E"/>
    <w:rPr>
      <w:sz w:val="22"/>
      <w:szCs w:val="24"/>
    </w:rPr>
  </w:style>
  <w:style w:type="character" w:customStyle="1" w:styleId="FootnoteTextChar">
    <w:name w:val="Footnote Text Char"/>
    <w:basedOn w:val="DefaultParagraphFont"/>
    <w:link w:val="FootnoteText"/>
    <w:rsid w:val="00122F9E"/>
    <w:rPr>
      <w:rFonts w:ascii="Arial" w:hAnsi="Arial"/>
      <w:sz w:val="22"/>
      <w:szCs w:val="24"/>
      <w:lang w:val="en-US"/>
    </w:rPr>
  </w:style>
  <w:style w:type="character" w:styleId="FootnoteReference">
    <w:name w:val="footnote reference"/>
    <w:basedOn w:val="DefaultParagraphFont"/>
    <w:rsid w:val="003735E6"/>
    <w:rPr>
      <w:vertAlign w:val="superscript"/>
    </w:rPr>
  </w:style>
  <w:style w:type="paragraph" w:styleId="BalloonText">
    <w:name w:val="Balloon Text"/>
    <w:basedOn w:val="Normal"/>
    <w:link w:val="BalloonTextChar"/>
    <w:rsid w:val="00DB1F11"/>
    <w:rPr>
      <w:rFonts w:ascii="Lucida Grande" w:hAnsi="Lucida Grande" w:cs="Lucida Grande"/>
      <w:sz w:val="18"/>
      <w:szCs w:val="18"/>
    </w:rPr>
  </w:style>
  <w:style w:type="character" w:customStyle="1" w:styleId="BalloonTextChar">
    <w:name w:val="Balloon Text Char"/>
    <w:basedOn w:val="DefaultParagraphFont"/>
    <w:link w:val="BalloonText"/>
    <w:rsid w:val="00DB1F11"/>
    <w:rPr>
      <w:rFonts w:ascii="Lucida Grande" w:hAnsi="Lucida Grande" w:cs="Lucida Grande"/>
      <w:sz w:val="18"/>
      <w:szCs w:val="18"/>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NZ" w:eastAsia="en-US" w:bidi="ar-SA"/>
      </w:rPr>
    </w:rPrDefault>
    <w:pPrDefault/>
  </w:docDefaults>
  <w:latentStyles w:defLockedState="0" w:defUIPriority="0" w:defSemiHidden="0" w:defUnhideWhenUsed="0" w:defQFormat="0" w:count="276">
    <w:lsdException w:name="Normal" w:qFormat="1"/>
    <w:lsdException w:name="heading 1" w:qFormat="1"/>
    <w:lsdException w:name="footnote text" w:qFormat="1"/>
    <w:lsdException w:name="Quote" w:qFormat="1"/>
  </w:latentStyles>
  <w:style w:type="paragraph" w:default="1" w:styleId="Normal">
    <w:name w:val="Normal"/>
    <w:qFormat/>
    <w:rsid w:val="00772066"/>
    <w:rPr>
      <w:rFonts w:ascii="Arial" w:hAnsi="Arial"/>
      <w:sz w:val="24"/>
      <w:lang w:val="en-US"/>
    </w:rPr>
  </w:style>
  <w:style w:type="paragraph" w:styleId="Heading1">
    <w:name w:val="heading 1"/>
    <w:basedOn w:val="Normal"/>
    <w:next w:val="Normal"/>
    <w:link w:val="Heading1Char"/>
    <w:qFormat/>
    <w:rsid w:val="00772066"/>
    <w:pPr>
      <w:keepNext/>
      <w:outlineLvl w:val="0"/>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Lines">
    <w:name w:val="Lines"/>
    <w:basedOn w:val="Normal"/>
    <w:pPr>
      <w:pBdr>
        <w:top w:val="single" w:sz="4" w:space="12" w:color="auto"/>
        <w:bottom w:val="single" w:sz="4" w:space="12" w:color="auto"/>
      </w:pBdr>
      <w:spacing w:before="240" w:after="240"/>
      <w:jc w:val="center"/>
    </w:pPr>
    <w:rPr>
      <w:rFonts w:eastAsia="Times New Roman"/>
      <w:b/>
      <w:caps/>
      <w:lang w:val="en-AU"/>
    </w:rPr>
  </w:style>
  <w:style w:type="paragraph" w:customStyle="1" w:styleId="Numbered">
    <w:name w:val="Numbered"/>
    <w:basedOn w:val="Normal"/>
    <w:qFormat/>
    <w:rsid w:val="004E3757"/>
    <w:pPr>
      <w:numPr>
        <w:numId w:val="4"/>
      </w:numPr>
      <w:spacing w:before="120" w:after="120" w:line="360" w:lineRule="auto"/>
      <w:jc w:val="both"/>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Quote">
    <w:name w:val="Quote"/>
    <w:basedOn w:val="Normal"/>
    <w:link w:val="QuoteChar"/>
    <w:qFormat/>
    <w:rsid w:val="00122F9E"/>
    <w:pPr>
      <w:spacing w:before="120" w:after="240"/>
      <w:ind w:left="1418" w:right="567"/>
      <w:jc w:val="both"/>
    </w:pPr>
    <w:rPr>
      <w:iCs/>
      <w:color w:val="000000" w:themeColor="text1"/>
      <w:sz w:val="22"/>
      <w:szCs w:val="18"/>
    </w:rPr>
  </w:style>
  <w:style w:type="character" w:customStyle="1" w:styleId="QuoteChar">
    <w:name w:val="Quote Char"/>
    <w:basedOn w:val="DefaultParagraphFont"/>
    <w:link w:val="Quote"/>
    <w:rsid w:val="00122F9E"/>
    <w:rPr>
      <w:rFonts w:ascii="Arial" w:hAnsi="Arial"/>
      <w:iCs/>
      <w:color w:val="000000" w:themeColor="text1"/>
      <w:sz w:val="22"/>
      <w:szCs w:val="18"/>
      <w:lang w:val="en-US"/>
    </w:rPr>
  </w:style>
  <w:style w:type="character" w:customStyle="1" w:styleId="Heading1Char">
    <w:name w:val="Heading 1 Char"/>
    <w:basedOn w:val="DefaultParagraphFont"/>
    <w:link w:val="Heading1"/>
    <w:rsid w:val="00772066"/>
    <w:rPr>
      <w:rFonts w:ascii="Arial" w:hAnsi="Arial"/>
      <w:b/>
      <w:sz w:val="24"/>
      <w:lang w:val="en-US"/>
    </w:rPr>
  </w:style>
  <w:style w:type="paragraph" w:styleId="FootnoteText">
    <w:name w:val="footnote text"/>
    <w:basedOn w:val="Normal"/>
    <w:link w:val="FootnoteTextChar"/>
    <w:qFormat/>
    <w:rsid w:val="00122F9E"/>
    <w:rPr>
      <w:sz w:val="22"/>
      <w:szCs w:val="24"/>
    </w:rPr>
  </w:style>
  <w:style w:type="character" w:customStyle="1" w:styleId="FootnoteTextChar">
    <w:name w:val="Footnote Text Char"/>
    <w:basedOn w:val="DefaultParagraphFont"/>
    <w:link w:val="FootnoteText"/>
    <w:rsid w:val="00122F9E"/>
    <w:rPr>
      <w:rFonts w:ascii="Arial" w:hAnsi="Arial"/>
      <w:sz w:val="22"/>
      <w:szCs w:val="24"/>
      <w:lang w:val="en-US"/>
    </w:rPr>
  </w:style>
  <w:style w:type="character" w:styleId="FootnoteReference">
    <w:name w:val="footnote reference"/>
    <w:basedOn w:val="DefaultParagraphFont"/>
    <w:rsid w:val="003735E6"/>
    <w:rPr>
      <w:vertAlign w:val="superscript"/>
    </w:rPr>
  </w:style>
  <w:style w:type="paragraph" w:styleId="BalloonText">
    <w:name w:val="Balloon Text"/>
    <w:basedOn w:val="Normal"/>
    <w:link w:val="BalloonTextChar"/>
    <w:rsid w:val="00DB1F11"/>
    <w:rPr>
      <w:rFonts w:ascii="Lucida Grande" w:hAnsi="Lucida Grande" w:cs="Lucida Grande"/>
      <w:sz w:val="18"/>
      <w:szCs w:val="18"/>
    </w:rPr>
  </w:style>
  <w:style w:type="character" w:customStyle="1" w:styleId="BalloonTextChar">
    <w:name w:val="Balloon Text Char"/>
    <w:basedOn w:val="DefaultParagraphFont"/>
    <w:link w:val="BalloonText"/>
    <w:rsid w:val="00DB1F11"/>
    <w:rPr>
      <w:rFonts w:ascii="Lucida Grande" w:hAnsi="Lucida Grande" w:cs="Lucida Grande"/>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8" Type="http://schemas.openxmlformats.org/officeDocument/2006/relationships/hyperlink" Target="mailto:ellist@tonyellis.co.nz" TargetMode="External"/><Relationship Id="rId3" Type="http://schemas.microsoft.com/office/2007/relationships/stylesWithEffects" Target="stylesWithEffects.xml"/><Relationship Id="rId12" Type="http://schemas.openxmlformats.org/officeDocument/2006/relationships/image" Target="media/image1.gif"/><Relationship Id="rId7" Type="http://schemas.openxmlformats.org/officeDocument/2006/relationships/endnotes" Target="endnotes.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1" Type="http://schemas.openxmlformats.org/officeDocument/2006/relationships/hyperlink" Target="http://www.tonyellis.co.nz" TargetMode="Externa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yperlink" Target="mailto:ellist@tonyellis.co.nz" TargetMode="External"/><Relationship Id="rId1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onyellis.co.n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tonyellis:Library:Application%20Support:Microsoft:Office:User%20Templates:My%20Templates: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5F71A29-B13D-4171-8C3F-55E656844E65}"/>
</file>

<file path=customXml/itemProps2.xml><?xml version="1.0" encoding="utf-8"?>
<ds:datastoreItem xmlns:ds="http://schemas.openxmlformats.org/officeDocument/2006/customXml" ds:itemID="{1B5E0995-0AAE-41C4-9B49-AE49CA5CA32C}"/>
</file>

<file path=customXml/itemProps3.xml><?xml version="1.0" encoding="utf-8"?>
<ds:datastoreItem xmlns:ds="http://schemas.openxmlformats.org/officeDocument/2006/customXml" ds:itemID="{B619228D-B4A1-46E9-9E4E-82E5562BAA9C}"/>
</file>

<file path=docProps/app.xml><?xml version="1.0" encoding="utf-8"?>
<Properties xmlns="http://schemas.openxmlformats.org/officeDocument/2006/extended-properties" xmlns:vt="http://schemas.openxmlformats.org/officeDocument/2006/docPropsVTypes">
  <Template>Letterhead+.dotx</Template>
  <TotalTime>1</TotalTime>
  <Pages>4</Pages>
  <Words>1009</Words>
  <Characters>5757</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6753</CharactersWithSpaces>
  <SharedDoc>false</SharedDoc>
  <HLinks>
    <vt:vector size="12" baseType="variant">
      <vt:variant>
        <vt:i4>7078012</vt:i4>
      </vt:variant>
      <vt:variant>
        <vt:i4>3</vt:i4>
      </vt:variant>
      <vt:variant>
        <vt:i4>0</vt:i4>
      </vt:variant>
      <vt:variant>
        <vt:i4>5</vt:i4>
      </vt:variant>
      <vt:variant>
        <vt:lpwstr>http://www.tonyellis.co.nz</vt:lpwstr>
      </vt:variant>
      <vt:variant>
        <vt:lpwstr/>
      </vt:variant>
      <vt:variant>
        <vt:i4>524384</vt:i4>
      </vt:variant>
      <vt:variant>
        <vt:i4>0</vt:i4>
      </vt:variant>
      <vt:variant>
        <vt:i4>0</vt:i4>
      </vt:variant>
      <vt:variant>
        <vt:i4>5</vt:i4>
      </vt:variant>
      <vt:variant>
        <vt:lpwstr>mailto:ellist@ihug.co.nz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Tony Ellis 1</dc:title>
  <dc:subject/>
  <dc:creator>Tony Ellis</dc:creator>
  <cp:keywords/>
  <cp:lastModifiedBy>Tony Ellis</cp:lastModifiedBy>
  <cp:revision>2</cp:revision>
  <cp:lastPrinted>2017-03-24T02:36:00Z</cp:lastPrinted>
  <dcterms:created xsi:type="dcterms:W3CDTF">2017-03-24T02:37:00Z</dcterms:created>
  <dcterms:modified xsi:type="dcterms:W3CDTF">2017-03-24T02:37:00Z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