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79F" w14:textId="27E7B769" w:rsidR="00EB3BCB" w:rsidRDefault="00C162FA" w:rsidP="009576FD">
      <w:pPr>
        <w:pStyle w:val="Header"/>
        <w:spacing w:before="1680" w:after="60"/>
        <w:jc w:val="right"/>
        <w:rPr>
          <w:b/>
          <w:sz w:val="28"/>
          <w:szCs w:val="28"/>
          <w:u w:val="single"/>
          <w:lang w:val="en-GB"/>
        </w:rPr>
      </w:pPr>
      <w:r>
        <w:rPr>
          <w:noProof/>
          <w:lang w:val="en-GB" w:eastAsia="en-GB"/>
        </w:rPr>
        <w:drawing>
          <wp:anchor distT="152400" distB="152400" distL="152400" distR="152400" simplePos="0" relativeHeight="251659264" behindDoc="1" locked="0" layoutInCell="1" allowOverlap="1" wp14:anchorId="74900B9C" wp14:editId="551A55E8">
            <wp:simplePos x="0" y="0"/>
            <wp:positionH relativeFrom="page">
              <wp:posOffset>1889125</wp:posOffset>
            </wp:positionH>
            <wp:positionV relativeFrom="page">
              <wp:posOffset>612140</wp:posOffset>
            </wp:positionV>
            <wp:extent cx="3962400" cy="723900"/>
            <wp:effectExtent l="0" t="0" r="0" b="0"/>
            <wp:wrapNone/>
            <wp:docPr id="2" name="officeArt object" descr="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Picture 16"/>
                    <pic:cNvPicPr>
                      <a:picLocks noChangeAspect="1" noChangeArrowheads="1"/>
                    </pic:cNvPicPr>
                  </pic:nvPicPr>
                  <pic:blipFill>
                    <a:blip r:embed="rId8"/>
                    <a:stretch>
                      <a:fillRect/>
                    </a:stretch>
                  </pic:blipFill>
                  <pic:spPr bwMode="auto">
                    <a:xfrm>
                      <a:off x="0" y="0"/>
                      <a:ext cx="3962400" cy="723900"/>
                    </a:xfrm>
                    <a:prstGeom prst="rect">
                      <a:avLst/>
                    </a:prstGeom>
                  </pic:spPr>
                </pic:pic>
              </a:graphicData>
            </a:graphic>
          </wp:anchor>
        </w:drawing>
      </w:r>
      <w:r w:rsidR="009576FD">
        <w:rPr>
          <w:b/>
          <w:sz w:val="28"/>
          <w:szCs w:val="28"/>
          <w:u w:val="single"/>
          <w:lang w:val="en-GB"/>
        </w:rPr>
        <w:t>TRADUCTION NON OFFICIEL</w:t>
      </w:r>
      <w:bookmarkStart w:id="0" w:name="_GoBack"/>
      <w:bookmarkEnd w:id="0"/>
      <w:r w:rsidR="009576FD">
        <w:rPr>
          <w:b/>
          <w:sz w:val="28"/>
          <w:szCs w:val="28"/>
          <w:u w:val="single"/>
          <w:lang w:val="en-GB"/>
        </w:rPr>
        <w:t>LE</w:t>
      </w:r>
    </w:p>
    <w:p w14:paraId="3D778463" w14:textId="77777777" w:rsidR="00EB3BCB" w:rsidRDefault="00EB3BCB" w:rsidP="00EB3BCB">
      <w:pPr>
        <w:tabs>
          <w:tab w:val="left" w:pos="6916"/>
        </w:tabs>
        <w:spacing w:before="120"/>
        <w:jc w:val="right"/>
        <w:rPr>
          <w:b/>
          <w:sz w:val="28"/>
          <w:szCs w:val="28"/>
          <w:u w:val="single"/>
          <w:lang w:val="en-GB"/>
        </w:rPr>
      </w:pPr>
    </w:p>
    <w:p w14:paraId="0CA7165E" w14:textId="77777777" w:rsidR="009576FD" w:rsidRPr="00AC5EEF" w:rsidRDefault="009576FD" w:rsidP="009576FD">
      <w:pPr>
        <w:tabs>
          <w:tab w:val="left" w:pos="6916"/>
        </w:tabs>
        <w:spacing w:before="120"/>
        <w:jc w:val="center"/>
        <w:rPr>
          <w:b/>
          <w:sz w:val="28"/>
          <w:szCs w:val="28"/>
          <w:u w:val="single"/>
          <w:lang w:val="fr-FR"/>
        </w:rPr>
      </w:pPr>
      <w:r w:rsidRPr="00AC5EEF">
        <w:rPr>
          <w:b/>
          <w:sz w:val="28"/>
          <w:szCs w:val="28"/>
          <w:u w:val="single"/>
          <w:lang w:val="fr-FR"/>
        </w:rPr>
        <w:t>Comité des droits de l’homme</w:t>
      </w:r>
    </w:p>
    <w:p w14:paraId="0111D99C" w14:textId="77777777" w:rsidR="009576FD" w:rsidRPr="00AC5EEF" w:rsidRDefault="009576FD" w:rsidP="009576FD">
      <w:pPr>
        <w:pStyle w:val="HChG"/>
        <w:ind w:firstLine="0"/>
        <w:jc w:val="center"/>
        <w:rPr>
          <w:b w:val="0"/>
          <w:sz w:val="22"/>
          <w:szCs w:val="22"/>
          <w:lang w:val="fr-FR"/>
        </w:rPr>
      </w:pPr>
      <w:r>
        <w:rPr>
          <w:sz w:val="22"/>
          <w:szCs w:val="22"/>
          <w:lang w:val="fr-FR"/>
        </w:rPr>
        <w:t>Directives concernant la tierce intervention</w:t>
      </w:r>
    </w:p>
    <w:p w14:paraId="24D5F7C3" w14:textId="77777777" w:rsidR="009576FD" w:rsidRPr="00AC5EEF" w:rsidRDefault="009576FD" w:rsidP="009576FD">
      <w:pPr>
        <w:spacing w:line="240" w:lineRule="auto"/>
        <w:rPr>
          <w:lang w:val="fr-FR"/>
        </w:rPr>
      </w:pPr>
    </w:p>
    <w:p w14:paraId="3F8EAF42" w14:textId="77777777" w:rsidR="009576FD" w:rsidRDefault="009576FD" w:rsidP="009576FD">
      <w:pPr>
        <w:spacing w:after="120"/>
        <w:ind w:right="1134"/>
        <w:jc w:val="both"/>
        <w:rPr>
          <w:sz w:val="22"/>
          <w:szCs w:val="22"/>
          <w:lang w:val="fr-FR"/>
        </w:rPr>
      </w:pPr>
      <w:r w:rsidRPr="00AC5EEF">
        <w:rPr>
          <w:sz w:val="22"/>
          <w:szCs w:val="22"/>
          <w:lang w:val="fr-FR"/>
        </w:rPr>
        <w:t>Les présentes directives concernant l</w:t>
      </w:r>
      <w:r>
        <w:rPr>
          <w:sz w:val="22"/>
          <w:szCs w:val="22"/>
          <w:lang w:val="fr-FR"/>
        </w:rPr>
        <w:t>a tierce intervention</w:t>
      </w:r>
      <w:r w:rsidRPr="00AC5EEF">
        <w:rPr>
          <w:sz w:val="22"/>
          <w:szCs w:val="22"/>
          <w:lang w:val="fr-FR"/>
        </w:rPr>
        <w:t xml:space="preserve"> adoptées par le Comité</w:t>
      </w:r>
      <w:r>
        <w:rPr>
          <w:sz w:val="22"/>
          <w:szCs w:val="22"/>
          <w:lang w:val="fr-FR"/>
        </w:rPr>
        <w:t xml:space="preserve"> des droits de l'homme à sa 127</w:t>
      </w:r>
      <w:r w:rsidRPr="00AC5EEF">
        <w:rPr>
          <w:sz w:val="22"/>
          <w:szCs w:val="22"/>
          <w:vertAlign w:val="superscript"/>
          <w:lang w:val="fr-FR"/>
        </w:rPr>
        <w:t>ème</w:t>
      </w:r>
      <w:r>
        <w:rPr>
          <w:sz w:val="22"/>
          <w:szCs w:val="22"/>
          <w:lang w:val="fr-FR"/>
        </w:rPr>
        <w:t xml:space="preserve"> </w:t>
      </w:r>
      <w:r w:rsidRPr="00AC5EEF">
        <w:rPr>
          <w:sz w:val="22"/>
          <w:szCs w:val="22"/>
          <w:lang w:val="fr-FR"/>
        </w:rPr>
        <w:t xml:space="preserve">session feront l'objet d'une évaluation au cours des cinq prochaines années, et </w:t>
      </w:r>
      <w:r>
        <w:rPr>
          <w:sz w:val="22"/>
          <w:szCs w:val="22"/>
          <w:lang w:val="fr-FR"/>
        </w:rPr>
        <w:t xml:space="preserve">pourront être </w:t>
      </w:r>
      <w:r w:rsidRPr="00AC5EEF">
        <w:rPr>
          <w:sz w:val="22"/>
          <w:szCs w:val="22"/>
          <w:lang w:val="fr-FR"/>
        </w:rPr>
        <w:t>révis</w:t>
      </w:r>
      <w:r>
        <w:rPr>
          <w:sz w:val="22"/>
          <w:szCs w:val="22"/>
          <w:lang w:val="fr-FR"/>
        </w:rPr>
        <w:t xml:space="preserve">ées si nécessaire </w:t>
      </w:r>
      <w:r w:rsidRPr="00BD3461">
        <w:rPr>
          <w:sz w:val="22"/>
          <w:szCs w:val="22"/>
          <w:lang w:val="fr-FR"/>
        </w:rPr>
        <w:t>et pertinent.</w:t>
      </w:r>
      <w:r>
        <w:rPr>
          <w:sz w:val="22"/>
          <w:szCs w:val="22"/>
          <w:lang w:val="fr-FR"/>
        </w:rPr>
        <w:t xml:space="preserve"> </w:t>
      </w:r>
    </w:p>
    <w:p w14:paraId="5FE65DE4" w14:textId="77777777" w:rsidR="009576FD" w:rsidRPr="00BB605E" w:rsidRDefault="009576FD" w:rsidP="009576FD">
      <w:pPr>
        <w:spacing w:after="120"/>
        <w:ind w:right="1134"/>
        <w:jc w:val="both"/>
        <w:rPr>
          <w:sz w:val="22"/>
          <w:szCs w:val="22"/>
          <w:lang w:val="fr-FR"/>
        </w:rPr>
      </w:pPr>
      <w:r w:rsidRPr="00933BD8">
        <w:rPr>
          <w:sz w:val="22"/>
          <w:szCs w:val="22"/>
          <w:lang w:val="fr-FR"/>
        </w:rPr>
        <w:t xml:space="preserve">Lorsqu'il examine des communications </w:t>
      </w:r>
      <w:r>
        <w:rPr>
          <w:sz w:val="22"/>
          <w:szCs w:val="22"/>
          <w:lang w:val="fr-FR"/>
        </w:rPr>
        <w:t>émanant de particuliers</w:t>
      </w:r>
      <w:r w:rsidRPr="00933BD8">
        <w:rPr>
          <w:sz w:val="22"/>
          <w:szCs w:val="22"/>
          <w:lang w:val="fr-FR"/>
        </w:rPr>
        <w:t xml:space="preserve"> présentées en vertu du Protocole facultatif se rapportant au Pacte international relatif aux droits civils et politiques (le Protocole facultatif), le Comité des droits de l'homme ou son Rapporteur spécial peut, conformément à l'article 96 de son </w:t>
      </w:r>
      <w:r w:rsidRPr="000C3780">
        <w:rPr>
          <w:sz w:val="22"/>
          <w:szCs w:val="22"/>
          <w:lang w:val="fr-FR"/>
        </w:rPr>
        <w:t>règlement intérieur</w:t>
      </w:r>
      <w:r w:rsidRPr="000C3780">
        <w:rPr>
          <w:rStyle w:val="FootnoteReference"/>
          <w:sz w:val="22"/>
          <w:szCs w:val="22"/>
        </w:rPr>
        <w:footnoteReference w:id="1"/>
      </w:r>
      <w:r w:rsidRPr="000C3780">
        <w:rPr>
          <w:sz w:val="22"/>
          <w:szCs w:val="22"/>
          <w:lang w:val="fr-FR"/>
        </w:rPr>
        <w:t xml:space="preserve">, accepter les </w:t>
      </w:r>
      <w:r>
        <w:rPr>
          <w:sz w:val="22"/>
          <w:szCs w:val="22"/>
          <w:lang w:val="fr-FR"/>
        </w:rPr>
        <w:t>informations</w:t>
      </w:r>
      <w:r w:rsidRPr="000C3780">
        <w:rPr>
          <w:sz w:val="22"/>
          <w:szCs w:val="22"/>
          <w:lang w:val="fr-FR"/>
        </w:rPr>
        <w:t xml:space="preserve"> et documents présentés par des tiers qui peuvent être pertinents pour l'examen approprié de la communication (mémoires d'</w:t>
      </w:r>
      <w:proofErr w:type="spellStart"/>
      <w:r w:rsidRPr="000C3780">
        <w:rPr>
          <w:sz w:val="22"/>
          <w:szCs w:val="22"/>
          <w:lang w:val="fr-FR"/>
        </w:rPr>
        <w:t>amicus</w:t>
      </w:r>
      <w:proofErr w:type="spellEnd"/>
      <w:r w:rsidRPr="000C3780">
        <w:rPr>
          <w:sz w:val="22"/>
          <w:szCs w:val="22"/>
          <w:lang w:val="fr-FR"/>
        </w:rPr>
        <w:t xml:space="preserve"> </w:t>
      </w:r>
      <w:proofErr w:type="spellStart"/>
      <w:r w:rsidRPr="000C3780">
        <w:rPr>
          <w:sz w:val="22"/>
          <w:szCs w:val="22"/>
          <w:lang w:val="fr-FR"/>
        </w:rPr>
        <w:t>curiae</w:t>
      </w:r>
      <w:proofErr w:type="spellEnd"/>
      <w:r w:rsidRPr="000C3780">
        <w:rPr>
          <w:sz w:val="22"/>
          <w:szCs w:val="22"/>
          <w:lang w:val="fr-FR"/>
        </w:rPr>
        <w:t>)</w:t>
      </w:r>
      <w:r w:rsidRPr="000C3780">
        <w:rPr>
          <w:rStyle w:val="FootnoteReference"/>
          <w:szCs w:val="22"/>
          <w:lang w:val="fr-FR"/>
        </w:rPr>
        <w:t xml:space="preserve"> </w:t>
      </w:r>
      <w:r w:rsidRPr="000C3780">
        <w:rPr>
          <w:rStyle w:val="FootnoteReference"/>
          <w:szCs w:val="22"/>
        </w:rPr>
        <w:footnoteReference w:id="2"/>
      </w:r>
      <w:r w:rsidRPr="000C3780">
        <w:rPr>
          <w:sz w:val="22"/>
          <w:szCs w:val="22"/>
          <w:lang w:val="fr-FR"/>
        </w:rPr>
        <w:t>.</w:t>
      </w:r>
    </w:p>
    <w:p w14:paraId="23ACCCFF" w14:textId="77777777" w:rsidR="009576FD" w:rsidRDefault="009576FD" w:rsidP="009576FD">
      <w:pPr>
        <w:spacing w:after="120"/>
        <w:ind w:right="1134"/>
        <w:jc w:val="both"/>
        <w:rPr>
          <w:sz w:val="22"/>
          <w:szCs w:val="22"/>
          <w:lang w:val="fr-FR"/>
        </w:rPr>
      </w:pPr>
      <w:r w:rsidRPr="00933BD8">
        <w:rPr>
          <w:sz w:val="22"/>
          <w:szCs w:val="22"/>
          <w:lang w:val="fr-FR"/>
        </w:rPr>
        <w:t xml:space="preserve">Conformément au paragraphe 4 de la règle 96, les </w:t>
      </w:r>
      <w:r>
        <w:rPr>
          <w:sz w:val="22"/>
          <w:szCs w:val="22"/>
          <w:lang w:val="fr-FR"/>
        </w:rPr>
        <w:t>particuliers ou entités intervenant en tant que tiers ne sont pas considérés comme des parties à la communication.</w:t>
      </w:r>
    </w:p>
    <w:p w14:paraId="37410BF5" w14:textId="77777777" w:rsidR="009576FD" w:rsidRDefault="009576FD" w:rsidP="009576FD">
      <w:pPr>
        <w:spacing w:after="120"/>
        <w:ind w:right="1134"/>
        <w:jc w:val="both"/>
        <w:rPr>
          <w:sz w:val="22"/>
          <w:szCs w:val="22"/>
          <w:lang w:val="fr-FR"/>
        </w:rPr>
      </w:pPr>
      <w:r>
        <w:rPr>
          <w:sz w:val="22"/>
          <w:szCs w:val="22"/>
          <w:lang w:val="fr-FR"/>
        </w:rPr>
        <w:t>La procédure à suivre pour qu’une tierce partie puisse soumettre des informations</w:t>
      </w:r>
      <w:r w:rsidRPr="000C3780">
        <w:rPr>
          <w:sz w:val="22"/>
          <w:szCs w:val="22"/>
          <w:lang w:val="fr-FR"/>
        </w:rPr>
        <w:t xml:space="preserve"> et documents</w:t>
      </w:r>
      <w:r>
        <w:rPr>
          <w:sz w:val="22"/>
          <w:szCs w:val="22"/>
          <w:lang w:val="fr-FR"/>
        </w:rPr>
        <w:t xml:space="preserve"> est la suivante : </w:t>
      </w:r>
    </w:p>
    <w:p w14:paraId="55748E1E" w14:textId="77777777" w:rsidR="009576FD" w:rsidRPr="0031585C" w:rsidRDefault="009576FD" w:rsidP="009576FD">
      <w:pPr>
        <w:pStyle w:val="ListParagraph"/>
        <w:numPr>
          <w:ilvl w:val="0"/>
          <w:numId w:val="6"/>
        </w:numPr>
        <w:spacing w:after="120"/>
        <w:ind w:right="1134"/>
        <w:jc w:val="both"/>
        <w:rPr>
          <w:sz w:val="22"/>
          <w:szCs w:val="22"/>
          <w:lang w:val="fr-FR"/>
        </w:rPr>
      </w:pPr>
      <w:r>
        <w:rPr>
          <w:sz w:val="22"/>
          <w:szCs w:val="22"/>
          <w:lang w:val="fr-FR"/>
        </w:rPr>
        <w:t>Une demande d</w:t>
      </w:r>
      <w:r w:rsidRPr="008D34AA">
        <w:rPr>
          <w:sz w:val="22"/>
          <w:szCs w:val="22"/>
          <w:lang w:val="fr-FR"/>
        </w:rPr>
        <w:t>'autorisation de présenter un mémoire d'</w:t>
      </w:r>
      <w:proofErr w:type="spellStart"/>
      <w:r w:rsidRPr="008D34AA">
        <w:rPr>
          <w:sz w:val="22"/>
          <w:szCs w:val="22"/>
          <w:lang w:val="fr-FR"/>
        </w:rPr>
        <w:t>amicus</w:t>
      </w:r>
      <w:proofErr w:type="spellEnd"/>
      <w:r w:rsidRPr="008D34AA">
        <w:rPr>
          <w:sz w:val="22"/>
          <w:szCs w:val="22"/>
          <w:lang w:val="fr-FR"/>
        </w:rPr>
        <w:t xml:space="preserve"> </w:t>
      </w:r>
      <w:proofErr w:type="spellStart"/>
      <w:r w:rsidRPr="008D34AA">
        <w:rPr>
          <w:sz w:val="22"/>
          <w:szCs w:val="22"/>
          <w:lang w:val="fr-FR"/>
        </w:rPr>
        <w:t>curiae</w:t>
      </w:r>
      <w:proofErr w:type="spellEnd"/>
      <w:r w:rsidRPr="008D34AA">
        <w:rPr>
          <w:sz w:val="22"/>
          <w:szCs w:val="22"/>
          <w:lang w:val="fr-FR"/>
        </w:rPr>
        <w:t xml:space="preserve"> doit être présentée </w:t>
      </w:r>
      <w:r>
        <w:rPr>
          <w:sz w:val="22"/>
          <w:szCs w:val="22"/>
          <w:lang w:val="fr-FR"/>
        </w:rPr>
        <w:t xml:space="preserve">par écrit </w:t>
      </w:r>
      <w:r w:rsidRPr="008D34AA">
        <w:rPr>
          <w:sz w:val="22"/>
          <w:szCs w:val="22"/>
          <w:lang w:val="fr-FR"/>
        </w:rPr>
        <w:t xml:space="preserve">au Comité, contenant de brèves informations sur les personnes ou entités qui </w:t>
      </w:r>
      <w:r>
        <w:rPr>
          <w:sz w:val="22"/>
          <w:szCs w:val="22"/>
          <w:lang w:val="fr-FR"/>
        </w:rPr>
        <w:t>souhaitent soumettre ce mémoire, en</w:t>
      </w:r>
      <w:r w:rsidRPr="008D34AA">
        <w:rPr>
          <w:sz w:val="22"/>
          <w:szCs w:val="22"/>
          <w:lang w:val="fr-FR"/>
        </w:rPr>
        <w:t xml:space="preserve"> précisant l</w:t>
      </w:r>
      <w:r>
        <w:rPr>
          <w:sz w:val="22"/>
          <w:szCs w:val="22"/>
          <w:lang w:val="fr-FR"/>
        </w:rPr>
        <w:t>a communication</w:t>
      </w:r>
      <w:r w:rsidRPr="008D34AA">
        <w:rPr>
          <w:sz w:val="22"/>
          <w:szCs w:val="22"/>
          <w:lang w:val="fr-FR"/>
        </w:rPr>
        <w:t xml:space="preserve"> concernée ainsi </w:t>
      </w:r>
      <w:r w:rsidRPr="00215545">
        <w:rPr>
          <w:sz w:val="22"/>
          <w:szCs w:val="22"/>
          <w:lang w:val="fr-FR"/>
        </w:rPr>
        <w:t>que la ou les questions à traiter, la nature des informations ou analyses à présenter et les raisons pour lesquelles</w:t>
      </w:r>
      <w:r>
        <w:rPr>
          <w:sz w:val="22"/>
          <w:szCs w:val="22"/>
          <w:lang w:val="fr-FR"/>
        </w:rPr>
        <w:t xml:space="preserve"> l’intervention sera utile pour l’</w:t>
      </w:r>
      <w:r w:rsidRPr="008D34AA">
        <w:rPr>
          <w:sz w:val="22"/>
          <w:szCs w:val="22"/>
          <w:lang w:val="fr-FR"/>
        </w:rPr>
        <w:t>examen</w:t>
      </w:r>
      <w:r>
        <w:rPr>
          <w:sz w:val="22"/>
          <w:szCs w:val="22"/>
          <w:lang w:val="fr-FR"/>
        </w:rPr>
        <w:t xml:space="preserve"> de la communication </w:t>
      </w:r>
      <w:r w:rsidRPr="008D34AA">
        <w:rPr>
          <w:i/>
          <w:sz w:val="22"/>
          <w:szCs w:val="22"/>
          <w:lang w:val="fr-FR"/>
        </w:rPr>
        <w:t>[maximum 2 pages].</w:t>
      </w:r>
    </w:p>
    <w:p w14:paraId="737D061D" w14:textId="77777777" w:rsidR="009576FD" w:rsidRPr="00D2138D" w:rsidRDefault="009576FD" w:rsidP="009576FD">
      <w:pPr>
        <w:pStyle w:val="ListParagraph"/>
        <w:spacing w:after="120"/>
        <w:ind w:right="1134"/>
        <w:jc w:val="both"/>
        <w:rPr>
          <w:sz w:val="22"/>
          <w:szCs w:val="22"/>
          <w:lang w:val="fr-FR"/>
        </w:rPr>
      </w:pPr>
    </w:p>
    <w:p w14:paraId="1E6071FC" w14:textId="77777777" w:rsidR="009576FD" w:rsidRPr="0031585C" w:rsidRDefault="009576FD" w:rsidP="009576FD">
      <w:pPr>
        <w:pStyle w:val="ListParagraph"/>
        <w:numPr>
          <w:ilvl w:val="0"/>
          <w:numId w:val="6"/>
        </w:numPr>
        <w:spacing w:after="120"/>
        <w:ind w:right="1134"/>
        <w:jc w:val="both"/>
        <w:rPr>
          <w:sz w:val="22"/>
          <w:szCs w:val="22"/>
          <w:lang w:val="fr-FR"/>
        </w:rPr>
      </w:pPr>
      <w:r w:rsidRPr="00D2138D">
        <w:rPr>
          <w:sz w:val="22"/>
          <w:szCs w:val="22"/>
          <w:lang w:val="fr-FR"/>
        </w:rPr>
        <w:t>S</w:t>
      </w:r>
      <w:r>
        <w:rPr>
          <w:sz w:val="22"/>
          <w:szCs w:val="22"/>
          <w:lang w:val="fr-FR"/>
        </w:rPr>
        <w:t xml:space="preserve">ur autorisation du </w:t>
      </w:r>
      <w:r w:rsidRPr="00D2138D">
        <w:rPr>
          <w:sz w:val="22"/>
          <w:szCs w:val="22"/>
          <w:lang w:val="fr-FR"/>
        </w:rPr>
        <w:t xml:space="preserve">Comité ou </w:t>
      </w:r>
      <w:r>
        <w:rPr>
          <w:sz w:val="22"/>
          <w:szCs w:val="22"/>
          <w:lang w:val="fr-FR"/>
        </w:rPr>
        <w:t xml:space="preserve">de </w:t>
      </w:r>
      <w:r w:rsidRPr="00D2138D">
        <w:rPr>
          <w:sz w:val="22"/>
          <w:szCs w:val="22"/>
          <w:lang w:val="fr-FR"/>
        </w:rPr>
        <w:t>son rapporteur spécial</w:t>
      </w:r>
      <w:r>
        <w:rPr>
          <w:sz w:val="22"/>
          <w:szCs w:val="22"/>
          <w:lang w:val="fr-FR"/>
        </w:rPr>
        <w:t xml:space="preserve">, une date </w:t>
      </w:r>
      <w:r w:rsidRPr="00D2138D">
        <w:rPr>
          <w:sz w:val="22"/>
          <w:szCs w:val="22"/>
          <w:lang w:val="fr-FR"/>
        </w:rPr>
        <w:t xml:space="preserve">limite pour la </w:t>
      </w:r>
      <w:r>
        <w:rPr>
          <w:sz w:val="22"/>
          <w:szCs w:val="22"/>
          <w:lang w:val="fr-FR"/>
        </w:rPr>
        <w:t>présentation du mémoire</w:t>
      </w:r>
      <w:r w:rsidRPr="00D2138D">
        <w:rPr>
          <w:sz w:val="22"/>
          <w:szCs w:val="22"/>
          <w:lang w:val="fr-FR"/>
        </w:rPr>
        <w:t xml:space="preserve"> et, le cas échéant</w:t>
      </w:r>
      <w:r w:rsidRPr="00B7232D">
        <w:rPr>
          <w:sz w:val="22"/>
          <w:szCs w:val="22"/>
          <w:lang w:val="fr-FR"/>
        </w:rPr>
        <w:t>, les questions sur lesquelles</w:t>
      </w:r>
      <w:r>
        <w:rPr>
          <w:sz w:val="22"/>
          <w:szCs w:val="22"/>
          <w:lang w:val="fr-FR"/>
        </w:rPr>
        <w:t xml:space="preserve"> le mémoire</w:t>
      </w:r>
      <w:r w:rsidRPr="00B7232D">
        <w:rPr>
          <w:sz w:val="22"/>
          <w:szCs w:val="22"/>
          <w:lang w:val="fr-FR"/>
        </w:rPr>
        <w:t xml:space="preserve"> doit porter sont indiquées.</w:t>
      </w:r>
      <w:r w:rsidRPr="00D2138D">
        <w:rPr>
          <w:sz w:val="22"/>
          <w:szCs w:val="22"/>
          <w:lang w:val="fr-FR"/>
        </w:rPr>
        <w:t xml:space="preserve"> L</w:t>
      </w:r>
      <w:r>
        <w:rPr>
          <w:sz w:val="22"/>
          <w:szCs w:val="22"/>
          <w:lang w:val="fr-FR"/>
        </w:rPr>
        <w:t>e mémoire</w:t>
      </w:r>
      <w:r w:rsidRPr="00D2138D">
        <w:rPr>
          <w:sz w:val="22"/>
          <w:szCs w:val="22"/>
          <w:lang w:val="fr-FR"/>
        </w:rPr>
        <w:t xml:space="preserve"> ne doit pas dépasser 5 350 mots. L</w:t>
      </w:r>
      <w:r>
        <w:rPr>
          <w:sz w:val="22"/>
          <w:szCs w:val="22"/>
          <w:lang w:val="fr-FR"/>
        </w:rPr>
        <w:t>es tiers s’engagent</w:t>
      </w:r>
      <w:r w:rsidRPr="00D2138D">
        <w:rPr>
          <w:sz w:val="22"/>
          <w:szCs w:val="22"/>
          <w:lang w:val="fr-FR"/>
        </w:rPr>
        <w:t xml:space="preserve"> à ne pas divulguer les informations </w:t>
      </w:r>
      <w:r>
        <w:rPr>
          <w:sz w:val="22"/>
          <w:szCs w:val="22"/>
          <w:lang w:val="fr-FR"/>
        </w:rPr>
        <w:t xml:space="preserve">relatives à la </w:t>
      </w:r>
      <w:r w:rsidRPr="00D2138D">
        <w:rPr>
          <w:sz w:val="22"/>
          <w:szCs w:val="22"/>
          <w:lang w:val="fr-FR"/>
        </w:rPr>
        <w:t>communication qu'il</w:t>
      </w:r>
      <w:r>
        <w:rPr>
          <w:sz w:val="22"/>
          <w:szCs w:val="22"/>
          <w:lang w:val="fr-FR"/>
        </w:rPr>
        <w:t>s ont obtenues dans le cadre de leur</w:t>
      </w:r>
      <w:r w:rsidRPr="00D2138D">
        <w:rPr>
          <w:sz w:val="22"/>
          <w:szCs w:val="22"/>
          <w:lang w:val="fr-FR"/>
        </w:rPr>
        <w:t xml:space="preserve"> participation à la procédure, sans l'autorisation expresse du Comité. </w:t>
      </w:r>
    </w:p>
    <w:p w14:paraId="7501964D" w14:textId="77777777" w:rsidR="009576FD" w:rsidRPr="0031585C" w:rsidRDefault="009576FD" w:rsidP="009576FD">
      <w:pPr>
        <w:pStyle w:val="ListParagraph"/>
        <w:spacing w:after="120"/>
        <w:ind w:right="1134"/>
        <w:jc w:val="both"/>
        <w:rPr>
          <w:sz w:val="22"/>
          <w:szCs w:val="22"/>
          <w:lang w:val="fr-FR"/>
        </w:rPr>
      </w:pPr>
    </w:p>
    <w:p w14:paraId="58F00C4B" w14:textId="77777777" w:rsidR="009576FD" w:rsidRPr="0031585C" w:rsidRDefault="009576FD" w:rsidP="009576FD">
      <w:pPr>
        <w:pStyle w:val="ListParagraph"/>
        <w:numPr>
          <w:ilvl w:val="0"/>
          <w:numId w:val="6"/>
        </w:numPr>
        <w:spacing w:after="120"/>
        <w:ind w:right="1134"/>
        <w:jc w:val="both"/>
        <w:rPr>
          <w:sz w:val="22"/>
          <w:szCs w:val="22"/>
          <w:lang w:val="fr-FR"/>
        </w:rPr>
      </w:pPr>
      <w:r>
        <w:rPr>
          <w:sz w:val="22"/>
          <w:szCs w:val="22"/>
          <w:lang w:val="fr-FR"/>
        </w:rPr>
        <w:t>Le Comité peut, de sa propre initiative, solliciter une tierce intervention (mémoire</w:t>
      </w:r>
      <w:r w:rsidRPr="000C3780">
        <w:rPr>
          <w:sz w:val="22"/>
          <w:szCs w:val="22"/>
          <w:lang w:val="fr-FR"/>
        </w:rPr>
        <w:t xml:space="preserve"> d'</w:t>
      </w:r>
      <w:proofErr w:type="spellStart"/>
      <w:r w:rsidRPr="000C3780">
        <w:rPr>
          <w:sz w:val="22"/>
          <w:szCs w:val="22"/>
          <w:lang w:val="fr-FR"/>
        </w:rPr>
        <w:t>amicus</w:t>
      </w:r>
      <w:proofErr w:type="spellEnd"/>
      <w:r w:rsidRPr="000C3780">
        <w:rPr>
          <w:sz w:val="22"/>
          <w:szCs w:val="22"/>
          <w:lang w:val="fr-FR"/>
        </w:rPr>
        <w:t xml:space="preserve"> </w:t>
      </w:r>
      <w:proofErr w:type="spellStart"/>
      <w:r w:rsidRPr="000C3780">
        <w:rPr>
          <w:sz w:val="22"/>
          <w:szCs w:val="22"/>
          <w:lang w:val="fr-FR"/>
        </w:rPr>
        <w:t>curiae</w:t>
      </w:r>
      <w:proofErr w:type="spellEnd"/>
      <w:r w:rsidRPr="000C3780">
        <w:rPr>
          <w:sz w:val="22"/>
          <w:szCs w:val="22"/>
          <w:lang w:val="fr-FR"/>
        </w:rPr>
        <w:t>)</w:t>
      </w:r>
      <w:r>
        <w:rPr>
          <w:sz w:val="22"/>
          <w:szCs w:val="22"/>
          <w:lang w:val="fr-FR"/>
        </w:rPr>
        <w:t xml:space="preserve"> auprès d’un particulier ou d’une entité. </w:t>
      </w:r>
    </w:p>
    <w:p w14:paraId="0C14910F" w14:textId="77777777" w:rsidR="009576FD" w:rsidRDefault="009576FD" w:rsidP="009576FD">
      <w:pPr>
        <w:pStyle w:val="ListParagraph"/>
        <w:spacing w:after="120"/>
        <w:ind w:right="1134"/>
        <w:jc w:val="both"/>
        <w:rPr>
          <w:sz w:val="22"/>
          <w:szCs w:val="22"/>
          <w:lang w:val="fr-FR"/>
        </w:rPr>
      </w:pPr>
    </w:p>
    <w:p w14:paraId="0C0DB0F0" w14:textId="77777777" w:rsidR="009576FD" w:rsidRPr="0031585C" w:rsidRDefault="009576FD" w:rsidP="009576FD">
      <w:pPr>
        <w:pStyle w:val="ListParagraph"/>
        <w:numPr>
          <w:ilvl w:val="0"/>
          <w:numId w:val="6"/>
        </w:numPr>
        <w:spacing w:after="120"/>
        <w:ind w:right="1134"/>
        <w:jc w:val="both"/>
        <w:rPr>
          <w:sz w:val="22"/>
          <w:szCs w:val="22"/>
          <w:lang w:val="fr-FR"/>
        </w:rPr>
      </w:pPr>
      <w:r>
        <w:rPr>
          <w:sz w:val="22"/>
          <w:szCs w:val="22"/>
          <w:lang w:val="fr-FR"/>
        </w:rPr>
        <w:t xml:space="preserve">Toute tierce intervention doit </w:t>
      </w:r>
      <w:r w:rsidRPr="00746779">
        <w:rPr>
          <w:sz w:val="22"/>
          <w:szCs w:val="22"/>
          <w:lang w:val="fr-FR"/>
        </w:rPr>
        <w:t>être présentée par écrit, de p</w:t>
      </w:r>
      <w:r w:rsidRPr="0031585C">
        <w:rPr>
          <w:sz w:val="22"/>
          <w:szCs w:val="22"/>
          <w:lang w:val="fr-FR"/>
        </w:rPr>
        <w:t xml:space="preserve">référence dans la langue de la communication, et impérativement dans une langue officielle des Nations </w:t>
      </w:r>
      <w:r w:rsidRPr="0031585C">
        <w:rPr>
          <w:sz w:val="22"/>
          <w:szCs w:val="22"/>
          <w:lang w:val="fr-FR"/>
        </w:rPr>
        <w:lastRenderedPageBreak/>
        <w:t xml:space="preserve">Unies. Elle devrait être adressée au Comité par l'intermédiaire du Haut-Commissariat aux droits de l'homme, </w:t>
      </w:r>
      <w:hyperlink r:id="rId9" w:history="1">
        <w:r w:rsidRPr="0031585C">
          <w:rPr>
            <w:rStyle w:val="Hyperlink"/>
            <w:sz w:val="22"/>
            <w:szCs w:val="22"/>
            <w:lang w:val="fr-FR"/>
          </w:rPr>
          <w:t>petitions@ohchr.org</w:t>
        </w:r>
      </w:hyperlink>
      <w:r w:rsidRPr="0031585C">
        <w:rPr>
          <w:sz w:val="22"/>
          <w:szCs w:val="22"/>
          <w:lang w:val="fr-FR"/>
        </w:rPr>
        <w:t>.</w:t>
      </w:r>
    </w:p>
    <w:p w14:paraId="04499B6B" w14:textId="77777777" w:rsidR="009576FD" w:rsidRPr="0031585C" w:rsidRDefault="009576FD" w:rsidP="009576FD">
      <w:pPr>
        <w:pStyle w:val="ListParagraph"/>
        <w:spacing w:after="120"/>
        <w:ind w:right="1134"/>
        <w:jc w:val="both"/>
        <w:rPr>
          <w:sz w:val="22"/>
          <w:szCs w:val="22"/>
          <w:lang w:val="fr-FR"/>
        </w:rPr>
      </w:pPr>
    </w:p>
    <w:p w14:paraId="16DBFC24" w14:textId="77777777" w:rsidR="009576FD" w:rsidRPr="0031585C" w:rsidRDefault="009576FD" w:rsidP="009576FD">
      <w:pPr>
        <w:pStyle w:val="ListParagraph"/>
        <w:numPr>
          <w:ilvl w:val="0"/>
          <w:numId w:val="6"/>
        </w:numPr>
        <w:spacing w:after="120"/>
        <w:ind w:right="1134"/>
        <w:jc w:val="both"/>
        <w:rPr>
          <w:sz w:val="22"/>
          <w:szCs w:val="22"/>
          <w:lang w:val="fr-FR"/>
        </w:rPr>
      </w:pPr>
      <w:r w:rsidRPr="00746779">
        <w:rPr>
          <w:sz w:val="22"/>
          <w:szCs w:val="22"/>
          <w:lang w:val="fr-FR"/>
        </w:rPr>
        <w:t xml:space="preserve">Conformément au paragraphe 3 de l'article 5 du Protocole facultatif, le Comité ne donne pas accès au dossier, aux copies des </w:t>
      </w:r>
      <w:r>
        <w:rPr>
          <w:sz w:val="22"/>
          <w:szCs w:val="22"/>
          <w:lang w:val="fr-FR"/>
        </w:rPr>
        <w:t>écrits des parties</w:t>
      </w:r>
      <w:r w:rsidRPr="00746779">
        <w:rPr>
          <w:sz w:val="22"/>
          <w:szCs w:val="22"/>
          <w:lang w:val="fr-FR"/>
        </w:rPr>
        <w:t xml:space="preserve"> ou à tout autre document concernant la communication dont il est saisi. Seules les parties à une communication peuvent divulguer les documents qui s'y rapportent.</w:t>
      </w:r>
    </w:p>
    <w:p w14:paraId="1064A143" w14:textId="77777777" w:rsidR="009576FD" w:rsidRDefault="009576FD" w:rsidP="009576FD">
      <w:pPr>
        <w:pStyle w:val="ListParagraph"/>
        <w:spacing w:after="120"/>
        <w:ind w:right="1134"/>
        <w:jc w:val="both"/>
        <w:rPr>
          <w:sz w:val="22"/>
          <w:szCs w:val="22"/>
          <w:lang w:val="fr-FR"/>
        </w:rPr>
      </w:pPr>
    </w:p>
    <w:p w14:paraId="7F8B32F2" w14:textId="77777777" w:rsidR="009576FD" w:rsidRPr="0031585C" w:rsidRDefault="009576FD" w:rsidP="009576FD">
      <w:pPr>
        <w:pStyle w:val="ListParagraph"/>
        <w:numPr>
          <w:ilvl w:val="0"/>
          <w:numId w:val="6"/>
        </w:numPr>
        <w:spacing w:after="120"/>
        <w:ind w:right="1134"/>
        <w:jc w:val="both"/>
        <w:rPr>
          <w:sz w:val="22"/>
          <w:szCs w:val="22"/>
          <w:lang w:val="fr-FR"/>
        </w:rPr>
      </w:pPr>
      <w:r w:rsidRPr="00746779">
        <w:rPr>
          <w:sz w:val="22"/>
          <w:szCs w:val="22"/>
          <w:lang w:val="fr-FR"/>
        </w:rPr>
        <w:t>Conformément au paragraphe 3 de l'article 5 du Protocole facultatif, le Comité</w:t>
      </w:r>
      <w:r>
        <w:rPr>
          <w:sz w:val="22"/>
          <w:szCs w:val="22"/>
          <w:lang w:val="fr-FR"/>
        </w:rPr>
        <w:t xml:space="preserve"> </w:t>
      </w:r>
      <w:r w:rsidRPr="00D2138D">
        <w:rPr>
          <w:sz w:val="22"/>
          <w:szCs w:val="22"/>
          <w:lang w:val="fr-FR"/>
        </w:rPr>
        <w:t>ne communique pas à des tiers l'identité de l'auteur ou des auteurs d'une communication ni leurs coordonnées sans le consentement écrit préalable de ces derniers. Lorsqu'une communication est soumise par deux auteurs ou plus, le consentement écrit de tous les auteurs sera requis.</w:t>
      </w:r>
    </w:p>
    <w:p w14:paraId="1A2E632E" w14:textId="77777777" w:rsidR="009576FD" w:rsidRPr="0031585C" w:rsidRDefault="009576FD" w:rsidP="009576FD">
      <w:pPr>
        <w:pStyle w:val="ListParagraph"/>
        <w:spacing w:after="120"/>
        <w:ind w:right="1134"/>
        <w:jc w:val="both"/>
        <w:rPr>
          <w:sz w:val="22"/>
          <w:szCs w:val="22"/>
          <w:lang w:val="fr-FR"/>
        </w:rPr>
      </w:pPr>
    </w:p>
    <w:p w14:paraId="009F9988" w14:textId="77777777" w:rsidR="009576FD" w:rsidRPr="0031585C" w:rsidRDefault="009576FD" w:rsidP="009576FD">
      <w:pPr>
        <w:pStyle w:val="ListParagraph"/>
        <w:numPr>
          <w:ilvl w:val="0"/>
          <w:numId w:val="6"/>
        </w:numPr>
        <w:spacing w:after="120"/>
        <w:ind w:right="1134"/>
        <w:jc w:val="both"/>
        <w:rPr>
          <w:sz w:val="22"/>
          <w:szCs w:val="22"/>
          <w:lang w:val="fr-FR"/>
        </w:rPr>
      </w:pPr>
      <w:r w:rsidRPr="00D2138D">
        <w:rPr>
          <w:sz w:val="22"/>
          <w:szCs w:val="22"/>
          <w:lang w:val="fr-FR"/>
        </w:rPr>
        <w:t xml:space="preserve">Si, conformément au paragraphe précédent, l'identité de l'auteur ou des auteurs est communiquée à une tierce partie, le Comité peut néanmoins demander à la tierce partie de ne pas révéler l'identité de l'auteur ou des auteurs et/ou de la victime de la communication. Le Comité peut également demander à la tierce partie de ne pas divulguer le contenu de son intervention tant que le Comité est saisi de la communication à laquelle elle se rapporte. </w:t>
      </w:r>
    </w:p>
    <w:p w14:paraId="05D1A444" w14:textId="77777777" w:rsidR="009576FD" w:rsidRDefault="009576FD" w:rsidP="009576FD">
      <w:pPr>
        <w:pStyle w:val="ListParagraph"/>
        <w:spacing w:after="120"/>
        <w:ind w:right="1134"/>
        <w:jc w:val="both"/>
        <w:rPr>
          <w:sz w:val="22"/>
          <w:szCs w:val="22"/>
          <w:lang w:val="fr-FR"/>
        </w:rPr>
      </w:pPr>
    </w:p>
    <w:p w14:paraId="56977E79" w14:textId="77777777" w:rsidR="009576FD" w:rsidRPr="0031585C" w:rsidRDefault="009576FD" w:rsidP="009576FD">
      <w:pPr>
        <w:pStyle w:val="ListParagraph"/>
        <w:numPr>
          <w:ilvl w:val="0"/>
          <w:numId w:val="6"/>
        </w:numPr>
        <w:spacing w:after="120"/>
        <w:ind w:right="1134"/>
        <w:jc w:val="both"/>
        <w:rPr>
          <w:sz w:val="22"/>
          <w:szCs w:val="22"/>
          <w:lang w:val="fr-FR"/>
        </w:rPr>
      </w:pPr>
      <w:r w:rsidRPr="00B7232D">
        <w:rPr>
          <w:sz w:val="22"/>
          <w:szCs w:val="22"/>
          <w:lang w:val="fr-FR"/>
        </w:rPr>
        <w:t>Si l'une des conditions susmentionnées n'est pas remplie, le Comité peut décider de ne pas examiner</w:t>
      </w:r>
      <w:r>
        <w:rPr>
          <w:sz w:val="22"/>
          <w:szCs w:val="22"/>
          <w:lang w:val="fr-FR"/>
        </w:rPr>
        <w:t xml:space="preserve"> la tierce intervention</w:t>
      </w:r>
      <w:r w:rsidRPr="00B7232D">
        <w:rPr>
          <w:sz w:val="22"/>
          <w:szCs w:val="22"/>
          <w:lang w:val="fr-FR"/>
        </w:rPr>
        <w:t xml:space="preserve"> et de prendre toute autre mesure appropriée.</w:t>
      </w:r>
    </w:p>
    <w:p w14:paraId="0CDBCF05" w14:textId="77777777" w:rsidR="009576FD" w:rsidRDefault="009576FD" w:rsidP="009576FD">
      <w:pPr>
        <w:pStyle w:val="ListParagraph"/>
        <w:spacing w:after="120"/>
        <w:ind w:right="1134"/>
        <w:jc w:val="both"/>
        <w:rPr>
          <w:sz w:val="22"/>
          <w:szCs w:val="22"/>
          <w:lang w:val="fr-FR"/>
        </w:rPr>
      </w:pPr>
    </w:p>
    <w:p w14:paraId="67A1ABFC" w14:textId="77777777" w:rsidR="009576FD" w:rsidRPr="00B7232D" w:rsidRDefault="009576FD" w:rsidP="009576FD">
      <w:pPr>
        <w:pStyle w:val="ListParagraph"/>
        <w:numPr>
          <w:ilvl w:val="0"/>
          <w:numId w:val="6"/>
        </w:numPr>
        <w:spacing w:after="120"/>
        <w:ind w:right="1134"/>
        <w:jc w:val="both"/>
        <w:rPr>
          <w:sz w:val="22"/>
          <w:szCs w:val="22"/>
          <w:lang w:val="fr-FR"/>
        </w:rPr>
      </w:pPr>
      <w:r w:rsidRPr="00B7232D">
        <w:rPr>
          <w:sz w:val="22"/>
          <w:szCs w:val="22"/>
          <w:lang w:val="fr-FR"/>
        </w:rPr>
        <w:t>Si toutes les conditions so</w:t>
      </w:r>
      <w:r w:rsidRPr="00727F95">
        <w:rPr>
          <w:sz w:val="22"/>
          <w:szCs w:val="22"/>
          <w:lang w:val="fr-FR"/>
        </w:rPr>
        <w:t>nt remplies, le Comité transmet le</w:t>
      </w:r>
      <w:r>
        <w:rPr>
          <w:sz w:val="22"/>
          <w:szCs w:val="22"/>
          <w:lang w:val="fr-FR"/>
        </w:rPr>
        <w:t xml:space="preserve"> mémoire</w:t>
      </w:r>
      <w:r w:rsidRPr="00727F95">
        <w:rPr>
          <w:sz w:val="22"/>
          <w:szCs w:val="22"/>
          <w:lang w:val="fr-FR"/>
        </w:rPr>
        <w:t xml:space="preserve"> présenté en qualité d'</w:t>
      </w:r>
      <w:proofErr w:type="spellStart"/>
      <w:r w:rsidRPr="00727F95">
        <w:rPr>
          <w:sz w:val="22"/>
          <w:szCs w:val="22"/>
          <w:lang w:val="fr-FR"/>
        </w:rPr>
        <w:t>amicus</w:t>
      </w:r>
      <w:proofErr w:type="spellEnd"/>
      <w:r w:rsidRPr="00727F95">
        <w:rPr>
          <w:sz w:val="22"/>
          <w:szCs w:val="22"/>
          <w:lang w:val="fr-FR"/>
        </w:rPr>
        <w:t xml:space="preserve"> </w:t>
      </w:r>
      <w:proofErr w:type="spellStart"/>
      <w:r w:rsidRPr="00727F95">
        <w:rPr>
          <w:sz w:val="22"/>
          <w:szCs w:val="22"/>
          <w:lang w:val="fr-FR"/>
        </w:rPr>
        <w:t>curiae</w:t>
      </w:r>
      <w:proofErr w:type="spellEnd"/>
      <w:r w:rsidRPr="00B7232D">
        <w:rPr>
          <w:sz w:val="22"/>
          <w:szCs w:val="22"/>
          <w:lang w:val="fr-FR"/>
        </w:rPr>
        <w:t xml:space="preserve"> aux parties à la communication, qui ont le droit de présenter des observations et commentaires écrits en réponse, y compris en ce qui concerne la pertinence de l</w:t>
      </w:r>
      <w:r>
        <w:rPr>
          <w:sz w:val="22"/>
          <w:szCs w:val="22"/>
          <w:lang w:val="fr-FR"/>
        </w:rPr>
        <w:t>’intervention</w:t>
      </w:r>
      <w:r w:rsidRPr="00B7232D">
        <w:rPr>
          <w:sz w:val="22"/>
          <w:szCs w:val="22"/>
          <w:lang w:val="fr-FR"/>
        </w:rPr>
        <w:t xml:space="preserve">, dans un délai </w:t>
      </w:r>
      <w:r>
        <w:rPr>
          <w:sz w:val="22"/>
          <w:szCs w:val="22"/>
          <w:lang w:val="fr-FR"/>
        </w:rPr>
        <w:t>fixé par le Comité</w:t>
      </w:r>
      <w:r w:rsidRPr="00B7232D">
        <w:rPr>
          <w:sz w:val="22"/>
          <w:szCs w:val="22"/>
          <w:lang w:val="fr-FR"/>
        </w:rPr>
        <w:t>.</w:t>
      </w:r>
    </w:p>
    <w:p w14:paraId="404FD317" w14:textId="77777777" w:rsidR="009576FD" w:rsidRPr="00B7232D" w:rsidRDefault="009576FD" w:rsidP="009576FD">
      <w:pPr>
        <w:pStyle w:val="ListParagraph"/>
        <w:spacing w:after="120"/>
        <w:ind w:right="1134"/>
        <w:jc w:val="both"/>
        <w:rPr>
          <w:sz w:val="22"/>
          <w:szCs w:val="22"/>
          <w:lang w:val="fr-FR"/>
        </w:rPr>
      </w:pPr>
    </w:p>
    <w:p w14:paraId="5161EC73" w14:textId="77777777" w:rsidR="009576FD" w:rsidRPr="00030B97" w:rsidRDefault="009576FD" w:rsidP="009576FD">
      <w:pPr>
        <w:spacing w:after="120"/>
        <w:ind w:right="1134"/>
        <w:jc w:val="both"/>
        <w:rPr>
          <w:sz w:val="22"/>
          <w:szCs w:val="22"/>
          <w:lang w:val="fr-FR"/>
        </w:rPr>
      </w:pPr>
      <w:r w:rsidRPr="00B7232D">
        <w:rPr>
          <w:sz w:val="22"/>
          <w:szCs w:val="22"/>
          <w:lang w:val="fr-FR"/>
        </w:rPr>
        <w:t xml:space="preserve">Si le Comité le juge approprié et pertinent, </w:t>
      </w:r>
      <w:r>
        <w:rPr>
          <w:sz w:val="22"/>
          <w:szCs w:val="22"/>
          <w:lang w:val="fr-FR"/>
        </w:rPr>
        <w:t>la tierce intervention ainsi que toute observation</w:t>
      </w:r>
      <w:r w:rsidRPr="00B7232D">
        <w:rPr>
          <w:sz w:val="22"/>
          <w:szCs w:val="22"/>
          <w:lang w:val="fr-FR"/>
        </w:rPr>
        <w:t xml:space="preserve"> de</w:t>
      </w:r>
      <w:r>
        <w:rPr>
          <w:sz w:val="22"/>
          <w:szCs w:val="22"/>
          <w:lang w:val="fr-FR"/>
        </w:rPr>
        <w:t xml:space="preserve">s parties à la communication s’y rapportant </w:t>
      </w:r>
      <w:r w:rsidRPr="00B7232D">
        <w:rPr>
          <w:sz w:val="22"/>
          <w:szCs w:val="22"/>
          <w:lang w:val="fr-FR"/>
        </w:rPr>
        <w:t>peuvent être utilisées pour ses délibérations et prises en compte dans ses constatations et décisions finales.</w:t>
      </w:r>
    </w:p>
    <w:p w14:paraId="34B8E27A" w14:textId="77777777" w:rsidR="009576FD" w:rsidRPr="00B7232D" w:rsidRDefault="009576FD" w:rsidP="009576FD">
      <w:pPr>
        <w:jc w:val="both"/>
        <w:rPr>
          <w:lang w:val="fr-FR"/>
        </w:rPr>
      </w:pPr>
    </w:p>
    <w:p w14:paraId="33D52EF9" w14:textId="77777777" w:rsidR="009576FD" w:rsidRPr="00B7232D" w:rsidRDefault="009576FD" w:rsidP="009576FD">
      <w:pPr>
        <w:jc w:val="both"/>
        <w:rPr>
          <w:lang w:val="fr-FR"/>
        </w:rPr>
      </w:pPr>
    </w:p>
    <w:p w14:paraId="1477D955" w14:textId="77777777" w:rsidR="009576FD" w:rsidRPr="00B7232D" w:rsidRDefault="009576FD" w:rsidP="009576FD">
      <w:pPr>
        <w:jc w:val="both"/>
        <w:rPr>
          <w:lang w:val="fr-FR"/>
        </w:rPr>
      </w:pPr>
    </w:p>
    <w:p w14:paraId="54D9414F" w14:textId="77777777" w:rsidR="009576FD" w:rsidRPr="00B7232D" w:rsidRDefault="009576FD" w:rsidP="009576FD">
      <w:pPr>
        <w:jc w:val="both"/>
        <w:rPr>
          <w:lang w:val="fr-FR"/>
        </w:rPr>
      </w:pPr>
    </w:p>
    <w:p w14:paraId="2DAB4CB7" w14:textId="77777777" w:rsidR="009576FD" w:rsidRPr="00B7232D" w:rsidRDefault="009576FD" w:rsidP="009576FD">
      <w:pPr>
        <w:jc w:val="both"/>
        <w:rPr>
          <w:lang w:val="fr-FR"/>
        </w:rPr>
      </w:pPr>
    </w:p>
    <w:p w14:paraId="1FAADA3B" w14:textId="77777777" w:rsidR="009576FD" w:rsidRPr="00B7232D" w:rsidRDefault="009576FD" w:rsidP="009576FD">
      <w:pPr>
        <w:jc w:val="both"/>
        <w:rPr>
          <w:lang w:val="fr-FR"/>
        </w:rPr>
      </w:pPr>
    </w:p>
    <w:p w14:paraId="7882C36D" w14:textId="77777777" w:rsidR="009576FD" w:rsidRPr="00B7232D" w:rsidRDefault="009576FD" w:rsidP="009576FD">
      <w:pPr>
        <w:jc w:val="both"/>
        <w:rPr>
          <w:lang w:val="fr-FR"/>
        </w:rPr>
      </w:pPr>
    </w:p>
    <w:p w14:paraId="4B901D11" w14:textId="77777777" w:rsidR="009576FD" w:rsidRPr="00B7232D" w:rsidRDefault="009576FD" w:rsidP="009576FD">
      <w:pPr>
        <w:jc w:val="both"/>
        <w:rPr>
          <w:lang w:val="fr-FR"/>
        </w:rPr>
      </w:pPr>
    </w:p>
    <w:p w14:paraId="72B7E160" w14:textId="77777777" w:rsidR="009576FD" w:rsidRPr="00B7232D" w:rsidRDefault="009576FD" w:rsidP="009576FD">
      <w:pPr>
        <w:jc w:val="both"/>
        <w:rPr>
          <w:lang w:val="fr-FR"/>
        </w:rPr>
      </w:pPr>
    </w:p>
    <w:p w14:paraId="134E15AA" w14:textId="77777777" w:rsidR="009576FD" w:rsidRPr="00B7232D" w:rsidRDefault="009576FD" w:rsidP="009576FD">
      <w:pPr>
        <w:jc w:val="both"/>
        <w:rPr>
          <w:lang w:val="fr-FR"/>
        </w:rPr>
      </w:pPr>
    </w:p>
    <w:p w14:paraId="35A1E2EA" w14:textId="77777777" w:rsidR="009576FD" w:rsidRPr="00B7232D" w:rsidRDefault="009576FD" w:rsidP="009576FD">
      <w:pPr>
        <w:jc w:val="both"/>
        <w:rPr>
          <w:lang w:val="fr-FR"/>
        </w:rPr>
      </w:pPr>
    </w:p>
    <w:p w14:paraId="1E8B01C7" w14:textId="77777777" w:rsidR="009576FD" w:rsidRPr="00B7232D" w:rsidRDefault="009576FD" w:rsidP="009576FD">
      <w:pPr>
        <w:jc w:val="both"/>
        <w:rPr>
          <w:lang w:val="fr-FR"/>
        </w:rPr>
      </w:pPr>
    </w:p>
    <w:p w14:paraId="55CFEFCE" w14:textId="77777777" w:rsidR="009576FD" w:rsidRPr="00B7232D" w:rsidRDefault="009576FD" w:rsidP="009576FD">
      <w:pPr>
        <w:jc w:val="both"/>
        <w:rPr>
          <w:lang w:val="fr-FR"/>
        </w:rPr>
      </w:pPr>
    </w:p>
    <w:p w14:paraId="252F9ABD" w14:textId="77777777" w:rsidR="009576FD" w:rsidRPr="00B7232D" w:rsidRDefault="009576FD" w:rsidP="009576FD">
      <w:pPr>
        <w:jc w:val="both"/>
        <w:rPr>
          <w:lang w:val="fr-FR"/>
        </w:rPr>
      </w:pPr>
    </w:p>
    <w:p w14:paraId="2E500387" w14:textId="77777777" w:rsidR="009576FD" w:rsidRPr="00B7232D" w:rsidRDefault="009576FD" w:rsidP="009576FD">
      <w:pPr>
        <w:jc w:val="both"/>
        <w:rPr>
          <w:lang w:val="fr-FR"/>
        </w:rPr>
      </w:pPr>
    </w:p>
    <w:p w14:paraId="4EA414BB" w14:textId="77777777" w:rsidR="009576FD" w:rsidRPr="00B7232D" w:rsidRDefault="009576FD" w:rsidP="009576FD">
      <w:pPr>
        <w:jc w:val="both"/>
        <w:rPr>
          <w:lang w:val="fr-FR"/>
        </w:rPr>
      </w:pPr>
    </w:p>
    <w:p w14:paraId="07BC16BD" w14:textId="77777777" w:rsidR="009576FD" w:rsidRPr="00B7232D" w:rsidRDefault="009576FD" w:rsidP="009576FD">
      <w:pPr>
        <w:jc w:val="both"/>
        <w:rPr>
          <w:lang w:val="fr-FR"/>
        </w:rPr>
      </w:pPr>
    </w:p>
    <w:p w14:paraId="55C10B1A" w14:textId="77777777" w:rsidR="009576FD" w:rsidRPr="00B7232D" w:rsidRDefault="009576FD" w:rsidP="009576FD">
      <w:pPr>
        <w:jc w:val="both"/>
        <w:rPr>
          <w:lang w:val="fr-FR"/>
        </w:rPr>
      </w:pPr>
    </w:p>
    <w:p w14:paraId="69D3D85B" w14:textId="77777777" w:rsidR="009576FD" w:rsidRPr="00B7232D" w:rsidRDefault="009576FD" w:rsidP="009576FD">
      <w:pPr>
        <w:jc w:val="both"/>
        <w:rPr>
          <w:lang w:val="fr-FR"/>
        </w:rPr>
      </w:pPr>
    </w:p>
    <w:p w14:paraId="7F201B2F" w14:textId="77777777" w:rsidR="009576FD" w:rsidRPr="00B7232D" w:rsidRDefault="009576FD" w:rsidP="009576FD">
      <w:pPr>
        <w:jc w:val="both"/>
        <w:rPr>
          <w:lang w:val="fr-FR"/>
        </w:rPr>
      </w:pPr>
    </w:p>
    <w:p w14:paraId="0DBFCB25" w14:textId="77777777" w:rsidR="009576FD" w:rsidRPr="00B7232D" w:rsidRDefault="009576FD" w:rsidP="009576FD">
      <w:pPr>
        <w:jc w:val="both"/>
        <w:rPr>
          <w:lang w:val="fr-FR"/>
        </w:rPr>
      </w:pPr>
    </w:p>
    <w:p w14:paraId="11E101AB" w14:textId="77777777" w:rsidR="009576FD" w:rsidRPr="00B7232D" w:rsidRDefault="009576FD" w:rsidP="009576FD">
      <w:pPr>
        <w:jc w:val="both"/>
        <w:rPr>
          <w:lang w:val="fr-FR"/>
        </w:rPr>
      </w:pPr>
    </w:p>
    <w:p w14:paraId="6484DE76" w14:textId="57CEDE22" w:rsidR="007C12F3" w:rsidRPr="00E860B6" w:rsidRDefault="007C12F3" w:rsidP="00820CE8">
      <w:pPr>
        <w:jc w:val="both"/>
        <w:rPr>
          <w:lang w:val="en-GB"/>
        </w:rPr>
      </w:pPr>
    </w:p>
    <w:sectPr w:rsidR="007C12F3" w:rsidRPr="00E860B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354C" w16cid:durableId="215892D1"/>
  <w16cid:commentId w16cid:paraId="24A49C0C" w16cid:durableId="215892D2"/>
  <w16cid:commentId w16cid:paraId="2439FBBC" w16cid:durableId="2158934D"/>
  <w16cid:commentId w16cid:paraId="5A03405D" w16cid:durableId="215892D3"/>
  <w16cid:commentId w16cid:paraId="00EC27FD" w16cid:durableId="21589386"/>
  <w16cid:commentId w16cid:paraId="4D9CFB39" w16cid:durableId="215893A6"/>
  <w16cid:commentId w16cid:paraId="1BCD5365" w16cid:durableId="215893BA"/>
  <w16cid:commentId w16cid:paraId="5B1C0CD6" w16cid:durableId="215893D1"/>
  <w16cid:commentId w16cid:paraId="49C91EFA" w16cid:durableId="215892D4"/>
  <w16cid:commentId w16cid:paraId="07F15B8F" w16cid:durableId="215894D7"/>
  <w16cid:commentId w16cid:paraId="43B64BF0" w16cid:durableId="215892D5"/>
  <w16cid:commentId w16cid:paraId="438C1E57" w16cid:durableId="215892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E6B1F" w14:textId="77777777" w:rsidR="00CD775C" w:rsidRDefault="00CD775C" w:rsidP="00E860B6">
      <w:pPr>
        <w:spacing w:line="240" w:lineRule="auto"/>
      </w:pPr>
      <w:r>
        <w:separator/>
      </w:r>
    </w:p>
  </w:endnote>
  <w:endnote w:type="continuationSeparator" w:id="0">
    <w:p w14:paraId="6AE525C3" w14:textId="77777777" w:rsidR="00CD775C" w:rsidRDefault="00CD775C" w:rsidP="00E86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1561" w14:textId="77777777" w:rsidR="00CD775C" w:rsidRDefault="00CD775C" w:rsidP="00E860B6">
      <w:pPr>
        <w:spacing w:line="240" w:lineRule="auto"/>
      </w:pPr>
      <w:r>
        <w:separator/>
      </w:r>
    </w:p>
  </w:footnote>
  <w:footnote w:type="continuationSeparator" w:id="0">
    <w:p w14:paraId="23D9480B" w14:textId="77777777" w:rsidR="00CD775C" w:rsidRDefault="00CD775C" w:rsidP="00E860B6">
      <w:pPr>
        <w:spacing w:line="240" w:lineRule="auto"/>
      </w:pPr>
      <w:r>
        <w:continuationSeparator/>
      </w:r>
    </w:p>
  </w:footnote>
  <w:footnote w:id="1">
    <w:p w14:paraId="0009AB95" w14:textId="77777777" w:rsidR="009576FD" w:rsidRPr="0031585C" w:rsidRDefault="009576FD" w:rsidP="009576FD">
      <w:pPr>
        <w:pStyle w:val="FootnoteText"/>
        <w:rPr>
          <w:lang w:val="fr-FR"/>
        </w:rPr>
      </w:pPr>
      <w:r>
        <w:rPr>
          <w:rStyle w:val="FootnoteReference"/>
        </w:rPr>
        <w:footnoteRef/>
      </w:r>
      <w:r w:rsidRPr="0031585C">
        <w:rPr>
          <w:lang w:val="fr-FR"/>
        </w:rPr>
        <w:t xml:space="preserve"> CCPR/C/3/Rev.11</w:t>
      </w:r>
    </w:p>
  </w:footnote>
  <w:footnote w:id="2">
    <w:p w14:paraId="0E0817EC" w14:textId="77777777" w:rsidR="009576FD" w:rsidRPr="00BD3461" w:rsidRDefault="009576FD" w:rsidP="009576FD">
      <w:pPr>
        <w:pStyle w:val="FootnoteText"/>
        <w:rPr>
          <w:lang w:val="fr-FR"/>
        </w:rPr>
      </w:pPr>
      <w:r>
        <w:rPr>
          <w:rStyle w:val="FootnoteReference"/>
        </w:rPr>
        <w:footnoteRef/>
      </w:r>
      <w:r w:rsidRPr="00BD3461">
        <w:rPr>
          <w:lang w:val="fr-FR"/>
        </w:rPr>
        <w:t xml:space="preserve"> </w:t>
      </w:r>
      <w:r w:rsidRPr="00BD3461">
        <w:rPr>
          <w:szCs w:val="18"/>
          <w:lang w:val="fr-FR"/>
        </w:rPr>
        <w:t>La liste des affaires enregistrées par le Comité, avec indication de l'État partie et des griefs soulevés, est disponible sur le site du Comité.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86399"/>
    <w:multiLevelType w:val="hybridMultilevel"/>
    <w:tmpl w:val="280A8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F227747"/>
    <w:multiLevelType w:val="hybridMultilevel"/>
    <w:tmpl w:val="1CC8AFC4"/>
    <w:lvl w:ilvl="0" w:tplc="7BD88ACC">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3F5728"/>
    <w:multiLevelType w:val="hybridMultilevel"/>
    <w:tmpl w:val="1164848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3655E"/>
    <w:multiLevelType w:val="hybridMultilevel"/>
    <w:tmpl w:val="60644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431E9C"/>
    <w:multiLevelType w:val="hybridMultilevel"/>
    <w:tmpl w:val="AC84DF08"/>
    <w:lvl w:ilvl="0" w:tplc="2148488C">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B6"/>
    <w:rsid w:val="000A06D2"/>
    <w:rsid w:val="000F78F0"/>
    <w:rsid w:val="001125AF"/>
    <w:rsid w:val="00122998"/>
    <w:rsid w:val="001659ED"/>
    <w:rsid w:val="001A34D1"/>
    <w:rsid w:val="002462B0"/>
    <w:rsid w:val="002628C5"/>
    <w:rsid w:val="002734ED"/>
    <w:rsid w:val="003535DC"/>
    <w:rsid w:val="003628B5"/>
    <w:rsid w:val="003841A8"/>
    <w:rsid w:val="003A5440"/>
    <w:rsid w:val="003A7C46"/>
    <w:rsid w:val="003B4AB5"/>
    <w:rsid w:val="003E5FD7"/>
    <w:rsid w:val="004208AE"/>
    <w:rsid w:val="004431B2"/>
    <w:rsid w:val="00527F83"/>
    <w:rsid w:val="005615F5"/>
    <w:rsid w:val="00561E7C"/>
    <w:rsid w:val="005678E7"/>
    <w:rsid w:val="00570887"/>
    <w:rsid w:val="005A0ADD"/>
    <w:rsid w:val="005B7D5B"/>
    <w:rsid w:val="00626851"/>
    <w:rsid w:val="0065166B"/>
    <w:rsid w:val="00654264"/>
    <w:rsid w:val="0067784F"/>
    <w:rsid w:val="00684B2A"/>
    <w:rsid w:val="006A3CB9"/>
    <w:rsid w:val="006E5F8B"/>
    <w:rsid w:val="00735A92"/>
    <w:rsid w:val="007414B9"/>
    <w:rsid w:val="00783636"/>
    <w:rsid w:val="007B0C24"/>
    <w:rsid w:val="007C12F3"/>
    <w:rsid w:val="007C17A8"/>
    <w:rsid w:val="007F3594"/>
    <w:rsid w:val="00820CE8"/>
    <w:rsid w:val="00853594"/>
    <w:rsid w:val="00882058"/>
    <w:rsid w:val="008B13F6"/>
    <w:rsid w:val="008C42FC"/>
    <w:rsid w:val="00916642"/>
    <w:rsid w:val="009576FD"/>
    <w:rsid w:val="00981653"/>
    <w:rsid w:val="009C31AB"/>
    <w:rsid w:val="009E5CFA"/>
    <w:rsid w:val="00A349D1"/>
    <w:rsid w:val="00B5118B"/>
    <w:rsid w:val="00B71420"/>
    <w:rsid w:val="00BD73FD"/>
    <w:rsid w:val="00BE070A"/>
    <w:rsid w:val="00BF2681"/>
    <w:rsid w:val="00BF312A"/>
    <w:rsid w:val="00C156A6"/>
    <w:rsid w:val="00C162FA"/>
    <w:rsid w:val="00C165D7"/>
    <w:rsid w:val="00C81F13"/>
    <w:rsid w:val="00CD775C"/>
    <w:rsid w:val="00DA4658"/>
    <w:rsid w:val="00DD6966"/>
    <w:rsid w:val="00E204E7"/>
    <w:rsid w:val="00E2094A"/>
    <w:rsid w:val="00E860B6"/>
    <w:rsid w:val="00EB13EE"/>
    <w:rsid w:val="00EB3BCB"/>
    <w:rsid w:val="00F31AB8"/>
    <w:rsid w:val="00F65C26"/>
    <w:rsid w:val="00F90F23"/>
    <w:rsid w:val="00FE6E1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3D1441"/>
  <w15:chartTrackingRefBased/>
  <w15:docId w15:val="{C739E04E-BC37-4AC8-9905-117404CC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0B6"/>
    <w:pPr>
      <w:spacing w:after="0" w:line="240" w:lineRule="atLeast"/>
    </w:pPr>
    <w:rPr>
      <w:rFonts w:ascii="Times New Roman" w:eastAsia="Times New Roman" w:hAnsi="Times New Roman" w:cs="Times New Roman"/>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r1 Char1 Char,Char Char,Footnote Reference1 Char"/>
    <w:basedOn w:val="DefaultParagraphFont"/>
    <w:link w:val="FootnoteText"/>
    <w:locked/>
    <w:rsid w:val="00E860B6"/>
    <w:rPr>
      <w:sz w:val="18"/>
      <w:lang w:val="fr-CH"/>
    </w:rPr>
  </w:style>
  <w:style w:type="paragraph" w:styleId="FootnoteText">
    <w:name w:val="footnote text"/>
    <w:aliases w:val="5_G,Footnote Text Char Char Char Char Char,Footnote Text Char Char Char Char,Footnote reference,FA Fu,Footnote Text Char Char Char,Footnote Text Char1 Char1,Footnote Text Char1 Char Char Char Char,Char,Footnote Reference1,ft,Style 27"/>
    <w:basedOn w:val="Normal"/>
    <w:link w:val="FootnoteTextChar"/>
    <w:unhideWhenUsed/>
    <w:qFormat/>
    <w:rsid w:val="00E860B6"/>
    <w:pPr>
      <w:tabs>
        <w:tab w:val="right" w:pos="1021"/>
      </w:tabs>
      <w:suppressAutoHyphens/>
      <w:spacing w:line="220" w:lineRule="exact"/>
      <w:ind w:left="1134" w:right="1134" w:hanging="1134"/>
    </w:pPr>
    <w:rPr>
      <w:rFonts w:asciiTheme="minorHAnsi" w:eastAsiaTheme="minorHAnsi" w:hAnsiTheme="minorHAnsi" w:cstheme="minorBidi"/>
      <w:sz w:val="18"/>
      <w:szCs w:val="22"/>
      <w:lang w:val="fr-CH" w:eastAsia="en-US"/>
    </w:rPr>
  </w:style>
  <w:style w:type="character" w:customStyle="1" w:styleId="FootnoteTextChar1">
    <w:name w:val="Footnote Text Char1"/>
    <w:basedOn w:val="DefaultParagraphFont"/>
    <w:uiPriority w:val="99"/>
    <w:semiHidden/>
    <w:rsid w:val="00E860B6"/>
    <w:rPr>
      <w:rFonts w:ascii="Times New Roman" w:eastAsia="Times New Roman" w:hAnsi="Times New Roman" w:cs="Times New Roman"/>
      <w:sz w:val="20"/>
      <w:szCs w:val="20"/>
      <w:lang w:val="es-ES" w:eastAsia="es-ES"/>
    </w:rPr>
  </w:style>
  <w:style w:type="paragraph" w:styleId="CommentText">
    <w:name w:val="annotation text"/>
    <w:basedOn w:val="Normal"/>
    <w:link w:val="CommentTextChar"/>
    <w:unhideWhenUsed/>
    <w:rsid w:val="00E860B6"/>
    <w:pPr>
      <w:spacing w:line="240" w:lineRule="auto"/>
    </w:pPr>
  </w:style>
  <w:style w:type="character" w:customStyle="1" w:styleId="CommentTextChar">
    <w:name w:val="Comment Text Char"/>
    <w:basedOn w:val="DefaultParagraphFont"/>
    <w:link w:val="CommentText"/>
    <w:rsid w:val="00E860B6"/>
    <w:rPr>
      <w:rFonts w:ascii="Times New Roman" w:eastAsia="Times New Roman" w:hAnsi="Times New Roman" w:cs="Times New Roman"/>
      <w:sz w:val="20"/>
      <w:szCs w:val="20"/>
      <w:lang w:val="es-ES" w:eastAsia="es-ES"/>
    </w:rPr>
  </w:style>
  <w:style w:type="paragraph" w:customStyle="1" w:styleId="HChG">
    <w:name w:val="_ H _Ch_G"/>
    <w:basedOn w:val="Normal"/>
    <w:next w:val="Normal"/>
    <w:rsid w:val="00E860B6"/>
    <w:pPr>
      <w:keepNext/>
      <w:keepLines/>
      <w:tabs>
        <w:tab w:val="right" w:pos="851"/>
      </w:tabs>
      <w:suppressAutoHyphens/>
      <w:spacing w:before="360" w:after="240" w:line="300" w:lineRule="exact"/>
      <w:ind w:left="1134" w:right="1134" w:hanging="1134"/>
    </w:pPr>
    <w:rPr>
      <w:b/>
      <w:sz w:val="28"/>
      <w:lang w:val="fr-CH" w:eastAsia="en-US"/>
    </w:rPr>
  </w:style>
  <w:style w:type="character" w:styleId="FootnoteReference">
    <w:name w:val="footnote reference"/>
    <w:aliases w:val="4_G,Footnote number,ftref,Footnotes refss,Style 10,Appel note de bas de p.,referencia nota al pie,BVI fnr,Footnote text,4_Footnote text,callout,Fago Fußnotenzeichen"/>
    <w:unhideWhenUsed/>
    <w:qFormat/>
    <w:rsid w:val="00E860B6"/>
    <w:rPr>
      <w:rFonts w:ascii="Times New Roman" w:hAnsi="Times New Roman" w:cs="Times New Roman" w:hint="default"/>
      <w:sz w:val="18"/>
      <w:vertAlign w:val="superscript"/>
      <w:lang w:val="fr-CH"/>
    </w:rPr>
  </w:style>
  <w:style w:type="character" w:styleId="CommentReference">
    <w:name w:val="annotation reference"/>
    <w:unhideWhenUsed/>
    <w:rsid w:val="00E860B6"/>
    <w:rPr>
      <w:sz w:val="16"/>
      <w:szCs w:val="16"/>
    </w:rPr>
  </w:style>
  <w:style w:type="paragraph" w:styleId="BalloonText">
    <w:name w:val="Balloon Text"/>
    <w:basedOn w:val="Normal"/>
    <w:link w:val="BalloonTextChar"/>
    <w:uiPriority w:val="99"/>
    <w:semiHidden/>
    <w:unhideWhenUsed/>
    <w:rsid w:val="00E860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B6"/>
    <w:rPr>
      <w:rFonts w:ascii="Segoe UI" w:eastAsia="Times New Roman" w:hAnsi="Segoe UI" w:cs="Segoe UI"/>
      <w:sz w:val="18"/>
      <w:szCs w:val="18"/>
      <w:lang w:val="es-ES" w:eastAsia="es-ES"/>
    </w:rPr>
  </w:style>
  <w:style w:type="paragraph" w:styleId="CommentSubject">
    <w:name w:val="annotation subject"/>
    <w:basedOn w:val="CommentText"/>
    <w:next w:val="CommentText"/>
    <w:link w:val="CommentSubjectChar"/>
    <w:uiPriority w:val="99"/>
    <w:semiHidden/>
    <w:unhideWhenUsed/>
    <w:rsid w:val="00B71420"/>
    <w:rPr>
      <w:b/>
      <w:bCs/>
    </w:rPr>
  </w:style>
  <w:style w:type="character" w:customStyle="1" w:styleId="CommentSubjectChar">
    <w:name w:val="Comment Subject Char"/>
    <w:basedOn w:val="CommentTextChar"/>
    <w:link w:val="CommentSubject"/>
    <w:uiPriority w:val="99"/>
    <w:semiHidden/>
    <w:rsid w:val="00B71420"/>
    <w:rPr>
      <w:rFonts w:ascii="Times New Roman" w:eastAsia="Times New Roman" w:hAnsi="Times New Roman" w:cs="Times New Roman"/>
      <w:b/>
      <w:bCs/>
      <w:sz w:val="20"/>
      <w:szCs w:val="20"/>
      <w:lang w:val="es-ES" w:eastAsia="es-ES"/>
    </w:rPr>
  </w:style>
  <w:style w:type="paragraph" w:styleId="ListParagraph">
    <w:name w:val="List Paragraph"/>
    <w:basedOn w:val="Normal"/>
    <w:uiPriority w:val="34"/>
    <w:qFormat/>
    <w:rsid w:val="00654264"/>
    <w:pPr>
      <w:ind w:left="720"/>
      <w:contextualSpacing/>
    </w:pPr>
  </w:style>
  <w:style w:type="paragraph" w:styleId="Header">
    <w:name w:val="header"/>
    <w:basedOn w:val="Normal"/>
    <w:link w:val="HeaderChar"/>
    <w:unhideWhenUsed/>
    <w:rsid w:val="005678E7"/>
    <w:pPr>
      <w:tabs>
        <w:tab w:val="center" w:pos="4513"/>
        <w:tab w:val="right" w:pos="9026"/>
      </w:tabs>
      <w:spacing w:line="240" w:lineRule="auto"/>
    </w:pPr>
  </w:style>
  <w:style w:type="character" w:customStyle="1" w:styleId="HeaderChar">
    <w:name w:val="Header Char"/>
    <w:basedOn w:val="DefaultParagraphFont"/>
    <w:link w:val="Header"/>
    <w:uiPriority w:val="99"/>
    <w:rsid w:val="005678E7"/>
    <w:rPr>
      <w:rFonts w:ascii="Times New Roman" w:eastAsia="Times New Roman" w:hAnsi="Times New Roman" w:cs="Times New Roman"/>
      <w:sz w:val="20"/>
      <w:szCs w:val="20"/>
      <w:lang w:val="es-ES" w:eastAsia="es-ES"/>
    </w:rPr>
  </w:style>
  <w:style w:type="paragraph" w:styleId="Footer">
    <w:name w:val="footer"/>
    <w:basedOn w:val="Normal"/>
    <w:link w:val="FooterChar"/>
    <w:uiPriority w:val="99"/>
    <w:unhideWhenUsed/>
    <w:rsid w:val="005678E7"/>
    <w:pPr>
      <w:tabs>
        <w:tab w:val="center" w:pos="4513"/>
        <w:tab w:val="right" w:pos="9026"/>
      </w:tabs>
      <w:spacing w:line="240" w:lineRule="auto"/>
    </w:pPr>
  </w:style>
  <w:style w:type="character" w:customStyle="1" w:styleId="FooterChar">
    <w:name w:val="Footer Char"/>
    <w:basedOn w:val="DefaultParagraphFont"/>
    <w:link w:val="Footer"/>
    <w:uiPriority w:val="99"/>
    <w:rsid w:val="005678E7"/>
    <w:rPr>
      <w:rFonts w:ascii="Times New Roman" w:eastAsia="Times New Roman" w:hAnsi="Times New Roman" w:cs="Times New Roman"/>
      <w:sz w:val="20"/>
      <w:szCs w:val="20"/>
      <w:lang w:val="es-ES" w:eastAsia="es-ES"/>
    </w:rPr>
  </w:style>
  <w:style w:type="character" w:styleId="Hyperlink">
    <w:name w:val="Hyperlink"/>
    <w:basedOn w:val="DefaultParagraphFont"/>
    <w:uiPriority w:val="99"/>
    <w:unhideWhenUsed/>
    <w:rsid w:val="007F3594"/>
    <w:rPr>
      <w:color w:val="0563C1" w:themeColor="hyperlink"/>
      <w:u w:val="single"/>
    </w:rPr>
  </w:style>
  <w:style w:type="paragraph" w:styleId="PlainText">
    <w:name w:val="Plain Text"/>
    <w:basedOn w:val="Normal"/>
    <w:link w:val="PlainTextChar"/>
    <w:uiPriority w:val="99"/>
    <w:unhideWhenUsed/>
    <w:rsid w:val="00C81F13"/>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C81F13"/>
    <w:rPr>
      <w:rFonts w:ascii="Calibri" w:hAnsi="Calibri"/>
      <w:szCs w:val="21"/>
    </w:rPr>
  </w:style>
  <w:style w:type="paragraph" w:styleId="NormalWeb">
    <w:name w:val="Normal (Web)"/>
    <w:basedOn w:val="Normal"/>
    <w:uiPriority w:val="99"/>
    <w:semiHidden/>
    <w:unhideWhenUsed/>
    <w:rsid w:val="001659ED"/>
    <w:pPr>
      <w:spacing w:before="100" w:beforeAutospacing="1" w:after="100" w:afterAutospacing="1" w:line="240" w:lineRule="auto"/>
    </w:pPr>
    <w:rPr>
      <w:rFonts w:eastAsiaTheme="minorEastAsia"/>
      <w:sz w:val="24"/>
      <w:szCs w:val="24"/>
      <w:lang w:val="en-US" w:eastAsia="en-US" w:bidi="he-IL"/>
    </w:rPr>
  </w:style>
  <w:style w:type="paragraph" w:styleId="Revision">
    <w:name w:val="Revision"/>
    <w:hidden/>
    <w:uiPriority w:val="99"/>
    <w:semiHidden/>
    <w:rsid w:val="00122998"/>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4203">
      <w:bodyDiv w:val="1"/>
      <w:marLeft w:val="0"/>
      <w:marRight w:val="0"/>
      <w:marTop w:val="0"/>
      <w:marBottom w:val="0"/>
      <w:divBdr>
        <w:top w:val="none" w:sz="0" w:space="0" w:color="auto"/>
        <w:left w:val="none" w:sz="0" w:space="0" w:color="auto"/>
        <w:bottom w:val="none" w:sz="0" w:space="0" w:color="auto"/>
        <w:right w:val="none" w:sz="0" w:space="0" w:color="auto"/>
      </w:divBdr>
      <w:divsChild>
        <w:div w:id="319503921">
          <w:marLeft w:val="0"/>
          <w:marRight w:val="0"/>
          <w:marTop w:val="0"/>
          <w:marBottom w:val="0"/>
          <w:divBdr>
            <w:top w:val="none" w:sz="0" w:space="0" w:color="auto"/>
            <w:left w:val="none" w:sz="0" w:space="0" w:color="auto"/>
            <w:bottom w:val="none" w:sz="0" w:space="0" w:color="auto"/>
            <w:right w:val="none" w:sz="0" w:space="0" w:color="auto"/>
          </w:divBdr>
          <w:divsChild>
            <w:div w:id="1787390126">
              <w:marLeft w:val="0"/>
              <w:marRight w:val="0"/>
              <w:marTop w:val="0"/>
              <w:marBottom w:val="0"/>
              <w:divBdr>
                <w:top w:val="none" w:sz="0" w:space="0" w:color="auto"/>
                <w:left w:val="none" w:sz="0" w:space="0" w:color="auto"/>
                <w:bottom w:val="none" w:sz="0" w:space="0" w:color="auto"/>
                <w:right w:val="none" w:sz="0" w:space="0" w:color="auto"/>
              </w:divBdr>
              <w:divsChild>
                <w:div w:id="66269257">
                  <w:marLeft w:val="0"/>
                  <w:marRight w:val="0"/>
                  <w:marTop w:val="0"/>
                  <w:marBottom w:val="0"/>
                  <w:divBdr>
                    <w:top w:val="none" w:sz="0" w:space="0" w:color="auto"/>
                    <w:left w:val="none" w:sz="0" w:space="0" w:color="auto"/>
                    <w:bottom w:val="none" w:sz="0" w:space="0" w:color="auto"/>
                    <w:right w:val="none" w:sz="0" w:space="0" w:color="auto"/>
                  </w:divBdr>
                  <w:divsChild>
                    <w:div w:id="2352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3381">
      <w:bodyDiv w:val="1"/>
      <w:marLeft w:val="0"/>
      <w:marRight w:val="0"/>
      <w:marTop w:val="0"/>
      <w:marBottom w:val="0"/>
      <w:divBdr>
        <w:top w:val="none" w:sz="0" w:space="0" w:color="auto"/>
        <w:left w:val="none" w:sz="0" w:space="0" w:color="auto"/>
        <w:bottom w:val="none" w:sz="0" w:space="0" w:color="auto"/>
        <w:right w:val="none" w:sz="0" w:space="0" w:color="auto"/>
      </w:divBdr>
    </w:div>
    <w:div w:id="16272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itions@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74E2EA-9095-49F1-93F1-665A38E51D1C}">
  <ds:schemaRefs>
    <ds:schemaRef ds:uri="http://schemas.openxmlformats.org/officeDocument/2006/bibliography"/>
  </ds:schemaRefs>
</ds:datastoreItem>
</file>

<file path=customXml/itemProps2.xml><?xml version="1.0" encoding="utf-8"?>
<ds:datastoreItem xmlns:ds="http://schemas.openxmlformats.org/officeDocument/2006/customXml" ds:itemID="{61A74645-8C67-4729-B902-678ECD4964AB}"/>
</file>

<file path=customXml/itemProps3.xml><?xml version="1.0" encoding="utf-8"?>
<ds:datastoreItem xmlns:ds="http://schemas.openxmlformats.org/officeDocument/2006/customXml" ds:itemID="{F0190468-17D0-4D9C-8857-DAFF518F234D}"/>
</file>

<file path=customXml/itemProps4.xml><?xml version="1.0" encoding="utf-8"?>
<ds:datastoreItem xmlns:ds="http://schemas.openxmlformats.org/officeDocument/2006/customXml" ds:itemID="{A35C78B7-B6E2-4164-B0DE-292EF9DBE100}"/>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 Ivaylo</dc:creator>
  <cp:keywords/>
  <dc:description/>
  <cp:lastModifiedBy>TEBOURBI Myriam</cp:lastModifiedBy>
  <cp:revision>3</cp:revision>
  <cp:lastPrinted>2019-10-21T08:24:00Z</cp:lastPrinted>
  <dcterms:created xsi:type="dcterms:W3CDTF">2019-11-14T14:43:00Z</dcterms:created>
  <dcterms:modified xsi:type="dcterms:W3CDTF">2019-11-14T14:45:00Z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