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1D598B" w14:textId="0341A628" w:rsidR="00EB19C7" w:rsidRDefault="00C162FA" w:rsidP="00EB19C7">
      <w:pPr>
        <w:pStyle w:val="Header"/>
        <w:spacing w:before="1680" w:after="60"/>
        <w:jc w:val="right"/>
        <w:rPr>
          <w:b/>
          <w:sz w:val="28"/>
          <w:szCs w:val="28"/>
          <w:u w:val="single"/>
        </w:rPr>
      </w:pPr>
      <w:r>
        <w:rPr>
          <w:noProof/>
          <w:lang w:val="en-GB" w:eastAsia="en-GB"/>
        </w:rPr>
        <w:drawing>
          <wp:anchor distT="152400" distB="152400" distL="152400" distR="152400" simplePos="0" relativeHeight="251659264" behindDoc="1" locked="0" layoutInCell="1" allowOverlap="1" wp14:anchorId="74900B9C" wp14:editId="551A55E8">
            <wp:simplePos x="0" y="0"/>
            <wp:positionH relativeFrom="page">
              <wp:posOffset>1889125</wp:posOffset>
            </wp:positionH>
            <wp:positionV relativeFrom="page">
              <wp:posOffset>612140</wp:posOffset>
            </wp:positionV>
            <wp:extent cx="3962400" cy="723900"/>
            <wp:effectExtent l="0" t="0" r="0" b="0"/>
            <wp:wrapNone/>
            <wp:docPr id="2" name="officeArt object" descr="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ficeArt object" descr="Picture 16"/>
                    <pic:cNvPicPr>
                      <a:picLocks noChangeAspect="1" noChangeArrowheads="1"/>
                    </pic:cNvPicPr>
                  </pic:nvPicPr>
                  <pic:blipFill>
                    <a:blip r:embed="rId8"/>
                    <a:stretch>
                      <a:fillRect/>
                    </a:stretch>
                  </pic:blipFill>
                  <pic:spPr bwMode="auto">
                    <a:xfrm>
                      <a:off x="0" y="0"/>
                      <a:ext cx="3962400" cy="723900"/>
                    </a:xfrm>
                    <a:prstGeom prst="rect">
                      <a:avLst/>
                    </a:prstGeom>
                  </pic:spPr>
                </pic:pic>
              </a:graphicData>
            </a:graphic>
          </wp:anchor>
        </w:drawing>
      </w:r>
      <w:r w:rsidR="00EB19C7">
        <w:rPr>
          <w:b/>
          <w:sz w:val="28"/>
          <w:szCs w:val="28"/>
          <w:u w:val="single"/>
        </w:rPr>
        <w:t>NON-OFFICIAL TRANSLATION</w:t>
      </w:r>
    </w:p>
    <w:p w14:paraId="19B30381" w14:textId="77777777" w:rsidR="00EB19C7" w:rsidRDefault="00EB19C7" w:rsidP="00EB19C7">
      <w:pPr>
        <w:jc w:val="center"/>
        <w:rPr>
          <w:b/>
          <w:sz w:val="28"/>
          <w:szCs w:val="28"/>
          <w:u w:val="single"/>
          <w:lang w:val="ru-RU"/>
        </w:rPr>
      </w:pPr>
    </w:p>
    <w:p w14:paraId="401A1DFE" w14:textId="08900F99" w:rsidR="00EB19C7" w:rsidRPr="00D034F1" w:rsidRDefault="00EB19C7" w:rsidP="00EB19C7">
      <w:pPr>
        <w:jc w:val="center"/>
        <w:rPr>
          <w:b/>
          <w:sz w:val="28"/>
          <w:szCs w:val="28"/>
          <w:u w:val="single"/>
          <w:lang w:val="ru-RU"/>
        </w:rPr>
      </w:pPr>
      <w:r w:rsidRPr="00D034F1">
        <w:rPr>
          <w:b/>
          <w:sz w:val="28"/>
          <w:szCs w:val="28"/>
          <w:u w:val="single"/>
          <w:lang w:val="ru-RU"/>
        </w:rPr>
        <w:t>Комитет по правам человека</w:t>
      </w:r>
    </w:p>
    <w:p w14:paraId="44FD628E" w14:textId="77777777" w:rsidR="00EB19C7" w:rsidRPr="004C08C3" w:rsidRDefault="00EB19C7" w:rsidP="00EB19C7">
      <w:pPr>
        <w:jc w:val="center"/>
        <w:rPr>
          <w:b/>
          <w:lang w:val="ru-RU"/>
        </w:rPr>
      </w:pPr>
      <w:r w:rsidRPr="00D034F1">
        <w:rPr>
          <w:b/>
          <w:lang w:val="ru-RU"/>
        </w:rPr>
        <w:t>Руководство по представлению информации третьей стороной</w:t>
      </w:r>
      <w:r w:rsidRPr="004C08C3">
        <w:rPr>
          <w:b/>
          <w:lang w:val="ru-RU"/>
        </w:rPr>
        <w:t xml:space="preserve"> (</w:t>
      </w:r>
      <w:r>
        <w:rPr>
          <w:b/>
          <w:lang w:val="en-US"/>
        </w:rPr>
        <w:t>amicus</w:t>
      </w:r>
      <w:r w:rsidRPr="004C08C3">
        <w:rPr>
          <w:b/>
          <w:lang w:val="ru-RU"/>
        </w:rPr>
        <w:t xml:space="preserve"> </w:t>
      </w:r>
      <w:r>
        <w:rPr>
          <w:b/>
          <w:lang w:val="en-US"/>
        </w:rPr>
        <w:t>curiae</w:t>
      </w:r>
      <w:r w:rsidRPr="004C08C3">
        <w:rPr>
          <w:b/>
          <w:lang w:val="ru-RU"/>
        </w:rPr>
        <w:t>)</w:t>
      </w:r>
    </w:p>
    <w:p w14:paraId="4C181223" w14:textId="77777777" w:rsidR="00EB19C7" w:rsidRDefault="00EB19C7" w:rsidP="00EB19C7">
      <w:pPr>
        <w:spacing w:after="120"/>
        <w:jc w:val="both"/>
        <w:rPr>
          <w:lang w:val="ru-RU"/>
        </w:rPr>
      </w:pPr>
    </w:p>
    <w:p w14:paraId="47BAADCA" w14:textId="039A28B3" w:rsidR="00EB19C7" w:rsidRPr="00420F09" w:rsidRDefault="00EB19C7" w:rsidP="00EB19C7">
      <w:pPr>
        <w:spacing w:after="120"/>
        <w:jc w:val="both"/>
        <w:rPr>
          <w:sz w:val="22"/>
          <w:szCs w:val="22"/>
          <w:lang w:val="ru-RU"/>
        </w:rPr>
      </w:pPr>
      <w:r w:rsidRPr="00420F09">
        <w:rPr>
          <w:sz w:val="22"/>
          <w:szCs w:val="22"/>
          <w:lang w:val="ru-RU"/>
        </w:rPr>
        <w:t>Настоящие руководящие принципы в отношении представлений третьих сторон, принятые Комитетом по правам человека на 127-й сессии, будут подвергнуты оценке в течение следующих пяти лет и могут быть пересмотрены в случае необходимости и целесообразности.</w:t>
      </w:r>
    </w:p>
    <w:p w14:paraId="5FA9EDCE" w14:textId="77777777" w:rsidR="00EB19C7" w:rsidRPr="00420F09" w:rsidRDefault="00EB19C7" w:rsidP="00EB19C7">
      <w:pPr>
        <w:spacing w:after="120"/>
        <w:jc w:val="both"/>
        <w:rPr>
          <w:sz w:val="22"/>
          <w:szCs w:val="22"/>
          <w:lang w:val="ru-RU"/>
        </w:rPr>
      </w:pPr>
      <w:r w:rsidRPr="00420F09">
        <w:rPr>
          <w:sz w:val="22"/>
          <w:szCs w:val="22"/>
          <w:lang w:val="ru-RU"/>
        </w:rPr>
        <w:t>При рассмотрении индивидуальных сообщений в соответствии с Факультативным протоколом к Международному пакту о гражданских и политических правах (Факультативный протокол) Комитет по правам человека или его Специальный докладчик может в соответствии с правилом 96 правил процедуры Комитета</w:t>
      </w:r>
      <w:r w:rsidRPr="00420F09">
        <w:rPr>
          <w:rStyle w:val="FootnoteReference"/>
          <w:sz w:val="22"/>
          <w:szCs w:val="22"/>
          <w:lang w:val="ru-RU"/>
        </w:rPr>
        <w:footnoteReference w:id="1"/>
      </w:r>
      <w:r w:rsidRPr="00420F09">
        <w:rPr>
          <w:sz w:val="22"/>
          <w:szCs w:val="22"/>
          <w:lang w:val="ru-RU"/>
        </w:rPr>
        <w:t xml:space="preserve"> принимать информацию и документацию, представленные третьими сторонами, которые могут иметь значение для надлежащего рассмотрения дела (</w:t>
      </w:r>
      <w:proofErr w:type="spellStart"/>
      <w:r w:rsidRPr="00420F09">
        <w:rPr>
          <w:sz w:val="22"/>
          <w:szCs w:val="22"/>
        </w:rPr>
        <w:t>amicus</w:t>
      </w:r>
      <w:proofErr w:type="spellEnd"/>
      <w:r w:rsidRPr="00420F09">
        <w:rPr>
          <w:sz w:val="22"/>
          <w:szCs w:val="22"/>
          <w:lang w:val="ru-RU"/>
        </w:rPr>
        <w:t xml:space="preserve"> </w:t>
      </w:r>
      <w:proofErr w:type="spellStart"/>
      <w:r w:rsidRPr="00420F09">
        <w:rPr>
          <w:sz w:val="22"/>
          <w:szCs w:val="22"/>
        </w:rPr>
        <w:t>curiae</w:t>
      </w:r>
      <w:proofErr w:type="spellEnd"/>
      <w:r w:rsidRPr="00420F09">
        <w:rPr>
          <w:sz w:val="22"/>
          <w:szCs w:val="22"/>
          <w:lang w:val="ru-RU"/>
        </w:rPr>
        <w:t xml:space="preserve"> </w:t>
      </w:r>
      <w:proofErr w:type="spellStart"/>
      <w:r w:rsidRPr="00420F09">
        <w:rPr>
          <w:sz w:val="22"/>
          <w:szCs w:val="22"/>
        </w:rPr>
        <w:t>briefs</w:t>
      </w:r>
      <w:proofErr w:type="spellEnd"/>
      <w:r w:rsidRPr="00420F09">
        <w:rPr>
          <w:sz w:val="22"/>
          <w:szCs w:val="22"/>
          <w:lang w:val="ru-RU"/>
        </w:rPr>
        <w:t>).</w:t>
      </w:r>
      <w:r w:rsidRPr="00420F09">
        <w:rPr>
          <w:rStyle w:val="FootnoteReference"/>
          <w:sz w:val="22"/>
          <w:szCs w:val="22"/>
          <w:lang w:val="ru-RU"/>
        </w:rPr>
        <w:footnoteReference w:id="2"/>
      </w:r>
    </w:p>
    <w:p w14:paraId="1514E65C" w14:textId="77777777" w:rsidR="00EB19C7" w:rsidRPr="00420F09" w:rsidRDefault="00EB19C7" w:rsidP="00EB19C7">
      <w:pPr>
        <w:spacing w:after="120"/>
        <w:jc w:val="both"/>
        <w:rPr>
          <w:sz w:val="22"/>
          <w:szCs w:val="22"/>
          <w:lang w:val="ru-RU"/>
        </w:rPr>
      </w:pPr>
      <w:r w:rsidRPr="00420F09">
        <w:rPr>
          <w:sz w:val="22"/>
          <w:szCs w:val="22"/>
          <w:lang w:val="ru-RU"/>
        </w:rPr>
        <w:t>В соответствии с пунктом 4 статьи 96 правил процедуры Комитета, физические или юридические лица, яв</w:t>
      </w:r>
      <w:bookmarkStart w:id="0" w:name="_GoBack"/>
      <w:bookmarkEnd w:id="0"/>
      <w:r w:rsidRPr="00420F09">
        <w:rPr>
          <w:sz w:val="22"/>
          <w:szCs w:val="22"/>
          <w:lang w:val="ru-RU"/>
        </w:rPr>
        <w:t>ляющиеся третьими сторонами, не считаются сторонами сообщения.</w:t>
      </w:r>
    </w:p>
    <w:p w14:paraId="5DD607D3" w14:textId="77777777" w:rsidR="00EB19C7" w:rsidRPr="00420F09" w:rsidRDefault="00EB19C7" w:rsidP="00EB19C7">
      <w:pPr>
        <w:spacing w:after="120"/>
        <w:jc w:val="both"/>
        <w:rPr>
          <w:sz w:val="22"/>
          <w:szCs w:val="22"/>
          <w:lang w:val="ru-RU"/>
        </w:rPr>
      </w:pPr>
      <w:r w:rsidRPr="00420F09">
        <w:rPr>
          <w:sz w:val="22"/>
          <w:szCs w:val="22"/>
          <w:lang w:val="ru-RU"/>
        </w:rPr>
        <w:t xml:space="preserve">Процедура представления информации и документации третьей стороной заключается в следующем: </w:t>
      </w:r>
    </w:p>
    <w:p w14:paraId="76F71087" w14:textId="77777777" w:rsidR="00EB19C7" w:rsidRPr="004C08C3" w:rsidRDefault="00EB19C7" w:rsidP="00EB19C7">
      <w:pPr>
        <w:pStyle w:val="ListParagraph"/>
        <w:spacing w:after="120"/>
        <w:ind w:right="1134" w:hanging="360"/>
        <w:jc w:val="both"/>
        <w:rPr>
          <w:sz w:val="22"/>
          <w:szCs w:val="22"/>
          <w:lang w:val="ru-RU"/>
        </w:rPr>
      </w:pPr>
      <w:r w:rsidRPr="004C08C3">
        <w:rPr>
          <w:sz w:val="22"/>
          <w:szCs w:val="22"/>
          <w:lang w:val="ru-RU"/>
        </w:rPr>
        <w:t>1.</w:t>
      </w:r>
      <w:r w:rsidRPr="004C08C3">
        <w:rPr>
          <w:sz w:val="22"/>
          <w:szCs w:val="22"/>
          <w:lang w:val="ru-RU"/>
        </w:rPr>
        <w:tab/>
        <w:t xml:space="preserve">Комитету представляется письменная просьба о выдаче разрешения на представление </w:t>
      </w:r>
      <w:r w:rsidRPr="00F74EBA">
        <w:rPr>
          <w:sz w:val="22"/>
          <w:szCs w:val="22"/>
          <w:lang w:val="en-GB"/>
        </w:rPr>
        <w:t>amicus</w:t>
      </w:r>
      <w:r w:rsidRPr="004C08C3">
        <w:rPr>
          <w:sz w:val="22"/>
          <w:szCs w:val="22"/>
          <w:lang w:val="ru-RU"/>
        </w:rPr>
        <w:t xml:space="preserve"> </w:t>
      </w:r>
      <w:r w:rsidRPr="00F74EBA">
        <w:rPr>
          <w:sz w:val="22"/>
          <w:szCs w:val="22"/>
          <w:lang w:val="en-GB"/>
        </w:rPr>
        <w:t>curiae</w:t>
      </w:r>
      <w:r w:rsidRPr="004C08C3">
        <w:rPr>
          <w:sz w:val="22"/>
          <w:szCs w:val="22"/>
          <w:lang w:val="ru-RU"/>
        </w:rPr>
        <w:t xml:space="preserve"> </w:t>
      </w:r>
      <w:r w:rsidRPr="00F74EBA">
        <w:rPr>
          <w:sz w:val="22"/>
          <w:szCs w:val="22"/>
          <w:lang w:val="en-GB"/>
        </w:rPr>
        <w:t>brief</w:t>
      </w:r>
      <w:r w:rsidRPr="004C08C3">
        <w:rPr>
          <w:sz w:val="22"/>
          <w:szCs w:val="22"/>
          <w:lang w:val="ru-RU"/>
        </w:rPr>
        <w:t xml:space="preserve">, содержащая краткую информацию о физических или юридических лицах, представивших ее, с указанием соответствующего </w:t>
      </w:r>
      <w:r>
        <w:rPr>
          <w:sz w:val="22"/>
          <w:szCs w:val="22"/>
          <w:lang w:val="ru-RU"/>
        </w:rPr>
        <w:t>индивидуального сообщения</w:t>
      </w:r>
      <w:r w:rsidRPr="004C08C3">
        <w:rPr>
          <w:sz w:val="22"/>
          <w:szCs w:val="22"/>
          <w:lang w:val="ru-RU"/>
        </w:rPr>
        <w:t>, а также вопроса или вопросов, подлежащих рассмотрению, характера информации или анализа, которые должны быть представлены, и причин, по которым представление будет полезным для рассмотрения сообщения [максимум 2 страницы].</w:t>
      </w:r>
    </w:p>
    <w:p w14:paraId="7F41F3F0" w14:textId="77777777" w:rsidR="00EB19C7" w:rsidRPr="004C08C3" w:rsidRDefault="00EB19C7" w:rsidP="00EB19C7">
      <w:pPr>
        <w:pStyle w:val="ListParagraph"/>
        <w:spacing w:after="120"/>
        <w:ind w:right="1134" w:hanging="360"/>
        <w:jc w:val="both"/>
        <w:rPr>
          <w:sz w:val="22"/>
          <w:szCs w:val="22"/>
          <w:lang w:val="ru-RU"/>
        </w:rPr>
      </w:pPr>
    </w:p>
    <w:p w14:paraId="203849C8" w14:textId="77777777" w:rsidR="00EB19C7" w:rsidRPr="004C08C3" w:rsidRDefault="00EB19C7" w:rsidP="00EB19C7">
      <w:pPr>
        <w:pStyle w:val="ListParagraph"/>
        <w:spacing w:after="120"/>
        <w:ind w:right="1134" w:hanging="360"/>
        <w:jc w:val="both"/>
        <w:rPr>
          <w:sz w:val="22"/>
          <w:szCs w:val="22"/>
          <w:lang w:val="ru-RU"/>
        </w:rPr>
      </w:pPr>
      <w:r w:rsidRPr="00CA3889">
        <w:rPr>
          <w:sz w:val="22"/>
          <w:szCs w:val="22"/>
          <w:lang w:val="ru-RU"/>
        </w:rPr>
        <w:t>2.</w:t>
      </w:r>
      <w:r w:rsidRPr="00CA3889">
        <w:rPr>
          <w:sz w:val="22"/>
          <w:szCs w:val="22"/>
          <w:lang w:val="ru-RU"/>
        </w:rPr>
        <w:tab/>
        <w:t xml:space="preserve">Если Комитет или его </w:t>
      </w:r>
      <w:r>
        <w:rPr>
          <w:sz w:val="22"/>
          <w:szCs w:val="22"/>
          <w:lang w:val="ru-RU"/>
        </w:rPr>
        <w:t>С</w:t>
      </w:r>
      <w:r w:rsidRPr="00CA3889">
        <w:rPr>
          <w:sz w:val="22"/>
          <w:szCs w:val="22"/>
          <w:lang w:val="ru-RU"/>
        </w:rPr>
        <w:t xml:space="preserve">пециальный докладчик дает разрешение, указывается крайний срок представления и, в соответствующих случаях, вопросы, на которых оно должно быть сосредоточено. </w:t>
      </w:r>
      <w:r w:rsidRPr="004C08C3">
        <w:rPr>
          <w:sz w:val="22"/>
          <w:szCs w:val="22"/>
          <w:lang w:val="ru-RU"/>
        </w:rPr>
        <w:t xml:space="preserve">Объем поданной </w:t>
      </w:r>
      <w:r>
        <w:rPr>
          <w:sz w:val="22"/>
          <w:szCs w:val="22"/>
          <w:lang w:val="ru-RU"/>
        </w:rPr>
        <w:t xml:space="preserve">информации </w:t>
      </w:r>
      <w:r w:rsidRPr="004C08C3">
        <w:rPr>
          <w:sz w:val="22"/>
          <w:szCs w:val="22"/>
          <w:lang w:val="ru-RU"/>
        </w:rPr>
        <w:t xml:space="preserve"> не должен превышать 5 350 слов. Третья сторона обязуется не разглашать </w:t>
      </w:r>
      <w:r>
        <w:rPr>
          <w:sz w:val="22"/>
          <w:szCs w:val="22"/>
          <w:lang w:val="ru-RU"/>
        </w:rPr>
        <w:t xml:space="preserve">сведения </w:t>
      </w:r>
      <w:r w:rsidRPr="004C08C3">
        <w:rPr>
          <w:sz w:val="22"/>
          <w:szCs w:val="22"/>
          <w:lang w:val="ru-RU"/>
        </w:rPr>
        <w:t xml:space="preserve"> о сообщении, полученн</w:t>
      </w:r>
      <w:r>
        <w:rPr>
          <w:sz w:val="22"/>
          <w:szCs w:val="22"/>
          <w:lang w:val="ru-RU"/>
        </w:rPr>
        <w:t>ые</w:t>
      </w:r>
      <w:r w:rsidRPr="004C08C3">
        <w:rPr>
          <w:sz w:val="22"/>
          <w:szCs w:val="22"/>
          <w:lang w:val="ru-RU"/>
        </w:rPr>
        <w:t xml:space="preserve"> ею в ходе ее участия в разбирательстве, без прямого разрешения Комитета. </w:t>
      </w:r>
    </w:p>
    <w:p w14:paraId="2A73406B" w14:textId="77777777" w:rsidR="00EB19C7" w:rsidRPr="004C08C3" w:rsidRDefault="00EB19C7" w:rsidP="00EB19C7">
      <w:pPr>
        <w:pStyle w:val="ListParagraph"/>
        <w:spacing w:after="120"/>
        <w:ind w:right="1134" w:hanging="360"/>
        <w:jc w:val="both"/>
        <w:rPr>
          <w:sz w:val="22"/>
          <w:szCs w:val="22"/>
          <w:lang w:val="ru-RU"/>
        </w:rPr>
      </w:pPr>
    </w:p>
    <w:p w14:paraId="227B1CA5" w14:textId="77777777" w:rsidR="00EB19C7" w:rsidRPr="004C08C3" w:rsidRDefault="00EB19C7" w:rsidP="00EB19C7">
      <w:pPr>
        <w:pStyle w:val="ListParagraph"/>
        <w:spacing w:after="120"/>
        <w:ind w:right="1134" w:hanging="360"/>
        <w:jc w:val="both"/>
        <w:rPr>
          <w:sz w:val="22"/>
          <w:szCs w:val="22"/>
          <w:lang w:val="ru-RU"/>
        </w:rPr>
      </w:pPr>
      <w:r w:rsidRPr="004C08C3">
        <w:rPr>
          <w:sz w:val="22"/>
          <w:szCs w:val="22"/>
          <w:lang w:val="ru-RU"/>
        </w:rPr>
        <w:t>3.</w:t>
      </w:r>
      <w:r w:rsidRPr="004C08C3">
        <w:rPr>
          <w:sz w:val="22"/>
          <w:szCs w:val="22"/>
          <w:lang w:val="ru-RU"/>
        </w:rPr>
        <w:tab/>
        <w:t>Комитет может по собственной инициативе запросить у физического или юридического лица представление третьей стороны (</w:t>
      </w:r>
      <w:r w:rsidRPr="00F74EBA">
        <w:rPr>
          <w:sz w:val="22"/>
          <w:szCs w:val="22"/>
          <w:lang w:val="en-GB"/>
        </w:rPr>
        <w:t>amicus</w:t>
      </w:r>
      <w:r w:rsidRPr="004C08C3">
        <w:rPr>
          <w:sz w:val="22"/>
          <w:szCs w:val="22"/>
          <w:lang w:val="ru-RU"/>
        </w:rPr>
        <w:t xml:space="preserve"> </w:t>
      </w:r>
      <w:r w:rsidRPr="00F74EBA">
        <w:rPr>
          <w:sz w:val="22"/>
          <w:szCs w:val="22"/>
          <w:lang w:val="en-GB"/>
        </w:rPr>
        <w:t>curiae</w:t>
      </w:r>
      <w:r w:rsidRPr="004C08C3">
        <w:rPr>
          <w:sz w:val="22"/>
          <w:szCs w:val="22"/>
          <w:lang w:val="ru-RU"/>
        </w:rPr>
        <w:t xml:space="preserve"> </w:t>
      </w:r>
      <w:r w:rsidRPr="00F74EBA">
        <w:rPr>
          <w:sz w:val="22"/>
          <w:szCs w:val="22"/>
          <w:lang w:val="en-GB"/>
        </w:rPr>
        <w:t>brief</w:t>
      </w:r>
      <w:r w:rsidRPr="004C08C3">
        <w:rPr>
          <w:sz w:val="22"/>
          <w:szCs w:val="22"/>
          <w:lang w:val="ru-RU"/>
        </w:rPr>
        <w:t>).</w:t>
      </w:r>
    </w:p>
    <w:p w14:paraId="68069C43" w14:textId="77777777" w:rsidR="00EB19C7" w:rsidRPr="004C08C3" w:rsidRDefault="00EB19C7" w:rsidP="00EB19C7">
      <w:pPr>
        <w:pStyle w:val="ListParagraph"/>
        <w:spacing w:after="120"/>
        <w:ind w:right="1134" w:hanging="360"/>
        <w:jc w:val="both"/>
        <w:rPr>
          <w:sz w:val="22"/>
          <w:szCs w:val="22"/>
          <w:lang w:val="ru-RU"/>
        </w:rPr>
      </w:pPr>
    </w:p>
    <w:p w14:paraId="60A5AAA0" w14:textId="77777777" w:rsidR="00EB19C7" w:rsidRPr="004C08C3" w:rsidRDefault="00EB19C7" w:rsidP="00EB19C7">
      <w:pPr>
        <w:pStyle w:val="ListParagraph"/>
        <w:spacing w:after="120"/>
        <w:ind w:right="1134" w:hanging="360"/>
        <w:jc w:val="both"/>
        <w:rPr>
          <w:sz w:val="22"/>
          <w:szCs w:val="22"/>
          <w:lang w:val="ru-RU"/>
        </w:rPr>
      </w:pPr>
      <w:r w:rsidRPr="004C08C3">
        <w:rPr>
          <w:sz w:val="22"/>
          <w:szCs w:val="22"/>
          <w:lang w:val="ru-RU"/>
        </w:rPr>
        <w:t>4.</w:t>
      </w:r>
      <w:r w:rsidRPr="004C08C3">
        <w:rPr>
          <w:sz w:val="22"/>
          <w:szCs w:val="22"/>
          <w:lang w:val="ru-RU"/>
        </w:rPr>
        <w:tab/>
        <w:t xml:space="preserve">Материалы, представляемые третьей стороной, представляются в письменном виде, предпочтительно на языке сообщения, и в обязательном порядке на одном из официальных языков Организации Объединенных Наций. Их следует направлять в Комитет через Управление Верховного комиссара по правам человека по адресу: </w:t>
      </w:r>
      <w:r w:rsidRPr="0019567C">
        <w:rPr>
          <w:rStyle w:val="Hyperlink"/>
          <w:sz w:val="22"/>
          <w:szCs w:val="22"/>
          <w:lang w:val="en-GB"/>
        </w:rPr>
        <w:t>petitions</w:t>
      </w:r>
      <w:r w:rsidRPr="004C08C3">
        <w:rPr>
          <w:rStyle w:val="Hyperlink"/>
          <w:sz w:val="22"/>
          <w:szCs w:val="22"/>
          <w:lang w:val="ru-RU"/>
        </w:rPr>
        <w:t>@</w:t>
      </w:r>
      <w:proofErr w:type="spellStart"/>
      <w:r w:rsidRPr="0019567C">
        <w:rPr>
          <w:rStyle w:val="Hyperlink"/>
          <w:sz w:val="22"/>
          <w:szCs w:val="22"/>
          <w:lang w:val="en-GB"/>
        </w:rPr>
        <w:t>ohchr</w:t>
      </w:r>
      <w:proofErr w:type="spellEnd"/>
      <w:r w:rsidRPr="004C08C3">
        <w:rPr>
          <w:rStyle w:val="Hyperlink"/>
          <w:sz w:val="22"/>
          <w:szCs w:val="22"/>
          <w:lang w:val="ru-RU"/>
        </w:rPr>
        <w:t>.</w:t>
      </w:r>
      <w:r w:rsidRPr="0019567C">
        <w:rPr>
          <w:rStyle w:val="Hyperlink"/>
          <w:sz w:val="22"/>
          <w:szCs w:val="22"/>
          <w:lang w:val="en-GB"/>
        </w:rPr>
        <w:t>org</w:t>
      </w:r>
      <w:r w:rsidRPr="004C08C3">
        <w:rPr>
          <w:rStyle w:val="Hyperlink"/>
          <w:sz w:val="22"/>
          <w:szCs w:val="22"/>
          <w:lang w:val="ru-RU"/>
        </w:rPr>
        <w:t xml:space="preserve"> </w:t>
      </w:r>
    </w:p>
    <w:p w14:paraId="4E8FB8BB" w14:textId="77777777" w:rsidR="00EB19C7" w:rsidRPr="004C08C3" w:rsidRDefault="00EB19C7" w:rsidP="00EB19C7">
      <w:pPr>
        <w:pStyle w:val="ListParagraph"/>
        <w:spacing w:after="120"/>
        <w:ind w:right="1134" w:hanging="360"/>
        <w:jc w:val="both"/>
        <w:rPr>
          <w:sz w:val="22"/>
          <w:szCs w:val="22"/>
          <w:lang w:val="ru-RU"/>
        </w:rPr>
      </w:pPr>
    </w:p>
    <w:p w14:paraId="7AAEBA64" w14:textId="77777777" w:rsidR="00EB19C7" w:rsidRPr="004C08C3" w:rsidRDefault="00EB19C7" w:rsidP="00EB19C7">
      <w:pPr>
        <w:pStyle w:val="ListParagraph"/>
        <w:spacing w:after="120"/>
        <w:ind w:right="1134" w:hanging="360"/>
        <w:jc w:val="both"/>
        <w:rPr>
          <w:sz w:val="22"/>
          <w:szCs w:val="22"/>
          <w:lang w:val="ru-RU"/>
        </w:rPr>
      </w:pPr>
      <w:r w:rsidRPr="006715CF">
        <w:rPr>
          <w:sz w:val="22"/>
          <w:szCs w:val="22"/>
          <w:lang w:val="ru-RU"/>
        </w:rPr>
        <w:t>5.</w:t>
      </w:r>
      <w:r w:rsidRPr="006715CF">
        <w:rPr>
          <w:sz w:val="22"/>
          <w:szCs w:val="22"/>
          <w:lang w:val="ru-RU"/>
        </w:rPr>
        <w:tab/>
        <w:t xml:space="preserve">В соответствии с пунктом 3 статьи 5 Факультативного протокола, Комитет не предоставляет доступ к материалам дела, копиям представлений или любой другой документации, касающейся находящегося на его рассмотрении сообщения. </w:t>
      </w:r>
      <w:r w:rsidRPr="004C08C3">
        <w:rPr>
          <w:sz w:val="22"/>
          <w:szCs w:val="22"/>
          <w:lang w:val="ru-RU"/>
        </w:rPr>
        <w:t xml:space="preserve">Раскрывать относящуюся к сообщению документацию могут только стороны, участвующие в нем. </w:t>
      </w:r>
    </w:p>
    <w:p w14:paraId="1C319414" w14:textId="77777777" w:rsidR="00EB19C7" w:rsidRPr="004C08C3" w:rsidRDefault="00EB19C7" w:rsidP="00EB19C7">
      <w:pPr>
        <w:pStyle w:val="ListParagraph"/>
        <w:spacing w:after="120"/>
        <w:ind w:right="1134" w:hanging="360"/>
        <w:jc w:val="both"/>
        <w:rPr>
          <w:sz w:val="22"/>
          <w:szCs w:val="22"/>
          <w:lang w:val="ru-RU"/>
        </w:rPr>
      </w:pPr>
    </w:p>
    <w:p w14:paraId="350A7F95" w14:textId="77777777" w:rsidR="00EB19C7" w:rsidRPr="004C08C3" w:rsidRDefault="00EB19C7" w:rsidP="00EB19C7">
      <w:pPr>
        <w:pStyle w:val="ListParagraph"/>
        <w:spacing w:after="120"/>
        <w:ind w:right="1134" w:hanging="360"/>
        <w:jc w:val="both"/>
        <w:rPr>
          <w:sz w:val="22"/>
          <w:szCs w:val="22"/>
          <w:lang w:val="ru-RU"/>
        </w:rPr>
      </w:pPr>
      <w:r w:rsidRPr="0045189B">
        <w:rPr>
          <w:sz w:val="22"/>
          <w:szCs w:val="22"/>
          <w:lang w:val="ru-RU"/>
        </w:rPr>
        <w:t>6.</w:t>
      </w:r>
      <w:r w:rsidRPr="0045189B">
        <w:rPr>
          <w:sz w:val="22"/>
          <w:szCs w:val="22"/>
          <w:lang w:val="ru-RU"/>
        </w:rPr>
        <w:tab/>
        <w:t xml:space="preserve">В соответствии с пунктом 3 статьи 5 Факультативного протокола, Комитет не сообщает третьим сторонам личности автора(ов) сообщения и не предоставляет им контактные данные автора(ов) без предварительного письменного согласия последнего(их). </w:t>
      </w:r>
      <w:r w:rsidRPr="004C08C3">
        <w:rPr>
          <w:sz w:val="22"/>
          <w:szCs w:val="22"/>
          <w:lang w:val="ru-RU"/>
        </w:rPr>
        <w:t xml:space="preserve">Когда сообщение представляется двумя или более авторами, требуется письменное согласие </w:t>
      </w:r>
      <w:r>
        <w:rPr>
          <w:sz w:val="22"/>
          <w:szCs w:val="22"/>
          <w:lang w:val="ru-RU"/>
        </w:rPr>
        <w:t>каждого из</w:t>
      </w:r>
      <w:r w:rsidRPr="004C08C3">
        <w:rPr>
          <w:sz w:val="22"/>
          <w:szCs w:val="22"/>
          <w:lang w:val="ru-RU"/>
        </w:rPr>
        <w:t xml:space="preserve"> авторов.  </w:t>
      </w:r>
    </w:p>
    <w:p w14:paraId="6ECD596F" w14:textId="77777777" w:rsidR="00EB19C7" w:rsidRPr="004C08C3" w:rsidRDefault="00EB19C7" w:rsidP="00EB19C7">
      <w:pPr>
        <w:pStyle w:val="ListParagraph"/>
        <w:spacing w:after="120"/>
        <w:ind w:right="1134" w:hanging="360"/>
        <w:jc w:val="both"/>
        <w:rPr>
          <w:sz w:val="22"/>
          <w:szCs w:val="22"/>
          <w:lang w:val="ru-RU"/>
        </w:rPr>
      </w:pPr>
    </w:p>
    <w:p w14:paraId="56ECDD27" w14:textId="77777777" w:rsidR="00EB19C7" w:rsidRPr="004C08C3" w:rsidRDefault="00EB19C7" w:rsidP="00EB19C7">
      <w:pPr>
        <w:pStyle w:val="ListParagraph"/>
        <w:spacing w:after="120"/>
        <w:ind w:right="1134" w:hanging="360"/>
        <w:jc w:val="both"/>
        <w:rPr>
          <w:sz w:val="22"/>
          <w:szCs w:val="22"/>
          <w:lang w:val="ru-RU"/>
        </w:rPr>
      </w:pPr>
      <w:r w:rsidRPr="004260F0">
        <w:rPr>
          <w:sz w:val="22"/>
          <w:szCs w:val="22"/>
          <w:lang w:val="ru-RU"/>
        </w:rPr>
        <w:t>7.</w:t>
      </w:r>
      <w:r w:rsidRPr="004260F0">
        <w:rPr>
          <w:sz w:val="22"/>
          <w:szCs w:val="22"/>
          <w:lang w:val="ru-RU"/>
        </w:rPr>
        <w:tab/>
        <w:t xml:space="preserve">Если в соответствии с вышеизложенным пунктом информация о личности автора(ов) передается третьей стороне, Комитет, тем не менее, может просить третью сторону не разглашать личность автора(ов) и/или жертвы(ов) сообщения. </w:t>
      </w:r>
      <w:r w:rsidRPr="004C08C3">
        <w:rPr>
          <w:sz w:val="22"/>
          <w:szCs w:val="22"/>
          <w:lang w:val="ru-RU"/>
        </w:rPr>
        <w:t xml:space="preserve">Комитет может также просить третью сторону не раскрывать содержание своего представления, пока сообщение находится на рассмотрении Комитета. </w:t>
      </w:r>
    </w:p>
    <w:p w14:paraId="57ECF550" w14:textId="77777777" w:rsidR="00EB19C7" w:rsidRPr="004C08C3" w:rsidRDefault="00EB19C7" w:rsidP="00EB19C7">
      <w:pPr>
        <w:pStyle w:val="ListParagraph"/>
        <w:spacing w:after="120"/>
        <w:ind w:right="1134" w:hanging="360"/>
        <w:jc w:val="both"/>
        <w:rPr>
          <w:sz w:val="22"/>
          <w:szCs w:val="22"/>
          <w:lang w:val="ru-RU"/>
        </w:rPr>
      </w:pPr>
    </w:p>
    <w:p w14:paraId="388BD73A" w14:textId="77777777" w:rsidR="00EB19C7" w:rsidRPr="004C08C3" w:rsidRDefault="00EB19C7" w:rsidP="00EB19C7">
      <w:pPr>
        <w:pStyle w:val="ListParagraph"/>
        <w:spacing w:after="120"/>
        <w:ind w:right="1134" w:hanging="360"/>
        <w:jc w:val="both"/>
        <w:rPr>
          <w:sz w:val="22"/>
          <w:szCs w:val="22"/>
          <w:lang w:val="ru-RU"/>
        </w:rPr>
      </w:pPr>
      <w:r w:rsidRPr="004C08C3">
        <w:rPr>
          <w:sz w:val="22"/>
          <w:szCs w:val="22"/>
          <w:lang w:val="ru-RU"/>
        </w:rPr>
        <w:t>8.</w:t>
      </w:r>
      <w:r w:rsidRPr="004C08C3">
        <w:rPr>
          <w:sz w:val="22"/>
          <w:szCs w:val="22"/>
          <w:lang w:val="ru-RU"/>
        </w:rPr>
        <w:tab/>
        <w:t>Если какое-либо из вышеуказанных условий не будет соблюдено, Комитет может принять решение не рассматривать представление и принять любые другие соответствующие меры.</w:t>
      </w:r>
    </w:p>
    <w:p w14:paraId="67CCABC0" w14:textId="77777777" w:rsidR="00EB19C7" w:rsidRPr="004C08C3" w:rsidRDefault="00EB19C7" w:rsidP="00EB19C7">
      <w:pPr>
        <w:pStyle w:val="ListParagraph"/>
        <w:spacing w:after="120"/>
        <w:ind w:right="1134" w:hanging="360"/>
        <w:jc w:val="both"/>
        <w:rPr>
          <w:sz w:val="22"/>
          <w:szCs w:val="22"/>
          <w:lang w:val="ru-RU"/>
        </w:rPr>
      </w:pPr>
    </w:p>
    <w:p w14:paraId="31E5E33B" w14:textId="77777777" w:rsidR="00EB19C7" w:rsidRPr="004C08C3" w:rsidRDefault="00EB19C7" w:rsidP="00EB19C7">
      <w:pPr>
        <w:pStyle w:val="ListParagraph"/>
        <w:spacing w:after="120"/>
        <w:ind w:right="1134" w:hanging="360"/>
        <w:jc w:val="both"/>
        <w:rPr>
          <w:sz w:val="22"/>
          <w:szCs w:val="22"/>
          <w:lang w:val="ru-RU"/>
        </w:rPr>
      </w:pPr>
      <w:r w:rsidRPr="004C08C3">
        <w:rPr>
          <w:sz w:val="22"/>
          <w:szCs w:val="22"/>
          <w:lang w:val="ru-RU"/>
        </w:rPr>
        <w:t>9.</w:t>
      </w:r>
      <w:r w:rsidRPr="004C08C3">
        <w:rPr>
          <w:sz w:val="22"/>
          <w:szCs w:val="22"/>
          <w:lang w:val="ru-RU"/>
        </w:rPr>
        <w:tab/>
        <w:t xml:space="preserve">Если все требования выполнены, Комитет направляет представления третьих сторон сторонам сообщения, которые имеют право представить письменные замечания и комментарии в ответ, в том числе в отношении актуальности представления, в течение срока, определяемого Комитетом.  </w:t>
      </w:r>
    </w:p>
    <w:p w14:paraId="5B4B1949" w14:textId="77777777" w:rsidR="00EB19C7" w:rsidRPr="00420F09" w:rsidRDefault="00EB19C7" w:rsidP="00EB19C7">
      <w:pPr>
        <w:jc w:val="both"/>
        <w:rPr>
          <w:sz w:val="22"/>
          <w:szCs w:val="22"/>
          <w:lang w:val="ru-RU"/>
        </w:rPr>
      </w:pPr>
      <w:r w:rsidRPr="00420F09">
        <w:rPr>
          <w:sz w:val="22"/>
          <w:szCs w:val="22"/>
          <w:lang w:val="ru-RU"/>
        </w:rPr>
        <w:tab/>
      </w:r>
    </w:p>
    <w:p w14:paraId="6B15F0F7" w14:textId="77777777" w:rsidR="00EB19C7" w:rsidRPr="00420F09" w:rsidRDefault="00EB19C7" w:rsidP="00EB19C7">
      <w:pPr>
        <w:jc w:val="both"/>
        <w:rPr>
          <w:sz w:val="22"/>
          <w:szCs w:val="22"/>
          <w:lang w:val="ru-RU"/>
        </w:rPr>
      </w:pPr>
      <w:r w:rsidRPr="00420F09">
        <w:rPr>
          <w:sz w:val="22"/>
          <w:szCs w:val="22"/>
          <w:lang w:val="ru-RU"/>
        </w:rPr>
        <w:t>Если Комитет сочтет это целесообразным и уместным, материалы и замечания сторон сообщения, касающиеся их, могут быть использованы при обсуждении Комитетом и отражены в окончательных Соображениях/решениях Комитета.</w:t>
      </w:r>
    </w:p>
    <w:p w14:paraId="43CA1FB4" w14:textId="77777777" w:rsidR="00EB19C7" w:rsidRPr="00420F09" w:rsidRDefault="00EB19C7" w:rsidP="00EB19C7">
      <w:pPr>
        <w:jc w:val="both"/>
        <w:rPr>
          <w:sz w:val="22"/>
          <w:szCs w:val="22"/>
          <w:lang w:val="ru-RU"/>
        </w:rPr>
      </w:pPr>
    </w:p>
    <w:p w14:paraId="47540F6E" w14:textId="77777777" w:rsidR="00EB19C7" w:rsidRPr="00420F09" w:rsidRDefault="00EB19C7" w:rsidP="00EB19C7">
      <w:pPr>
        <w:pStyle w:val="Header"/>
        <w:spacing w:before="1680" w:after="60"/>
        <w:rPr>
          <w:b/>
          <w:sz w:val="22"/>
          <w:szCs w:val="22"/>
          <w:u w:val="single"/>
        </w:rPr>
      </w:pPr>
    </w:p>
    <w:p w14:paraId="12757BC6" w14:textId="77777777" w:rsidR="00EB19C7" w:rsidRDefault="00EB19C7" w:rsidP="008D3967">
      <w:pPr>
        <w:pStyle w:val="Header"/>
        <w:spacing w:before="1680" w:after="60"/>
        <w:jc w:val="right"/>
        <w:rPr>
          <w:b/>
          <w:sz w:val="28"/>
          <w:szCs w:val="28"/>
          <w:u w:val="single"/>
        </w:rPr>
      </w:pPr>
    </w:p>
    <w:p w14:paraId="7B1EF2C0" w14:textId="7EE0D5C2" w:rsidR="001F795B" w:rsidRPr="008D3967" w:rsidRDefault="001F795B" w:rsidP="008D3967">
      <w:pPr>
        <w:pStyle w:val="Header"/>
        <w:spacing w:before="1680" w:after="60"/>
        <w:jc w:val="right"/>
        <w:rPr>
          <w:b/>
          <w:sz w:val="28"/>
          <w:szCs w:val="28"/>
          <w:u w:val="single"/>
          <w:lang w:val="en-GB"/>
        </w:rPr>
      </w:pPr>
      <w:r>
        <w:rPr>
          <w:b/>
          <w:sz w:val="28"/>
          <w:szCs w:val="28"/>
          <w:u w:val="single"/>
        </w:rPr>
        <w:lastRenderedPageBreak/>
        <w:t>TRADUCCIÓN NO OFFICIAL</w:t>
      </w:r>
    </w:p>
    <w:p w14:paraId="6D53B498" w14:textId="77777777" w:rsidR="001F795B" w:rsidRDefault="001F795B" w:rsidP="001F795B">
      <w:pPr>
        <w:tabs>
          <w:tab w:val="left" w:pos="6916"/>
        </w:tabs>
        <w:spacing w:before="120"/>
        <w:rPr>
          <w:b/>
          <w:sz w:val="28"/>
          <w:szCs w:val="28"/>
          <w:u w:val="single"/>
        </w:rPr>
      </w:pPr>
    </w:p>
    <w:p w14:paraId="3F442D5F" w14:textId="77777777" w:rsidR="001F795B" w:rsidRPr="00FF2DFF" w:rsidRDefault="001F795B" w:rsidP="001F795B">
      <w:pPr>
        <w:tabs>
          <w:tab w:val="left" w:pos="6916"/>
        </w:tabs>
        <w:spacing w:before="120"/>
        <w:jc w:val="center"/>
        <w:rPr>
          <w:b/>
          <w:sz w:val="28"/>
          <w:szCs w:val="28"/>
          <w:u w:val="single"/>
        </w:rPr>
      </w:pPr>
      <w:r w:rsidRPr="00FF2DFF">
        <w:rPr>
          <w:b/>
          <w:sz w:val="28"/>
          <w:szCs w:val="28"/>
          <w:u w:val="single"/>
        </w:rPr>
        <w:t>Comité de Derechos Humanos</w:t>
      </w:r>
    </w:p>
    <w:p w14:paraId="358D5C9F" w14:textId="77777777" w:rsidR="001F795B" w:rsidRPr="00FF2DFF" w:rsidRDefault="001F795B" w:rsidP="001F795B">
      <w:pPr>
        <w:jc w:val="center"/>
        <w:rPr>
          <w:b/>
          <w:lang w:eastAsia="en-US"/>
        </w:rPr>
      </w:pPr>
    </w:p>
    <w:p w14:paraId="0B2701B4" w14:textId="77777777" w:rsidR="001F795B" w:rsidRPr="00FC0B5C" w:rsidRDefault="001F795B" w:rsidP="001F795B">
      <w:pPr>
        <w:jc w:val="center"/>
        <w:rPr>
          <w:b/>
          <w:sz w:val="22"/>
          <w:szCs w:val="22"/>
          <w:lang w:eastAsia="en-US"/>
        </w:rPr>
      </w:pPr>
      <w:r w:rsidRPr="00FC0B5C">
        <w:rPr>
          <w:b/>
          <w:sz w:val="22"/>
          <w:szCs w:val="22"/>
          <w:lang w:eastAsia="en-US"/>
        </w:rPr>
        <w:t>Directrices sobre la presentación de información</w:t>
      </w:r>
      <w:r>
        <w:rPr>
          <w:b/>
          <w:sz w:val="22"/>
          <w:szCs w:val="22"/>
          <w:lang w:eastAsia="en-US"/>
        </w:rPr>
        <w:t xml:space="preserve"> por</w:t>
      </w:r>
      <w:r w:rsidRPr="00FC0B5C">
        <w:rPr>
          <w:b/>
          <w:sz w:val="22"/>
          <w:szCs w:val="22"/>
          <w:lang w:eastAsia="en-US"/>
        </w:rPr>
        <w:t xml:space="preserve"> terceros</w:t>
      </w:r>
    </w:p>
    <w:p w14:paraId="727903DF" w14:textId="77777777" w:rsidR="001F795B" w:rsidRPr="00FC0B5C" w:rsidRDefault="001F795B" w:rsidP="001F795B">
      <w:pPr>
        <w:jc w:val="center"/>
        <w:rPr>
          <w:sz w:val="22"/>
          <w:szCs w:val="22"/>
          <w:lang w:eastAsia="en-US"/>
        </w:rPr>
      </w:pPr>
    </w:p>
    <w:p w14:paraId="279665AB" w14:textId="77777777" w:rsidR="001F795B" w:rsidRPr="00FC0B5C" w:rsidRDefault="001F795B" w:rsidP="001F795B">
      <w:pPr>
        <w:jc w:val="both"/>
        <w:rPr>
          <w:sz w:val="22"/>
          <w:szCs w:val="22"/>
        </w:rPr>
      </w:pPr>
      <w:r w:rsidRPr="00FC0B5C">
        <w:rPr>
          <w:sz w:val="22"/>
          <w:szCs w:val="22"/>
        </w:rPr>
        <w:t xml:space="preserve">Las presentes directrices sobre la presentación de información </w:t>
      </w:r>
      <w:r>
        <w:rPr>
          <w:sz w:val="22"/>
          <w:szCs w:val="22"/>
        </w:rPr>
        <w:t>por</w:t>
      </w:r>
      <w:r w:rsidRPr="00FC0B5C">
        <w:rPr>
          <w:sz w:val="22"/>
          <w:szCs w:val="22"/>
        </w:rPr>
        <w:t xml:space="preserve"> terceros, aprobadas por el Comité de Derechos Humanos en su 127º período de sesiones, serán objeto de evaluación </w:t>
      </w:r>
      <w:r>
        <w:rPr>
          <w:sz w:val="22"/>
          <w:szCs w:val="22"/>
        </w:rPr>
        <w:t xml:space="preserve">dentro de </w:t>
      </w:r>
      <w:r w:rsidRPr="00FC0B5C">
        <w:rPr>
          <w:sz w:val="22"/>
          <w:szCs w:val="22"/>
        </w:rPr>
        <w:t xml:space="preserve">los próximos cinco años, y </w:t>
      </w:r>
      <w:r>
        <w:rPr>
          <w:sz w:val="22"/>
          <w:szCs w:val="22"/>
        </w:rPr>
        <w:t xml:space="preserve">podrán ser revisadas </w:t>
      </w:r>
      <w:r w:rsidRPr="00FC0B5C">
        <w:rPr>
          <w:sz w:val="22"/>
          <w:szCs w:val="22"/>
        </w:rPr>
        <w:t>en caso de que resulte necesario y pertinente.</w:t>
      </w:r>
    </w:p>
    <w:p w14:paraId="4FC71B13" w14:textId="77777777" w:rsidR="001F795B" w:rsidRPr="00FC0B5C" w:rsidRDefault="001F795B" w:rsidP="001F795B">
      <w:pPr>
        <w:ind w:firstLine="720"/>
        <w:jc w:val="both"/>
        <w:rPr>
          <w:sz w:val="22"/>
          <w:szCs w:val="22"/>
        </w:rPr>
      </w:pPr>
    </w:p>
    <w:p w14:paraId="24668C75" w14:textId="77777777" w:rsidR="001F795B" w:rsidRPr="00FC0B5C" w:rsidRDefault="001F795B" w:rsidP="001F795B">
      <w:pPr>
        <w:jc w:val="both"/>
        <w:rPr>
          <w:sz w:val="22"/>
          <w:szCs w:val="22"/>
        </w:rPr>
      </w:pPr>
      <w:r w:rsidRPr="00FC0B5C">
        <w:rPr>
          <w:sz w:val="22"/>
          <w:szCs w:val="22"/>
        </w:rPr>
        <w:t>Al examinar las comunicaciones individuales presentadas en virtud del Protocolo Facultativo del Pacto Internacional de Derechos Civiles y Políticos (el Protocolo Facultativo), el Comité de Derechos Humanos o su Relator Especial, de conformidad con el artículo 96 de su reglamento</w:t>
      </w:r>
      <w:r w:rsidRPr="00FC0B5C">
        <w:rPr>
          <w:rStyle w:val="FootnoteReference"/>
          <w:sz w:val="22"/>
          <w:szCs w:val="22"/>
        </w:rPr>
        <w:footnoteReference w:id="3"/>
      </w:r>
      <w:r w:rsidRPr="00FC0B5C">
        <w:rPr>
          <w:sz w:val="22"/>
          <w:szCs w:val="22"/>
        </w:rPr>
        <w:t>, podrá aceptar la informació</w:t>
      </w:r>
      <w:r>
        <w:rPr>
          <w:sz w:val="22"/>
          <w:szCs w:val="22"/>
        </w:rPr>
        <w:t>n y la documentación presentada</w:t>
      </w:r>
      <w:r w:rsidRPr="00FC0B5C">
        <w:rPr>
          <w:sz w:val="22"/>
          <w:szCs w:val="22"/>
        </w:rPr>
        <w:t xml:space="preserve"> por terceros que puedan ser pertinentes para la debida determinación del caso (</w:t>
      </w:r>
      <w:proofErr w:type="spellStart"/>
      <w:r w:rsidRPr="00FC0B5C">
        <w:rPr>
          <w:sz w:val="22"/>
          <w:szCs w:val="22"/>
        </w:rPr>
        <w:t>amicus</w:t>
      </w:r>
      <w:proofErr w:type="spellEnd"/>
      <w:r w:rsidRPr="00FC0B5C">
        <w:rPr>
          <w:sz w:val="22"/>
          <w:szCs w:val="22"/>
        </w:rPr>
        <w:t xml:space="preserve"> </w:t>
      </w:r>
      <w:proofErr w:type="spellStart"/>
      <w:r w:rsidRPr="00FC0B5C">
        <w:rPr>
          <w:sz w:val="22"/>
          <w:szCs w:val="22"/>
        </w:rPr>
        <w:t>curiae</w:t>
      </w:r>
      <w:proofErr w:type="spellEnd"/>
      <w:r w:rsidRPr="00FC0B5C">
        <w:rPr>
          <w:sz w:val="22"/>
          <w:szCs w:val="22"/>
        </w:rPr>
        <w:t>)</w:t>
      </w:r>
      <w:r w:rsidRPr="00FC0B5C">
        <w:rPr>
          <w:rStyle w:val="FootnoteReference"/>
          <w:sz w:val="22"/>
          <w:szCs w:val="22"/>
        </w:rPr>
        <w:footnoteReference w:id="4"/>
      </w:r>
      <w:r w:rsidRPr="00FC0B5C">
        <w:rPr>
          <w:sz w:val="22"/>
          <w:szCs w:val="22"/>
        </w:rPr>
        <w:t>.</w:t>
      </w:r>
    </w:p>
    <w:p w14:paraId="0D273535" w14:textId="77777777" w:rsidR="001F795B" w:rsidRPr="00FC0B5C" w:rsidRDefault="001F795B" w:rsidP="001F795B">
      <w:pPr>
        <w:ind w:firstLine="720"/>
        <w:jc w:val="both"/>
        <w:rPr>
          <w:sz w:val="22"/>
          <w:szCs w:val="22"/>
        </w:rPr>
      </w:pPr>
    </w:p>
    <w:p w14:paraId="3430D76B" w14:textId="77777777" w:rsidR="001F795B" w:rsidRPr="00FC0B5C" w:rsidRDefault="001F795B" w:rsidP="001F795B">
      <w:pPr>
        <w:spacing w:after="120"/>
        <w:ind w:right="-46"/>
        <w:jc w:val="both"/>
        <w:rPr>
          <w:sz w:val="22"/>
          <w:szCs w:val="22"/>
        </w:rPr>
      </w:pPr>
      <w:r w:rsidRPr="00FC0B5C">
        <w:rPr>
          <w:sz w:val="22"/>
          <w:szCs w:val="22"/>
        </w:rPr>
        <w:t>De conformi</w:t>
      </w:r>
      <w:r>
        <w:rPr>
          <w:sz w:val="22"/>
          <w:szCs w:val="22"/>
        </w:rPr>
        <w:t xml:space="preserve">dad con el párrafo 4 del </w:t>
      </w:r>
      <w:r w:rsidRPr="00FC0B5C">
        <w:rPr>
          <w:sz w:val="22"/>
          <w:szCs w:val="22"/>
        </w:rPr>
        <w:t>artículo 96</w:t>
      </w:r>
      <w:r>
        <w:rPr>
          <w:sz w:val="22"/>
          <w:szCs w:val="22"/>
        </w:rPr>
        <w:t xml:space="preserve"> del Reglamento del Comité</w:t>
      </w:r>
      <w:r w:rsidRPr="00FC0B5C">
        <w:rPr>
          <w:sz w:val="22"/>
          <w:szCs w:val="22"/>
        </w:rPr>
        <w:t>, las personas o entidades que envíen información en carácter de terceros en el proceso, no se considerarán partes en la comunicación.</w:t>
      </w:r>
    </w:p>
    <w:p w14:paraId="50C5014E" w14:textId="77777777" w:rsidR="001F795B" w:rsidRPr="00FC0B5C" w:rsidRDefault="001F795B" w:rsidP="001F795B">
      <w:pPr>
        <w:spacing w:after="120"/>
        <w:ind w:right="-46"/>
        <w:jc w:val="both"/>
        <w:rPr>
          <w:sz w:val="22"/>
          <w:szCs w:val="22"/>
        </w:rPr>
      </w:pPr>
      <w:r w:rsidRPr="00FC0B5C">
        <w:rPr>
          <w:sz w:val="22"/>
          <w:szCs w:val="22"/>
        </w:rPr>
        <w:t xml:space="preserve">El procedimiento para que un tercero </w:t>
      </w:r>
      <w:r>
        <w:rPr>
          <w:sz w:val="22"/>
          <w:szCs w:val="22"/>
        </w:rPr>
        <w:t xml:space="preserve">pueda </w:t>
      </w:r>
      <w:r w:rsidRPr="00FC0B5C">
        <w:rPr>
          <w:sz w:val="22"/>
          <w:szCs w:val="22"/>
        </w:rPr>
        <w:t>present</w:t>
      </w:r>
      <w:r>
        <w:rPr>
          <w:sz w:val="22"/>
          <w:szCs w:val="22"/>
        </w:rPr>
        <w:t>ar</w:t>
      </w:r>
      <w:r w:rsidRPr="00FC0B5C">
        <w:rPr>
          <w:sz w:val="22"/>
          <w:szCs w:val="22"/>
        </w:rPr>
        <w:t xml:space="preserve"> información y documentación es el siguiente: </w:t>
      </w:r>
    </w:p>
    <w:p w14:paraId="30CFFA95" w14:textId="77777777" w:rsidR="001F795B" w:rsidRPr="00FC0B5C" w:rsidRDefault="001F795B" w:rsidP="001F795B">
      <w:pPr>
        <w:spacing w:after="120"/>
        <w:ind w:left="709" w:right="662"/>
        <w:jc w:val="both"/>
        <w:rPr>
          <w:sz w:val="22"/>
          <w:szCs w:val="22"/>
        </w:rPr>
      </w:pPr>
      <w:r w:rsidRPr="00FC0B5C">
        <w:rPr>
          <w:sz w:val="22"/>
          <w:szCs w:val="22"/>
        </w:rPr>
        <w:t>1.</w:t>
      </w:r>
      <w:r w:rsidRPr="00FC0B5C">
        <w:rPr>
          <w:sz w:val="22"/>
          <w:szCs w:val="22"/>
        </w:rPr>
        <w:tab/>
        <w:t xml:space="preserve">Se presentará al Comité una solicitud escrita de autorización para presentar un escrito de </w:t>
      </w:r>
      <w:proofErr w:type="spellStart"/>
      <w:r w:rsidRPr="00FC0B5C">
        <w:rPr>
          <w:sz w:val="22"/>
          <w:szCs w:val="22"/>
        </w:rPr>
        <w:t>amicus</w:t>
      </w:r>
      <w:proofErr w:type="spellEnd"/>
      <w:r w:rsidRPr="00FC0B5C">
        <w:rPr>
          <w:sz w:val="22"/>
          <w:szCs w:val="22"/>
        </w:rPr>
        <w:t xml:space="preserve"> </w:t>
      </w:r>
      <w:proofErr w:type="spellStart"/>
      <w:r w:rsidRPr="00FC0B5C">
        <w:rPr>
          <w:sz w:val="22"/>
          <w:szCs w:val="22"/>
        </w:rPr>
        <w:t>curiae</w:t>
      </w:r>
      <w:proofErr w:type="spellEnd"/>
      <w:r w:rsidRPr="00FC0B5C">
        <w:rPr>
          <w:sz w:val="22"/>
          <w:szCs w:val="22"/>
        </w:rPr>
        <w:t xml:space="preserve">, en la que se facilitará información sucinta sobre las personas o entidades que lo presenten, especificando el caso de que se trate, así como la cuestión o cuestiones que hayan de abordarse, la naturaleza de la información o el análisis que </w:t>
      </w:r>
      <w:r>
        <w:rPr>
          <w:sz w:val="22"/>
          <w:szCs w:val="22"/>
        </w:rPr>
        <w:t>sea necesario</w:t>
      </w:r>
      <w:r w:rsidRPr="00FC0B5C">
        <w:rPr>
          <w:sz w:val="22"/>
          <w:szCs w:val="22"/>
        </w:rPr>
        <w:t xml:space="preserve"> presentar y las razones por las que la presentación será útil para el examen de la comunicación </w:t>
      </w:r>
      <w:r w:rsidRPr="00EF6493">
        <w:rPr>
          <w:i/>
          <w:sz w:val="22"/>
          <w:szCs w:val="22"/>
        </w:rPr>
        <w:t>[2 páginas como máximo]</w:t>
      </w:r>
      <w:r w:rsidRPr="00FC0B5C">
        <w:rPr>
          <w:sz w:val="22"/>
          <w:szCs w:val="22"/>
        </w:rPr>
        <w:t>.</w:t>
      </w:r>
    </w:p>
    <w:p w14:paraId="35CCF986" w14:textId="77777777" w:rsidR="001F795B" w:rsidRDefault="001F795B" w:rsidP="001F795B">
      <w:pPr>
        <w:spacing w:after="120"/>
        <w:ind w:left="709" w:right="662"/>
        <w:jc w:val="both"/>
        <w:rPr>
          <w:sz w:val="22"/>
          <w:szCs w:val="22"/>
        </w:rPr>
      </w:pPr>
      <w:r w:rsidRPr="00FC0B5C">
        <w:rPr>
          <w:sz w:val="22"/>
          <w:szCs w:val="22"/>
        </w:rPr>
        <w:t>2.</w:t>
      </w:r>
      <w:r w:rsidRPr="00FC0B5C">
        <w:rPr>
          <w:sz w:val="22"/>
          <w:szCs w:val="22"/>
        </w:rPr>
        <w:tab/>
        <w:t>Si el Comité o su relator especial conceden la autorización, se indicará un plazo para la presentación</w:t>
      </w:r>
      <w:r>
        <w:rPr>
          <w:sz w:val="22"/>
          <w:szCs w:val="22"/>
        </w:rPr>
        <w:t xml:space="preserve"> del escrito</w:t>
      </w:r>
      <w:r w:rsidRPr="00FC0B5C">
        <w:rPr>
          <w:sz w:val="22"/>
          <w:szCs w:val="22"/>
        </w:rPr>
        <w:t xml:space="preserve"> y, si procede, las cuestiones en las </w:t>
      </w:r>
      <w:r>
        <w:rPr>
          <w:sz w:val="22"/>
          <w:szCs w:val="22"/>
        </w:rPr>
        <w:t>que debe centrarse el mismo</w:t>
      </w:r>
      <w:r w:rsidRPr="00FC0B5C">
        <w:rPr>
          <w:sz w:val="22"/>
          <w:szCs w:val="22"/>
        </w:rPr>
        <w:t xml:space="preserve">. </w:t>
      </w:r>
      <w:r>
        <w:rPr>
          <w:sz w:val="22"/>
          <w:szCs w:val="22"/>
        </w:rPr>
        <w:t>El escrito</w:t>
      </w:r>
      <w:r w:rsidRPr="00FC0B5C">
        <w:rPr>
          <w:sz w:val="22"/>
          <w:szCs w:val="22"/>
        </w:rPr>
        <w:t xml:space="preserve"> no debe exceder las 5.350 palabras. </w:t>
      </w:r>
      <w:r>
        <w:rPr>
          <w:sz w:val="22"/>
          <w:szCs w:val="22"/>
        </w:rPr>
        <w:t>La tercera parte</w:t>
      </w:r>
      <w:r w:rsidRPr="00FC0B5C">
        <w:rPr>
          <w:sz w:val="22"/>
          <w:szCs w:val="22"/>
        </w:rPr>
        <w:t xml:space="preserve"> se comprometerá a no divulgar información sobre la comunicación que haya obtenido en el curso de su participación en el procedimiento, sin el permiso explícito</w:t>
      </w:r>
      <w:r>
        <w:rPr>
          <w:sz w:val="22"/>
          <w:szCs w:val="22"/>
        </w:rPr>
        <w:t xml:space="preserve"> del Comité. </w:t>
      </w:r>
      <w:r w:rsidRPr="00700631">
        <w:rPr>
          <w:sz w:val="22"/>
          <w:szCs w:val="22"/>
        </w:rPr>
        <w:t xml:space="preserve"> </w:t>
      </w:r>
    </w:p>
    <w:p w14:paraId="138D69E4" w14:textId="77777777" w:rsidR="001F795B" w:rsidRPr="00700631" w:rsidRDefault="001F795B" w:rsidP="001F795B">
      <w:pPr>
        <w:spacing w:after="120"/>
        <w:ind w:left="709" w:right="662"/>
        <w:jc w:val="both"/>
        <w:rPr>
          <w:sz w:val="22"/>
          <w:szCs w:val="22"/>
        </w:rPr>
      </w:pPr>
      <w:r>
        <w:rPr>
          <w:sz w:val="22"/>
          <w:szCs w:val="22"/>
        </w:rPr>
        <w:t>3</w:t>
      </w:r>
      <w:r w:rsidRPr="00700631">
        <w:rPr>
          <w:sz w:val="22"/>
          <w:szCs w:val="22"/>
        </w:rPr>
        <w:t>.</w:t>
      </w:r>
      <w:r w:rsidRPr="00700631">
        <w:rPr>
          <w:sz w:val="22"/>
          <w:szCs w:val="22"/>
        </w:rPr>
        <w:tab/>
        <w:t xml:space="preserve">El Comité puede, por iniciativa propia, pedir a una persona o entidad que presente </w:t>
      </w:r>
      <w:r>
        <w:rPr>
          <w:sz w:val="22"/>
          <w:szCs w:val="22"/>
        </w:rPr>
        <w:t>información a una comunicación en carácter de tercero (</w:t>
      </w:r>
      <w:proofErr w:type="spellStart"/>
      <w:r>
        <w:rPr>
          <w:sz w:val="22"/>
          <w:szCs w:val="22"/>
        </w:rPr>
        <w:t>amicus</w:t>
      </w:r>
      <w:proofErr w:type="spellEnd"/>
      <w:r>
        <w:rPr>
          <w:sz w:val="22"/>
          <w:szCs w:val="22"/>
        </w:rPr>
        <w:t xml:space="preserve"> </w:t>
      </w:r>
      <w:proofErr w:type="spellStart"/>
      <w:r>
        <w:rPr>
          <w:sz w:val="22"/>
          <w:szCs w:val="22"/>
        </w:rPr>
        <w:t>curiae</w:t>
      </w:r>
      <w:proofErr w:type="spellEnd"/>
      <w:r>
        <w:rPr>
          <w:sz w:val="22"/>
          <w:szCs w:val="22"/>
        </w:rPr>
        <w:t>).</w:t>
      </w:r>
    </w:p>
    <w:p w14:paraId="33240BFF" w14:textId="77777777" w:rsidR="001F795B" w:rsidRPr="00700631" w:rsidRDefault="001F795B" w:rsidP="001F795B">
      <w:pPr>
        <w:spacing w:after="120"/>
        <w:ind w:left="709" w:right="662"/>
        <w:jc w:val="both"/>
        <w:rPr>
          <w:sz w:val="22"/>
          <w:szCs w:val="22"/>
        </w:rPr>
      </w:pPr>
      <w:r>
        <w:rPr>
          <w:sz w:val="22"/>
          <w:szCs w:val="22"/>
        </w:rPr>
        <w:t>4</w:t>
      </w:r>
      <w:r w:rsidRPr="00700631">
        <w:rPr>
          <w:sz w:val="22"/>
          <w:szCs w:val="22"/>
        </w:rPr>
        <w:t>.</w:t>
      </w:r>
      <w:r w:rsidRPr="00700631">
        <w:rPr>
          <w:sz w:val="22"/>
          <w:szCs w:val="22"/>
        </w:rPr>
        <w:tab/>
      </w:r>
      <w:r>
        <w:rPr>
          <w:sz w:val="22"/>
          <w:szCs w:val="22"/>
        </w:rPr>
        <w:t>La documentación de terceros se presentará</w:t>
      </w:r>
      <w:r w:rsidRPr="00700631">
        <w:rPr>
          <w:sz w:val="22"/>
          <w:szCs w:val="22"/>
        </w:rPr>
        <w:t xml:space="preserve"> por escrito, preferiblemente en el idioma de la comunicación, e imperativamente en un idioma oficial de las Naciones Unidas. </w:t>
      </w:r>
      <w:r>
        <w:rPr>
          <w:sz w:val="22"/>
          <w:szCs w:val="22"/>
        </w:rPr>
        <w:t>Los escritos de terceros deberá</w:t>
      </w:r>
      <w:r w:rsidRPr="00700631">
        <w:rPr>
          <w:sz w:val="22"/>
          <w:szCs w:val="22"/>
        </w:rPr>
        <w:t xml:space="preserve">n dirigirse al Comité por </w:t>
      </w:r>
      <w:r>
        <w:rPr>
          <w:sz w:val="22"/>
          <w:szCs w:val="22"/>
        </w:rPr>
        <w:t>medio</w:t>
      </w:r>
      <w:r w:rsidRPr="00700631">
        <w:rPr>
          <w:sz w:val="22"/>
          <w:szCs w:val="22"/>
        </w:rPr>
        <w:t xml:space="preserve"> de la Oficina del Alto Comisionado de las Naciones Unidas para los Derecho</w:t>
      </w:r>
      <w:r>
        <w:rPr>
          <w:sz w:val="22"/>
          <w:szCs w:val="22"/>
        </w:rPr>
        <w:t xml:space="preserve">s Humanos, </w:t>
      </w:r>
      <w:hyperlink r:id="rId9" w:history="1">
        <w:r w:rsidRPr="00454066">
          <w:rPr>
            <w:rStyle w:val="Hyperlink"/>
            <w:sz w:val="22"/>
            <w:szCs w:val="22"/>
          </w:rPr>
          <w:t>petitions@ohchr.org</w:t>
        </w:r>
      </w:hyperlink>
      <w:r>
        <w:rPr>
          <w:sz w:val="22"/>
          <w:szCs w:val="22"/>
        </w:rPr>
        <w:t xml:space="preserve">.  </w:t>
      </w:r>
    </w:p>
    <w:p w14:paraId="08ED0A02" w14:textId="77777777" w:rsidR="001F795B" w:rsidRPr="00700631" w:rsidRDefault="001F795B" w:rsidP="001F795B">
      <w:pPr>
        <w:spacing w:after="120"/>
        <w:ind w:left="709" w:right="662"/>
        <w:jc w:val="both"/>
        <w:rPr>
          <w:sz w:val="22"/>
          <w:szCs w:val="22"/>
        </w:rPr>
      </w:pPr>
      <w:r>
        <w:rPr>
          <w:sz w:val="22"/>
          <w:szCs w:val="22"/>
        </w:rPr>
        <w:t>5</w:t>
      </w:r>
      <w:r w:rsidRPr="00700631">
        <w:rPr>
          <w:sz w:val="22"/>
          <w:szCs w:val="22"/>
        </w:rPr>
        <w:t>.</w:t>
      </w:r>
      <w:r w:rsidRPr="00700631">
        <w:rPr>
          <w:sz w:val="22"/>
          <w:szCs w:val="22"/>
        </w:rPr>
        <w:tab/>
        <w:t>De conformidad con el párrafo 3 del artículo 5 del Protocolo Facultativo, el Comité no dará acceso al expediente del caso, a copias de las comunicaciones</w:t>
      </w:r>
      <w:r>
        <w:rPr>
          <w:sz w:val="22"/>
          <w:szCs w:val="22"/>
        </w:rPr>
        <w:t>,</w:t>
      </w:r>
      <w:r w:rsidRPr="00700631">
        <w:rPr>
          <w:sz w:val="22"/>
          <w:szCs w:val="22"/>
        </w:rPr>
        <w:t xml:space="preserve"> ni a ninguna otra documentación relativa a la comunicación pendiente ante él. Sólo las partes pueden revela</w:t>
      </w:r>
      <w:r>
        <w:rPr>
          <w:sz w:val="22"/>
          <w:szCs w:val="22"/>
        </w:rPr>
        <w:t>r documentación relacionada con su comunicación</w:t>
      </w:r>
      <w:r w:rsidRPr="00700631">
        <w:rPr>
          <w:sz w:val="22"/>
          <w:szCs w:val="22"/>
        </w:rPr>
        <w:t>.</w:t>
      </w:r>
    </w:p>
    <w:p w14:paraId="08A5B670" w14:textId="77777777" w:rsidR="001F795B" w:rsidRDefault="001F795B" w:rsidP="001F795B">
      <w:pPr>
        <w:pStyle w:val="PlainText"/>
        <w:ind w:left="709" w:right="662"/>
        <w:jc w:val="both"/>
        <w:rPr>
          <w:rFonts w:ascii="Times New Roman" w:eastAsia="Times New Roman" w:hAnsi="Times New Roman" w:cs="Times New Roman"/>
          <w:szCs w:val="22"/>
          <w:lang w:val="es-ES" w:eastAsia="es-ES"/>
        </w:rPr>
      </w:pPr>
      <w:r>
        <w:rPr>
          <w:rFonts w:ascii="Times New Roman" w:eastAsia="Times New Roman" w:hAnsi="Times New Roman" w:cs="Times New Roman"/>
          <w:szCs w:val="22"/>
          <w:lang w:val="es-ES" w:eastAsia="es-ES"/>
        </w:rPr>
        <w:t>6</w:t>
      </w:r>
      <w:r w:rsidRPr="00700631">
        <w:rPr>
          <w:rFonts w:ascii="Times New Roman" w:eastAsia="Times New Roman" w:hAnsi="Times New Roman" w:cs="Times New Roman"/>
          <w:szCs w:val="22"/>
          <w:lang w:val="es-ES" w:eastAsia="es-ES"/>
        </w:rPr>
        <w:t>.</w:t>
      </w:r>
      <w:r w:rsidRPr="00700631">
        <w:rPr>
          <w:rFonts w:ascii="Times New Roman" w:eastAsia="Times New Roman" w:hAnsi="Times New Roman" w:cs="Times New Roman"/>
          <w:szCs w:val="22"/>
          <w:lang w:val="es-ES" w:eastAsia="es-ES"/>
        </w:rPr>
        <w:tab/>
        <w:t>De conformidad con el párrafo 3 del artículo 5 del Protocolo Facu</w:t>
      </w:r>
      <w:r>
        <w:rPr>
          <w:rFonts w:ascii="Times New Roman" w:eastAsia="Times New Roman" w:hAnsi="Times New Roman" w:cs="Times New Roman"/>
          <w:szCs w:val="22"/>
          <w:lang w:val="es-ES" w:eastAsia="es-ES"/>
        </w:rPr>
        <w:t>ltativo, el Comité no proporcionará</w:t>
      </w:r>
      <w:r w:rsidRPr="00700631">
        <w:rPr>
          <w:rFonts w:ascii="Times New Roman" w:eastAsia="Times New Roman" w:hAnsi="Times New Roman" w:cs="Times New Roman"/>
          <w:szCs w:val="22"/>
          <w:lang w:val="es-ES" w:eastAsia="es-ES"/>
        </w:rPr>
        <w:t xml:space="preserve"> a terceros la identidad </w:t>
      </w:r>
      <w:r>
        <w:rPr>
          <w:rFonts w:ascii="Times New Roman" w:eastAsia="Times New Roman" w:hAnsi="Times New Roman" w:cs="Times New Roman"/>
          <w:szCs w:val="22"/>
          <w:lang w:val="es-ES" w:eastAsia="es-ES"/>
        </w:rPr>
        <w:t xml:space="preserve">o datos de contacto </w:t>
      </w:r>
      <w:r w:rsidRPr="00700631">
        <w:rPr>
          <w:rFonts w:ascii="Times New Roman" w:eastAsia="Times New Roman" w:hAnsi="Times New Roman" w:cs="Times New Roman"/>
          <w:szCs w:val="22"/>
          <w:lang w:val="es-ES" w:eastAsia="es-ES"/>
        </w:rPr>
        <w:t xml:space="preserve">del autor o autores de una comunicación sin </w:t>
      </w:r>
      <w:r>
        <w:rPr>
          <w:rFonts w:ascii="Times New Roman" w:eastAsia="Times New Roman" w:hAnsi="Times New Roman" w:cs="Times New Roman"/>
          <w:szCs w:val="22"/>
          <w:lang w:val="es-ES" w:eastAsia="es-ES"/>
        </w:rPr>
        <w:t xml:space="preserve">contar previamente con </w:t>
      </w:r>
      <w:r w:rsidRPr="00700631">
        <w:rPr>
          <w:rFonts w:ascii="Times New Roman" w:eastAsia="Times New Roman" w:hAnsi="Times New Roman" w:cs="Times New Roman"/>
          <w:szCs w:val="22"/>
          <w:lang w:val="es-ES" w:eastAsia="es-ES"/>
        </w:rPr>
        <w:t xml:space="preserve">su consentimiento por escrito. Cuando </w:t>
      </w:r>
      <w:r w:rsidRPr="00700631">
        <w:rPr>
          <w:rFonts w:ascii="Times New Roman" w:eastAsia="Times New Roman" w:hAnsi="Times New Roman" w:cs="Times New Roman"/>
          <w:szCs w:val="22"/>
          <w:lang w:val="es-ES" w:eastAsia="es-ES"/>
        </w:rPr>
        <w:lastRenderedPageBreak/>
        <w:t xml:space="preserve">una comunicación sea presentada por dos o más autores, se requerirá el consentimiento por escrito de todos los autores.  </w:t>
      </w:r>
    </w:p>
    <w:p w14:paraId="585493A5" w14:textId="77777777" w:rsidR="001F795B" w:rsidRPr="00700631" w:rsidRDefault="001F795B" w:rsidP="001F795B">
      <w:pPr>
        <w:pStyle w:val="PlainText"/>
        <w:ind w:right="662"/>
        <w:jc w:val="both"/>
        <w:rPr>
          <w:rFonts w:ascii="Times New Roman" w:eastAsia="Times New Roman" w:hAnsi="Times New Roman" w:cs="Times New Roman"/>
          <w:szCs w:val="22"/>
          <w:lang w:val="es-ES" w:eastAsia="es-ES"/>
        </w:rPr>
      </w:pPr>
    </w:p>
    <w:p w14:paraId="3FB0FA2E" w14:textId="77777777" w:rsidR="001F795B" w:rsidRDefault="001F795B" w:rsidP="001F795B">
      <w:pPr>
        <w:pStyle w:val="PlainText"/>
        <w:ind w:left="709" w:right="662"/>
        <w:jc w:val="both"/>
        <w:rPr>
          <w:rFonts w:ascii="Times New Roman" w:eastAsia="Times New Roman" w:hAnsi="Times New Roman" w:cs="Times New Roman"/>
          <w:szCs w:val="22"/>
          <w:lang w:val="es-ES" w:eastAsia="es-ES"/>
        </w:rPr>
      </w:pPr>
      <w:r>
        <w:rPr>
          <w:rFonts w:ascii="Times New Roman" w:eastAsia="Times New Roman" w:hAnsi="Times New Roman" w:cs="Times New Roman"/>
          <w:szCs w:val="22"/>
          <w:lang w:val="es-ES" w:eastAsia="es-ES"/>
        </w:rPr>
        <w:t>7</w:t>
      </w:r>
      <w:r w:rsidRPr="00700631">
        <w:rPr>
          <w:rFonts w:ascii="Times New Roman" w:eastAsia="Times New Roman" w:hAnsi="Times New Roman" w:cs="Times New Roman"/>
          <w:szCs w:val="22"/>
          <w:lang w:val="es-ES" w:eastAsia="es-ES"/>
        </w:rPr>
        <w:t>.</w:t>
      </w:r>
      <w:r w:rsidRPr="00700631">
        <w:rPr>
          <w:rFonts w:ascii="Times New Roman" w:eastAsia="Times New Roman" w:hAnsi="Times New Roman" w:cs="Times New Roman"/>
          <w:szCs w:val="22"/>
          <w:lang w:val="es-ES" w:eastAsia="es-ES"/>
        </w:rPr>
        <w:tab/>
        <w:t>Si, de conformidad con el párrafo anterior, la identidad de</w:t>
      </w:r>
      <w:r>
        <w:rPr>
          <w:rFonts w:ascii="Times New Roman" w:eastAsia="Times New Roman" w:hAnsi="Times New Roman" w:cs="Times New Roman"/>
          <w:szCs w:val="22"/>
          <w:lang w:val="es-ES" w:eastAsia="es-ES"/>
        </w:rPr>
        <w:t>l autor o autores es revelada a un tercero, el Comité podrá</w:t>
      </w:r>
      <w:r w:rsidRPr="00700631">
        <w:rPr>
          <w:rFonts w:ascii="Times New Roman" w:eastAsia="Times New Roman" w:hAnsi="Times New Roman" w:cs="Times New Roman"/>
          <w:szCs w:val="22"/>
          <w:lang w:val="es-ES" w:eastAsia="es-ES"/>
        </w:rPr>
        <w:t xml:space="preserve"> pedir al tercero que no revele la identidad del autor o autores </w:t>
      </w:r>
      <w:r>
        <w:rPr>
          <w:rFonts w:ascii="Times New Roman" w:eastAsia="Times New Roman" w:hAnsi="Times New Roman" w:cs="Times New Roman"/>
          <w:szCs w:val="22"/>
          <w:lang w:val="es-ES" w:eastAsia="es-ES"/>
        </w:rPr>
        <w:t xml:space="preserve">de la comunicación </w:t>
      </w:r>
      <w:r w:rsidRPr="00700631">
        <w:rPr>
          <w:rFonts w:ascii="Times New Roman" w:eastAsia="Times New Roman" w:hAnsi="Times New Roman" w:cs="Times New Roman"/>
          <w:szCs w:val="22"/>
          <w:lang w:val="es-ES" w:eastAsia="es-ES"/>
        </w:rPr>
        <w:t>y/o de la víctima o víctimas. El</w:t>
      </w:r>
      <w:r>
        <w:rPr>
          <w:rFonts w:ascii="Times New Roman" w:eastAsia="Times New Roman" w:hAnsi="Times New Roman" w:cs="Times New Roman"/>
          <w:szCs w:val="22"/>
          <w:lang w:val="es-ES" w:eastAsia="es-ES"/>
        </w:rPr>
        <w:t xml:space="preserve"> Comité también puede pedir al</w:t>
      </w:r>
      <w:r w:rsidRPr="00700631">
        <w:rPr>
          <w:rFonts w:ascii="Times New Roman" w:eastAsia="Times New Roman" w:hAnsi="Times New Roman" w:cs="Times New Roman"/>
          <w:szCs w:val="22"/>
          <w:lang w:val="es-ES" w:eastAsia="es-ES"/>
        </w:rPr>
        <w:t xml:space="preserve"> tercero que no divulgue el contenido de su </w:t>
      </w:r>
      <w:r>
        <w:rPr>
          <w:rFonts w:ascii="Times New Roman" w:eastAsia="Times New Roman" w:hAnsi="Times New Roman" w:cs="Times New Roman"/>
          <w:szCs w:val="22"/>
          <w:lang w:val="es-ES" w:eastAsia="es-ES"/>
        </w:rPr>
        <w:t>escrito</w:t>
      </w:r>
      <w:r w:rsidRPr="00700631">
        <w:rPr>
          <w:rFonts w:ascii="Times New Roman" w:eastAsia="Times New Roman" w:hAnsi="Times New Roman" w:cs="Times New Roman"/>
          <w:szCs w:val="22"/>
          <w:lang w:val="es-ES" w:eastAsia="es-ES"/>
        </w:rPr>
        <w:t xml:space="preserve"> mientras </w:t>
      </w:r>
      <w:r>
        <w:rPr>
          <w:rFonts w:ascii="Times New Roman" w:eastAsia="Times New Roman" w:hAnsi="Times New Roman" w:cs="Times New Roman"/>
          <w:szCs w:val="22"/>
          <w:lang w:val="es-ES" w:eastAsia="es-ES"/>
        </w:rPr>
        <w:t>el caso</w:t>
      </w:r>
      <w:r w:rsidRPr="00700631">
        <w:rPr>
          <w:rFonts w:ascii="Times New Roman" w:eastAsia="Times New Roman" w:hAnsi="Times New Roman" w:cs="Times New Roman"/>
          <w:szCs w:val="22"/>
          <w:lang w:val="es-ES" w:eastAsia="es-ES"/>
        </w:rPr>
        <w:t xml:space="preserve"> </w:t>
      </w:r>
      <w:r>
        <w:rPr>
          <w:rFonts w:ascii="Times New Roman" w:eastAsia="Times New Roman" w:hAnsi="Times New Roman" w:cs="Times New Roman"/>
          <w:szCs w:val="22"/>
          <w:lang w:val="es-ES" w:eastAsia="es-ES"/>
        </w:rPr>
        <w:t xml:space="preserve">esté pendiente ante el Comité. </w:t>
      </w:r>
    </w:p>
    <w:p w14:paraId="037A9D5E" w14:textId="77777777" w:rsidR="001F795B" w:rsidRPr="00700631" w:rsidRDefault="001F795B" w:rsidP="001F795B">
      <w:pPr>
        <w:pStyle w:val="PlainText"/>
        <w:ind w:right="662"/>
        <w:jc w:val="both"/>
        <w:rPr>
          <w:rFonts w:ascii="Times New Roman" w:eastAsia="Times New Roman" w:hAnsi="Times New Roman" w:cs="Times New Roman"/>
          <w:szCs w:val="22"/>
          <w:lang w:val="es-ES" w:eastAsia="es-ES"/>
        </w:rPr>
      </w:pPr>
    </w:p>
    <w:p w14:paraId="11F3CCC8" w14:textId="77777777" w:rsidR="001F795B" w:rsidRDefault="001F795B" w:rsidP="001F795B">
      <w:pPr>
        <w:pStyle w:val="PlainText"/>
        <w:ind w:left="709" w:right="662"/>
        <w:jc w:val="both"/>
        <w:rPr>
          <w:rFonts w:ascii="Times New Roman" w:eastAsia="Times New Roman" w:hAnsi="Times New Roman" w:cs="Times New Roman"/>
          <w:szCs w:val="22"/>
          <w:lang w:val="es-ES" w:eastAsia="es-ES"/>
        </w:rPr>
      </w:pPr>
      <w:r>
        <w:rPr>
          <w:rFonts w:ascii="Times New Roman" w:eastAsia="Times New Roman" w:hAnsi="Times New Roman" w:cs="Times New Roman"/>
          <w:szCs w:val="22"/>
          <w:lang w:val="es-ES" w:eastAsia="es-ES"/>
        </w:rPr>
        <w:t>8</w:t>
      </w:r>
      <w:r w:rsidRPr="00700631">
        <w:rPr>
          <w:rFonts w:ascii="Times New Roman" w:eastAsia="Times New Roman" w:hAnsi="Times New Roman" w:cs="Times New Roman"/>
          <w:szCs w:val="22"/>
          <w:lang w:val="es-ES" w:eastAsia="es-ES"/>
        </w:rPr>
        <w:t>.</w:t>
      </w:r>
      <w:r w:rsidRPr="00700631">
        <w:rPr>
          <w:rFonts w:ascii="Times New Roman" w:eastAsia="Times New Roman" w:hAnsi="Times New Roman" w:cs="Times New Roman"/>
          <w:szCs w:val="22"/>
          <w:lang w:val="es-ES" w:eastAsia="es-ES"/>
        </w:rPr>
        <w:tab/>
        <w:t xml:space="preserve">Si no se cumple </w:t>
      </w:r>
      <w:r>
        <w:rPr>
          <w:rFonts w:ascii="Times New Roman" w:eastAsia="Times New Roman" w:hAnsi="Times New Roman" w:cs="Times New Roman"/>
          <w:szCs w:val="22"/>
          <w:lang w:val="es-ES" w:eastAsia="es-ES"/>
        </w:rPr>
        <w:t>una d</w:t>
      </w:r>
      <w:r w:rsidRPr="00700631">
        <w:rPr>
          <w:rFonts w:ascii="Times New Roman" w:eastAsia="Times New Roman" w:hAnsi="Times New Roman" w:cs="Times New Roman"/>
          <w:szCs w:val="22"/>
          <w:lang w:val="es-ES" w:eastAsia="es-ES"/>
        </w:rPr>
        <w:t>e las condiciones anteriores, el Comité podrá decid</w:t>
      </w:r>
      <w:r>
        <w:rPr>
          <w:rFonts w:ascii="Times New Roman" w:eastAsia="Times New Roman" w:hAnsi="Times New Roman" w:cs="Times New Roman"/>
          <w:szCs w:val="22"/>
          <w:lang w:val="es-ES" w:eastAsia="es-ES"/>
        </w:rPr>
        <w:t>ir no considerar la información enviada por el tercero</w:t>
      </w:r>
      <w:r w:rsidRPr="00700631">
        <w:rPr>
          <w:rFonts w:ascii="Times New Roman" w:eastAsia="Times New Roman" w:hAnsi="Times New Roman" w:cs="Times New Roman"/>
          <w:szCs w:val="22"/>
          <w:lang w:val="es-ES" w:eastAsia="es-ES"/>
        </w:rPr>
        <w:t xml:space="preserve"> y adoptar cualquier otra medida </w:t>
      </w:r>
      <w:r>
        <w:rPr>
          <w:rFonts w:ascii="Times New Roman" w:eastAsia="Times New Roman" w:hAnsi="Times New Roman" w:cs="Times New Roman"/>
          <w:szCs w:val="22"/>
          <w:lang w:val="es-ES" w:eastAsia="es-ES"/>
        </w:rPr>
        <w:t xml:space="preserve">que considere </w:t>
      </w:r>
      <w:r w:rsidRPr="00700631">
        <w:rPr>
          <w:rFonts w:ascii="Times New Roman" w:eastAsia="Times New Roman" w:hAnsi="Times New Roman" w:cs="Times New Roman"/>
          <w:szCs w:val="22"/>
          <w:lang w:val="es-ES" w:eastAsia="es-ES"/>
        </w:rPr>
        <w:t>apropiada.</w:t>
      </w:r>
    </w:p>
    <w:p w14:paraId="5103DFE2" w14:textId="77777777" w:rsidR="001F795B" w:rsidRPr="0022218B" w:rsidRDefault="001F795B" w:rsidP="001F795B">
      <w:pPr>
        <w:pStyle w:val="ListParagraph"/>
        <w:spacing w:after="120"/>
        <w:ind w:right="662"/>
        <w:jc w:val="both"/>
        <w:rPr>
          <w:sz w:val="22"/>
          <w:szCs w:val="22"/>
        </w:rPr>
      </w:pPr>
    </w:p>
    <w:p w14:paraId="1CB0C908" w14:textId="77777777" w:rsidR="001F795B" w:rsidRPr="001A4BF1" w:rsidRDefault="001F795B" w:rsidP="001F795B">
      <w:pPr>
        <w:pStyle w:val="ListParagraph"/>
        <w:spacing w:after="120"/>
        <w:ind w:right="662"/>
        <w:jc w:val="both"/>
        <w:rPr>
          <w:sz w:val="22"/>
          <w:szCs w:val="22"/>
        </w:rPr>
      </w:pPr>
      <w:r>
        <w:rPr>
          <w:sz w:val="22"/>
          <w:szCs w:val="22"/>
        </w:rPr>
        <w:t xml:space="preserve">9. </w:t>
      </w:r>
      <w:r>
        <w:rPr>
          <w:sz w:val="22"/>
          <w:szCs w:val="22"/>
        </w:rPr>
        <w:tab/>
      </w:r>
      <w:r w:rsidRPr="001A4BF1">
        <w:rPr>
          <w:sz w:val="22"/>
          <w:szCs w:val="22"/>
        </w:rPr>
        <w:t xml:space="preserve">Si se cumplen todos los requisitos, el Comité transmitirá las observaciones de terceros a las partes </w:t>
      </w:r>
      <w:r>
        <w:rPr>
          <w:sz w:val="22"/>
          <w:szCs w:val="22"/>
        </w:rPr>
        <w:t>de</w:t>
      </w:r>
      <w:r w:rsidRPr="001A4BF1">
        <w:rPr>
          <w:sz w:val="22"/>
          <w:szCs w:val="22"/>
        </w:rPr>
        <w:t xml:space="preserve"> la comunicación, qu</w:t>
      </w:r>
      <w:r>
        <w:rPr>
          <w:sz w:val="22"/>
          <w:szCs w:val="22"/>
        </w:rPr>
        <w:t>ienes</w:t>
      </w:r>
      <w:r w:rsidRPr="001A4BF1">
        <w:rPr>
          <w:sz w:val="22"/>
          <w:szCs w:val="22"/>
        </w:rPr>
        <w:t xml:space="preserve"> t</w:t>
      </w:r>
      <w:r>
        <w:rPr>
          <w:sz w:val="22"/>
          <w:szCs w:val="22"/>
        </w:rPr>
        <w:t xml:space="preserve">endrán </w:t>
      </w:r>
      <w:r w:rsidRPr="001A4BF1">
        <w:rPr>
          <w:sz w:val="22"/>
          <w:szCs w:val="22"/>
        </w:rPr>
        <w:t>derecho a presentar observaciones esc</w:t>
      </w:r>
      <w:r>
        <w:rPr>
          <w:sz w:val="22"/>
          <w:szCs w:val="22"/>
        </w:rPr>
        <w:t>ritas y comentarios</w:t>
      </w:r>
      <w:r w:rsidRPr="001A4BF1">
        <w:rPr>
          <w:sz w:val="22"/>
          <w:szCs w:val="22"/>
        </w:rPr>
        <w:t xml:space="preserve">, incluso con respecto a la pertinencia de la </w:t>
      </w:r>
      <w:r>
        <w:rPr>
          <w:sz w:val="22"/>
          <w:szCs w:val="22"/>
        </w:rPr>
        <w:t>información</w:t>
      </w:r>
      <w:r w:rsidRPr="001A4BF1">
        <w:rPr>
          <w:sz w:val="22"/>
          <w:szCs w:val="22"/>
        </w:rPr>
        <w:t xml:space="preserve">, en un plazo determinado por el Comité.  </w:t>
      </w:r>
    </w:p>
    <w:p w14:paraId="451CE8E9" w14:textId="77777777" w:rsidR="001F795B" w:rsidRPr="001A4BF1" w:rsidRDefault="001F795B" w:rsidP="001F795B">
      <w:pPr>
        <w:pStyle w:val="ListParagraph"/>
        <w:spacing w:after="120"/>
        <w:ind w:right="1134"/>
        <w:jc w:val="both"/>
        <w:rPr>
          <w:sz w:val="22"/>
          <w:szCs w:val="22"/>
        </w:rPr>
      </w:pPr>
      <w:r w:rsidRPr="001A4BF1">
        <w:rPr>
          <w:sz w:val="22"/>
          <w:szCs w:val="22"/>
        </w:rPr>
        <w:tab/>
      </w:r>
    </w:p>
    <w:p w14:paraId="0120048C" w14:textId="77777777" w:rsidR="001F795B" w:rsidRPr="001A4BF1" w:rsidRDefault="001F795B" w:rsidP="001F795B">
      <w:pPr>
        <w:spacing w:after="120"/>
        <w:ind w:right="-46"/>
        <w:jc w:val="both"/>
        <w:rPr>
          <w:sz w:val="22"/>
          <w:szCs w:val="22"/>
        </w:rPr>
      </w:pPr>
      <w:r w:rsidRPr="001A4BF1">
        <w:rPr>
          <w:sz w:val="22"/>
          <w:szCs w:val="22"/>
        </w:rPr>
        <w:t xml:space="preserve">Si el Comité decide que es apropiado y pertinente, </w:t>
      </w:r>
      <w:r>
        <w:rPr>
          <w:sz w:val="22"/>
          <w:szCs w:val="22"/>
        </w:rPr>
        <w:t>la información</w:t>
      </w:r>
      <w:r w:rsidRPr="001A4BF1">
        <w:rPr>
          <w:sz w:val="22"/>
          <w:szCs w:val="22"/>
        </w:rPr>
        <w:t xml:space="preserve"> y observaciones </w:t>
      </w:r>
      <w:r>
        <w:rPr>
          <w:sz w:val="22"/>
          <w:szCs w:val="22"/>
        </w:rPr>
        <w:t>enviadas por tercera</w:t>
      </w:r>
      <w:r w:rsidRPr="001A4BF1">
        <w:rPr>
          <w:sz w:val="22"/>
          <w:szCs w:val="22"/>
        </w:rPr>
        <w:t xml:space="preserve">s </w:t>
      </w:r>
      <w:r>
        <w:rPr>
          <w:sz w:val="22"/>
          <w:szCs w:val="22"/>
        </w:rPr>
        <w:t>partes en el marco de un</w:t>
      </w:r>
      <w:r w:rsidRPr="001A4BF1">
        <w:rPr>
          <w:sz w:val="22"/>
          <w:szCs w:val="22"/>
        </w:rPr>
        <w:t>a comunicación</w:t>
      </w:r>
      <w:r>
        <w:rPr>
          <w:sz w:val="22"/>
          <w:szCs w:val="22"/>
        </w:rPr>
        <w:t>,</w:t>
      </w:r>
      <w:r w:rsidRPr="001A4BF1">
        <w:rPr>
          <w:sz w:val="22"/>
          <w:szCs w:val="22"/>
        </w:rPr>
        <w:t xml:space="preserve"> podrán utilizarse en las deliberaciones del Comité y </w:t>
      </w:r>
      <w:r>
        <w:rPr>
          <w:sz w:val="22"/>
          <w:szCs w:val="22"/>
        </w:rPr>
        <w:t xml:space="preserve">ser reflejadas </w:t>
      </w:r>
      <w:r w:rsidRPr="001A4BF1">
        <w:rPr>
          <w:sz w:val="22"/>
          <w:szCs w:val="22"/>
        </w:rPr>
        <w:t>en los dictámenes y decisiones finales del Comité.</w:t>
      </w:r>
      <w:r w:rsidRPr="001A4BF1">
        <w:rPr>
          <w:sz w:val="22"/>
          <w:szCs w:val="22"/>
        </w:rPr>
        <w:tab/>
      </w:r>
    </w:p>
    <w:p w14:paraId="35A1E2EA" w14:textId="77777777" w:rsidR="009576FD" w:rsidRPr="00B7232D" w:rsidRDefault="009576FD" w:rsidP="009576FD">
      <w:pPr>
        <w:jc w:val="both"/>
        <w:rPr>
          <w:lang w:val="fr-FR"/>
        </w:rPr>
      </w:pPr>
    </w:p>
    <w:p w14:paraId="1E8B01C7" w14:textId="77777777" w:rsidR="009576FD" w:rsidRPr="00B7232D" w:rsidRDefault="009576FD" w:rsidP="009576FD">
      <w:pPr>
        <w:jc w:val="both"/>
        <w:rPr>
          <w:lang w:val="fr-FR"/>
        </w:rPr>
      </w:pPr>
    </w:p>
    <w:p w14:paraId="55CFEFCE" w14:textId="77777777" w:rsidR="009576FD" w:rsidRPr="00B7232D" w:rsidRDefault="009576FD" w:rsidP="009576FD">
      <w:pPr>
        <w:jc w:val="both"/>
        <w:rPr>
          <w:lang w:val="fr-FR"/>
        </w:rPr>
      </w:pPr>
    </w:p>
    <w:p w14:paraId="252F9ABD" w14:textId="77777777" w:rsidR="009576FD" w:rsidRPr="00B7232D" w:rsidRDefault="009576FD" w:rsidP="009576FD">
      <w:pPr>
        <w:jc w:val="both"/>
        <w:rPr>
          <w:lang w:val="fr-FR"/>
        </w:rPr>
      </w:pPr>
    </w:p>
    <w:p w14:paraId="2E500387" w14:textId="77777777" w:rsidR="009576FD" w:rsidRPr="00B7232D" w:rsidRDefault="009576FD" w:rsidP="009576FD">
      <w:pPr>
        <w:jc w:val="both"/>
        <w:rPr>
          <w:lang w:val="fr-FR"/>
        </w:rPr>
      </w:pPr>
    </w:p>
    <w:p w14:paraId="4EA414BB" w14:textId="77777777" w:rsidR="009576FD" w:rsidRPr="00B7232D" w:rsidRDefault="009576FD" w:rsidP="009576FD">
      <w:pPr>
        <w:jc w:val="both"/>
        <w:rPr>
          <w:lang w:val="fr-FR"/>
        </w:rPr>
      </w:pPr>
    </w:p>
    <w:p w14:paraId="07BC16BD" w14:textId="77777777" w:rsidR="009576FD" w:rsidRPr="00B7232D" w:rsidRDefault="009576FD" w:rsidP="009576FD">
      <w:pPr>
        <w:jc w:val="both"/>
        <w:rPr>
          <w:lang w:val="fr-FR"/>
        </w:rPr>
      </w:pPr>
    </w:p>
    <w:p w14:paraId="55C10B1A" w14:textId="77777777" w:rsidR="009576FD" w:rsidRPr="00B7232D" w:rsidRDefault="009576FD" w:rsidP="009576FD">
      <w:pPr>
        <w:jc w:val="both"/>
        <w:rPr>
          <w:lang w:val="fr-FR"/>
        </w:rPr>
      </w:pPr>
    </w:p>
    <w:p w14:paraId="69D3D85B" w14:textId="77777777" w:rsidR="009576FD" w:rsidRPr="00B7232D" w:rsidRDefault="009576FD" w:rsidP="009576FD">
      <w:pPr>
        <w:jc w:val="both"/>
        <w:rPr>
          <w:lang w:val="fr-FR"/>
        </w:rPr>
      </w:pPr>
    </w:p>
    <w:p w14:paraId="7F201B2F" w14:textId="77777777" w:rsidR="009576FD" w:rsidRPr="00B7232D" w:rsidRDefault="009576FD" w:rsidP="009576FD">
      <w:pPr>
        <w:jc w:val="both"/>
        <w:rPr>
          <w:lang w:val="fr-FR"/>
        </w:rPr>
      </w:pPr>
    </w:p>
    <w:p w14:paraId="0DBFCB25" w14:textId="77777777" w:rsidR="009576FD" w:rsidRPr="00B7232D" w:rsidRDefault="009576FD" w:rsidP="009576FD">
      <w:pPr>
        <w:jc w:val="both"/>
        <w:rPr>
          <w:lang w:val="fr-FR"/>
        </w:rPr>
      </w:pPr>
    </w:p>
    <w:p w14:paraId="11E101AB" w14:textId="77777777" w:rsidR="009576FD" w:rsidRPr="00B7232D" w:rsidRDefault="009576FD" w:rsidP="009576FD">
      <w:pPr>
        <w:jc w:val="both"/>
        <w:rPr>
          <w:lang w:val="fr-FR"/>
        </w:rPr>
      </w:pPr>
    </w:p>
    <w:p w14:paraId="6484DE76" w14:textId="57CEDE22" w:rsidR="007C12F3" w:rsidRPr="00E860B6" w:rsidRDefault="007C12F3" w:rsidP="00820CE8">
      <w:pPr>
        <w:jc w:val="both"/>
        <w:rPr>
          <w:lang w:val="en-GB"/>
        </w:rPr>
      </w:pPr>
    </w:p>
    <w:sectPr w:rsidR="007C12F3" w:rsidRPr="00E860B6">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57354C" w16cid:durableId="215892D1"/>
  <w16cid:commentId w16cid:paraId="24A49C0C" w16cid:durableId="215892D2"/>
  <w16cid:commentId w16cid:paraId="2439FBBC" w16cid:durableId="2158934D"/>
  <w16cid:commentId w16cid:paraId="5A03405D" w16cid:durableId="215892D3"/>
  <w16cid:commentId w16cid:paraId="00EC27FD" w16cid:durableId="21589386"/>
  <w16cid:commentId w16cid:paraId="4D9CFB39" w16cid:durableId="215893A6"/>
  <w16cid:commentId w16cid:paraId="1BCD5365" w16cid:durableId="215893BA"/>
  <w16cid:commentId w16cid:paraId="5B1C0CD6" w16cid:durableId="215893D1"/>
  <w16cid:commentId w16cid:paraId="49C91EFA" w16cid:durableId="215892D4"/>
  <w16cid:commentId w16cid:paraId="07F15B8F" w16cid:durableId="215894D7"/>
  <w16cid:commentId w16cid:paraId="43B64BF0" w16cid:durableId="215892D5"/>
  <w16cid:commentId w16cid:paraId="438C1E57" w16cid:durableId="215892D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8E6B1F" w14:textId="77777777" w:rsidR="00CD775C" w:rsidRDefault="00CD775C" w:rsidP="00E860B6">
      <w:pPr>
        <w:spacing w:line="240" w:lineRule="auto"/>
      </w:pPr>
      <w:r>
        <w:separator/>
      </w:r>
    </w:p>
  </w:endnote>
  <w:endnote w:type="continuationSeparator" w:id="0">
    <w:p w14:paraId="6AE525C3" w14:textId="77777777" w:rsidR="00CD775C" w:rsidRDefault="00CD775C" w:rsidP="00E860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81561" w14:textId="77777777" w:rsidR="00CD775C" w:rsidRDefault="00CD775C" w:rsidP="00E860B6">
      <w:pPr>
        <w:spacing w:line="240" w:lineRule="auto"/>
      </w:pPr>
      <w:r>
        <w:separator/>
      </w:r>
    </w:p>
  </w:footnote>
  <w:footnote w:type="continuationSeparator" w:id="0">
    <w:p w14:paraId="23D9480B" w14:textId="77777777" w:rsidR="00CD775C" w:rsidRDefault="00CD775C" w:rsidP="00E860B6">
      <w:pPr>
        <w:spacing w:line="240" w:lineRule="auto"/>
      </w:pPr>
      <w:r>
        <w:continuationSeparator/>
      </w:r>
    </w:p>
  </w:footnote>
  <w:footnote w:id="1">
    <w:p w14:paraId="3C2F0C7D" w14:textId="77777777" w:rsidR="00EB19C7" w:rsidRPr="00A81375" w:rsidRDefault="00EB19C7" w:rsidP="00EB19C7">
      <w:pPr>
        <w:pStyle w:val="FootnoteText"/>
        <w:rPr>
          <w:lang w:val="ru-RU"/>
        </w:rPr>
      </w:pPr>
      <w:r>
        <w:rPr>
          <w:rStyle w:val="FootnoteReference"/>
        </w:rPr>
        <w:footnoteRef/>
      </w:r>
      <w:r w:rsidRPr="004C08C3">
        <w:rPr>
          <w:lang w:val="ru-RU"/>
        </w:rPr>
        <w:t xml:space="preserve"> </w:t>
      </w:r>
      <w:r w:rsidRPr="00542A7C">
        <w:t>CCPR</w:t>
      </w:r>
      <w:r w:rsidRPr="00542A7C">
        <w:rPr>
          <w:lang w:val="ru-RU"/>
        </w:rPr>
        <w:t xml:space="preserve"> /</w:t>
      </w:r>
      <w:r w:rsidRPr="00542A7C">
        <w:t>C</w:t>
      </w:r>
      <w:r w:rsidRPr="00542A7C">
        <w:rPr>
          <w:lang w:val="ru-RU"/>
        </w:rPr>
        <w:t>/3/</w:t>
      </w:r>
      <w:proofErr w:type="spellStart"/>
      <w:r w:rsidRPr="00542A7C">
        <w:t>Rev</w:t>
      </w:r>
      <w:proofErr w:type="spellEnd"/>
      <w:r w:rsidRPr="00542A7C">
        <w:rPr>
          <w:lang w:val="ru-RU"/>
        </w:rPr>
        <w:t>.11</w:t>
      </w:r>
    </w:p>
  </w:footnote>
  <w:footnote w:id="2">
    <w:p w14:paraId="73FEF7EA" w14:textId="77777777" w:rsidR="00EB19C7" w:rsidRPr="008C2CB8" w:rsidRDefault="00EB19C7" w:rsidP="00EB19C7">
      <w:pPr>
        <w:pStyle w:val="FootnoteText"/>
        <w:rPr>
          <w:lang w:val="ru-RU"/>
        </w:rPr>
      </w:pPr>
      <w:r>
        <w:rPr>
          <w:rStyle w:val="FootnoteReference"/>
        </w:rPr>
        <w:footnoteRef/>
      </w:r>
      <w:r w:rsidRPr="008C2CB8">
        <w:rPr>
          <w:lang w:val="ru-RU"/>
        </w:rPr>
        <w:t xml:space="preserve"> </w:t>
      </w:r>
      <w:r w:rsidRPr="008C2CB8">
        <w:rPr>
          <w:lang w:val="ru-RU"/>
        </w:rPr>
        <w:t xml:space="preserve">Перечень </w:t>
      </w:r>
      <w:r w:rsidRPr="008C2CB8">
        <w:rPr>
          <w:lang w:val="ru-RU"/>
        </w:rPr>
        <w:t>зарегистрированных Комитетом случаев с указанием государства-участника и поданных жалоб размещен на вебсайте Комитета.</w:t>
      </w:r>
    </w:p>
  </w:footnote>
  <w:footnote w:id="3">
    <w:p w14:paraId="445B106D" w14:textId="77777777" w:rsidR="001F795B" w:rsidRPr="00FF2DFF" w:rsidRDefault="001F795B" w:rsidP="001F795B">
      <w:pPr>
        <w:pStyle w:val="FootnoteText"/>
        <w:rPr>
          <w:lang w:val="en-GB"/>
        </w:rPr>
      </w:pPr>
      <w:r>
        <w:rPr>
          <w:rStyle w:val="FootnoteReference"/>
        </w:rPr>
        <w:footnoteRef/>
      </w:r>
      <w:r w:rsidRPr="00FF2DFF">
        <w:rPr>
          <w:lang w:val="en-GB"/>
        </w:rPr>
        <w:t xml:space="preserve"> </w:t>
      </w:r>
      <w:r>
        <w:rPr>
          <w:lang w:val="en-GB"/>
        </w:rPr>
        <w:t>CCPR/C/3/Rev.11</w:t>
      </w:r>
    </w:p>
  </w:footnote>
  <w:footnote w:id="4">
    <w:p w14:paraId="74920DD2" w14:textId="77777777" w:rsidR="001F795B" w:rsidRPr="00FF2DFF" w:rsidRDefault="001F795B" w:rsidP="001F795B">
      <w:pPr>
        <w:pStyle w:val="FootnoteText"/>
        <w:tabs>
          <w:tab w:val="clear" w:pos="1021"/>
          <w:tab w:val="right" w:pos="0"/>
        </w:tabs>
        <w:ind w:left="0" w:firstLine="0"/>
        <w:jc w:val="both"/>
        <w:rPr>
          <w:lang w:val="es-ES"/>
        </w:rPr>
      </w:pPr>
      <w:r>
        <w:rPr>
          <w:rStyle w:val="FootnoteReference"/>
        </w:rPr>
        <w:footnoteRef/>
      </w:r>
      <w:r w:rsidRPr="00FF2DFF">
        <w:rPr>
          <w:lang w:val="es-ES"/>
        </w:rPr>
        <w:t xml:space="preserve"> En el sitio web del Comité puede consultarse una lista de los casos registrados por el Comité, en la que se indican el Estado Parte y </w:t>
      </w:r>
      <w:r>
        <w:rPr>
          <w:lang w:val="es-ES"/>
        </w:rPr>
        <w:t>la denuncia</w:t>
      </w:r>
      <w:r w:rsidRPr="00FF2DFF">
        <w:rPr>
          <w:lang w:val="es-E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386399"/>
    <w:multiLevelType w:val="hybridMultilevel"/>
    <w:tmpl w:val="280A8A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5F227747"/>
    <w:multiLevelType w:val="hybridMultilevel"/>
    <w:tmpl w:val="1CC8AFC4"/>
    <w:lvl w:ilvl="0" w:tplc="7BD88ACC">
      <w:start w:val="1"/>
      <w:numFmt w:val="decimal"/>
      <w:lvlText w:val="%1."/>
      <w:lvlJc w:val="left"/>
      <w:pPr>
        <w:ind w:left="720" w:hanging="360"/>
      </w:pPr>
      <w:rPr>
        <w:rFonts w:ascii="Times New Roman" w:hAnsi="Times New Roman"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3F5728"/>
    <w:multiLevelType w:val="hybridMultilevel"/>
    <w:tmpl w:val="11648486"/>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0F3655E"/>
    <w:multiLevelType w:val="hybridMultilevel"/>
    <w:tmpl w:val="60644F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A431E9C"/>
    <w:multiLevelType w:val="hybridMultilevel"/>
    <w:tmpl w:val="AC84DF08"/>
    <w:lvl w:ilvl="0" w:tplc="2148488C">
      <w:start w:val="1"/>
      <w:numFmt w:val="decimal"/>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activeWritingStyle w:appName="MSWord" w:lang="es-ES" w:vendorID="64" w:dllVersion="6" w:nlCheck="1" w:checkStyle="0"/>
  <w:activeWritingStyle w:appName="MSWord" w:lang="en-GB" w:vendorID="64" w:dllVersion="6" w:nlCheck="1" w:checkStyle="1"/>
  <w:activeWritingStyle w:appName="MSWord" w:lang="en-GB"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s-ES" w:vendorID="64" w:dllVersion="131078" w:nlCheck="1" w:checkStyle="0"/>
  <w:activeWritingStyle w:appName="MSWord" w:lang="en-US" w:vendorID="64" w:dllVersion="131078" w:nlCheck="1" w:checkStyle="1"/>
  <w:activeWritingStyle w:appName="MSWord" w:lang="fr-FR" w:vendorID="64" w:dllVersion="131078" w:nlCheck="1" w:checkStyle="0"/>
  <w:activeWritingStyle w:appName="MSWord" w:lang="fr-CH" w:vendorID="64" w:dllVersion="131078" w:nlCheck="1" w:checkStyle="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0B6"/>
    <w:rsid w:val="000A06D2"/>
    <w:rsid w:val="000F78F0"/>
    <w:rsid w:val="001125AF"/>
    <w:rsid w:val="00122998"/>
    <w:rsid w:val="001659ED"/>
    <w:rsid w:val="001A34D1"/>
    <w:rsid w:val="001F795B"/>
    <w:rsid w:val="002462B0"/>
    <w:rsid w:val="002628C5"/>
    <w:rsid w:val="002734ED"/>
    <w:rsid w:val="003535DC"/>
    <w:rsid w:val="003628B5"/>
    <w:rsid w:val="003841A8"/>
    <w:rsid w:val="003A5440"/>
    <w:rsid w:val="003A7C46"/>
    <w:rsid w:val="003B4AB5"/>
    <w:rsid w:val="003E5FD7"/>
    <w:rsid w:val="004208AE"/>
    <w:rsid w:val="00420F09"/>
    <w:rsid w:val="004431B2"/>
    <w:rsid w:val="00527F83"/>
    <w:rsid w:val="005615F5"/>
    <w:rsid w:val="00561E7C"/>
    <w:rsid w:val="005678E7"/>
    <w:rsid w:val="00570887"/>
    <w:rsid w:val="005A0ADD"/>
    <w:rsid w:val="005B7D5B"/>
    <w:rsid w:val="00626851"/>
    <w:rsid w:val="0065166B"/>
    <w:rsid w:val="00654264"/>
    <w:rsid w:val="0067784F"/>
    <w:rsid w:val="00684B2A"/>
    <w:rsid w:val="006A3CB9"/>
    <w:rsid w:val="006E5F8B"/>
    <w:rsid w:val="00720B98"/>
    <w:rsid w:val="00735A92"/>
    <w:rsid w:val="007414B9"/>
    <w:rsid w:val="00783636"/>
    <w:rsid w:val="007B0C24"/>
    <w:rsid w:val="007C12F3"/>
    <w:rsid w:val="007C17A8"/>
    <w:rsid w:val="007F3594"/>
    <w:rsid w:val="00820CE8"/>
    <w:rsid w:val="00853594"/>
    <w:rsid w:val="00882058"/>
    <w:rsid w:val="008B13F6"/>
    <w:rsid w:val="008C42FC"/>
    <w:rsid w:val="008D3967"/>
    <w:rsid w:val="00916642"/>
    <w:rsid w:val="009576FD"/>
    <w:rsid w:val="00981653"/>
    <w:rsid w:val="009C31AB"/>
    <w:rsid w:val="009E5CFA"/>
    <w:rsid w:val="00A349D1"/>
    <w:rsid w:val="00B5118B"/>
    <w:rsid w:val="00B71420"/>
    <w:rsid w:val="00BD73FD"/>
    <w:rsid w:val="00BE070A"/>
    <w:rsid w:val="00BF2681"/>
    <w:rsid w:val="00BF312A"/>
    <w:rsid w:val="00C156A6"/>
    <w:rsid w:val="00C162FA"/>
    <w:rsid w:val="00C165D7"/>
    <w:rsid w:val="00C47744"/>
    <w:rsid w:val="00C81F13"/>
    <w:rsid w:val="00CD775C"/>
    <w:rsid w:val="00DA4658"/>
    <w:rsid w:val="00DD6966"/>
    <w:rsid w:val="00E204E7"/>
    <w:rsid w:val="00E2094A"/>
    <w:rsid w:val="00E860B6"/>
    <w:rsid w:val="00EB13EE"/>
    <w:rsid w:val="00EB19C7"/>
    <w:rsid w:val="00EB3BCB"/>
    <w:rsid w:val="00F31AB8"/>
    <w:rsid w:val="00F65C26"/>
    <w:rsid w:val="00F90F23"/>
    <w:rsid w:val="00FE6E15"/>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3D1441"/>
  <w15:chartTrackingRefBased/>
  <w15:docId w15:val="{C739E04E-BC37-4AC8-9905-117404CC3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0B6"/>
    <w:pPr>
      <w:spacing w:after="0" w:line="240" w:lineRule="atLeast"/>
    </w:pPr>
    <w:rPr>
      <w:rFonts w:ascii="Times New Roman" w:eastAsia="Times New Roman" w:hAnsi="Times New Roman" w:cs="Times New Roman"/>
      <w:sz w:val="20"/>
      <w:szCs w:val="20"/>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5_G Char,Footnote Text Char Char Char Char Char Char,Footnote Text Char Char Char Char Char1,Footnote reference Char,FA Fu Char,Footnote Text Char Char Char Char1,Footnote Text Char1 Char1 Char,Char Char,Footnote Reference1 Char"/>
    <w:basedOn w:val="DefaultParagraphFont"/>
    <w:link w:val="FootnoteText"/>
    <w:uiPriority w:val="99"/>
    <w:locked/>
    <w:rsid w:val="00E860B6"/>
    <w:rPr>
      <w:sz w:val="18"/>
      <w:lang w:val="fr-CH"/>
    </w:rPr>
  </w:style>
  <w:style w:type="paragraph" w:styleId="FootnoteText">
    <w:name w:val="footnote text"/>
    <w:aliases w:val="5_G,Footnote Text Char Char Char Char Char,Footnote Text Char Char Char Char,Footnote reference,FA Fu,Footnote Text Char Char Char,Footnote Text Char1 Char1,Footnote Text Char1 Char Char Char Char,Char,Footnote Reference1,ft,Style 27"/>
    <w:basedOn w:val="Normal"/>
    <w:link w:val="FootnoteTextChar"/>
    <w:uiPriority w:val="99"/>
    <w:unhideWhenUsed/>
    <w:qFormat/>
    <w:rsid w:val="00E860B6"/>
    <w:pPr>
      <w:tabs>
        <w:tab w:val="right" w:pos="1021"/>
      </w:tabs>
      <w:suppressAutoHyphens/>
      <w:spacing w:line="220" w:lineRule="exact"/>
      <w:ind w:left="1134" w:right="1134" w:hanging="1134"/>
    </w:pPr>
    <w:rPr>
      <w:rFonts w:asciiTheme="minorHAnsi" w:eastAsiaTheme="minorHAnsi" w:hAnsiTheme="minorHAnsi" w:cstheme="minorBidi"/>
      <w:sz w:val="18"/>
      <w:szCs w:val="22"/>
      <w:lang w:val="fr-CH" w:eastAsia="en-US"/>
    </w:rPr>
  </w:style>
  <w:style w:type="character" w:customStyle="1" w:styleId="FootnoteTextChar1">
    <w:name w:val="Footnote Text Char1"/>
    <w:basedOn w:val="DefaultParagraphFont"/>
    <w:uiPriority w:val="99"/>
    <w:semiHidden/>
    <w:rsid w:val="00E860B6"/>
    <w:rPr>
      <w:rFonts w:ascii="Times New Roman" w:eastAsia="Times New Roman" w:hAnsi="Times New Roman" w:cs="Times New Roman"/>
      <w:sz w:val="20"/>
      <w:szCs w:val="20"/>
      <w:lang w:val="es-ES" w:eastAsia="es-ES"/>
    </w:rPr>
  </w:style>
  <w:style w:type="paragraph" w:styleId="CommentText">
    <w:name w:val="annotation text"/>
    <w:basedOn w:val="Normal"/>
    <w:link w:val="CommentTextChar"/>
    <w:unhideWhenUsed/>
    <w:rsid w:val="00E860B6"/>
    <w:pPr>
      <w:spacing w:line="240" w:lineRule="auto"/>
    </w:pPr>
  </w:style>
  <w:style w:type="character" w:customStyle="1" w:styleId="CommentTextChar">
    <w:name w:val="Comment Text Char"/>
    <w:basedOn w:val="DefaultParagraphFont"/>
    <w:link w:val="CommentText"/>
    <w:rsid w:val="00E860B6"/>
    <w:rPr>
      <w:rFonts w:ascii="Times New Roman" w:eastAsia="Times New Roman" w:hAnsi="Times New Roman" w:cs="Times New Roman"/>
      <w:sz w:val="20"/>
      <w:szCs w:val="20"/>
      <w:lang w:val="es-ES" w:eastAsia="es-ES"/>
    </w:rPr>
  </w:style>
  <w:style w:type="paragraph" w:customStyle="1" w:styleId="HChG">
    <w:name w:val="_ H _Ch_G"/>
    <w:basedOn w:val="Normal"/>
    <w:next w:val="Normal"/>
    <w:rsid w:val="00E860B6"/>
    <w:pPr>
      <w:keepNext/>
      <w:keepLines/>
      <w:tabs>
        <w:tab w:val="right" w:pos="851"/>
      </w:tabs>
      <w:suppressAutoHyphens/>
      <w:spacing w:before="360" w:after="240" w:line="300" w:lineRule="exact"/>
      <w:ind w:left="1134" w:right="1134" w:hanging="1134"/>
    </w:pPr>
    <w:rPr>
      <w:b/>
      <w:sz w:val="28"/>
      <w:lang w:val="fr-CH" w:eastAsia="en-US"/>
    </w:rPr>
  </w:style>
  <w:style w:type="character" w:styleId="FootnoteReference">
    <w:name w:val="footnote reference"/>
    <w:aliases w:val="4_G,Footnote number,ftref,Footnotes refss,Style 10,Appel note de bas de p.,referencia nota al pie,BVI fnr,Footnote text,4_Footnote text,callout,Fago Fußnotenzeichen"/>
    <w:uiPriority w:val="99"/>
    <w:unhideWhenUsed/>
    <w:qFormat/>
    <w:rsid w:val="00E860B6"/>
    <w:rPr>
      <w:rFonts w:ascii="Times New Roman" w:hAnsi="Times New Roman" w:cs="Times New Roman" w:hint="default"/>
      <w:sz w:val="18"/>
      <w:vertAlign w:val="superscript"/>
      <w:lang w:val="fr-CH"/>
    </w:rPr>
  </w:style>
  <w:style w:type="character" w:styleId="CommentReference">
    <w:name w:val="annotation reference"/>
    <w:unhideWhenUsed/>
    <w:rsid w:val="00E860B6"/>
    <w:rPr>
      <w:sz w:val="16"/>
      <w:szCs w:val="16"/>
    </w:rPr>
  </w:style>
  <w:style w:type="paragraph" w:styleId="BalloonText">
    <w:name w:val="Balloon Text"/>
    <w:basedOn w:val="Normal"/>
    <w:link w:val="BalloonTextChar"/>
    <w:uiPriority w:val="99"/>
    <w:semiHidden/>
    <w:unhideWhenUsed/>
    <w:rsid w:val="00E860B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0B6"/>
    <w:rPr>
      <w:rFonts w:ascii="Segoe UI" w:eastAsia="Times New Roman" w:hAnsi="Segoe UI" w:cs="Segoe UI"/>
      <w:sz w:val="18"/>
      <w:szCs w:val="18"/>
      <w:lang w:val="es-ES" w:eastAsia="es-ES"/>
    </w:rPr>
  </w:style>
  <w:style w:type="paragraph" w:styleId="CommentSubject">
    <w:name w:val="annotation subject"/>
    <w:basedOn w:val="CommentText"/>
    <w:next w:val="CommentText"/>
    <w:link w:val="CommentSubjectChar"/>
    <w:uiPriority w:val="99"/>
    <w:semiHidden/>
    <w:unhideWhenUsed/>
    <w:rsid w:val="00B71420"/>
    <w:rPr>
      <w:b/>
      <w:bCs/>
    </w:rPr>
  </w:style>
  <w:style w:type="character" w:customStyle="1" w:styleId="CommentSubjectChar">
    <w:name w:val="Comment Subject Char"/>
    <w:basedOn w:val="CommentTextChar"/>
    <w:link w:val="CommentSubject"/>
    <w:uiPriority w:val="99"/>
    <w:semiHidden/>
    <w:rsid w:val="00B71420"/>
    <w:rPr>
      <w:rFonts w:ascii="Times New Roman" w:eastAsia="Times New Roman" w:hAnsi="Times New Roman" w:cs="Times New Roman"/>
      <w:b/>
      <w:bCs/>
      <w:sz w:val="20"/>
      <w:szCs w:val="20"/>
      <w:lang w:val="es-ES" w:eastAsia="es-ES"/>
    </w:rPr>
  </w:style>
  <w:style w:type="paragraph" w:styleId="ListParagraph">
    <w:name w:val="List Paragraph"/>
    <w:basedOn w:val="Normal"/>
    <w:uiPriority w:val="34"/>
    <w:qFormat/>
    <w:rsid w:val="00654264"/>
    <w:pPr>
      <w:ind w:left="720"/>
      <w:contextualSpacing/>
    </w:pPr>
  </w:style>
  <w:style w:type="paragraph" w:styleId="Header">
    <w:name w:val="header"/>
    <w:basedOn w:val="Normal"/>
    <w:link w:val="HeaderChar"/>
    <w:unhideWhenUsed/>
    <w:rsid w:val="005678E7"/>
    <w:pPr>
      <w:tabs>
        <w:tab w:val="center" w:pos="4513"/>
        <w:tab w:val="right" w:pos="9026"/>
      </w:tabs>
      <w:spacing w:line="240" w:lineRule="auto"/>
    </w:pPr>
  </w:style>
  <w:style w:type="character" w:customStyle="1" w:styleId="HeaderChar">
    <w:name w:val="Header Char"/>
    <w:basedOn w:val="DefaultParagraphFont"/>
    <w:link w:val="Header"/>
    <w:uiPriority w:val="99"/>
    <w:rsid w:val="005678E7"/>
    <w:rPr>
      <w:rFonts w:ascii="Times New Roman" w:eastAsia="Times New Roman" w:hAnsi="Times New Roman" w:cs="Times New Roman"/>
      <w:sz w:val="20"/>
      <w:szCs w:val="20"/>
      <w:lang w:val="es-ES" w:eastAsia="es-ES"/>
    </w:rPr>
  </w:style>
  <w:style w:type="paragraph" w:styleId="Footer">
    <w:name w:val="footer"/>
    <w:basedOn w:val="Normal"/>
    <w:link w:val="FooterChar"/>
    <w:uiPriority w:val="99"/>
    <w:unhideWhenUsed/>
    <w:rsid w:val="005678E7"/>
    <w:pPr>
      <w:tabs>
        <w:tab w:val="center" w:pos="4513"/>
        <w:tab w:val="right" w:pos="9026"/>
      </w:tabs>
      <w:spacing w:line="240" w:lineRule="auto"/>
    </w:pPr>
  </w:style>
  <w:style w:type="character" w:customStyle="1" w:styleId="FooterChar">
    <w:name w:val="Footer Char"/>
    <w:basedOn w:val="DefaultParagraphFont"/>
    <w:link w:val="Footer"/>
    <w:uiPriority w:val="99"/>
    <w:rsid w:val="005678E7"/>
    <w:rPr>
      <w:rFonts w:ascii="Times New Roman" w:eastAsia="Times New Roman" w:hAnsi="Times New Roman" w:cs="Times New Roman"/>
      <w:sz w:val="20"/>
      <w:szCs w:val="20"/>
      <w:lang w:val="es-ES" w:eastAsia="es-ES"/>
    </w:rPr>
  </w:style>
  <w:style w:type="character" w:styleId="Hyperlink">
    <w:name w:val="Hyperlink"/>
    <w:basedOn w:val="DefaultParagraphFont"/>
    <w:uiPriority w:val="99"/>
    <w:unhideWhenUsed/>
    <w:rsid w:val="007F3594"/>
    <w:rPr>
      <w:color w:val="0563C1" w:themeColor="hyperlink"/>
      <w:u w:val="single"/>
    </w:rPr>
  </w:style>
  <w:style w:type="paragraph" w:styleId="PlainText">
    <w:name w:val="Plain Text"/>
    <w:basedOn w:val="Normal"/>
    <w:link w:val="PlainTextChar"/>
    <w:uiPriority w:val="99"/>
    <w:unhideWhenUsed/>
    <w:rsid w:val="00C81F13"/>
    <w:pPr>
      <w:spacing w:line="240" w:lineRule="auto"/>
    </w:pPr>
    <w:rPr>
      <w:rFonts w:ascii="Calibri" w:eastAsiaTheme="minorHAnsi" w:hAnsi="Calibri" w:cstheme="minorBidi"/>
      <w:sz w:val="22"/>
      <w:szCs w:val="21"/>
      <w:lang w:val="en-GB" w:eastAsia="en-US"/>
    </w:rPr>
  </w:style>
  <w:style w:type="character" w:customStyle="1" w:styleId="PlainTextChar">
    <w:name w:val="Plain Text Char"/>
    <w:basedOn w:val="DefaultParagraphFont"/>
    <w:link w:val="PlainText"/>
    <w:uiPriority w:val="99"/>
    <w:rsid w:val="00C81F13"/>
    <w:rPr>
      <w:rFonts w:ascii="Calibri" w:hAnsi="Calibri"/>
      <w:szCs w:val="21"/>
    </w:rPr>
  </w:style>
  <w:style w:type="paragraph" w:styleId="NormalWeb">
    <w:name w:val="Normal (Web)"/>
    <w:basedOn w:val="Normal"/>
    <w:uiPriority w:val="99"/>
    <w:semiHidden/>
    <w:unhideWhenUsed/>
    <w:rsid w:val="001659ED"/>
    <w:pPr>
      <w:spacing w:before="100" w:beforeAutospacing="1" w:after="100" w:afterAutospacing="1" w:line="240" w:lineRule="auto"/>
    </w:pPr>
    <w:rPr>
      <w:rFonts w:eastAsiaTheme="minorEastAsia"/>
      <w:sz w:val="24"/>
      <w:szCs w:val="24"/>
      <w:lang w:val="en-US" w:eastAsia="en-US" w:bidi="he-IL"/>
    </w:rPr>
  </w:style>
  <w:style w:type="paragraph" w:styleId="Revision">
    <w:name w:val="Revision"/>
    <w:hidden/>
    <w:uiPriority w:val="99"/>
    <w:semiHidden/>
    <w:rsid w:val="00122998"/>
    <w:pPr>
      <w:spacing w:after="0" w:line="240" w:lineRule="auto"/>
    </w:pPr>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14203">
      <w:bodyDiv w:val="1"/>
      <w:marLeft w:val="0"/>
      <w:marRight w:val="0"/>
      <w:marTop w:val="0"/>
      <w:marBottom w:val="0"/>
      <w:divBdr>
        <w:top w:val="none" w:sz="0" w:space="0" w:color="auto"/>
        <w:left w:val="none" w:sz="0" w:space="0" w:color="auto"/>
        <w:bottom w:val="none" w:sz="0" w:space="0" w:color="auto"/>
        <w:right w:val="none" w:sz="0" w:space="0" w:color="auto"/>
      </w:divBdr>
      <w:divsChild>
        <w:div w:id="319503921">
          <w:marLeft w:val="0"/>
          <w:marRight w:val="0"/>
          <w:marTop w:val="0"/>
          <w:marBottom w:val="0"/>
          <w:divBdr>
            <w:top w:val="none" w:sz="0" w:space="0" w:color="auto"/>
            <w:left w:val="none" w:sz="0" w:space="0" w:color="auto"/>
            <w:bottom w:val="none" w:sz="0" w:space="0" w:color="auto"/>
            <w:right w:val="none" w:sz="0" w:space="0" w:color="auto"/>
          </w:divBdr>
          <w:divsChild>
            <w:div w:id="1787390126">
              <w:marLeft w:val="0"/>
              <w:marRight w:val="0"/>
              <w:marTop w:val="0"/>
              <w:marBottom w:val="0"/>
              <w:divBdr>
                <w:top w:val="none" w:sz="0" w:space="0" w:color="auto"/>
                <w:left w:val="none" w:sz="0" w:space="0" w:color="auto"/>
                <w:bottom w:val="none" w:sz="0" w:space="0" w:color="auto"/>
                <w:right w:val="none" w:sz="0" w:space="0" w:color="auto"/>
              </w:divBdr>
              <w:divsChild>
                <w:div w:id="66269257">
                  <w:marLeft w:val="0"/>
                  <w:marRight w:val="0"/>
                  <w:marTop w:val="0"/>
                  <w:marBottom w:val="0"/>
                  <w:divBdr>
                    <w:top w:val="none" w:sz="0" w:space="0" w:color="auto"/>
                    <w:left w:val="none" w:sz="0" w:space="0" w:color="auto"/>
                    <w:bottom w:val="none" w:sz="0" w:space="0" w:color="auto"/>
                    <w:right w:val="none" w:sz="0" w:space="0" w:color="auto"/>
                  </w:divBdr>
                  <w:divsChild>
                    <w:div w:id="23524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183381">
      <w:bodyDiv w:val="1"/>
      <w:marLeft w:val="0"/>
      <w:marRight w:val="0"/>
      <w:marTop w:val="0"/>
      <w:marBottom w:val="0"/>
      <w:divBdr>
        <w:top w:val="none" w:sz="0" w:space="0" w:color="auto"/>
        <w:left w:val="none" w:sz="0" w:space="0" w:color="auto"/>
        <w:bottom w:val="none" w:sz="0" w:space="0" w:color="auto"/>
        <w:right w:val="none" w:sz="0" w:space="0" w:color="auto"/>
      </w:divBdr>
    </w:div>
    <w:div w:id="162727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etitions@ohch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B92F702-5A14-4E18-9C0D-DC7F8EA5FF96}">
  <ds:schemaRefs>
    <ds:schemaRef ds:uri="http://schemas.openxmlformats.org/officeDocument/2006/bibliography"/>
  </ds:schemaRefs>
</ds:datastoreItem>
</file>

<file path=customXml/itemProps2.xml><?xml version="1.0" encoding="utf-8"?>
<ds:datastoreItem xmlns:ds="http://schemas.openxmlformats.org/officeDocument/2006/customXml" ds:itemID="{55BFB99A-DFFE-4E2D-AA48-81C479AD8C9E}"/>
</file>

<file path=customXml/itemProps3.xml><?xml version="1.0" encoding="utf-8"?>
<ds:datastoreItem xmlns:ds="http://schemas.openxmlformats.org/officeDocument/2006/customXml" ds:itemID="{0D1EC8C5-4CB6-4EEA-A01B-7B48364D4FAD}"/>
</file>

<file path=customXml/itemProps4.xml><?xml version="1.0" encoding="utf-8"?>
<ds:datastoreItem xmlns:ds="http://schemas.openxmlformats.org/officeDocument/2006/customXml" ds:itemID="{C8F89999-3DC5-421D-88DF-276067A7B3E4}"/>
</file>

<file path=docProps/app.xml><?xml version="1.0" encoding="utf-8"?>
<Properties xmlns="http://schemas.openxmlformats.org/officeDocument/2006/extended-properties" xmlns:vt="http://schemas.openxmlformats.org/officeDocument/2006/docPropsVTypes">
  <Template>Normal.dotm</Template>
  <TotalTime>3</TotalTime>
  <Pages>4</Pages>
  <Words>1272</Words>
  <Characters>7253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PETROV Ivaylo</dc:creator>
  <cp:keywords/>
  <dc:description/>
  <cp:lastModifiedBy>TEBOURBI Myriam</cp:lastModifiedBy>
  <cp:revision>5</cp:revision>
  <cp:lastPrinted>2019-10-21T08:24:00Z</cp:lastPrinted>
  <dcterms:created xsi:type="dcterms:W3CDTF">2019-11-14T15:48:00Z</dcterms:created>
  <dcterms:modified xsi:type="dcterms:W3CDTF">2019-11-14T15:52:00Z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