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EF2C0" w14:textId="00415B6B" w:rsidR="001F795B" w:rsidRPr="008D3967" w:rsidRDefault="00C162FA" w:rsidP="008D3967">
      <w:pPr>
        <w:pStyle w:val="Header"/>
        <w:spacing w:before="1680" w:after="60"/>
        <w:jc w:val="right"/>
        <w:rPr>
          <w:b/>
          <w:sz w:val="28"/>
          <w:szCs w:val="28"/>
          <w:u w:val="single"/>
          <w:lang w:val="en-GB"/>
        </w:rPr>
      </w:pPr>
      <w:r>
        <w:rPr>
          <w:noProof/>
          <w:lang w:val="en-GB" w:eastAsia="en-GB"/>
        </w:rPr>
        <w:drawing>
          <wp:anchor distT="152400" distB="152400" distL="152400" distR="152400" simplePos="0" relativeHeight="251659264" behindDoc="1" locked="0" layoutInCell="1" allowOverlap="1" wp14:anchorId="74900B9C" wp14:editId="551A55E8">
            <wp:simplePos x="0" y="0"/>
            <wp:positionH relativeFrom="page">
              <wp:posOffset>1889125</wp:posOffset>
            </wp:positionH>
            <wp:positionV relativeFrom="page">
              <wp:posOffset>612140</wp:posOffset>
            </wp:positionV>
            <wp:extent cx="3962400" cy="723900"/>
            <wp:effectExtent l="0" t="0" r="0" b="0"/>
            <wp:wrapNone/>
            <wp:docPr id="2" name="officeArt object" descr="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Picture 16"/>
                    <pic:cNvPicPr>
                      <a:picLocks noChangeAspect="1" noChangeArrowheads="1"/>
                    </pic:cNvPicPr>
                  </pic:nvPicPr>
                  <pic:blipFill>
                    <a:blip r:embed="rId8"/>
                    <a:stretch>
                      <a:fillRect/>
                    </a:stretch>
                  </pic:blipFill>
                  <pic:spPr bwMode="auto">
                    <a:xfrm>
                      <a:off x="0" y="0"/>
                      <a:ext cx="3962400" cy="723900"/>
                    </a:xfrm>
                    <a:prstGeom prst="rect">
                      <a:avLst/>
                    </a:prstGeom>
                  </pic:spPr>
                </pic:pic>
              </a:graphicData>
            </a:graphic>
          </wp:anchor>
        </w:drawing>
      </w:r>
      <w:bookmarkStart w:id="0" w:name="_GoBack"/>
      <w:bookmarkEnd w:id="0"/>
      <w:r w:rsidR="001F795B">
        <w:rPr>
          <w:b/>
          <w:sz w:val="28"/>
          <w:szCs w:val="28"/>
          <w:u w:val="single"/>
        </w:rPr>
        <w:t>TRADUCCIÓN NO OFFICIAL</w:t>
      </w:r>
    </w:p>
    <w:p w14:paraId="6D53B498" w14:textId="77777777" w:rsidR="001F795B" w:rsidRDefault="001F795B" w:rsidP="001F795B">
      <w:pPr>
        <w:tabs>
          <w:tab w:val="left" w:pos="6916"/>
        </w:tabs>
        <w:spacing w:before="120"/>
        <w:rPr>
          <w:b/>
          <w:sz w:val="28"/>
          <w:szCs w:val="28"/>
          <w:u w:val="single"/>
        </w:rPr>
      </w:pPr>
    </w:p>
    <w:p w14:paraId="3F442D5F" w14:textId="77777777" w:rsidR="001F795B" w:rsidRPr="00FF2DFF" w:rsidRDefault="001F795B" w:rsidP="001F795B">
      <w:pPr>
        <w:tabs>
          <w:tab w:val="left" w:pos="6916"/>
        </w:tabs>
        <w:spacing w:before="120"/>
        <w:jc w:val="center"/>
        <w:rPr>
          <w:b/>
          <w:sz w:val="28"/>
          <w:szCs w:val="28"/>
          <w:u w:val="single"/>
        </w:rPr>
      </w:pPr>
      <w:r w:rsidRPr="00FF2DFF">
        <w:rPr>
          <w:b/>
          <w:sz w:val="28"/>
          <w:szCs w:val="28"/>
          <w:u w:val="single"/>
        </w:rPr>
        <w:t>Comité de Derechos Humanos</w:t>
      </w:r>
    </w:p>
    <w:p w14:paraId="358D5C9F" w14:textId="77777777" w:rsidR="001F795B" w:rsidRPr="00FF2DFF" w:rsidRDefault="001F795B" w:rsidP="001F795B">
      <w:pPr>
        <w:jc w:val="center"/>
        <w:rPr>
          <w:b/>
          <w:lang w:eastAsia="en-US"/>
        </w:rPr>
      </w:pPr>
    </w:p>
    <w:p w14:paraId="0B2701B4" w14:textId="77777777" w:rsidR="001F795B" w:rsidRPr="00FC0B5C" w:rsidRDefault="001F795B" w:rsidP="001F795B">
      <w:pPr>
        <w:jc w:val="center"/>
        <w:rPr>
          <w:b/>
          <w:sz w:val="22"/>
          <w:szCs w:val="22"/>
          <w:lang w:eastAsia="en-US"/>
        </w:rPr>
      </w:pPr>
      <w:r w:rsidRPr="00FC0B5C">
        <w:rPr>
          <w:b/>
          <w:sz w:val="22"/>
          <w:szCs w:val="22"/>
          <w:lang w:eastAsia="en-US"/>
        </w:rPr>
        <w:t>Directrices sobre la presentación de información</w:t>
      </w:r>
      <w:r>
        <w:rPr>
          <w:b/>
          <w:sz w:val="22"/>
          <w:szCs w:val="22"/>
          <w:lang w:eastAsia="en-US"/>
        </w:rPr>
        <w:t xml:space="preserve"> por</w:t>
      </w:r>
      <w:r w:rsidRPr="00FC0B5C">
        <w:rPr>
          <w:b/>
          <w:sz w:val="22"/>
          <w:szCs w:val="22"/>
          <w:lang w:eastAsia="en-US"/>
        </w:rPr>
        <w:t xml:space="preserve"> terceros</w:t>
      </w:r>
    </w:p>
    <w:p w14:paraId="727903DF" w14:textId="77777777" w:rsidR="001F795B" w:rsidRPr="00FC0B5C" w:rsidRDefault="001F795B" w:rsidP="001F795B">
      <w:pPr>
        <w:jc w:val="center"/>
        <w:rPr>
          <w:sz w:val="22"/>
          <w:szCs w:val="22"/>
          <w:lang w:eastAsia="en-US"/>
        </w:rPr>
      </w:pPr>
    </w:p>
    <w:p w14:paraId="279665AB" w14:textId="77777777" w:rsidR="001F795B" w:rsidRPr="00FC0B5C" w:rsidRDefault="001F795B" w:rsidP="001F795B">
      <w:pPr>
        <w:jc w:val="both"/>
        <w:rPr>
          <w:sz w:val="22"/>
          <w:szCs w:val="22"/>
        </w:rPr>
      </w:pPr>
      <w:r w:rsidRPr="00FC0B5C">
        <w:rPr>
          <w:sz w:val="22"/>
          <w:szCs w:val="22"/>
        </w:rPr>
        <w:t xml:space="preserve">Las presentes directrices sobre la presentación de información </w:t>
      </w:r>
      <w:r>
        <w:rPr>
          <w:sz w:val="22"/>
          <w:szCs w:val="22"/>
        </w:rPr>
        <w:t>por</w:t>
      </w:r>
      <w:r w:rsidRPr="00FC0B5C">
        <w:rPr>
          <w:sz w:val="22"/>
          <w:szCs w:val="22"/>
        </w:rPr>
        <w:t xml:space="preserve"> terceros, aprobadas por el Comité de Derechos Humanos en su 127º período de sesiones, serán objeto de evaluación </w:t>
      </w:r>
      <w:r>
        <w:rPr>
          <w:sz w:val="22"/>
          <w:szCs w:val="22"/>
        </w:rPr>
        <w:t xml:space="preserve">dentro de </w:t>
      </w:r>
      <w:r w:rsidRPr="00FC0B5C">
        <w:rPr>
          <w:sz w:val="22"/>
          <w:szCs w:val="22"/>
        </w:rPr>
        <w:t xml:space="preserve">los próximos cinco años, y </w:t>
      </w:r>
      <w:r>
        <w:rPr>
          <w:sz w:val="22"/>
          <w:szCs w:val="22"/>
        </w:rPr>
        <w:t xml:space="preserve">podrán ser revisadas </w:t>
      </w:r>
      <w:r w:rsidRPr="00FC0B5C">
        <w:rPr>
          <w:sz w:val="22"/>
          <w:szCs w:val="22"/>
        </w:rPr>
        <w:t>en caso de que resulte necesario y pertinente.</w:t>
      </w:r>
    </w:p>
    <w:p w14:paraId="4FC71B13" w14:textId="77777777" w:rsidR="001F795B" w:rsidRPr="00FC0B5C" w:rsidRDefault="001F795B" w:rsidP="001F795B">
      <w:pPr>
        <w:ind w:firstLine="720"/>
        <w:jc w:val="both"/>
        <w:rPr>
          <w:sz w:val="22"/>
          <w:szCs w:val="22"/>
        </w:rPr>
      </w:pPr>
    </w:p>
    <w:p w14:paraId="24668C75" w14:textId="77777777" w:rsidR="001F795B" w:rsidRPr="00FC0B5C" w:rsidRDefault="001F795B" w:rsidP="001F795B">
      <w:pPr>
        <w:jc w:val="both"/>
        <w:rPr>
          <w:sz w:val="22"/>
          <w:szCs w:val="22"/>
        </w:rPr>
      </w:pPr>
      <w:r w:rsidRPr="00FC0B5C">
        <w:rPr>
          <w:sz w:val="22"/>
          <w:szCs w:val="22"/>
        </w:rPr>
        <w:t>Al examinar las comunicaciones individuales presentadas en virtud del Protocolo Facultativo del Pacto Internacional de Derechos Civiles y Políticos (el Protocolo Facultativo), el Comité de Derechos Humanos o su Relator Especial, de conformidad con el artículo 96 de su reglamento</w:t>
      </w:r>
      <w:r w:rsidRPr="00FC0B5C">
        <w:rPr>
          <w:rStyle w:val="FootnoteReference"/>
          <w:sz w:val="22"/>
          <w:szCs w:val="22"/>
        </w:rPr>
        <w:footnoteReference w:id="1"/>
      </w:r>
      <w:r w:rsidRPr="00FC0B5C">
        <w:rPr>
          <w:sz w:val="22"/>
          <w:szCs w:val="22"/>
        </w:rPr>
        <w:t>, podrá aceptar la informació</w:t>
      </w:r>
      <w:r>
        <w:rPr>
          <w:sz w:val="22"/>
          <w:szCs w:val="22"/>
        </w:rPr>
        <w:t>n y la documentación presentada</w:t>
      </w:r>
      <w:r w:rsidRPr="00FC0B5C">
        <w:rPr>
          <w:sz w:val="22"/>
          <w:szCs w:val="22"/>
        </w:rPr>
        <w:t xml:space="preserve"> por terceros que puedan ser pertinentes para la debida determinación del caso (</w:t>
      </w:r>
      <w:proofErr w:type="spellStart"/>
      <w:r w:rsidRPr="00FC0B5C">
        <w:rPr>
          <w:sz w:val="22"/>
          <w:szCs w:val="22"/>
        </w:rPr>
        <w:t>amicus</w:t>
      </w:r>
      <w:proofErr w:type="spellEnd"/>
      <w:r w:rsidRPr="00FC0B5C">
        <w:rPr>
          <w:sz w:val="22"/>
          <w:szCs w:val="22"/>
        </w:rPr>
        <w:t xml:space="preserve"> </w:t>
      </w:r>
      <w:proofErr w:type="spellStart"/>
      <w:r w:rsidRPr="00FC0B5C">
        <w:rPr>
          <w:sz w:val="22"/>
          <w:szCs w:val="22"/>
        </w:rPr>
        <w:t>curiae</w:t>
      </w:r>
      <w:proofErr w:type="spellEnd"/>
      <w:r w:rsidRPr="00FC0B5C">
        <w:rPr>
          <w:sz w:val="22"/>
          <w:szCs w:val="22"/>
        </w:rPr>
        <w:t>)</w:t>
      </w:r>
      <w:r w:rsidRPr="00FC0B5C">
        <w:rPr>
          <w:rStyle w:val="FootnoteReference"/>
          <w:sz w:val="22"/>
          <w:szCs w:val="22"/>
        </w:rPr>
        <w:footnoteReference w:id="2"/>
      </w:r>
      <w:r w:rsidRPr="00FC0B5C">
        <w:rPr>
          <w:sz w:val="22"/>
          <w:szCs w:val="22"/>
        </w:rPr>
        <w:t>.</w:t>
      </w:r>
    </w:p>
    <w:p w14:paraId="0D273535" w14:textId="77777777" w:rsidR="001F795B" w:rsidRPr="00FC0B5C" w:rsidRDefault="001F795B" w:rsidP="001F795B">
      <w:pPr>
        <w:ind w:firstLine="720"/>
        <w:jc w:val="both"/>
        <w:rPr>
          <w:sz w:val="22"/>
          <w:szCs w:val="22"/>
        </w:rPr>
      </w:pPr>
    </w:p>
    <w:p w14:paraId="3430D76B" w14:textId="77777777" w:rsidR="001F795B" w:rsidRPr="00FC0B5C" w:rsidRDefault="001F795B" w:rsidP="001F795B">
      <w:pPr>
        <w:spacing w:after="120"/>
        <w:ind w:right="-46"/>
        <w:jc w:val="both"/>
        <w:rPr>
          <w:sz w:val="22"/>
          <w:szCs w:val="22"/>
        </w:rPr>
      </w:pPr>
      <w:r w:rsidRPr="00FC0B5C">
        <w:rPr>
          <w:sz w:val="22"/>
          <w:szCs w:val="22"/>
        </w:rPr>
        <w:t>De conformi</w:t>
      </w:r>
      <w:r>
        <w:rPr>
          <w:sz w:val="22"/>
          <w:szCs w:val="22"/>
        </w:rPr>
        <w:t xml:space="preserve">dad con el párrafo 4 del </w:t>
      </w:r>
      <w:r w:rsidRPr="00FC0B5C">
        <w:rPr>
          <w:sz w:val="22"/>
          <w:szCs w:val="22"/>
        </w:rPr>
        <w:t>artículo 96</w:t>
      </w:r>
      <w:r>
        <w:rPr>
          <w:sz w:val="22"/>
          <w:szCs w:val="22"/>
        </w:rPr>
        <w:t xml:space="preserve"> del Reglamento del Comité</w:t>
      </w:r>
      <w:r w:rsidRPr="00FC0B5C">
        <w:rPr>
          <w:sz w:val="22"/>
          <w:szCs w:val="22"/>
        </w:rPr>
        <w:t>, las personas o entidades que envíen información en carácter de terceros en el proceso, no se considerarán partes en la comunicación.</w:t>
      </w:r>
    </w:p>
    <w:p w14:paraId="50C5014E" w14:textId="77777777" w:rsidR="001F795B" w:rsidRPr="00FC0B5C" w:rsidRDefault="001F795B" w:rsidP="001F795B">
      <w:pPr>
        <w:spacing w:after="120"/>
        <w:ind w:right="-46"/>
        <w:jc w:val="both"/>
        <w:rPr>
          <w:sz w:val="22"/>
          <w:szCs w:val="22"/>
        </w:rPr>
      </w:pPr>
      <w:r w:rsidRPr="00FC0B5C">
        <w:rPr>
          <w:sz w:val="22"/>
          <w:szCs w:val="22"/>
        </w:rPr>
        <w:t xml:space="preserve">El procedimiento para que un tercero </w:t>
      </w:r>
      <w:r>
        <w:rPr>
          <w:sz w:val="22"/>
          <w:szCs w:val="22"/>
        </w:rPr>
        <w:t xml:space="preserve">pueda </w:t>
      </w:r>
      <w:r w:rsidRPr="00FC0B5C">
        <w:rPr>
          <w:sz w:val="22"/>
          <w:szCs w:val="22"/>
        </w:rPr>
        <w:t>present</w:t>
      </w:r>
      <w:r>
        <w:rPr>
          <w:sz w:val="22"/>
          <w:szCs w:val="22"/>
        </w:rPr>
        <w:t>ar</w:t>
      </w:r>
      <w:r w:rsidRPr="00FC0B5C">
        <w:rPr>
          <w:sz w:val="22"/>
          <w:szCs w:val="22"/>
        </w:rPr>
        <w:t xml:space="preserve"> información y documentación es el siguiente: </w:t>
      </w:r>
    </w:p>
    <w:p w14:paraId="30CFFA95" w14:textId="77777777" w:rsidR="001F795B" w:rsidRPr="00FC0B5C" w:rsidRDefault="001F795B" w:rsidP="001F795B">
      <w:pPr>
        <w:spacing w:after="120"/>
        <w:ind w:left="709" w:right="662"/>
        <w:jc w:val="both"/>
        <w:rPr>
          <w:sz w:val="22"/>
          <w:szCs w:val="22"/>
        </w:rPr>
      </w:pPr>
      <w:r w:rsidRPr="00FC0B5C">
        <w:rPr>
          <w:sz w:val="22"/>
          <w:szCs w:val="22"/>
        </w:rPr>
        <w:t>1.</w:t>
      </w:r>
      <w:r w:rsidRPr="00FC0B5C">
        <w:rPr>
          <w:sz w:val="22"/>
          <w:szCs w:val="22"/>
        </w:rPr>
        <w:tab/>
        <w:t xml:space="preserve">Se presentará al Comité una solicitud escrita de autorización para presentar un escrito de </w:t>
      </w:r>
      <w:proofErr w:type="spellStart"/>
      <w:r w:rsidRPr="00FC0B5C">
        <w:rPr>
          <w:sz w:val="22"/>
          <w:szCs w:val="22"/>
        </w:rPr>
        <w:t>amicus</w:t>
      </w:r>
      <w:proofErr w:type="spellEnd"/>
      <w:r w:rsidRPr="00FC0B5C">
        <w:rPr>
          <w:sz w:val="22"/>
          <w:szCs w:val="22"/>
        </w:rPr>
        <w:t xml:space="preserve"> </w:t>
      </w:r>
      <w:proofErr w:type="spellStart"/>
      <w:r w:rsidRPr="00FC0B5C">
        <w:rPr>
          <w:sz w:val="22"/>
          <w:szCs w:val="22"/>
        </w:rPr>
        <w:t>curiae</w:t>
      </w:r>
      <w:proofErr w:type="spellEnd"/>
      <w:r w:rsidRPr="00FC0B5C">
        <w:rPr>
          <w:sz w:val="22"/>
          <w:szCs w:val="22"/>
        </w:rPr>
        <w:t xml:space="preserve">, en la que se facilitará información sucinta sobre las personas o entidades que lo presenten, especificando el caso de que se trate, así como la cuestión o cuestiones que hayan de abordarse, la naturaleza de la información o el análisis que </w:t>
      </w:r>
      <w:r>
        <w:rPr>
          <w:sz w:val="22"/>
          <w:szCs w:val="22"/>
        </w:rPr>
        <w:t>sea necesario</w:t>
      </w:r>
      <w:r w:rsidRPr="00FC0B5C">
        <w:rPr>
          <w:sz w:val="22"/>
          <w:szCs w:val="22"/>
        </w:rPr>
        <w:t xml:space="preserve"> presentar y las razones por las que la presentación será útil para el examen de la comunicación </w:t>
      </w:r>
      <w:r w:rsidRPr="00EF6493">
        <w:rPr>
          <w:i/>
          <w:sz w:val="22"/>
          <w:szCs w:val="22"/>
        </w:rPr>
        <w:t>[2 páginas como máximo]</w:t>
      </w:r>
      <w:r w:rsidRPr="00FC0B5C">
        <w:rPr>
          <w:sz w:val="22"/>
          <w:szCs w:val="22"/>
        </w:rPr>
        <w:t>.</w:t>
      </w:r>
    </w:p>
    <w:p w14:paraId="35CCF986" w14:textId="77777777" w:rsidR="001F795B" w:rsidRDefault="001F795B" w:rsidP="001F795B">
      <w:pPr>
        <w:spacing w:after="120"/>
        <w:ind w:left="709" w:right="662"/>
        <w:jc w:val="both"/>
        <w:rPr>
          <w:sz w:val="22"/>
          <w:szCs w:val="22"/>
        </w:rPr>
      </w:pPr>
      <w:r w:rsidRPr="00FC0B5C">
        <w:rPr>
          <w:sz w:val="22"/>
          <w:szCs w:val="22"/>
        </w:rPr>
        <w:t>2.</w:t>
      </w:r>
      <w:r w:rsidRPr="00FC0B5C">
        <w:rPr>
          <w:sz w:val="22"/>
          <w:szCs w:val="22"/>
        </w:rPr>
        <w:tab/>
        <w:t>Si el Comité o su relator especial conceden la autorización, se indicará un plazo para la presentación</w:t>
      </w:r>
      <w:r>
        <w:rPr>
          <w:sz w:val="22"/>
          <w:szCs w:val="22"/>
        </w:rPr>
        <w:t xml:space="preserve"> del escrito</w:t>
      </w:r>
      <w:r w:rsidRPr="00FC0B5C">
        <w:rPr>
          <w:sz w:val="22"/>
          <w:szCs w:val="22"/>
        </w:rPr>
        <w:t xml:space="preserve"> y, si procede, las cuestiones en las </w:t>
      </w:r>
      <w:r>
        <w:rPr>
          <w:sz w:val="22"/>
          <w:szCs w:val="22"/>
        </w:rPr>
        <w:t>que debe centrarse el mismo</w:t>
      </w:r>
      <w:r w:rsidRPr="00FC0B5C">
        <w:rPr>
          <w:sz w:val="22"/>
          <w:szCs w:val="22"/>
        </w:rPr>
        <w:t xml:space="preserve">. </w:t>
      </w:r>
      <w:r>
        <w:rPr>
          <w:sz w:val="22"/>
          <w:szCs w:val="22"/>
        </w:rPr>
        <w:t>El escrito</w:t>
      </w:r>
      <w:r w:rsidRPr="00FC0B5C">
        <w:rPr>
          <w:sz w:val="22"/>
          <w:szCs w:val="22"/>
        </w:rPr>
        <w:t xml:space="preserve"> no debe exceder las 5.350 palabras. </w:t>
      </w:r>
      <w:r>
        <w:rPr>
          <w:sz w:val="22"/>
          <w:szCs w:val="22"/>
        </w:rPr>
        <w:t>La tercera parte</w:t>
      </w:r>
      <w:r w:rsidRPr="00FC0B5C">
        <w:rPr>
          <w:sz w:val="22"/>
          <w:szCs w:val="22"/>
        </w:rPr>
        <w:t xml:space="preserve"> se comprometerá a no divulgar información sobre la comunicación que haya obtenido en el curso de su participación en el procedimiento, sin el permiso explícito</w:t>
      </w:r>
      <w:r>
        <w:rPr>
          <w:sz w:val="22"/>
          <w:szCs w:val="22"/>
        </w:rPr>
        <w:t xml:space="preserve"> del Comité. </w:t>
      </w:r>
      <w:r w:rsidRPr="00700631">
        <w:rPr>
          <w:sz w:val="22"/>
          <w:szCs w:val="22"/>
        </w:rPr>
        <w:t xml:space="preserve"> </w:t>
      </w:r>
    </w:p>
    <w:p w14:paraId="138D69E4" w14:textId="77777777" w:rsidR="001F795B" w:rsidRPr="00700631" w:rsidRDefault="001F795B" w:rsidP="001F795B">
      <w:pPr>
        <w:spacing w:after="120"/>
        <w:ind w:left="709" w:right="662"/>
        <w:jc w:val="both"/>
        <w:rPr>
          <w:sz w:val="22"/>
          <w:szCs w:val="22"/>
        </w:rPr>
      </w:pPr>
      <w:r>
        <w:rPr>
          <w:sz w:val="22"/>
          <w:szCs w:val="22"/>
        </w:rPr>
        <w:t>3</w:t>
      </w:r>
      <w:r w:rsidRPr="00700631">
        <w:rPr>
          <w:sz w:val="22"/>
          <w:szCs w:val="22"/>
        </w:rPr>
        <w:t>.</w:t>
      </w:r>
      <w:r w:rsidRPr="00700631">
        <w:rPr>
          <w:sz w:val="22"/>
          <w:szCs w:val="22"/>
        </w:rPr>
        <w:tab/>
        <w:t xml:space="preserve">El Comité puede, por iniciativa propia, pedir a una persona o entidad que presente </w:t>
      </w:r>
      <w:r>
        <w:rPr>
          <w:sz w:val="22"/>
          <w:szCs w:val="22"/>
        </w:rPr>
        <w:t>información a una comunicación en carácter de tercero (</w:t>
      </w:r>
      <w:proofErr w:type="spellStart"/>
      <w:r>
        <w:rPr>
          <w:sz w:val="22"/>
          <w:szCs w:val="22"/>
        </w:rPr>
        <w:t>amicus</w:t>
      </w:r>
      <w:proofErr w:type="spellEnd"/>
      <w:r>
        <w:rPr>
          <w:sz w:val="22"/>
          <w:szCs w:val="22"/>
        </w:rPr>
        <w:t xml:space="preserve"> </w:t>
      </w:r>
      <w:proofErr w:type="spellStart"/>
      <w:r>
        <w:rPr>
          <w:sz w:val="22"/>
          <w:szCs w:val="22"/>
        </w:rPr>
        <w:t>curiae</w:t>
      </w:r>
      <w:proofErr w:type="spellEnd"/>
      <w:r>
        <w:rPr>
          <w:sz w:val="22"/>
          <w:szCs w:val="22"/>
        </w:rPr>
        <w:t>).</w:t>
      </w:r>
    </w:p>
    <w:p w14:paraId="33240BFF" w14:textId="77777777" w:rsidR="001F795B" w:rsidRPr="00700631" w:rsidRDefault="001F795B" w:rsidP="001F795B">
      <w:pPr>
        <w:spacing w:after="120"/>
        <w:ind w:left="709" w:right="662"/>
        <w:jc w:val="both"/>
        <w:rPr>
          <w:sz w:val="22"/>
          <w:szCs w:val="22"/>
        </w:rPr>
      </w:pPr>
      <w:r>
        <w:rPr>
          <w:sz w:val="22"/>
          <w:szCs w:val="22"/>
        </w:rPr>
        <w:t>4</w:t>
      </w:r>
      <w:r w:rsidRPr="00700631">
        <w:rPr>
          <w:sz w:val="22"/>
          <w:szCs w:val="22"/>
        </w:rPr>
        <w:t>.</w:t>
      </w:r>
      <w:r w:rsidRPr="00700631">
        <w:rPr>
          <w:sz w:val="22"/>
          <w:szCs w:val="22"/>
        </w:rPr>
        <w:tab/>
      </w:r>
      <w:r>
        <w:rPr>
          <w:sz w:val="22"/>
          <w:szCs w:val="22"/>
        </w:rPr>
        <w:t>La documentación de terceros se presentará</w:t>
      </w:r>
      <w:r w:rsidRPr="00700631">
        <w:rPr>
          <w:sz w:val="22"/>
          <w:szCs w:val="22"/>
        </w:rPr>
        <w:t xml:space="preserve"> por escrito, preferiblemente en el idioma de la comunicación, e imperativamente en un idioma oficial de las Naciones Unidas. </w:t>
      </w:r>
      <w:r>
        <w:rPr>
          <w:sz w:val="22"/>
          <w:szCs w:val="22"/>
        </w:rPr>
        <w:t>Los escritos de terceros deberá</w:t>
      </w:r>
      <w:r w:rsidRPr="00700631">
        <w:rPr>
          <w:sz w:val="22"/>
          <w:szCs w:val="22"/>
        </w:rPr>
        <w:t xml:space="preserve">n dirigirse al Comité por </w:t>
      </w:r>
      <w:r>
        <w:rPr>
          <w:sz w:val="22"/>
          <w:szCs w:val="22"/>
        </w:rPr>
        <w:t>medio</w:t>
      </w:r>
      <w:r w:rsidRPr="00700631">
        <w:rPr>
          <w:sz w:val="22"/>
          <w:szCs w:val="22"/>
        </w:rPr>
        <w:t xml:space="preserve"> de la Oficina del Alto Comisionado de las Naciones Unidas para los Derecho</w:t>
      </w:r>
      <w:r>
        <w:rPr>
          <w:sz w:val="22"/>
          <w:szCs w:val="22"/>
        </w:rPr>
        <w:t xml:space="preserve">s Humanos, </w:t>
      </w:r>
      <w:hyperlink r:id="rId9" w:history="1">
        <w:r w:rsidRPr="00454066">
          <w:rPr>
            <w:rStyle w:val="Hyperlink"/>
            <w:sz w:val="22"/>
            <w:szCs w:val="22"/>
          </w:rPr>
          <w:t>petitions@ohchr.org</w:t>
        </w:r>
      </w:hyperlink>
      <w:r>
        <w:rPr>
          <w:sz w:val="22"/>
          <w:szCs w:val="22"/>
        </w:rPr>
        <w:t xml:space="preserve">.  </w:t>
      </w:r>
    </w:p>
    <w:p w14:paraId="08ED0A02" w14:textId="77777777" w:rsidR="001F795B" w:rsidRPr="00700631" w:rsidRDefault="001F795B" w:rsidP="001F795B">
      <w:pPr>
        <w:spacing w:after="120"/>
        <w:ind w:left="709" w:right="662"/>
        <w:jc w:val="both"/>
        <w:rPr>
          <w:sz w:val="22"/>
          <w:szCs w:val="22"/>
        </w:rPr>
      </w:pPr>
      <w:r>
        <w:rPr>
          <w:sz w:val="22"/>
          <w:szCs w:val="22"/>
        </w:rPr>
        <w:t>5</w:t>
      </w:r>
      <w:r w:rsidRPr="00700631">
        <w:rPr>
          <w:sz w:val="22"/>
          <w:szCs w:val="22"/>
        </w:rPr>
        <w:t>.</w:t>
      </w:r>
      <w:r w:rsidRPr="00700631">
        <w:rPr>
          <w:sz w:val="22"/>
          <w:szCs w:val="22"/>
        </w:rPr>
        <w:tab/>
        <w:t>De conformidad con el párrafo 3 del artículo 5 del Protocolo Facultativo, el Comité no dará acceso al expediente del caso, a copias de las comunicaciones</w:t>
      </w:r>
      <w:r>
        <w:rPr>
          <w:sz w:val="22"/>
          <w:szCs w:val="22"/>
        </w:rPr>
        <w:t>,</w:t>
      </w:r>
      <w:r w:rsidRPr="00700631">
        <w:rPr>
          <w:sz w:val="22"/>
          <w:szCs w:val="22"/>
        </w:rPr>
        <w:t xml:space="preserve"> ni a </w:t>
      </w:r>
      <w:r w:rsidRPr="00700631">
        <w:rPr>
          <w:sz w:val="22"/>
          <w:szCs w:val="22"/>
        </w:rPr>
        <w:lastRenderedPageBreak/>
        <w:t>ninguna otra documentación relativa a la comunicación pendiente ante él. Sólo las partes pueden revela</w:t>
      </w:r>
      <w:r>
        <w:rPr>
          <w:sz w:val="22"/>
          <w:szCs w:val="22"/>
        </w:rPr>
        <w:t>r documentación relacionada con su comunicación</w:t>
      </w:r>
      <w:r w:rsidRPr="00700631">
        <w:rPr>
          <w:sz w:val="22"/>
          <w:szCs w:val="22"/>
        </w:rPr>
        <w:t>.</w:t>
      </w:r>
    </w:p>
    <w:p w14:paraId="08A5B670" w14:textId="77777777" w:rsidR="001F795B" w:rsidRDefault="001F795B" w:rsidP="001F795B">
      <w:pPr>
        <w:pStyle w:val="PlainText"/>
        <w:ind w:left="709" w:right="662"/>
        <w:jc w:val="both"/>
        <w:rPr>
          <w:rFonts w:ascii="Times New Roman" w:eastAsia="Times New Roman" w:hAnsi="Times New Roman" w:cs="Times New Roman"/>
          <w:szCs w:val="22"/>
          <w:lang w:val="es-ES" w:eastAsia="es-ES"/>
        </w:rPr>
      </w:pPr>
      <w:r>
        <w:rPr>
          <w:rFonts w:ascii="Times New Roman" w:eastAsia="Times New Roman" w:hAnsi="Times New Roman" w:cs="Times New Roman"/>
          <w:szCs w:val="22"/>
          <w:lang w:val="es-ES" w:eastAsia="es-ES"/>
        </w:rPr>
        <w:t>6</w:t>
      </w:r>
      <w:r w:rsidRPr="00700631">
        <w:rPr>
          <w:rFonts w:ascii="Times New Roman" w:eastAsia="Times New Roman" w:hAnsi="Times New Roman" w:cs="Times New Roman"/>
          <w:szCs w:val="22"/>
          <w:lang w:val="es-ES" w:eastAsia="es-ES"/>
        </w:rPr>
        <w:t>.</w:t>
      </w:r>
      <w:r w:rsidRPr="00700631">
        <w:rPr>
          <w:rFonts w:ascii="Times New Roman" w:eastAsia="Times New Roman" w:hAnsi="Times New Roman" w:cs="Times New Roman"/>
          <w:szCs w:val="22"/>
          <w:lang w:val="es-ES" w:eastAsia="es-ES"/>
        </w:rPr>
        <w:tab/>
        <w:t>De conformidad con el párrafo 3 del artículo 5 del Protocolo Facu</w:t>
      </w:r>
      <w:r>
        <w:rPr>
          <w:rFonts w:ascii="Times New Roman" w:eastAsia="Times New Roman" w:hAnsi="Times New Roman" w:cs="Times New Roman"/>
          <w:szCs w:val="22"/>
          <w:lang w:val="es-ES" w:eastAsia="es-ES"/>
        </w:rPr>
        <w:t>ltativo, el Comité no proporcionará</w:t>
      </w:r>
      <w:r w:rsidRPr="00700631">
        <w:rPr>
          <w:rFonts w:ascii="Times New Roman" w:eastAsia="Times New Roman" w:hAnsi="Times New Roman" w:cs="Times New Roman"/>
          <w:szCs w:val="22"/>
          <w:lang w:val="es-ES" w:eastAsia="es-ES"/>
        </w:rPr>
        <w:t xml:space="preserve"> a terceros la identidad </w:t>
      </w:r>
      <w:r>
        <w:rPr>
          <w:rFonts w:ascii="Times New Roman" w:eastAsia="Times New Roman" w:hAnsi="Times New Roman" w:cs="Times New Roman"/>
          <w:szCs w:val="22"/>
          <w:lang w:val="es-ES" w:eastAsia="es-ES"/>
        </w:rPr>
        <w:t xml:space="preserve">o datos de contacto </w:t>
      </w:r>
      <w:r w:rsidRPr="00700631">
        <w:rPr>
          <w:rFonts w:ascii="Times New Roman" w:eastAsia="Times New Roman" w:hAnsi="Times New Roman" w:cs="Times New Roman"/>
          <w:szCs w:val="22"/>
          <w:lang w:val="es-ES" w:eastAsia="es-ES"/>
        </w:rPr>
        <w:t xml:space="preserve">del autor o autores de una comunicación sin </w:t>
      </w:r>
      <w:r>
        <w:rPr>
          <w:rFonts w:ascii="Times New Roman" w:eastAsia="Times New Roman" w:hAnsi="Times New Roman" w:cs="Times New Roman"/>
          <w:szCs w:val="22"/>
          <w:lang w:val="es-ES" w:eastAsia="es-ES"/>
        </w:rPr>
        <w:t xml:space="preserve">contar previamente con </w:t>
      </w:r>
      <w:r w:rsidRPr="00700631">
        <w:rPr>
          <w:rFonts w:ascii="Times New Roman" w:eastAsia="Times New Roman" w:hAnsi="Times New Roman" w:cs="Times New Roman"/>
          <w:szCs w:val="22"/>
          <w:lang w:val="es-ES" w:eastAsia="es-ES"/>
        </w:rPr>
        <w:t xml:space="preserve">su consentimiento por escrito. Cuando una comunicación sea presentada por dos o más autores, se requerirá el consentimiento por escrito de todos los autores.  </w:t>
      </w:r>
    </w:p>
    <w:p w14:paraId="585493A5" w14:textId="77777777" w:rsidR="001F795B" w:rsidRPr="00700631" w:rsidRDefault="001F795B" w:rsidP="001F795B">
      <w:pPr>
        <w:pStyle w:val="PlainText"/>
        <w:ind w:right="662"/>
        <w:jc w:val="both"/>
        <w:rPr>
          <w:rFonts w:ascii="Times New Roman" w:eastAsia="Times New Roman" w:hAnsi="Times New Roman" w:cs="Times New Roman"/>
          <w:szCs w:val="22"/>
          <w:lang w:val="es-ES" w:eastAsia="es-ES"/>
        </w:rPr>
      </w:pPr>
    </w:p>
    <w:p w14:paraId="3FB0FA2E" w14:textId="77777777" w:rsidR="001F795B" w:rsidRDefault="001F795B" w:rsidP="001F795B">
      <w:pPr>
        <w:pStyle w:val="PlainText"/>
        <w:ind w:left="709" w:right="662"/>
        <w:jc w:val="both"/>
        <w:rPr>
          <w:rFonts w:ascii="Times New Roman" w:eastAsia="Times New Roman" w:hAnsi="Times New Roman" w:cs="Times New Roman"/>
          <w:szCs w:val="22"/>
          <w:lang w:val="es-ES" w:eastAsia="es-ES"/>
        </w:rPr>
      </w:pPr>
      <w:r>
        <w:rPr>
          <w:rFonts w:ascii="Times New Roman" w:eastAsia="Times New Roman" w:hAnsi="Times New Roman" w:cs="Times New Roman"/>
          <w:szCs w:val="22"/>
          <w:lang w:val="es-ES" w:eastAsia="es-ES"/>
        </w:rPr>
        <w:t>7</w:t>
      </w:r>
      <w:r w:rsidRPr="00700631">
        <w:rPr>
          <w:rFonts w:ascii="Times New Roman" w:eastAsia="Times New Roman" w:hAnsi="Times New Roman" w:cs="Times New Roman"/>
          <w:szCs w:val="22"/>
          <w:lang w:val="es-ES" w:eastAsia="es-ES"/>
        </w:rPr>
        <w:t>.</w:t>
      </w:r>
      <w:r w:rsidRPr="00700631">
        <w:rPr>
          <w:rFonts w:ascii="Times New Roman" w:eastAsia="Times New Roman" w:hAnsi="Times New Roman" w:cs="Times New Roman"/>
          <w:szCs w:val="22"/>
          <w:lang w:val="es-ES" w:eastAsia="es-ES"/>
        </w:rPr>
        <w:tab/>
        <w:t>Si, de conformidad con el párrafo anterior, la identidad de</w:t>
      </w:r>
      <w:r>
        <w:rPr>
          <w:rFonts w:ascii="Times New Roman" w:eastAsia="Times New Roman" w:hAnsi="Times New Roman" w:cs="Times New Roman"/>
          <w:szCs w:val="22"/>
          <w:lang w:val="es-ES" w:eastAsia="es-ES"/>
        </w:rPr>
        <w:t>l autor o autores es revelada a un tercero, el Comité podrá</w:t>
      </w:r>
      <w:r w:rsidRPr="00700631">
        <w:rPr>
          <w:rFonts w:ascii="Times New Roman" w:eastAsia="Times New Roman" w:hAnsi="Times New Roman" w:cs="Times New Roman"/>
          <w:szCs w:val="22"/>
          <w:lang w:val="es-ES" w:eastAsia="es-ES"/>
        </w:rPr>
        <w:t xml:space="preserve"> pedir al tercero que no revele la identidad del autor o autores </w:t>
      </w:r>
      <w:r>
        <w:rPr>
          <w:rFonts w:ascii="Times New Roman" w:eastAsia="Times New Roman" w:hAnsi="Times New Roman" w:cs="Times New Roman"/>
          <w:szCs w:val="22"/>
          <w:lang w:val="es-ES" w:eastAsia="es-ES"/>
        </w:rPr>
        <w:t xml:space="preserve">de la comunicación </w:t>
      </w:r>
      <w:r w:rsidRPr="00700631">
        <w:rPr>
          <w:rFonts w:ascii="Times New Roman" w:eastAsia="Times New Roman" w:hAnsi="Times New Roman" w:cs="Times New Roman"/>
          <w:szCs w:val="22"/>
          <w:lang w:val="es-ES" w:eastAsia="es-ES"/>
        </w:rPr>
        <w:t>y/o de la víctima o víctimas. El</w:t>
      </w:r>
      <w:r>
        <w:rPr>
          <w:rFonts w:ascii="Times New Roman" w:eastAsia="Times New Roman" w:hAnsi="Times New Roman" w:cs="Times New Roman"/>
          <w:szCs w:val="22"/>
          <w:lang w:val="es-ES" w:eastAsia="es-ES"/>
        </w:rPr>
        <w:t xml:space="preserve"> Comité también puede pedir al</w:t>
      </w:r>
      <w:r w:rsidRPr="00700631">
        <w:rPr>
          <w:rFonts w:ascii="Times New Roman" w:eastAsia="Times New Roman" w:hAnsi="Times New Roman" w:cs="Times New Roman"/>
          <w:szCs w:val="22"/>
          <w:lang w:val="es-ES" w:eastAsia="es-ES"/>
        </w:rPr>
        <w:t xml:space="preserve"> tercero que no divulgue el contenido de su </w:t>
      </w:r>
      <w:r>
        <w:rPr>
          <w:rFonts w:ascii="Times New Roman" w:eastAsia="Times New Roman" w:hAnsi="Times New Roman" w:cs="Times New Roman"/>
          <w:szCs w:val="22"/>
          <w:lang w:val="es-ES" w:eastAsia="es-ES"/>
        </w:rPr>
        <w:t>escrito</w:t>
      </w:r>
      <w:r w:rsidRPr="00700631">
        <w:rPr>
          <w:rFonts w:ascii="Times New Roman" w:eastAsia="Times New Roman" w:hAnsi="Times New Roman" w:cs="Times New Roman"/>
          <w:szCs w:val="22"/>
          <w:lang w:val="es-ES" w:eastAsia="es-ES"/>
        </w:rPr>
        <w:t xml:space="preserve"> mientras </w:t>
      </w:r>
      <w:r>
        <w:rPr>
          <w:rFonts w:ascii="Times New Roman" w:eastAsia="Times New Roman" w:hAnsi="Times New Roman" w:cs="Times New Roman"/>
          <w:szCs w:val="22"/>
          <w:lang w:val="es-ES" w:eastAsia="es-ES"/>
        </w:rPr>
        <w:t>el caso</w:t>
      </w:r>
      <w:r w:rsidRPr="00700631">
        <w:rPr>
          <w:rFonts w:ascii="Times New Roman" w:eastAsia="Times New Roman" w:hAnsi="Times New Roman" w:cs="Times New Roman"/>
          <w:szCs w:val="22"/>
          <w:lang w:val="es-ES" w:eastAsia="es-ES"/>
        </w:rPr>
        <w:t xml:space="preserve"> </w:t>
      </w:r>
      <w:r>
        <w:rPr>
          <w:rFonts w:ascii="Times New Roman" w:eastAsia="Times New Roman" w:hAnsi="Times New Roman" w:cs="Times New Roman"/>
          <w:szCs w:val="22"/>
          <w:lang w:val="es-ES" w:eastAsia="es-ES"/>
        </w:rPr>
        <w:t xml:space="preserve">esté pendiente ante el Comité. </w:t>
      </w:r>
    </w:p>
    <w:p w14:paraId="037A9D5E" w14:textId="77777777" w:rsidR="001F795B" w:rsidRPr="00700631" w:rsidRDefault="001F795B" w:rsidP="001F795B">
      <w:pPr>
        <w:pStyle w:val="PlainText"/>
        <w:ind w:right="662"/>
        <w:jc w:val="both"/>
        <w:rPr>
          <w:rFonts w:ascii="Times New Roman" w:eastAsia="Times New Roman" w:hAnsi="Times New Roman" w:cs="Times New Roman"/>
          <w:szCs w:val="22"/>
          <w:lang w:val="es-ES" w:eastAsia="es-ES"/>
        </w:rPr>
      </w:pPr>
    </w:p>
    <w:p w14:paraId="11F3CCC8" w14:textId="77777777" w:rsidR="001F795B" w:rsidRDefault="001F795B" w:rsidP="001F795B">
      <w:pPr>
        <w:pStyle w:val="PlainText"/>
        <w:ind w:left="709" w:right="662"/>
        <w:jc w:val="both"/>
        <w:rPr>
          <w:rFonts w:ascii="Times New Roman" w:eastAsia="Times New Roman" w:hAnsi="Times New Roman" w:cs="Times New Roman"/>
          <w:szCs w:val="22"/>
          <w:lang w:val="es-ES" w:eastAsia="es-ES"/>
        </w:rPr>
      </w:pPr>
      <w:r>
        <w:rPr>
          <w:rFonts w:ascii="Times New Roman" w:eastAsia="Times New Roman" w:hAnsi="Times New Roman" w:cs="Times New Roman"/>
          <w:szCs w:val="22"/>
          <w:lang w:val="es-ES" w:eastAsia="es-ES"/>
        </w:rPr>
        <w:t>8</w:t>
      </w:r>
      <w:r w:rsidRPr="00700631">
        <w:rPr>
          <w:rFonts w:ascii="Times New Roman" w:eastAsia="Times New Roman" w:hAnsi="Times New Roman" w:cs="Times New Roman"/>
          <w:szCs w:val="22"/>
          <w:lang w:val="es-ES" w:eastAsia="es-ES"/>
        </w:rPr>
        <w:t>.</w:t>
      </w:r>
      <w:r w:rsidRPr="00700631">
        <w:rPr>
          <w:rFonts w:ascii="Times New Roman" w:eastAsia="Times New Roman" w:hAnsi="Times New Roman" w:cs="Times New Roman"/>
          <w:szCs w:val="22"/>
          <w:lang w:val="es-ES" w:eastAsia="es-ES"/>
        </w:rPr>
        <w:tab/>
        <w:t xml:space="preserve">Si no se cumple </w:t>
      </w:r>
      <w:r>
        <w:rPr>
          <w:rFonts w:ascii="Times New Roman" w:eastAsia="Times New Roman" w:hAnsi="Times New Roman" w:cs="Times New Roman"/>
          <w:szCs w:val="22"/>
          <w:lang w:val="es-ES" w:eastAsia="es-ES"/>
        </w:rPr>
        <w:t>una d</w:t>
      </w:r>
      <w:r w:rsidRPr="00700631">
        <w:rPr>
          <w:rFonts w:ascii="Times New Roman" w:eastAsia="Times New Roman" w:hAnsi="Times New Roman" w:cs="Times New Roman"/>
          <w:szCs w:val="22"/>
          <w:lang w:val="es-ES" w:eastAsia="es-ES"/>
        </w:rPr>
        <w:t>e las condiciones anteriores, el Comité podrá decid</w:t>
      </w:r>
      <w:r>
        <w:rPr>
          <w:rFonts w:ascii="Times New Roman" w:eastAsia="Times New Roman" w:hAnsi="Times New Roman" w:cs="Times New Roman"/>
          <w:szCs w:val="22"/>
          <w:lang w:val="es-ES" w:eastAsia="es-ES"/>
        </w:rPr>
        <w:t>ir no considerar la información enviada por el tercero</w:t>
      </w:r>
      <w:r w:rsidRPr="00700631">
        <w:rPr>
          <w:rFonts w:ascii="Times New Roman" w:eastAsia="Times New Roman" w:hAnsi="Times New Roman" w:cs="Times New Roman"/>
          <w:szCs w:val="22"/>
          <w:lang w:val="es-ES" w:eastAsia="es-ES"/>
        </w:rPr>
        <w:t xml:space="preserve"> y adoptar cualquier otra medida </w:t>
      </w:r>
      <w:r>
        <w:rPr>
          <w:rFonts w:ascii="Times New Roman" w:eastAsia="Times New Roman" w:hAnsi="Times New Roman" w:cs="Times New Roman"/>
          <w:szCs w:val="22"/>
          <w:lang w:val="es-ES" w:eastAsia="es-ES"/>
        </w:rPr>
        <w:t xml:space="preserve">que considere </w:t>
      </w:r>
      <w:r w:rsidRPr="00700631">
        <w:rPr>
          <w:rFonts w:ascii="Times New Roman" w:eastAsia="Times New Roman" w:hAnsi="Times New Roman" w:cs="Times New Roman"/>
          <w:szCs w:val="22"/>
          <w:lang w:val="es-ES" w:eastAsia="es-ES"/>
        </w:rPr>
        <w:t>apropiada.</w:t>
      </w:r>
    </w:p>
    <w:p w14:paraId="5103DFE2" w14:textId="77777777" w:rsidR="001F795B" w:rsidRPr="0022218B" w:rsidRDefault="001F795B" w:rsidP="001F795B">
      <w:pPr>
        <w:pStyle w:val="ListParagraph"/>
        <w:spacing w:after="120"/>
        <w:ind w:right="662"/>
        <w:jc w:val="both"/>
        <w:rPr>
          <w:sz w:val="22"/>
          <w:szCs w:val="22"/>
        </w:rPr>
      </w:pPr>
    </w:p>
    <w:p w14:paraId="1CB0C908" w14:textId="77777777" w:rsidR="001F795B" w:rsidRPr="001A4BF1" w:rsidRDefault="001F795B" w:rsidP="001F795B">
      <w:pPr>
        <w:pStyle w:val="ListParagraph"/>
        <w:spacing w:after="120"/>
        <w:ind w:right="662"/>
        <w:jc w:val="both"/>
        <w:rPr>
          <w:sz w:val="22"/>
          <w:szCs w:val="22"/>
        </w:rPr>
      </w:pPr>
      <w:r>
        <w:rPr>
          <w:sz w:val="22"/>
          <w:szCs w:val="22"/>
        </w:rPr>
        <w:t xml:space="preserve">9. </w:t>
      </w:r>
      <w:r>
        <w:rPr>
          <w:sz w:val="22"/>
          <w:szCs w:val="22"/>
        </w:rPr>
        <w:tab/>
      </w:r>
      <w:r w:rsidRPr="001A4BF1">
        <w:rPr>
          <w:sz w:val="22"/>
          <w:szCs w:val="22"/>
        </w:rPr>
        <w:t xml:space="preserve">Si se cumplen todos los requisitos, el Comité transmitirá las observaciones de terceros a las partes </w:t>
      </w:r>
      <w:r>
        <w:rPr>
          <w:sz w:val="22"/>
          <w:szCs w:val="22"/>
        </w:rPr>
        <w:t>de</w:t>
      </w:r>
      <w:r w:rsidRPr="001A4BF1">
        <w:rPr>
          <w:sz w:val="22"/>
          <w:szCs w:val="22"/>
        </w:rPr>
        <w:t xml:space="preserve"> la comunicación, qu</w:t>
      </w:r>
      <w:r>
        <w:rPr>
          <w:sz w:val="22"/>
          <w:szCs w:val="22"/>
        </w:rPr>
        <w:t>ienes</w:t>
      </w:r>
      <w:r w:rsidRPr="001A4BF1">
        <w:rPr>
          <w:sz w:val="22"/>
          <w:szCs w:val="22"/>
        </w:rPr>
        <w:t xml:space="preserve"> t</w:t>
      </w:r>
      <w:r>
        <w:rPr>
          <w:sz w:val="22"/>
          <w:szCs w:val="22"/>
        </w:rPr>
        <w:t xml:space="preserve">endrán </w:t>
      </w:r>
      <w:r w:rsidRPr="001A4BF1">
        <w:rPr>
          <w:sz w:val="22"/>
          <w:szCs w:val="22"/>
        </w:rPr>
        <w:t>derecho a presentar observaciones esc</w:t>
      </w:r>
      <w:r>
        <w:rPr>
          <w:sz w:val="22"/>
          <w:szCs w:val="22"/>
        </w:rPr>
        <w:t>ritas y comentarios</w:t>
      </w:r>
      <w:r w:rsidRPr="001A4BF1">
        <w:rPr>
          <w:sz w:val="22"/>
          <w:szCs w:val="22"/>
        </w:rPr>
        <w:t xml:space="preserve">, incluso con respecto a la pertinencia de la </w:t>
      </w:r>
      <w:r>
        <w:rPr>
          <w:sz w:val="22"/>
          <w:szCs w:val="22"/>
        </w:rPr>
        <w:t>información</w:t>
      </w:r>
      <w:r w:rsidRPr="001A4BF1">
        <w:rPr>
          <w:sz w:val="22"/>
          <w:szCs w:val="22"/>
        </w:rPr>
        <w:t xml:space="preserve">, en un plazo determinado por el Comité.  </w:t>
      </w:r>
    </w:p>
    <w:p w14:paraId="451CE8E9" w14:textId="77777777" w:rsidR="001F795B" w:rsidRPr="001A4BF1" w:rsidRDefault="001F795B" w:rsidP="001F795B">
      <w:pPr>
        <w:pStyle w:val="ListParagraph"/>
        <w:spacing w:after="120"/>
        <w:ind w:right="1134"/>
        <w:jc w:val="both"/>
        <w:rPr>
          <w:sz w:val="22"/>
          <w:szCs w:val="22"/>
        </w:rPr>
      </w:pPr>
      <w:r w:rsidRPr="001A4BF1">
        <w:rPr>
          <w:sz w:val="22"/>
          <w:szCs w:val="22"/>
        </w:rPr>
        <w:tab/>
      </w:r>
    </w:p>
    <w:p w14:paraId="0120048C" w14:textId="77777777" w:rsidR="001F795B" w:rsidRPr="001A4BF1" w:rsidRDefault="001F795B" w:rsidP="001F795B">
      <w:pPr>
        <w:spacing w:after="120"/>
        <w:ind w:right="-46"/>
        <w:jc w:val="both"/>
        <w:rPr>
          <w:sz w:val="22"/>
          <w:szCs w:val="22"/>
        </w:rPr>
      </w:pPr>
      <w:r w:rsidRPr="001A4BF1">
        <w:rPr>
          <w:sz w:val="22"/>
          <w:szCs w:val="22"/>
        </w:rPr>
        <w:t xml:space="preserve">Si el Comité decide que es apropiado y pertinente, </w:t>
      </w:r>
      <w:r>
        <w:rPr>
          <w:sz w:val="22"/>
          <w:szCs w:val="22"/>
        </w:rPr>
        <w:t>la información</w:t>
      </w:r>
      <w:r w:rsidRPr="001A4BF1">
        <w:rPr>
          <w:sz w:val="22"/>
          <w:szCs w:val="22"/>
        </w:rPr>
        <w:t xml:space="preserve"> y observaciones </w:t>
      </w:r>
      <w:r>
        <w:rPr>
          <w:sz w:val="22"/>
          <w:szCs w:val="22"/>
        </w:rPr>
        <w:t>enviadas por tercera</w:t>
      </w:r>
      <w:r w:rsidRPr="001A4BF1">
        <w:rPr>
          <w:sz w:val="22"/>
          <w:szCs w:val="22"/>
        </w:rPr>
        <w:t xml:space="preserve">s </w:t>
      </w:r>
      <w:r>
        <w:rPr>
          <w:sz w:val="22"/>
          <w:szCs w:val="22"/>
        </w:rPr>
        <w:t>partes en el marco de un</w:t>
      </w:r>
      <w:r w:rsidRPr="001A4BF1">
        <w:rPr>
          <w:sz w:val="22"/>
          <w:szCs w:val="22"/>
        </w:rPr>
        <w:t>a comunicación</w:t>
      </w:r>
      <w:r>
        <w:rPr>
          <w:sz w:val="22"/>
          <w:szCs w:val="22"/>
        </w:rPr>
        <w:t>,</w:t>
      </w:r>
      <w:r w:rsidRPr="001A4BF1">
        <w:rPr>
          <w:sz w:val="22"/>
          <w:szCs w:val="22"/>
        </w:rPr>
        <w:t xml:space="preserve"> podrán utilizarse en las deliberaciones del Comité y </w:t>
      </w:r>
      <w:r>
        <w:rPr>
          <w:sz w:val="22"/>
          <w:szCs w:val="22"/>
        </w:rPr>
        <w:t xml:space="preserve">ser reflejadas </w:t>
      </w:r>
      <w:r w:rsidRPr="001A4BF1">
        <w:rPr>
          <w:sz w:val="22"/>
          <w:szCs w:val="22"/>
        </w:rPr>
        <w:t>en los dictámenes y decisiones finales del Comité.</w:t>
      </w:r>
      <w:r w:rsidRPr="001A4BF1">
        <w:rPr>
          <w:sz w:val="22"/>
          <w:szCs w:val="22"/>
        </w:rPr>
        <w:tab/>
      </w:r>
    </w:p>
    <w:p w14:paraId="35A1E2EA" w14:textId="77777777" w:rsidR="009576FD" w:rsidRPr="00B7232D" w:rsidRDefault="009576FD" w:rsidP="009576FD">
      <w:pPr>
        <w:jc w:val="both"/>
        <w:rPr>
          <w:lang w:val="fr-FR"/>
        </w:rPr>
      </w:pPr>
    </w:p>
    <w:p w14:paraId="1E8B01C7" w14:textId="77777777" w:rsidR="009576FD" w:rsidRPr="00B7232D" w:rsidRDefault="009576FD" w:rsidP="009576FD">
      <w:pPr>
        <w:jc w:val="both"/>
        <w:rPr>
          <w:lang w:val="fr-FR"/>
        </w:rPr>
      </w:pPr>
    </w:p>
    <w:p w14:paraId="55CFEFCE" w14:textId="77777777" w:rsidR="009576FD" w:rsidRPr="00B7232D" w:rsidRDefault="009576FD" w:rsidP="009576FD">
      <w:pPr>
        <w:jc w:val="both"/>
        <w:rPr>
          <w:lang w:val="fr-FR"/>
        </w:rPr>
      </w:pPr>
    </w:p>
    <w:p w14:paraId="252F9ABD" w14:textId="77777777" w:rsidR="009576FD" w:rsidRPr="00B7232D" w:rsidRDefault="009576FD" w:rsidP="009576FD">
      <w:pPr>
        <w:jc w:val="both"/>
        <w:rPr>
          <w:lang w:val="fr-FR"/>
        </w:rPr>
      </w:pPr>
    </w:p>
    <w:p w14:paraId="2E500387" w14:textId="77777777" w:rsidR="009576FD" w:rsidRPr="00B7232D" w:rsidRDefault="009576FD" w:rsidP="009576FD">
      <w:pPr>
        <w:jc w:val="both"/>
        <w:rPr>
          <w:lang w:val="fr-FR"/>
        </w:rPr>
      </w:pPr>
    </w:p>
    <w:p w14:paraId="4EA414BB" w14:textId="77777777" w:rsidR="009576FD" w:rsidRPr="00B7232D" w:rsidRDefault="009576FD" w:rsidP="009576FD">
      <w:pPr>
        <w:jc w:val="both"/>
        <w:rPr>
          <w:lang w:val="fr-FR"/>
        </w:rPr>
      </w:pPr>
    </w:p>
    <w:p w14:paraId="07BC16BD" w14:textId="77777777" w:rsidR="009576FD" w:rsidRPr="00B7232D" w:rsidRDefault="009576FD" w:rsidP="009576FD">
      <w:pPr>
        <w:jc w:val="both"/>
        <w:rPr>
          <w:lang w:val="fr-FR"/>
        </w:rPr>
      </w:pPr>
    </w:p>
    <w:p w14:paraId="55C10B1A" w14:textId="77777777" w:rsidR="009576FD" w:rsidRPr="00B7232D" w:rsidRDefault="009576FD" w:rsidP="009576FD">
      <w:pPr>
        <w:jc w:val="both"/>
        <w:rPr>
          <w:lang w:val="fr-FR"/>
        </w:rPr>
      </w:pPr>
    </w:p>
    <w:p w14:paraId="69D3D85B" w14:textId="77777777" w:rsidR="009576FD" w:rsidRPr="00B7232D" w:rsidRDefault="009576FD" w:rsidP="009576FD">
      <w:pPr>
        <w:jc w:val="both"/>
        <w:rPr>
          <w:lang w:val="fr-FR"/>
        </w:rPr>
      </w:pPr>
    </w:p>
    <w:p w14:paraId="7F201B2F" w14:textId="77777777" w:rsidR="009576FD" w:rsidRPr="00B7232D" w:rsidRDefault="009576FD" w:rsidP="009576FD">
      <w:pPr>
        <w:jc w:val="both"/>
        <w:rPr>
          <w:lang w:val="fr-FR"/>
        </w:rPr>
      </w:pPr>
    </w:p>
    <w:p w14:paraId="0DBFCB25" w14:textId="77777777" w:rsidR="009576FD" w:rsidRPr="00B7232D" w:rsidRDefault="009576FD" w:rsidP="009576FD">
      <w:pPr>
        <w:jc w:val="both"/>
        <w:rPr>
          <w:lang w:val="fr-FR"/>
        </w:rPr>
      </w:pPr>
    </w:p>
    <w:p w14:paraId="11E101AB" w14:textId="77777777" w:rsidR="009576FD" w:rsidRPr="00B7232D" w:rsidRDefault="009576FD" w:rsidP="009576FD">
      <w:pPr>
        <w:jc w:val="both"/>
        <w:rPr>
          <w:lang w:val="fr-FR"/>
        </w:rPr>
      </w:pPr>
    </w:p>
    <w:p w14:paraId="6484DE76" w14:textId="57CEDE22" w:rsidR="007C12F3" w:rsidRPr="00E860B6" w:rsidRDefault="007C12F3" w:rsidP="00820CE8">
      <w:pPr>
        <w:jc w:val="both"/>
        <w:rPr>
          <w:lang w:val="en-GB"/>
        </w:rPr>
      </w:pPr>
    </w:p>
    <w:sectPr w:rsidR="007C12F3" w:rsidRPr="00E860B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354C" w16cid:durableId="215892D1"/>
  <w16cid:commentId w16cid:paraId="24A49C0C" w16cid:durableId="215892D2"/>
  <w16cid:commentId w16cid:paraId="2439FBBC" w16cid:durableId="2158934D"/>
  <w16cid:commentId w16cid:paraId="5A03405D" w16cid:durableId="215892D3"/>
  <w16cid:commentId w16cid:paraId="00EC27FD" w16cid:durableId="21589386"/>
  <w16cid:commentId w16cid:paraId="4D9CFB39" w16cid:durableId="215893A6"/>
  <w16cid:commentId w16cid:paraId="1BCD5365" w16cid:durableId="215893BA"/>
  <w16cid:commentId w16cid:paraId="5B1C0CD6" w16cid:durableId="215893D1"/>
  <w16cid:commentId w16cid:paraId="49C91EFA" w16cid:durableId="215892D4"/>
  <w16cid:commentId w16cid:paraId="07F15B8F" w16cid:durableId="215894D7"/>
  <w16cid:commentId w16cid:paraId="43B64BF0" w16cid:durableId="215892D5"/>
  <w16cid:commentId w16cid:paraId="438C1E57" w16cid:durableId="215892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E6B1F" w14:textId="77777777" w:rsidR="00CD775C" w:rsidRDefault="00CD775C" w:rsidP="00E860B6">
      <w:pPr>
        <w:spacing w:line="240" w:lineRule="auto"/>
      </w:pPr>
      <w:r>
        <w:separator/>
      </w:r>
    </w:p>
  </w:endnote>
  <w:endnote w:type="continuationSeparator" w:id="0">
    <w:p w14:paraId="6AE525C3" w14:textId="77777777" w:rsidR="00CD775C" w:rsidRDefault="00CD775C" w:rsidP="00E8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1561" w14:textId="77777777" w:rsidR="00CD775C" w:rsidRDefault="00CD775C" w:rsidP="00E860B6">
      <w:pPr>
        <w:spacing w:line="240" w:lineRule="auto"/>
      </w:pPr>
      <w:r>
        <w:separator/>
      </w:r>
    </w:p>
  </w:footnote>
  <w:footnote w:type="continuationSeparator" w:id="0">
    <w:p w14:paraId="23D9480B" w14:textId="77777777" w:rsidR="00CD775C" w:rsidRDefault="00CD775C" w:rsidP="00E860B6">
      <w:pPr>
        <w:spacing w:line="240" w:lineRule="auto"/>
      </w:pPr>
      <w:r>
        <w:continuationSeparator/>
      </w:r>
    </w:p>
  </w:footnote>
  <w:footnote w:id="1">
    <w:p w14:paraId="445B106D" w14:textId="77777777" w:rsidR="001F795B" w:rsidRPr="00FF2DFF" w:rsidRDefault="001F795B" w:rsidP="001F795B">
      <w:pPr>
        <w:pStyle w:val="FootnoteText"/>
        <w:rPr>
          <w:lang w:val="en-GB"/>
        </w:rPr>
      </w:pPr>
      <w:r>
        <w:rPr>
          <w:rStyle w:val="FootnoteReference"/>
        </w:rPr>
        <w:footnoteRef/>
      </w:r>
      <w:r w:rsidRPr="00FF2DFF">
        <w:rPr>
          <w:lang w:val="en-GB"/>
        </w:rPr>
        <w:t xml:space="preserve"> </w:t>
      </w:r>
      <w:r>
        <w:rPr>
          <w:lang w:val="en-GB"/>
        </w:rPr>
        <w:t>CCPR/C/3/Rev.11</w:t>
      </w:r>
    </w:p>
  </w:footnote>
  <w:footnote w:id="2">
    <w:p w14:paraId="74920DD2" w14:textId="77777777" w:rsidR="001F795B" w:rsidRPr="00FF2DFF" w:rsidRDefault="001F795B" w:rsidP="001F795B">
      <w:pPr>
        <w:pStyle w:val="FootnoteText"/>
        <w:tabs>
          <w:tab w:val="clear" w:pos="1021"/>
          <w:tab w:val="right" w:pos="0"/>
        </w:tabs>
        <w:ind w:left="0" w:firstLine="0"/>
        <w:jc w:val="both"/>
        <w:rPr>
          <w:lang w:val="es-ES"/>
        </w:rPr>
      </w:pPr>
      <w:r>
        <w:rPr>
          <w:rStyle w:val="FootnoteReference"/>
        </w:rPr>
        <w:footnoteRef/>
      </w:r>
      <w:r w:rsidRPr="00FF2DFF">
        <w:rPr>
          <w:lang w:val="es-ES"/>
        </w:rPr>
        <w:t xml:space="preserve"> En el sitio web del Comité puede consultarse una lista de los casos registrados por el Comité, en la que se indican el Estado Parte y </w:t>
      </w:r>
      <w:r>
        <w:rPr>
          <w:lang w:val="es-ES"/>
        </w:rPr>
        <w:t>la denuncia</w:t>
      </w:r>
      <w:r w:rsidRPr="00FF2DFF">
        <w:rPr>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6399"/>
    <w:multiLevelType w:val="hybridMultilevel"/>
    <w:tmpl w:val="280A8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F227747"/>
    <w:multiLevelType w:val="hybridMultilevel"/>
    <w:tmpl w:val="1CC8AFC4"/>
    <w:lvl w:ilvl="0" w:tplc="7BD88ACC">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3F5728"/>
    <w:multiLevelType w:val="hybridMultilevel"/>
    <w:tmpl w:val="1164848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3655E"/>
    <w:multiLevelType w:val="hybridMultilevel"/>
    <w:tmpl w:val="6064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431E9C"/>
    <w:multiLevelType w:val="hybridMultilevel"/>
    <w:tmpl w:val="AC84DF08"/>
    <w:lvl w:ilvl="0" w:tplc="2148488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B6"/>
    <w:rsid w:val="000A06D2"/>
    <w:rsid w:val="000F78F0"/>
    <w:rsid w:val="001125AF"/>
    <w:rsid w:val="00122998"/>
    <w:rsid w:val="001659ED"/>
    <w:rsid w:val="001A34D1"/>
    <w:rsid w:val="001F795B"/>
    <w:rsid w:val="002462B0"/>
    <w:rsid w:val="002628C5"/>
    <w:rsid w:val="002734ED"/>
    <w:rsid w:val="003535DC"/>
    <w:rsid w:val="003628B5"/>
    <w:rsid w:val="003841A8"/>
    <w:rsid w:val="003A5440"/>
    <w:rsid w:val="003A7C46"/>
    <w:rsid w:val="003B4AB5"/>
    <w:rsid w:val="003E5FD7"/>
    <w:rsid w:val="004208AE"/>
    <w:rsid w:val="004431B2"/>
    <w:rsid w:val="00527F83"/>
    <w:rsid w:val="005615F5"/>
    <w:rsid w:val="00561E7C"/>
    <w:rsid w:val="005678E7"/>
    <w:rsid w:val="00570887"/>
    <w:rsid w:val="005A0ADD"/>
    <w:rsid w:val="005B7D5B"/>
    <w:rsid w:val="00626851"/>
    <w:rsid w:val="0065166B"/>
    <w:rsid w:val="00654264"/>
    <w:rsid w:val="0067784F"/>
    <w:rsid w:val="00684B2A"/>
    <w:rsid w:val="006A3CB9"/>
    <w:rsid w:val="006E5F8B"/>
    <w:rsid w:val="00720B98"/>
    <w:rsid w:val="00735A92"/>
    <w:rsid w:val="007414B9"/>
    <w:rsid w:val="00783636"/>
    <w:rsid w:val="007B0C24"/>
    <w:rsid w:val="007C12F3"/>
    <w:rsid w:val="007C17A8"/>
    <w:rsid w:val="007F3594"/>
    <w:rsid w:val="00820CE8"/>
    <w:rsid w:val="00853594"/>
    <w:rsid w:val="00882058"/>
    <w:rsid w:val="008B13F6"/>
    <w:rsid w:val="008C42FC"/>
    <w:rsid w:val="008D3967"/>
    <w:rsid w:val="00916642"/>
    <w:rsid w:val="009576FD"/>
    <w:rsid w:val="00981653"/>
    <w:rsid w:val="009C31AB"/>
    <w:rsid w:val="009E5CFA"/>
    <w:rsid w:val="00A349D1"/>
    <w:rsid w:val="00B5118B"/>
    <w:rsid w:val="00B71420"/>
    <w:rsid w:val="00BD73FD"/>
    <w:rsid w:val="00BE070A"/>
    <w:rsid w:val="00BF2681"/>
    <w:rsid w:val="00BF312A"/>
    <w:rsid w:val="00C156A6"/>
    <w:rsid w:val="00C162FA"/>
    <w:rsid w:val="00C165D7"/>
    <w:rsid w:val="00C47744"/>
    <w:rsid w:val="00C81F13"/>
    <w:rsid w:val="00CD775C"/>
    <w:rsid w:val="00DA4658"/>
    <w:rsid w:val="00DD6966"/>
    <w:rsid w:val="00E204E7"/>
    <w:rsid w:val="00E2094A"/>
    <w:rsid w:val="00E860B6"/>
    <w:rsid w:val="00EB13EE"/>
    <w:rsid w:val="00EB3BCB"/>
    <w:rsid w:val="00F31AB8"/>
    <w:rsid w:val="00F65C26"/>
    <w:rsid w:val="00F90F23"/>
    <w:rsid w:val="00FE6E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3D1441"/>
  <w15:chartTrackingRefBased/>
  <w15:docId w15:val="{C739E04E-BC37-4AC8-9905-117404C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B6"/>
    <w:pPr>
      <w:spacing w:after="0" w:line="240" w:lineRule="atLeast"/>
    </w:pPr>
    <w:rPr>
      <w:rFonts w:ascii="Times New Roman" w:eastAsia="Times New Roman" w:hAnsi="Times New Roman" w:cs="Times New Roman"/>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r1 Char1 Char,Char Char,Footnote Reference1 Char"/>
    <w:basedOn w:val="DefaultParagraphFont"/>
    <w:link w:val="FootnoteText"/>
    <w:locked/>
    <w:rsid w:val="00E860B6"/>
    <w:rPr>
      <w:sz w:val="18"/>
      <w:lang w:val="fr-CH"/>
    </w:rPr>
  </w:style>
  <w:style w:type="paragraph" w:styleId="FootnoteText">
    <w:name w:val="footnote text"/>
    <w:aliases w:val="5_G,Footnote Text Char Char Char Char Char,Footnote Text Char Char Char Char,Footnote reference,FA Fu,Footnote Text Char Char Char,Footnote Text Char1 Char1,Footnote Text Char1 Char Char Char Char,Char,Footnote Reference1,ft,Style 27"/>
    <w:basedOn w:val="Normal"/>
    <w:link w:val="FootnoteTextChar"/>
    <w:unhideWhenUsed/>
    <w:qFormat/>
    <w:rsid w:val="00E860B6"/>
    <w:pPr>
      <w:tabs>
        <w:tab w:val="right" w:pos="1021"/>
      </w:tabs>
      <w:suppressAutoHyphens/>
      <w:spacing w:line="220" w:lineRule="exact"/>
      <w:ind w:left="1134" w:right="1134" w:hanging="1134"/>
    </w:pPr>
    <w:rPr>
      <w:rFonts w:asciiTheme="minorHAnsi" w:eastAsiaTheme="minorHAnsi" w:hAnsiTheme="minorHAnsi" w:cstheme="minorBidi"/>
      <w:sz w:val="18"/>
      <w:szCs w:val="22"/>
      <w:lang w:val="fr-CH" w:eastAsia="en-US"/>
    </w:rPr>
  </w:style>
  <w:style w:type="character" w:customStyle="1" w:styleId="FootnoteTextChar1">
    <w:name w:val="Footnote Text Char1"/>
    <w:basedOn w:val="DefaultParagraphFont"/>
    <w:uiPriority w:val="99"/>
    <w:semiHidden/>
    <w:rsid w:val="00E860B6"/>
    <w:rPr>
      <w:rFonts w:ascii="Times New Roman" w:eastAsia="Times New Roman" w:hAnsi="Times New Roman" w:cs="Times New Roman"/>
      <w:sz w:val="20"/>
      <w:szCs w:val="20"/>
      <w:lang w:val="es-ES" w:eastAsia="es-ES"/>
    </w:rPr>
  </w:style>
  <w:style w:type="paragraph" w:styleId="CommentText">
    <w:name w:val="annotation text"/>
    <w:basedOn w:val="Normal"/>
    <w:link w:val="CommentTextChar"/>
    <w:unhideWhenUsed/>
    <w:rsid w:val="00E860B6"/>
    <w:pPr>
      <w:spacing w:line="240" w:lineRule="auto"/>
    </w:pPr>
  </w:style>
  <w:style w:type="character" w:customStyle="1" w:styleId="CommentTextChar">
    <w:name w:val="Comment Text Char"/>
    <w:basedOn w:val="DefaultParagraphFont"/>
    <w:link w:val="CommentText"/>
    <w:rsid w:val="00E860B6"/>
    <w:rPr>
      <w:rFonts w:ascii="Times New Roman" w:eastAsia="Times New Roman" w:hAnsi="Times New Roman" w:cs="Times New Roman"/>
      <w:sz w:val="20"/>
      <w:szCs w:val="20"/>
      <w:lang w:val="es-ES" w:eastAsia="es-ES"/>
    </w:rPr>
  </w:style>
  <w:style w:type="paragraph" w:customStyle="1" w:styleId="HChG">
    <w:name w:val="_ H _Ch_G"/>
    <w:basedOn w:val="Normal"/>
    <w:next w:val="Normal"/>
    <w:rsid w:val="00E860B6"/>
    <w:pPr>
      <w:keepNext/>
      <w:keepLines/>
      <w:tabs>
        <w:tab w:val="right" w:pos="851"/>
      </w:tabs>
      <w:suppressAutoHyphens/>
      <w:spacing w:before="360" w:after="240" w:line="300" w:lineRule="exact"/>
      <w:ind w:left="1134" w:right="1134" w:hanging="1134"/>
    </w:pPr>
    <w:rPr>
      <w:b/>
      <w:sz w:val="28"/>
      <w:lang w:val="fr-CH" w:eastAsia="en-US"/>
    </w:rPr>
  </w:style>
  <w:style w:type="character" w:styleId="FootnoteReference">
    <w:name w:val="footnote reference"/>
    <w:aliases w:val="4_G,Footnote number,ftref,Footnotes refss,Style 10,Appel note de bas de p.,referencia nota al pie,BVI fnr,Footnote text,4_Footnote text,callout,Fago Fußnotenzeichen"/>
    <w:unhideWhenUsed/>
    <w:qFormat/>
    <w:rsid w:val="00E860B6"/>
    <w:rPr>
      <w:rFonts w:ascii="Times New Roman" w:hAnsi="Times New Roman" w:cs="Times New Roman" w:hint="default"/>
      <w:sz w:val="18"/>
      <w:vertAlign w:val="superscript"/>
      <w:lang w:val="fr-CH"/>
    </w:rPr>
  </w:style>
  <w:style w:type="character" w:styleId="CommentReference">
    <w:name w:val="annotation reference"/>
    <w:unhideWhenUsed/>
    <w:rsid w:val="00E860B6"/>
    <w:rPr>
      <w:sz w:val="16"/>
      <w:szCs w:val="16"/>
    </w:rPr>
  </w:style>
  <w:style w:type="paragraph" w:styleId="BalloonText">
    <w:name w:val="Balloon Text"/>
    <w:basedOn w:val="Normal"/>
    <w:link w:val="BalloonTextChar"/>
    <w:uiPriority w:val="99"/>
    <w:semiHidden/>
    <w:unhideWhenUsed/>
    <w:rsid w:val="00E860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B6"/>
    <w:rPr>
      <w:rFonts w:ascii="Segoe UI" w:eastAsia="Times New Roman" w:hAnsi="Segoe UI" w:cs="Segoe UI"/>
      <w:sz w:val="18"/>
      <w:szCs w:val="18"/>
      <w:lang w:val="es-ES" w:eastAsia="es-ES"/>
    </w:rPr>
  </w:style>
  <w:style w:type="paragraph" w:styleId="CommentSubject">
    <w:name w:val="annotation subject"/>
    <w:basedOn w:val="CommentText"/>
    <w:next w:val="CommentText"/>
    <w:link w:val="CommentSubjectChar"/>
    <w:uiPriority w:val="99"/>
    <w:semiHidden/>
    <w:unhideWhenUsed/>
    <w:rsid w:val="00B71420"/>
    <w:rPr>
      <w:b/>
      <w:bCs/>
    </w:rPr>
  </w:style>
  <w:style w:type="character" w:customStyle="1" w:styleId="CommentSubjectChar">
    <w:name w:val="Comment Subject Char"/>
    <w:basedOn w:val="CommentTextChar"/>
    <w:link w:val="CommentSubject"/>
    <w:uiPriority w:val="99"/>
    <w:semiHidden/>
    <w:rsid w:val="00B71420"/>
    <w:rPr>
      <w:rFonts w:ascii="Times New Roman" w:eastAsia="Times New Roman" w:hAnsi="Times New Roman" w:cs="Times New Roman"/>
      <w:b/>
      <w:bCs/>
      <w:sz w:val="20"/>
      <w:szCs w:val="20"/>
      <w:lang w:val="es-ES" w:eastAsia="es-ES"/>
    </w:rPr>
  </w:style>
  <w:style w:type="paragraph" w:styleId="ListParagraph">
    <w:name w:val="List Paragraph"/>
    <w:basedOn w:val="Normal"/>
    <w:uiPriority w:val="34"/>
    <w:qFormat/>
    <w:rsid w:val="00654264"/>
    <w:pPr>
      <w:ind w:left="720"/>
      <w:contextualSpacing/>
    </w:pPr>
  </w:style>
  <w:style w:type="paragraph" w:styleId="Header">
    <w:name w:val="header"/>
    <w:basedOn w:val="Normal"/>
    <w:link w:val="HeaderChar"/>
    <w:unhideWhenUsed/>
    <w:rsid w:val="005678E7"/>
    <w:pPr>
      <w:tabs>
        <w:tab w:val="center" w:pos="4513"/>
        <w:tab w:val="right" w:pos="9026"/>
      </w:tabs>
      <w:spacing w:line="240" w:lineRule="auto"/>
    </w:pPr>
  </w:style>
  <w:style w:type="character" w:customStyle="1" w:styleId="HeaderChar">
    <w:name w:val="Header Char"/>
    <w:basedOn w:val="DefaultParagraphFont"/>
    <w:link w:val="Header"/>
    <w:uiPriority w:val="99"/>
    <w:rsid w:val="005678E7"/>
    <w:rPr>
      <w:rFonts w:ascii="Times New Roman" w:eastAsia="Times New Roman" w:hAnsi="Times New Roman" w:cs="Times New Roman"/>
      <w:sz w:val="20"/>
      <w:szCs w:val="20"/>
      <w:lang w:val="es-ES" w:eastAsia="es-ES"/>
    </w:rPr>
  </w:style>
  <w:style w:type="paragraph" w:styleId="Footer">
    <w:name w:val="footer"/>
    <w:basedOn w:val="Normal"/>
    <w:link w:val="FooterChar"/>
    <w:uiPriority w:val="99"/>
    <w:unhideWhenUsed/>
    <w:rsid w:val="005678E7"/>
    <w:pPr>
      <w:tabs>
        <w:tab w:val="center" w:pos="4513"/>
        <w:tab w:val="right" w:pos="9026"/>
      </w:tabs>
      <w:spacing w:line="240" w:lineRule="auto"/>
    </w:pPr>
  </w:style>
  <w:style w:type="character" w:customStyle="1" w:styleId="FooterChar">
    <w:name w:val="Footer Char"/>
    <w:basedOn w:val="DefaultParagraphFont"/>
    <w:link w:val="Footer"/>
    <w:uiPriority w:val="99"/>
    <w:rsid w:val="005678E7"/>
    <w:rPr>
      <w:rFonts w:ascii="Times New Roman" w:eastAsia="Times New Roman" w:hAnsi="Times New Roman" w:cs="Times New Roman"/>
      <w:sz w:val="20"/>
      <w:szCs w:val="20"/>
      <w:lang w:val="es-ES" w:eastAsia="es-ES"/>
    </w:rPr>
  </w:style>
  <w:style w:type="character" w:styleId="Hyperlink">
    <w:name w:val="Hyperlink"/>
    <w:basedOn w:val="DefaultParagraphFont"/>
    <w:uiPriority w:val="99"/>
    <w:unhideWhenUsed/>
    <w:rsid w:val="007F3594"/>
    <w:rPr>
      <w:color w:val="0563C1" w:themeColor="hyperlink"/>
      <w:u w:val="single"/>
    </w:rPr>
  </w:style>
  <w:style w:type="paragraph" w:styleId="PlainText">
    <w:name w:val="Plain Text"/>
    <w:basedOn w:val="Normal"/>
    <w:link w:val="PlainTextChar"/>
    <w:uiPriority w:val="99"/>
    <w:unhideWhenUsed/>
    <w:rsid w:val="00C81F13"/>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C81F13"/>
    <w:rPr>
      <w:rFonts w:ascii="Calibri" w:hAnsi="Calibri"/>
      <w:szCs w:val="21"/>
    </w:rPr>
  </w:style>
  <w:style w:type="paragraph" w:styleId="NormalWeb">
    <w:name w:val="Normal (Web)"/>
    <w:basedOn w:val="Normal"/>
    <w:uiPriority w:val="99"/>
    <w:semiHidden/>
    <w:unhideWhenUsed/>
    <w:rsid w:val="001659ED"/>
    <w:pPr>
      <w:spacing w:before="100" w:beforeAutospacing="1" w:after="100" w:afterAutospacing="1" w:line="240" w:lineRule="auto"/>
    </w:pPr>
    <w:rPr>
      <w:rFonts w:eastAsiaTheme="minorEastAsia"/>
      <w:sz w:val="24"/>
      <w:szCs w:val="24"/>
      <w:lang w:val="en-US" w:eastAsia="en-US" w:bidi="he-IL"/>
    </w:rPr>
  </w:style>
  <w:style w:type="paragraph" w:styleId="Revision">
    <w:name w:val="Revision"/>
    <w:hidden/>
    <w:uiPriority w:val="99"/>
    <w:semiHidden/>
    <w:rsid w:val="0012299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4203">
      <w:bodyDiv w:val="1"/>
      <w:marLeft w:val="0"/>
      <w:marRight w:val="0"/>
      <w:marTop w:val="0"/>
      <w:marBottom w:val="0"/>
      <w:divBdr>
        <w:top w:val="none" w:sz="0" w:space="0" w:color="auto"/>
        <w:left w:val="none" w:sz="0" w:space="0" w:color="auto"/>
        <w:bottom w:val="none" w:sz="0" w:space="0" w:color="auto"/>
        <w:right w:val="none" w:sz="0" w:space="0" w:color="auto"/>
      </w:divBdr>
      <w:divsChild>
        <w:div w:id="319503921">
          <w:marLeft w:val="0"/>
          <w:marRight w:val="0"/>
          <w:marTop w:val="0"/>
          <w:marBottom w:val="0"/>
          <w:divBdr>
            <w:top w:val="none" w:sz="0" w:space="0" w:color="auto"/>
            <w:left w:val="none" w:sz="0" w:space="0" w:color="auto"/>
            <w:bottom w:val="none" w:sz="0" w:space="0" w:color="auto"/>
            <w:right w:val="none" w:sz="0" w:space="0" w:color="auto"/>
          </w:divBdr>
          <w:divsChild>
            <w:div w:id="1787390126">
              <w:marLeft w:val="0"/>
              <w:marRight w:val="0"/>
              <w:marTop w:val="0"/>
              <w:marBottom w:val="0"/>
              <w:divBdr>
                <w:top w:val="none" w:sz="0" w:space="0" w:color="auto"/>
                <w:left w:val="none" w:sz="0" w:space="0" w:color="auto"/>
                <w:bottom w:val="none" w:sz="0" w:space="0" w:color="auto"/>
                <w:right w:val="none" w:sz="0" w:space="0" w:color="auto"/>
              </w:divBdr>
              <w:divsChild>
                <w:div w:id="66269257">
                  <w:marLeft w:val="0"/>
                  <w:marRight w:val="0"/>
                  <w:marTop w:val="0"/>
                  <w:marBottom w:val="0"/>
                  <w:divBdr>
                    <w:top w:val="none" w:sz="0" w:space="0" w:color="auto"/>
                    <w:left w:val="none" w:sz="0" w:space="0" w:color="auto"/>
                    <w:bottom w:val="none" w:sz="0" w:space="0" w:color="auto"/>
                    <w:right w:val="none" w:sz="0" w:space="0" w:color="auto"/>
                  </w:divBdr>
                  <w:divsChild>
                    <w:div w:id="2352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3381">
      <w:bodyDiv w:val="1"/>
      <w:marLeft w:val="0"/>
      <w:marRight w:val="0"/>
      <w:marTop w:val="0"/>
      <w:marBottom w:val="0"/>
      <w:divBdr>
        <w:top w:val="none" w:sz="0" w:space="0" w:color="auto"/>
        <w:left w:val="none" w:sz="0" w:space="0" w:color="auto"/>
        <w:bottom w:val="none" w:sz="0" w:space="0" w:color="auto"/>
        <w:right w:val="none" w:sz="0" w:space="0" w:color="auto"/>
      </w:divBdr>
    </w:div>
    <w:div w:id="16272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itions@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07EC8E-5B28-4183-A562-9F4FC0F6ECB9}">
  <ds:schemaRefs>
    <ds:schemaRef ds:uri="http://schemas.openxmlformats.org/officeDocument/2006/bibliography"/>
  </ds:schemaRefs>
</ds:datastoreItem>
</file>

<file path=customXml/itemProps2.xml><?xml version="1.0" encoding="utf-8"?>
<ds:datastoreItem xmlns:ds="http://schemas.openxmlformats.org/officeDocument/2006/customXml" ds:itemID="{719FD29C-9A3D-4F7D-A662-8BFBB4E0AAB6}"/>
</file>

<file path=customXml/itemProps3.xml><?xml version="1.0" encoding="utf-8"?>
<ds:datastoreItem xmlns:ds="http://schemas.openxmlformats.org/officeDocument/2006/customXml" ds:itemID="{1EC09948-BD98-4D12-8D2F-665A48AA1B5E}"/>
</file>

<file path=customXml/itemProps4.xml><?xml version="1.0" encoding="utf-8"?>
<ds:datastoreItem xmlns:ds="http://schemas.openxmlformats.org/officeDocument/2006/customXml" ds:itemID="{830D7DDB-7169-4893-8A9D-F92D2A022F6D}"/>
</file>

<file path=docProps/app.xml><?xml version="1.0" encoding="utf-8"?>
<Properties xmlns="http://schemas.openxmlformats.org/officeDocument/2006/extended-properties" xmlns:vt="http://schemas.openxmlformats.org/officeDocument/2006/docPropsVTypes">
  <Template>Normal.dotm</Template>
  <TotalTime>56</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 Ivaylo</dc:creator>
  <cp:keywords/>
  <dc:description/>
  <cp:lastModifiedBy>TEBOURBI Myriam</cp:lastModifiedBy>
  <cp:revision>3</cp:revision>
  <cp:lastPrinted>2019-10-21T08:24:00Z</cp:lastPrinted>
  <dcterms:created xsi:type="dcterms:W3CDTF">2019-11-14T14:51:00Z</dcterms:created>
  <dcterms:modified xsi:type="dcterms:W3CDTF">2019-11-14T15:47:00Z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