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52" w:rsidRPr="00EB4146" w:rsidRDefault="00472352" w:rsidP="00472352">
      <w:pPr>
        <w:pStyle w:val="H1G"/>
        <w:rPr>
          <w:lang w:val="es-EC"/>
        </w:rPr>
      </w:pPr>
      <w:r w:rsidRPr="00045D84">
        <w:rPr>
          <w:lang w:val="es-ES"/>
        </w:rPr>
        <w:tab/>
      </w:r>
      <w:r w:rsidRPr="00045D84">
        <w:rPr>
          <w:lang w:val="es-ES"/>
        </w:rPr>
        <w:tab/>
      </w:r>
      <w:r w:rsidR="00091416" w:rsidRPr="00EB4146">
        <w:rPr>
          <w:lang w:val="es-EC"/>
        </w:rPr>
        <w:t xml:space="preserve">Juan Albán-Alencastro </w:t>
      </w:r>
      <w:r w:rsidRPr="00EB4146">
        <w:rPr>
          <w:lang w:val="es-EC"/>
        </w:rPr>
        <w:t>(</w:t>
      </w:r>
      <w:r w:rsidR="00091416" w:rsidRPr="00EB4146">
        <w:rPr>
          <w:lang w:val="es-EC"/>
        </w:rPr>
        <w:t>Ecuador</w:t>
      </w:r>
      <w:r w:rsidRPr="00EB4146">
        <w:rPr>
          <w:lang w:val="es-EC"/>
        </w:rPr>
        <w:t>)</w:t>
      </w:r>
    </w:p>
    <w:p w:rsidR="00472352" w:rsidRPr="00472352" w:rsidRDefault="00472352" w:rsidP="00472352">
      <w:pPr>
        <w:pStyle w:val="H23G"/>
      </w:pPr>
      <w:r w:rsidRPr="00EB4146">
        <w:rPr>
          <w:lang w:val="es-EC"/>
        </w:rPr>
        <w:tab/>
      </w:r>
      <w:r w:rsidRPr="00EB4146">
        <w:rPr>
          <w:lang w:val="es-EC"/>
        </w:rPr>
        <w:tab/>
      </w:r>
      <w:r w:rsidRPr="00472352">
        <w:t xml:space="preserve">Date and place of birth: </w:t>
      </w:r>
      <w:r w:rsidR="00091416">
        <w:rPr>
          <w:b w:val="0"/>
          <w:bCs/>
        </w:rPr>
        <w:t>6 September</w:t>
      </w:r>
      <w:r w:rsidRPr="00472352">
        <w:rPr>
          <w:b w:val="0"/>
          <w:bCs/>
        </w:rPr>
        <w:t xml:space="preserve"> 197</w:t>
      </w:r>
      <w:r w:rsidR="00091416">
        <w:rPr>
          <w:b w:val="0"/>
          <w:bCs/>
        </w:rPr>
        <w:t>4</w:t>
      </w:r>
      <w:r w:rsidRPr="00472352">
        <w:rPr>
          <w:b w:val="0"/>
          <w:bCs/>
        </w:rPr>
        <w:t xml:space="preserve">, </w:t>
      </w:r>
      <w:r w:rsidR="00091416" w:rsidRPr="00091416">
        <w:rPr>
          <w:b w:val="0"/>
          <w:bCs/>
        </w:rPr>
        <w:t>Guayaquil, Ecuador</w:t>
      </w:r>
    </w:p>
    <w:p w:rsidR="00472352" w:rsidRPr="00472352" w:rsidRDefault="00472352" w:rsidP="00472352">
      <w:pPr>
        <w:pStyle w:val="H23G"/>
        <w:rPr>
          <w:b w:val="0"/>
          <w:bCs/>
        </w:rPr>
      </w:pPr>
      <w:r w:rsidRPr="00472352">
        <w:tab/>
      </w:r>
      <w:r w:rsidRPr="00472352">
        <w:tab/>
        <w:t xml:space="preserve">United Nations working languages: </w:t>
      </w:r>
      <w:r w:rsidR="00091416" w:rsidRPr="00EB4146">
        <w:rPr>
          <w:b w:val="0"/>
        </w:rPr>
        <w:t>Spanish,</w:t>
      </w:r>
      <w:r w:rsidR="00091416">
        <w:t xml:space="preserve"> </w:t>
      </w:r>
      <w:r w:rsidRPr="00472352">
        <w:rPr>
          <w:b w:val="0"/>
          <w:bCs/>
        </w:rPr>
        <w:t>English, French</w:t>
      </w:r>
    </w:p>
    <w:p w:rsidR="00472352" w:rsidRPr="00472352" w:rsidRDefault="00472352" w:rsidP="00472352">
      <w:pPr>
        <w:pStyle w:val="H23G"/>
      </w:pPr>
      <w:r w:rsidRPr="00472352">
        <w:tab/>
      </w:r>
      <w:r w:rsidRPr="00472352">
        <w:tab/>
        <w:t>Current position/function:</w:t>
      </w:r>
    </w:p>
    <w:p w:rsidR="00091416" w:rsidRPr="001D340E" w:rsidRDefault="00091416" w:rsidP="00EB4146">
      <w:pPr>
        <w:pStyle w:val="SingleTxtG"/>
      </w:pPr>
      <w:r w:rsidRPr="001D340E">
        <w:t xml:space="preserve">Universidad San Francisco </w:t>
      </w:r>
      <w:r>
        <w:t>de</w:t>
      </w:r>
      <w:r w:rsidRPr="001D340E">
        <w:t xml:space="preserve"> Quito, L</w:t>
      </w:r>
      <w:r>
        <w:t>aw</w:t>
      </w:r>
      <w:r w:rsidRPr="001D340E">
        <w:t xml:space="preserve"> School. Since 2010</w:t>
      </w:r>
    </w:p>
    <w:p w:rsidR="00091416" w:rsidRPr="00EB4146" w:rsidRDefault="00091416" w:rsidP="00EB4146">
      <w:pPr>
        <w:pStyle w:val="Bullet1G"/>
        <w:rPr>
          <w:rFonts w:eastAsia="SimSun"/>
        </w:rPr>
      </w:pPr>
      <w:r w:rsidRPr="00091416">
        <w:rPr>
          <w:rFonts w:eastAsia="SimSun"/>
        </w:rPr>
        <w:t>Professor of Human Rights, Criminal Law and International Law.</w:t>
      </w:r>
    </w:p>
    <w:p w:rsidR="00091416" w:rsidRPr="00EB4146" w:rsidRDefault="00091416" w:rsidP="00EB4146">
      <w:pPr>
        <w:pStyle w:val="Bullet1G"/>
        <w:rPr>
          <w:rFonts w:eastAsia="SimSun"/>
        </w:rPr>
      </w:pPr>
      <w:r w:rsidRPr="00091416">
        <w:rPr>
          <w:rFonts w:eastAsia="SimSun"/>
        </w:rPr>
        <w:t>Director of the Public Interest Law Clinics.</w:t>
      </w:r>
    </w:p>
    <w:p w:rsidR="00472352" w:rsidRPr="00472352" w:rsidRDefault="00091416" w:rsidP="00EB4146">
      <w:pPr>
        <w:pStyle w:val="Bullet1G"/>
      </w:pPr>
      <w:r w:rsidRPr="00EB4146">
        <w:rPr>
          <w:rFonts w:eastAsia="SimSun"/>
        </w:rPr>
        <w:t>Director of the Legal Aid Clinic.</w:t>
      </w:r>
    </w:p>
    <w:p w:rsidR="00472352" w:rsidRPr="00472352" w:rsidRDefault="00472352" w:rsidP="00472352">
      <w:pPr>
        <w:pStyle w:val="H23G"/>
      </w:pPr>
      <w:r w:rsidRPr="00472352">
        <w:tab/>
      </w:r>
      <w:r w:rsidRPr="00472352">
        <w:tab/>
        <w:t>Main professional activities:</w:t>
      </w:r>
    </w:p>
    <w:p w:rsidR="00091416" w:rsidRPr="00AB752D" w:rsidRDefault="00091416" w:rsidP="00EB4146">
      <w:pPr>
        <w:pStyle w:val="SingleTxtG"/>
      </w:pPr>
      <w:r w:rsidRPr="00AB752D">
        <w:t xml:space="preserve">Ecuadorian National Council </w:t>
      </w:r>
      <w:r>
        <w:t>of the Judiciary for the T</w:t>
      </w:r>
      <w:r w:rsidRPr="00AB752D">
        <w:t>ransition (Council member). 2018</w:t>
      </w:r>
    </w:p>
    <w:p w:rsidR="00091416" w:rsidRPr="00AB752D" w:rsidRDefault="00091416" w:rsidP="00EB4146">
      <w:pPr>
        <w:pStyle w:val="SingleTxtG"/>
      </w:pPr>
      <w:r>
        <w:t>Inter-American Commission on Human R</w:t>
      </w:r>
      <w:r w:rsidRPr="00AB752D">
        <w:t xml:space="preserve">ights </w:t>
      </w:r>
      <w:r>
        <w:t>Assistant A</w:t>
      </w:r>
      <w:r w:rsidRPr="00AB752D">
        <w:t>ttorney (“Rómulo Gallegos” Fellow) for the desk of Argentina. 2001–2002</w:t>
      </w:r>
    </w:p>
    <w:p w:rsidR="00091416" w:rsidRPr="00AB752D" w:rsidRDefault="00091416" w:rsidP="00EB4146">
      <w:pPr>
        <w:pStyle w:val="SingleTxtG"/>
      </w:pPr>
      <w:r w:rsidRPr="003B47D1">
        <w:t xml:space="preserve">Pontificia Universidad Católica del Ecuador, Law School. </w:t>
      </w:r>
      <w:r w:rsidRPr="00AB752D">
        <w:t>Director of</w:t>
      </w:r>
      <w:r>
        <w:t xml:space="preserve"> </w:t>
      </w:r>
      <w:r w:rsidRPr="00AB752D">
        <w:t>the Human Rights Clinic. Coordinator of the Criminal Law Section at the Legal Aid Clinic. 1999–2001</w:t>
      </w:r>
    </w:p>
    <w:p w:rsidR="00091416" w:rsidRPr="00AB752D" w:rsidRDefault="00091416" w:rsidP="00EB4146">
      <w:pPr>
        <w:pStyle w:val="SingleTxtG"/>
      </w:pPr>
      <w:r>
        <w:t>I</w:t>
      </w:r>
      <w:r w:rsidRPr="00AB752D">
        <w:t>ndependent professional practice. Constitutional and criminal law litigation.</w:t>
      </w:r>
    </w:p>
    <w:p w:rsidR="00091416" w:rsidRDefault="00091416" w:rsidP="00EB4146">
      <w:pPr>
        <w:pStyle w:val="SingleTxtG"/>
      </w:pPr>
      <w:r>
        <w:t>Government and P</w:t>
      </w:r>
      <w:r w:rsidRPr="00AB752D">
        <w:t xml:space="preserve">olice </w:t>
      </w:r>
      <w:r>
        <w:t>M</w:t>
      </w:r>
      <w:r w:rsidRPr="00AB752D">
        <w:t>inistry. Advisor to the Vice minister of Government. 1997–1998</w:t>
      </w:r>
    </w:p>
    <w:p w:rsidR="00472352" w:rsidRPr="00091416" w:rsidRDefault="00091416">
      <w:pPr>
        <w:pStyle w:val="H23G"/>
      </w:pPr>
      <w:r>
        <w:tab/>
      </w:r>
      <w:r>
        <w:tab/>
      </w:r>
      <w:r w:rsidR="00472352" w:rsidRPr="00091416">
        <w:t>Legal expertise/experience and other main activities in the field of enforced disappearances:</w:t>
      </w:r>
    </w:p>
    <w:p w:rsidR="00091416" w:rsidRPr="00F27D81" w:rsidRDefault="00091416" w:rsidP="00EB4146">
      <w:pPr>
        <w:pStyle w:val="SingleTxtG"/>
      </w:pPr>
      <w:r w:rsidRPr="00F27D81">
        <w:t xml:space="preserve">Representation of relatives of victims and civil society organizations working with relatives of victims of enforced disappearance in various countries of the region from his role as Principal Specialist of the Inter-American Commission </w:t>
      </w:r>
      <w:r>
        <w:t>on</w:t>
      </w:r>
      <w:r w:rsidRPr="00F27D81">
        <w:t xml:space="preserve"> Human Rights and </w:t>
      </w:r>
      <w:r w:rsidRPr="00206EB7">
        <w:t>Director of the Public Interest Law Clinics</w:t>
      </w:r>
      <w:r>
        <w:t xml:space="preserve"> and </w:t>
      </w:r>
      <w:r w:rsidRPr="00206EB7">
        <w:t>Director of the Legal Aid Clinic</w:t>
      </w:r>
      <w:r>
        <w:t xml:space="preserve"> </w:t>
      </w:r>
      <w:r w:rsidRPr="00F27D81">
        <w:t>of the San Francisco</w:t>
      </w:r>
      <w:r>
        <w:t xml:space="preserve"> de Quito </w:t>
      </w:r>
      <w:r w:rsidRPr="00F27D81">
        <w:t>University.</w:t>
      </w:r>
    </w:p>
    <w:p w:rsidR="00091416" w:rsidRPr="00F27D81" w:rsidRDefault="00091416" w:rsidP="00EB4146">
      <w:pPr>
        <w:pStyle w:val="SingleTxtG"/>
      </w:pPr>
      <w:r w:rsidRPr="00F27D81">
        <w:t>Study of the forced disappearance</w:t>
      </w:r>
      <w:r>
        <w:t xml:space="preserve"> issue</w:t>
      </w:r>
      <w:r w:rsidRPr="00F27D81">
        <w:t xml:space="preserve"> and identification of good practices, as part of the Committee of Experts of the P</w:t>
      </w:r>
      <w:r w:rsidR="00BF7091" w:rsidRPr="00F27D81">
        <w:t>rogram</w:t>
      </w:r>
      <w:r w:rsidRPr="00F27D81">
        <w:t xml:space="preserve"> </w:t>
      </w:r>
      <w:r w:rsidR="00BF7091">
        <w:t xml:space="preserve">of </w:t>
      </w:r>
      <w:r w:rsidRPr="00F27D81">
        <w:t>G</w:t>
      </w:r>
      <w:r w:rsidR="00BF7091" w:rsidRPr="00F27D81">
        <w:t>ood</w:t>
      </w:r>
      <w:r w:rsidR="00BF7091">
        <w:t xml:space="preserve"> Pr</w:t>
      </w:r>
      <w:r w:rsidR="00BF7091" w:rsidRPr="00F27D81">
        <w:t>actices</w:t>
      </w:r>
      <w:r w:rsidRPr="00F27D81">
        <w:t xml:space="preserve"> </w:t>
      </w:r>
      <w:r w:rsidR="00BF7091">
        <w:t>in</w:t>
      </w:r>
      <w:r w:rsidRPr="00F27D81">
        <w:t xml:space="preserve"> H</w:t>
      </w:r>
      <w:r w:rsidR="00BF7091">
        <w:t>uman</w:t>
      </w:r>
      <w:r>
        <w:t xml:space="preserve"> R</w:t>
      </w:r>
      <w:r w:rsidR="00BF7091">
        <w:t>ights</w:t>
      </w:r>
      <w:r>
        <w:t xml:space="preserve"> - C</w:t>
      </w:r>
      <w:r w:rsidR="00BF7091">
        <w:t>ouncil</w:t>
      </w:r>
      <w:r>
        <w:t xml:space="preserve"> </w:t>
      </w:r>
      <w:r w:rsidR="00BF7091">
        <w:t>of</w:t>
      </w:r>
      <w:r>
        <w:t xml:space="preserve"> E</w:t>
      </w:r>
      <w:r w:rsidR="00BF7091">
        <w:t>urope</w:t>
      </w:r>
      <w:r>
        <w:t xml:space="preserve"> - </w:t>
      </w:r>
      <w:r w:rsidRPr="00F27D81">
        <w:t>G</w:t>
      </w:r>
      <w:r w:rsidR="00BF7091" w:rsidRPr="00F27D81">
        <w:t>lobal</w:t>
      </w:r>
      <w:r w:rsidRPr="00F27D81">
        <w:t xml:space="preserve"> C</w:t>
      </w:r>
      <w:r w:rsidR="00BF7091" w:rsidRPr="00F27D81">
        <w:t>ampus</w:t>
      </w:r>
      <w:r w:rsidRPr="00F27D81">
        <w:t xml:space="preserve"> </w:t>
      </w:r>
      <w:r w:rsidR="00BF7091">
        <w:t>on</w:t>
      </w:r>
      <w:r w:rsidRPr="00F27D81">
        <w:t xml:space="preserve"> H</w:t>
      </w:r>
      <w:r w:rsidR="00BF7091" w:rsidRPr="00F27D81">
        <w:t>uman</w:t>
      </w:r>
      <w:r w:rsidRPr="00F27D81">
        <w:t xml:space="preserve"> R</w:t>
      </w:r>
      <w:r w:rsidR="00BF7091" w:rsidRPr="00F27D81">
        <w:t>ights</w:t>
      </w:r>
      <w:r w:rsidRPr="00F27D81">
        <w:t>.</w:t>
      </w:r>
    </w:p>
    <w:p w:rsidR="00091416" w:rsidRPr="00206EB7" w:rsidRDefault="00091416" w:rsidP="00EB4146">
      <w:pPr>
        <w:pStyle w:val="SingleTxtG"/>
      </w:pPr>
      <w:r>
        <w:t>E</w:t>
      </w:r>
      <w:r w:rsidRPr="00F27D81">
        <w:t xml:space="preserve">xpert </w:t>
      </w:r>
      <w:r>
        <w:t>of</w:t>
      </w:r>
      <w:r w:rsidRPr="00F27D81">
        <w:t xml:space="preserve"> the S</w:t>
      </w:r>
      <w:r w:rsidR="00BF7091" w:rsidRPr="00F27D81">
        <w:t>ystem</w:t>
      </w:r>
      <w:r w:rsidRPr="00F27D81">
        <w:t xml:space="preserve"> </w:t>
      </w:r>
      <w:r w:rsidR="00BF7091">
        <w:t>of</w:t>
      </w:r>
      <w:r w:rsidRPr="00F27D81">
        <w:t xml:space="preserve"> S</w:t>
      </w:r>
      <w:r w:rsidR="00BF7091" w:rsidRPr="00F27D81">
        <w:t>pecialized</w:t>
      </w:r>
      <w:r w:rsidRPr="00F27D81">
        <w:t xml:space="preserve"> J</w:t>
      </w:r>
      <w:r w:rsidR="00BF7091" w:rsidRPr="00F27D81">
        <w:t>urisdiction</w:t>
      </w:r>
      <w:r w:rsidRPr="00F27D81">
        <w:t xml:space="preserve"> </w:t>
      </w:r>
      <w:r w:rsidR="00BF7091">
        <w:t>for</w:t>
      </w:r>
      <w:r w:rsidRPr="00F27D81">
        <w:t xml:space="preserve"> P</w:t>
      </w:r>
      <w:r w:rsidR="00BF7091" w:rsidRPr="00F27D81">
        <w:t>eace</w:t>
      </w:r>
      <w:r w:rsidR="00BF7091">
        <w:t xml:space="preserve"> in</w:t>
      </w:r>
      <w:r w:rsidRPr="00F27D81">
        <w:t xml:space="preserve"> C</w:t>
      </w:r>
      <w:r w:rsidR="00BF7091" w:rsidRPr="00F27D81">
        <w:t>olombia</w:t>
      </w:r>
      <w:r w:rsidRPr="00F27D81">
        <w:t>, who deals with the investigation and punishment of crimes committed in the framework of the internal armed conflict that affected that country for decades (including tens of thousands of enforced disappearances)</w:t>
      </w:r>
      <w:r>
        <w:t>.</w:t>
      </w:r>
    </w:p>
    <w:p w:rsidR="00472352" w:rsidRPr="00472352" w:rsidRDefault="00472352" w:rsidP="00472352">
      <w:pPr>
        <w:pStyle w:val="H23G"/>
      </w:pPr>
      <w:r w:rsidRPr="00472352">
        <w:tab/>
      </w:r>
      <w:r w:rsidRPr="00472352">
        <w:tab/>
        <w:t>Educational background:</w:t>
      </w:r>
    </w:p>
    <w:p w:rsidR="00BF7091" w:rsidRPr="00EB4146" w:rsidRDefault="00BF7091" w:rsidP="00BF7091">
      <w:pPr>
        <w:pStyle w:val="SingleTxtG"/>
      </w:pPr>
      <w:r>
        <w:t>The Law School, University of Notre Dame, I</w:t>
      </w:r>
      <w:r w:rsidRPr="00BF7091">
        <w:t xml:space="preserve">ndiana – </w:t>
      </w:r>
      <w:r w:rsidRPr="00EB4146">
        <w:t>USA Doctorate in International Human Rights Law (Doctor of the Science of Law J.S.D.).</w:t>
      </w:r>
    </w:p>
    <w:p w:rsidR="00BF7091" w:rsidRDefault="00BF7091" w:rsidP="00EB4146">
      <w:pPr>
        <w:pStyle w:val="SingleTxtG"/>
      </w:pPr>
      <w:r>
        <w:t>C</w:t>
      </w:r>
      <w:r w:rsidRPr="001D340E">
        <w:t xml:space="preserve">enter for Civil and Human Rights, University of Notre Dame, Indiana </w:t>
      </w:r>
      <w:r w:rsidRPr="00EB4146">
        <w:t>– USA. International human Rights Law Master LL.M. (Magna Cum Laude).</w:t>
      </w:r>
    </w:p>
    <w:p w:rsidR="00BF7091" w:rsidRPr="00EB4146" w:rsidRDefault="00BF7091" w:rsidP="00EB4146">
      <w:pPr>
        <w:pStyle w:val="SingleTxtG"/>
        <w:rPr>
          <w:lang w:val="es-EC"/>
        </w:rPr>
      </w:pPr>
      <w:r>
        <w:rPr>
          <w:lang w:val="es-EC"/>
        </w:rPr>
        <w:lastRenderedPageBreak/>
        <w:t>Pontificia Universidad Católica del E</w:t>
      </w:r>
      <w:r w:rsidRPr="00BF7091">
        <w:rPr>
          <w:lang w:val="es-EC"/>
        </w:rPr>
        <w:t>cuador. Doctor en Jurisprudencia. Abogado de los Tribunales y Juzgados de la República del Ecuador. o</w:t>
      </w:r>
      <w:r w:rsidRPr="00BF7091">
        <w:rPr>
          <w:lang w:val="es-EC"/>
        </w:rPr>
        <w:tab/>
        <w:t>Licenciado en Ciencias Jurídicas (LL.B. equivalent).</w:t>
      </w:r>
    </w:p>
    <w:p w:rsidR="00472352" w:rsidRPr="00472352" w:rsidRDefault="00472352" w:rsidP="00472352">
      <w:pPr>
        <w:pStyle w:val="H23G"/>
      </w:pPr>
      <w:r w:rsidRPr="00EB4146">
        <w:rPr>
          <w:lang w:val="es-ES"/>
        </w:rPr>
        <w:tab/>
      </w:r>
      <w:r w:rsidRPr="00EB4146">
        <w:rPr>
          <w:lang w:val="es-ES"/>
        </w:rPr>
        <w:tab/>
      </w:r>
      <w:r w:rsidRPr="00472352">
        <w:t>List of most recent publications, particularly in the field of enforced disappearances:</w:t>
      </w:r>
    </w:p>
    <w:p w:rsidR="00BF7091" w:rsidRPr="00BF7091" w:rsidRDefault="00BF7091" w:rsidP="00EB4146">
      <w:pPr>
        <w:pStyle w:val="SingleTxtG"/>
      </w:pPr>
      <w:r w:rsidRPr="00BF7091">
        <w:t>1.</w:t>
      </w:r>
      <w:r w:rsidRPr="00BF7091">
        <w:tab/>
        <w:t>Unfinished business? Dealing with the complicity of entrepreneurs in the crimes of the military dictatorship in Argentina, Quebec Journal of International Law, Société Québécoise de Droit International (fall of 2021).}</w:t>
      </w:r>
    </w:p>
    <w:p w:rsidR="00BF7091" w:rsidRPr="00BF7091" w:rsidRDefault="00BF7091" w:rsidP="00EB4146">
      <w:pPr>
        <w:pStyle w:val="SingleTxtG"/>
      </w:pPr>
      <w:r w:rsidRPr="00BF7091">
        <w:t>2.</w:t>
      </w:r>
      <w:r w:rsidRPr="00BF7091">
        <w:tab/>
        <w:t>Outstanding debts: Punishment attempts, broken promises and the pending reconciliation in Ecuador (May 201</w:t>
      </w:r>
      <w:bookmarkStart w:id="0" w:name="_GoBack"/>
      <w:bookmarkEnd w:id="0"/>
      <w:r w:rsidRPr="00BF7091">
        <w:t xml:space="preserve">9), </w:t>
      </w:r>
      <w:hyperlink r:id="rId11" w:history="1">
        <w:r w:rsidRPr="00684F5B">
          <w:rPr>
            <w:rStyle w:val="Hyperlink"/>
          </w:rPr>
          <w:t>https://bit.ly/3idPftM</w:t>
        </w:r>
      </w:hyperlink>
      <w:r>
        <w:t xml:space="preserve"> </w:t>
      </w:r>
      <w:r w:rsidRPr="00BF7091">
        <w:t xml:space="preserve"> </w:t>
      </w:r>
    </w:p>
    <w:p w:rsidR="00BF7091" w:rsidRPr="00EB4146" w:rsidRDefault="00BF7091" w:rsidP="00EB4146">
      <w:pPr>
        <w:pStyle w:val="SingleTxtG"/>
        <w:rPr>
          <w:b/>
          <w:lang w:val="es-ES"/>
        </w:rPr>
      </w:pPr>
      <w:r w:rsidRPr="00BF7091">
        <w:t>3.</w:t>
      </w:r>
      <w:r w:rsidRPr="00BF7091">
        <w:tab/>
        <w:t xml:space="preserve">Do Venezuelans have a right to raise up in arms against their Government? </w:t>
      </w:r>
      <w:r w:rsidRPr="00EB4146">
        <w:rPr>
          <w:lang w:val="es-ES"/>
        </w:rPr>
        <w:t xml:space="preserve">(May 2018), </w:t>
      </w:r>
      <w:hyperlink r:id="rId12" w:history="1">
        <w:r w:rsidRPr="00EB4146">
          <w:rPr>
            <w:rStyle w:val="Hyperlink"/>
            <w:lang w:val="es-ES"/>
          </w:rPr>
          <w:t>https://bit.ly/2Scyu6g</w:t>
        </w:r>
      </w:hyperlink>
      <w:r>
        <w:rPr>
          <w:lang w:val="es-ES"/>
        </w:rPr>
        <w:t xml:space="preserve"> </w:t>
      </w:r>
    </w:p>
    <w:p w:rsidR="00BF7091" w:rsidRPr="00EB4146" w:rsidRDefault="00BF7091" w:rsidP="00EB4146">
      <w:pPr>
        <w:pStyle w:val="SingleTxtG"/>
        <w:rPr>
          <w:b/>
          <w:lang w:val="es-ES"/>
        </w:rPr>
      </w:pPr>
      <w:r w:rsidRPr="00EB4146">
        <w:rPr>
          <w:lang w:val="es-ES"/>
        </w:rPr>
        <w:t>4.</w:t>
      </w:r>
      <w:r w:rsidRPr="00EB4146">
        <w:rPr>
          <w:lang w:val="es-ES"/>
        </w:rPr>
        <w:tab/>
        <w:t xml:space="preserve">Los límites jurídicos al uso de la fuerza por parte de la Policía, en Defensa y Justicia No. 19, Revista de la Defensoría Pública del Ecuador, </w:t>
      </w:r>
      <w:hyperlink r:id="rId13" w:history="1">
        <w:r w:rsidRPr="00EB4146">
          <w:rPr>
            <w:rStyle w:val="Hyperlink"/>
            <w:lang w:val="es-ES"/>
          </w:rPr>
          <w:t>http://www.defensayjusticia.gob.ec/dyj/?p=1873</w:t>
        </w:r>
      </w:hyperlink>
      <w:r>
        <w:rPr>
          <w:lang w:val="es-ES"/>
        </w:rPr>
        <w:t xml:space="preserve"> </w:t>
      </w:r>
      <w:r w:rsidRPr="00EB4146">
        <w:rPr>
          <w:lang w:val="es-ES"/>
        </w:rPr>
        <w:t xml:space="preserve"> (2016).</w:t>
      </w:r>
    </w:p>
    <w:p w:rsidR="00BF7091" w:rsidRPr="00EB4146" w:rsidRDefault="00BF7091" w:rsidP="00EB4146">
      <w:pPr>
        <w:pStyle w:val="SingleTxtG"/>
        <w:rPr>
          <w:b/>
          <w:lang w:val="es-ES"/>
        </w:rPr>
      </w:pPr>
      <w:r w:rsidRPr="00EB4146">
        <w:rPr>
          <w:lang w:val="es-ES"/>
        </w:rPr>
        <w:t>5.</w:t>
      </w:r>
      <w:r w:rsidRPr="00EB4146">
        <w:rPr>
          <w:lang w:val="es-ES"/>
        </w:rPr>
        <w:tab/>
        <w:t xml:space="preserve">¿Qué es un delito de lesa humanidad?, en La República diario digital </w:t>
      </w:r>
      <w:hyperlink r:id="rId14" w:history="1">
        <w:r w:rsidRPr="00EB4146">
          <w:rPr>
            <w:rStyle w:val="Hyperlink"/>
            <w:lang w:val="es-ES"/>
          </w:rPr>
          <w:t>http://www.larepublica.ec/blog/opinion/2015/11/30/que-es-un-delito-de-lesa-humanidad/</w:t>
        </w:r>
      </w:hyperlink>
      <w:r>
        <w:rPr>
          <w:lang w:val="es-ES"/>
        </w:rPr>
        <w:t xml:space="preserve"> </w:t>
      </w:r>
      <w:r w:rsidRPr="00EB4146">
        <w:rPr>
          <w:lang w:val="es-ES"/>
        </w:rPr>
        <w:t xml:space="preserve"> (2015).</w:t>
      </w:r>
    </w:p>
    <w:p w:rsidR="00BF7091" w:rsidRPr="00EB4146" w:rsidRDefault="00BF7091" w:rsidP="00EB4146">
      <w:pPr>
        <w:pStyle w:val="SingleTxtG"/>
        <w:rPr>
          <w:b/>
          <w:lang w:val="es-ES"/>
        </w:rPr>
      </w:pPr>
      <w:r w:rsidRPr="00EB4146">
        <w:rPr>
          <w:lang w:val="es-ES"/>
        </w:rPr>
        <w:t>6.</w:t>
      </w:r>
      <w:r w:rsidRPr="00EB4146">
        <w:rPr>
          <w:lang w:val="es-ES"/>
        </w:rPr>
        <w:tab/>
        <w:t xml:space="preserve">Promesa incumplida: la implementación de la Ley de Reparaciones en el Ecuador, en GKillCity revista digital </w:t>
      </w:r>
      <w:hyperlink r:id="rId15" w:history="1">
        <w:r w:rsidRPr="00EB4146">
          <w:rPr>
            <w:rStyle w:val="Hyperlink"/>
            <w:lang w:val="es-ES"/>
          </w:rPr>
          <w:t>http://www.gkillcity.com/articulos/el-mirador-politico/promesa-incumplida-la-implementacion-la-ley-reparaciones-el-ecuador</w:t>
        </w:r>
      </w:hyperlink>
      <w:r>
        <w:rPr>
          <w:lang w:val="es-ES"/>
        </w:rPr>
        <w:t xml:space="preserve"> </w:t>
      </w:r>
      <w:r w:rsidRPr="00EB4146">
        <w:rPr>
          <w:lang w:val="es-ES"/>
        </w:rPr>
        <w:t xml:space="preserve"> (2015).</w:t>
      </w:r>
    </w:p>
    <w:p w:rsidR="00BF7091" w:rsidRPr="00EB4146" w:rsidRDefault="00BF7091" w:rsidP="00EB4146">
      <w:pPr>
        <w:pStyle w:val="SingleTxtG"/>
        <w:rPr>
          <w:b/>
          <w:lang w:val="es-ES"/>
        </w:rPr>
      </w:pPr>
      <w:r w:rsidRPr="00EB4146">
        <w:rPr>
          <w:lang w:val="es-ES"/>
        </w:rPr>
        <w:t>7.</w:t>
      </w:r>
      <w:r w:rsidRPr="00EB4146">
        <w:rPr>
          <w:lang w:val="es-ES"/>
        </w:rPr>
        <w:tab/>
        <w:t xml:space="preserve">Treinta años de impunidad y contando, en GKillCity revista digital </w:t>
      </w:r>
      <w:hyperlink r:id="rId16" w:history="1">
        <w:r w:rsidRPr="00EB4146">
          <w:rPr>
            <w:rStyle w:val="Hyperlink"/>
            <w:lang w:val="es-ES"/>
          </w:rPr>
          <w:t>http://gkillcity.com/articulos/el-mirador-politico/treinta-anos-impunidad-y-contando</w:t>
        </w:r>
      </w:hyperlink>
      <w:r>
        <w:rPr>
          <w:lang w:val="es-ES"/>
        </w:rPr>
        <w:t xml:space="preserve"> </w:t>
      </w:r>
      <w:r w:rsidRPr="00EB4146">
        <w:rPr>
          <w:lang w:val="es-ES"/>
        </w:rPr>
        <w:t xml:space="preserve"> (2015).</w:t>
      </w:r>
    </w:p>
    <w:p w:rsidR="00BF7091" w:rsidRPr="00EB4146" w:rsidRDefault="00BF7091" w:rsidP="00EB4146">
      <w:pPr>
        <w:pStyle w:val="SingleTxtG"/>
        <w:rPr>
          <w:b/>
          <w:lang w:val="es-ES"/>
        </w:rPr>
      </w:pPr>
      <w:r w:rsidRPr="00EB4146">
        <w:rPr>
          <w:lang w:val="es-ES"/>
        </w:rPr>
        <w:t>8.</w:t>
      </w:r>
      <w:r w:rsidRPr="00EB4146">
        <w:rPr>
          <w:lang w:val="es-ES"/>
        </w:rPr>
        <w:tab/>
        <w:t xml:space="preserve">Delitos de función v. violaciones de derechos humanos:  El fuero privativo como mecanismo de impunidad, en Prohomine, Blog de Derechos Humanos y Derecho Internacional </w:t>
      </w:r>
      <w:hyperlink r:id="rId17" w:history="1">
        <w:r w:rsidRPr="00EB4146">
          <w:rPr>
            <w:rStyle w:val="Hyperlink"/>
            <w:lang w:val="es-ES"/>
          </w:rPr>
          <w:t>http://wp.me/p41HUl-2V</w:t>
        </w:r>
      </w:hyperlink>
      <w:r>
        <w:rPr>
          <w:lang w:val="es-ES"/>
        </w:rPr>
        <w:t xml:space="preserve"> </w:t>
      </w:r>
      <w:r w:rsidRPr="00EB4146">
        <w:rPr>
          <w:lang w:val="es-ES"/>
        </w:rPr>
        <w:t xml:space="preserve"> (2014).</w:t>
      </w:r>
    </w:p>
    <w:p w:rsidR="00BF7091" w:rsidRPr="00EB4146" w:rsidRDefault="00BF7091" w:rsidP="00EB4146">
      <w:pPr>
        <w:pStyle w:val="SingleTxtG"/>
        <w:rPr>
          <w:b/>
          <w:lang w:val="es-ES"/>
        </w:rPr>
      </w:pPr>
      <w:r w:rsidRPr="00EB4146">
        <w:rPr>
          <w:lang w:val="es-ES"/>
        </w:rPr>
        <w:t>9.</w:t>
      </w:r>
      <w:r w:rsidRPr="00EB4146">
        <w:rPr>
          <w:lang w:val="es-ES"/>
        </w:rPr>
        <w:tab/>
        <w:t xml:space="preserve">La reconciliación pendiente: El proceso de judicialización de los casos del informe de la Comisión de la Verdad del Ecuador, in Aportes No. 18 Magazine, Due Process of Law Foundation </w:t>
      </w:r>
      <w:hyperlink r:id="rId18" w:history="1">
        <w:r w:rsidRPr="00EB4146">
          <w:rPr>
            <w:rStyle w:val="Hyperlink"/>
            <w:lang w:val="es-ES"/>
          </w:rPr>
          <w:t>http://dplf.org/sites/default/files/aportes_18_web.pdf</w:t>
        </w:r>
      </w:hyperlink>
      <w:r>
        <w:rPr>
          <w:lang w:val="es-ES"/>
        </w:rPr>
        <w:t xml:space="preserve"> </w:t>
      </w:r>
      <w:r w:rsidRPr="00EB4146">
        <w:rPr>
          <w:lang w:val="es-ES"/>
        </w:rPr>
        <w:t xml:space="preserve"> (2014).</w:t>
      </w:r>
    </w:p>
    <w:p w:rsidR="00BF7091" w:rsidRPr="00EB4146" w:rsidRDefault="00BF7091" w:rsidP="00EB4146">
      <w:pPr>
        <w:pStyle w:val="SingleTxtG"/>
        <w:rPr>
          <w:b/>
          <w:lang w:val="es-ES"/>
        </w:rPr>
      </w:pPr>
      <w:r w:rsidRPr="00EB4146">
        <w:rPr>
          <w:lang w:val="es-ES"/>
        </w:rPr>
        <w:t>10.</w:t>
      </w:r>
      <w:r w:rsidRPr="00EB4146">
        <w:rPr>
          <w:lang w:val="es-ES"/>
        </w:rPr>
        <w:tab/>
        <w:t xml:space="preserve">La obediencia debida y las violaciones a los derechos humanos, en Prohomine, Blog de Derechos Humanos y Derecho Internacional </w:t>
      </w:r>
      <w:hyperlink r:id="rId19" w:history="1">
        <w:r w:rsidRPr="00EB4146">
          <w:rPr>
            <w:rStyle w:val="Hyperlink"/>
            <w:lang w:val="es-ES"/>
          </w:rPr>
          <w:t>http://wp.me/p41HUl-2F</w:t>
        </w:r>
      </w:hyperlink>
      <w:r>
        <w:rPr>
          <w:lang w:val="es-ES"/>
        </w:rPr>
        <w:t xml:space="preserve"> </w:t>
      </w:r>
      <w:r w:rsidRPr="00EB4146">
        <w:rPr>
          <w:lang w:val="es-ES"/>
        </w:rPr>
        <w:t xml:space="preserve"> (2014).</w:t>
      </w:r>
    </w:p>
    <w:p w:rsidR="00BF7091" w:rsidRPr="00EB4146" w:rsidRDefault="00BF7091" w:rsidP="00EB4146">
      <w:pPr>
        <w:pStyle w:val="SingleTxtG"/>
        <w:rPr>
          <w:b/>
          <w:lang w:val="es-ES"/>
        </w:rPr>
      </w:pPr>
      <w:r w:rsidRPr="00EB4146">
        <w:rPr>
          <w:lang w:val="es-ES"/>
        </w:rPr>
        <w:t>11.</w:t>
      </w:r>
      <w:r w:rsidRPr="00EB4146">
        <w:rPr>
          <w:lang w:val="es-ES"/>
        </w:rPr>
        <w:tab/>
        <w:t xml:space="preserve">Cosa juzgada fraudulenta v. prohibición de doble juzgamiento, en Prohomine, Blog de Derechos Humanos y Derecho Internacional </w:t>
      </w:r>
      <w:hyperlink r:id="rId20" w:history="1">
        <w:r w:rsidRPr="00EB4146">
          <w:rPr>
            <w:rStyle w:val="Hyperlink"/>
            <w:lang w:val="es-ES"/>
          </w:rPr>
          <w:t>https://prohomine.wordpress.com/2013/11/24/cosa-juzgada-fraudulenta-v-prohibicion-de-doble-juzgamiento/</w:t>
        </w:r>
      </w:hyperlink>
      <w:r>
        <w:rPr>
          <w:lang w:val="es-ES"/>
        </w:rPr>
        <w:t xml:space="preserve"> </w:t>
      </w:r>
      <w:r w:rsidRPr="00EB4146">
        <w:rPr>
          <w:lang w:val="es-ES"/>
        </w:rPr>
        <w:t xml:space="preserve"> (2013).</w:t>
      </w:r>
    </w:p>
    <w:p w:rsidR="00BF7091" w:rsidRPr="00EB4146" w:rsidRDefault="00BF7091" w:rsidP="00EB4146">
      <w:pPr>
        <w:pStyle w:val="SingleTxtG"/>
        <w:rPr>
          <w:b/>
          <w:lang w:val="es-ES"/>
        </w:rPr>
      </w:pPr>
      <w:r w:rsidRPr="00EB4146">
        <w:rPr>
          <w:lang w:val="es-ES"/>
        </w:rPr>
        <w:t>12.</w:t>
      </w:r>
      <w:r w:rsidRPr="00EB4146">
        <w:rPr>
          <w:lang w:val="es-ES"/>
        </w:rPr>
        <w:tab/>
        <w:t>Las graves violaciones a los derechos humanos como categoría jurídica, en Prohomine, Blog de Derechos Humanos y Derecho Internacional https://prohomine.wordpress.com/2013/11/03/las-graves-violaciones-a-los-derechos-humanos-como-categoria-juridica/ (2013).</w:t>
      </w:r>
    </w:p>
    <w:p w:rsidR="00BF7091" w:rsidRPr="00EB4146" w:rsidRDefault="00BF7091" w:rsidP="00EB4146">
      <w:pPr>
        <w:pStyle w:val="SingleTxtG"/>
        <w:rPr>
          <w:b/>
          <w:lang w:val="es-ES"/>
        </w:rPr>
      </w:pPr>
      <w:r w:rsidRPr="00EB4146">
        <w:rPr>
          <w:lang w:val="es-ES"/>
        </w:rPr>
        <w:t>13.</w:t>
      </w:r>
      <w:r w:rsidRPr="00EB4146">
        <w:rPr>
          <w:lang w:val="es-ES"/>
        </w:rPr>
        <w:tab/>
        <w:t xml:space="preserve">Las otras víctimas (los allegados de la víctima como parte lesionada), en Prohomine, Blog de Derechos Humanos y Derecho Internacional </w:t>
      </w:r>
      <w:hyperlink r:id="rId21" w:history="1">
        <w:r w:rsidRPr="00EB4146">
          <w:rPr>
            <w:rStyle w:val="Hyperlink"/>
            <w:lang w:val="es-ES"/>
          </w:rPr>
          <w:t>http://wp.me/p41HUl-C</w:t>
        </w:r>
      </w:hyperlink>
      <w:r>
        <w:rPr>
          <w:lang w:val="es-ES"/>
        </w:rPr>
        <w:t xml:space="preserve"> </w:t>
      </w:r>
      <w:r w:rsidRPr="00EB4146">
        <w:rPr>
          <w:lang w:val="es-ES"/>
        </w:rPr>
        <w:t xml:space="preserve"> (2013).</w:t>
      </w:r>
    </w:p>
    <w:p w:rsidR="00472352" w:rsidRPr="00EB4146" w:rsidRDefault="00BF7091">
      <w:pPr>
        <w:pStyle w:val="SingleTxtG"/>
        <w:rPr>
          <w:lang w:val="es-ES"/>
        </w:rPr>
      </w:pPr>
      <w:r w:rsidRPr="00EB4146">
        <w:rPr>
          <w:lang w:val="es-ES"/>
        </w:rPr>
        <w:t>14.</w:t>
      </w:r>
      <w:r w:rsidRPr="00EB4146">
        <w:rPr>
          <w:lang w:val="es-ES"/>
        </w:rPr>
        <w:tab/>
        <w:t xml:space="preserve">Sobre la imprescriptibilidad de la acción penal en casos de graves violaciones a los DDHH, en Prohomine, Blog de Derechos Humanos y Derecho Internacional </w:t>
      </w:r>
      <w:hyperlink r:id="rId22" w:history="1">
        <w:r w:rsidRPr="00EB4146">
          <w:rPr>
            <w:rStyle w:val="Hyperlink"/>
            <w:lang w:val="es-ES"/>
          </w:rPr>
          <w:t>https://prohomine.wordpress.com/2013/10/26/sobre-la-imprescriptibilidad-de-la-accion-penal-en-casos-de-graves-violaciones-a-los-ddhh/</w:t>
        </w:r>
      </w:hyperlink>
      <w:r>
        <w:rPr>
          <w:lang w:val="es-ES"/>
        </w:rPr>
        <w:t xml:space="preserve"> </w:t>
      </w:r>
      <w:r w:rsidRPr="00EB4146">
        <w:rPr>
          <w:lang w:val="es-ES"/>
        </w:rPr>
        <w:t xml:space="preserve"> (2013).</w:t>
      </w:r>
      <w:r w:rsidRPr="00EB4146" w:rsidDel="00BF7091">
        <w:rPr>
          <w:lang w:val="es-ES"/>
        </w:rPr>
        <w:t xml:space="preserve"> </w:t>
      </w:r>
    </w:p>
    <w:p w:rsidR="007268F9" w:rsidRPr="00EB4146" w:rsidRDefault="00472352" w:rsidP="00472352">
      <w:pPr>
        <w:spacing w:before="240"/>
        <w:jc w:val="center"/>
        <w:rPr>
          <w:u w:val="single"/>
          <w:lang w:val="es-ES"/>
        </w:rPr>
      </w:pPr>
      <w:r w:rsidRPr="00EB4146">
        <w:rPr>
          <w:u w:val="single"/>
          <w:lang w:val="es-ES"/>
        </w:rPr>
        <w:tab/>
      </w:r>
      <w:r w:rsidRPr="00EB4146">
        <w:rPr>
          <w:u w:val="single"/>
          <w:lang w:val="es-ES"/>
        </w:rPr>
        <w:tab/>
      </w:r>
      <w:r w:rsidRPr="00EB4146">
        <w:rPr>
          <w:u w:val="single"/>
          <w:lang w:val="es-ES"/>
        </w:rPr>
        <w:tab/>
      </w:r>
    </w:p>
    <w:sectPr w:rsidR="007268F9" w:rsidRPr="00EB4146" w:rsidSect="00170237">
      <w:headerReference w:type="default" r:id="rId23"/>
      <w:footerReference w:type="even" r:id="rId24"/>
      <w:footerReference w:type="default" r:id="rId25"/>
      <w:footerReference w:type="first" r:id="rId2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E9" w:rsidRPr="00557A78" w:rsidRDefault="002C49E9" w:rsidP="00557A78">
      <w:pPr>
        <w:pStyle w:val="Footer"/>
      </w:pPr>
    </w:p>
  </w:endnote>
  <w:endnote w:type="continuationSeparator" w:id="0">
    <w:p w:rsidR="002C49E9" w:rsidRPr="00557A78" w:rsidRDefault="002C49E9" w:rsidP="00557A7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2" w:rsidRDefault="00472352" w:rsidP="00472352">
    <w:pPr>
      <w:pStyle w:val="Footer"/>
      <w:tabs>
        <w:tab w:val="right" w:pos="9638"/>
      </w:tabs>
    </w:pPr>
    <w:r w:rsidRPr="00472352">
      <w:rPr>
        <w:b/>
        <w:bCs/>
        <w:sz w:val="18"/>
      </w:rPr>
      <w:fldChar w:fldCharType="begin"/>
    </w:r>
    <w:r w:rsidRPr="00472352">
      <w:rPr>
        <w:b/>
        <w:bCs/>
        <w:sz w:val="18"/>
      </w:rPr>
      <w:instrText xml:space="preserve"> PAGE  \* MERGEFORMAT </w:instrText>
    </w:r>
    <w:r w:rsidRPr="00472352">
      <w:rPr>
        <w:b/>
        <w:bCs/>
        <w:sz w:val="18"/>
      </w:rPr>
      <w:fldChar w:fldCharType="separate"/>
    </w:r>
    <w:r w:rsidR="0064467B">
      <w:rPr>
        <w:b/>
        <w:bCs/>
        <w:noProof/>
        <w:sz w:val="18"/>
      </w:rPr>
      <w:t>2</w:t>
    </w:r>
    <w:r w:rsidRPr="0047235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2" w:rsidRDefault="00472352" w:rsidP="00472352">
    <w:pPr>
      <w:pStyle w:val="Footer"/>
      <w:tabs>
        <w:tab w:val="right" w:pos="9638"/>
      </w:tabs>
    </w:pPr>
    <w:r>
      <w:tab/>
    </w:r>
    <w:r w:rsidRPr="00472352">
      <w:rPr>
        <w:b/>
        <w:bCs/>
        <w:sz w:val="18"/>
      </w:rPr>
      <w:fldChar w:fldCharType="begin"/>
    </w:r>
    <w:r w:rsidRPr="00472352">
      <w:rPr>
        <w:b/>
        <w:bCs/>
        <w:sz w:val="18"/>
      </w:rPr>
      <w:instrText xml:space="preserve"> PAGE  \* MERGEFORMAT </w:instrText>
    </w:r>
    <w:r w:rsidRPr="00472352">
      <w:rPr>
        <w:b/>
        <w:bCs/>
        <w:sz w:val="18"/>
      </w:rPr>
      <w:fldChar w:fldCharType="separate"/>
    </w:r>
    <w:r w:rsidR="003B47D1">
      <w:rPr>
        <w:b/>
        <w:bCs/>
        <w:noProof/>
        <w:sz w:val="18"/>
      </w:rPr>
      <w:t>3</w:t>
    </w:r>
    <w:r w:rsidRPr="00472352">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7A6" w:rsidRPr="00EC17A6" w:rsidRDefault="00EC17A6" w:rsidP="00EC17A6">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E9" w:rsidRPr="00557A78" w:rsidRDefault="002C49E9" w:rsidP="00557A78">
      <w:pPr>
        <w:tabs>
          <w:tab w:val="right" w:pos="2155"/>
        </w:tabs>
        <w:spacing w:after="80" w:line="240" w:lineRule="auto"/>
        <w:ind w:left="680"/>
      </w:pPr>
      <w:r>
        <w:rPr>
          <w:u w:val="single"/>
        </w:rPr>
        <w:tab/>
      </w:r>
    </w:p>
  </w:footnote>
  <w:footnote w:type="continuationSeparator" w:id="0">
    <w:p w:rsidR="002C49E9" w:rsidRPr="00557A78" w:rsidRDefault="002C49E9" w:rsidP="00557A78">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52" w:rsidRDefault="00472352" w:rsidP="00472352">
    <w:pPr>
      <w:pStyle w:val="Header"/>
      <w:jc w:val="right"/>
    </w:pPr>
    <w:r>
      <w:t>CED/SP/6/2/Add.</w:t>
    </w:r>
    <w:r w:rsidR="00150D5B">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64DDD"/>
    <w:multiLevelType w:val="hybridMultilevel"/>
    <w:tmpl w:val="A41C3AC4"/>
    <w:lvl w:ilvl="0" w:tplc="A91C3A20">
      <w:numFmt w:val="bullet"/>
      <w:lvlText w:val="•"/>
      <w:lvlJc w:val="left"/>
      <w:pPr>
        <w:ind w:left="2823" w:hanging="555"/>
      </w:pPr>
      <w:rPr>
        <w:rFonts w:ascii="Times New Roman" w:eastAsia="SimSun"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C596A"/>
    <w:multiLevelType w:val="hybridMultilevel"/>
    <w:tmpl w:val="1112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A747C"/>
    <w:multiLevelType w:val="hybridMultilevel"/>
    <w:tmpl w:val="120CB4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DF64ED3"/>
    <w:multiLevelType w:val="hybridMultilevel"/>
    <w:tmpl w:val="4816D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0BE7F1F"/>
    <w:multiLevelType w:val="hybridMultilevel"/>
    <w:tmpl w:val="34B0B99A"/>
    <w:lvl w:ilvl="0" w:tplc="A91C3A20">
      <w:numFmt w:val="bullet"/>
      <w:lvlText w:val="•"/>
      <w:lvlJc w:val="left"/>
      <w:pPr>
        <w:ind w:left="1689" w:hanging="555"/>
      </w:pPr>
      <w:rPr>
        <w:rFonts w:ascii="Times New Roman" w:eastAsia="SimSu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0"/>
  </w:num>
  <w:num w:numId="4">
    <w:abstractNumId w:val="8"/>
  </w:num>
  <w:num w:numId="5">
    <w:abstractNumId w:val="9"/>
  </w:num>
  <w:num w:numId="6">
    <w:abstractNumId w:val="11"/>
  </w:num>
  <w:num w:numId="7">
    <w:abstractNumId w:val="1"/>
  </w:num>
  <w:num w:numId="8">
    <w:abstractNumId w:val="6"/>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16"/>
    <w:rsid w:val="00030C37"/>
    <w:rsid w:val="00045D84"/>
    <w:rsid w:val="00046E92"/>
    <w:rsid w:val="00091416"/>
    <w:rsid w:val="00132C34"/>
    <w:rsid w:val="00150D5B"/>
    <w:rsid w:val="00170237"/>
    <w:rsid w:val="001947BB"/>
    <w:rsid w:val="001C5EE2"/>
    <w:rsid w:val="001D340E"/>
    <w:rsid w:val="001E1A13"/>
    <w:rsid w:val="00235203"/>
    <w:rsid w:val="00247E2C"/>
    <w:rsid w:val="002C49E9"/>
    <w:rsid w:val="002D6C53"/>
    <w:rsid w:val="002F5595"/>
    <w:rsid w:val="00334F6A"/>
    <w:rsid w:val="00342AC8"/>
    <w:rsid w:val="003B4550"/>
    <w:rsid w:val="003B47D1"/>
    <w:rsid w:val="003F5B30"/>
    <w:rsid w:val="00461253"/>
    <w:rsid w:val="00472352"/>
    <w:rsid w:val="005042C2"/>
    <w:rsid w:val="00551816"/>
    <w:rsid w:val="00557A78"/>
    <w:rsid w:val="0064467B"/>
    <w:rsid w:val="00671529"/>
    <w:rsid w:val="006A7C21"/>
    <w:rsid w:val="007268F9"/>
    <w:rsid w:val="00797CA9"/>
    <w:rsid w:val="007C52B0"/>
    <w:rsid w:val="008359DD"/>
    <w:rsid w:val="008C49F2"/>
    <w:rsid w:val="009411B4"/>
    <w:rsid w:val="009723F0"/>
    <w:rsid w:val="009B048D"/>
    <w:rsid w:val="009D0139"/>
    <w:rsid w:val="009F5CDC"/>
    <w:rsid w:val="00A126AC"/>
    <w:rsid w:val="00A568B8"/>
    <w:rsid w:val="00A775CF"/>
    <w:rsid w:val="00B06045"/>
    <w:rsid w:val="00BF7091"/>
    <w:rsid w:val="00C35A27"/>
    <w:rsid w:val="00CF0089"/>
    <w:rsid w:val="00D65FAC"/>
    <w:rsid w:val="00D83274"/>
    <w:rsid w:val="00DE20BD"/>
    <w:rsid w:val="00DF2F5D"/>
    <w:rsid w:val="00E02C2B"/>
    <w:rsid w:val="00E94B77"/>
    <w:rsid w:val="00EB4146"/>
    <w:rsid w:val="00EC17A6"/>
    <w:rsid w:val="00ED6C48"/>
    <w:rsid w:val="00EF0C90"/>
    <w:rsid w:val="00F16859"/>
    <w:rsid w:val="00F65F5D"/>
    <w:rsid w:val="00F86A3A"/>
    <w:rsid w:val="00FB115A"/>
    <w:rsid w:val="00FD10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8D39D"/>
  <w15:docId w15:val="{C2EA9B53-A407-484A-81E7-CE7B8CB9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08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rsid w:val="00235203"/>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126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AC"/>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235203"/>
    <w:rPr>
      <w:rFonts w:ascii="Times New Roman" w:hAnsi="Times New Roman" w:cs="Times New Roman"/>
      <w:sz w:val="20"/>
      <w:szCs w:val="20"/>
    </w:rPr>
  </w:style>
  <w:style w:type="character" w:styleId="Hyperlink">
    <w:name w:val="Hyperlink"/>
    <w:basedOn w:val="DefaultParagraphFont"/>
    <w:unhideWhenUsed/>
    <w:rsid w:val="00472352"/>
    <w:rPr>
      <w:color w:val="0000FF" w:themeColor="hyperlink"/>
      <w:u w:val="single"/>
    </w:rPr>
  </w:style>
  <w:style w:type="paragraph" w:customStyle="1" w:styleId="CompanyName">
    <w:name w:val="Company Name"/>
    <w:basedOn w:val="Normal"/>
    <w:next w:val="Normal"/>
    <w:rsid w:val="00091416"/>
    <w:pPr>
      <w:tabs>
        <w:tab w:val="left" w:pos="1440"/>
        <w:tab w:val="right" w:pos="6480"/>
      </w:tabs>
      <w:suppressAutoHyphens w:val="0"/>
      <w:spacing w:before="220" w:line="220" w:lineRule="atLeast"/>
    </w:pPr>
    <w:rPr>
      <w:rFonts w:ascii="Garamond" w:hAnsi="Garamond"/>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ensayjusticia.gob.ec/dyj/?p=1873" TargetMode="External"/><Relationship Id="rId18" Type="http://schemas.openxmlformats.org/officeDocument/2006/relationships/hyperlink" Target="http://dplf.org/sites/default/files/aportes_18_web.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p.me/p41HUl-C" TargetMode="External"/><Relationship Id="rId7" Type="http://schemas.openxmlformats.org/officeDocument/2006/relationships/settings" Target="settings.xml"/><Relationship Id="rId12" Type="http://schemas.openxmlformats.org/officeDocument/2006/relationships/hyperlink" Target="https://bit.ly/2Scyu6g" TargetMode="External"/><Relationship Id="rId17" Type="http://schemas.openxmlformats.org/officeDocument/2006/relationships/hyperlink" Target="http://wp.me/p41HUl-2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gkillcity.com/articulos/el-mirador-politico/treinta-anos-impunidad-y-contando" TargetMode="External"/><Relationship Id="rId20" Type="http://schemas.openxmlformats.org/officeDocument/2006/relationships/hyperlink" Target="https://prohomine.wordpress.com/2013/11/24/cosa-juzgada-fraudulenta-v-prohibicion-de-doble-juzgamien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idPf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killcity.com/articulos/el-mirador-politico/promesa-incumplida-la-implementacion-la-ley-reparaciones-el-ecuado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p.me/p41HUl-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republica.ec/blog/opinion/2015/11/30/que-es-un-delito-de-lesa-humanidad/" TargetMode="External"/><Relationship Id="rId22" Type="http://schemas.openxmlformats.org/officeDocument/2006/relationships/hyperlink" Target="https://prohomine.wordpress.com/2013/10/26/sobre-la-imprescriptibilidad-de-la-accion-penal-en-casos-de-graves-violaciones-a-los-ddhh/"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4325-987E-4C60-B546-685418B9C455}">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C09D6D6-2830-454B-9111-AE2F64FCD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9D0A-101A-42F8-85AB-84142D256389}">
  <ds:schemaRefs>
    <ds:schemaRef ds:uri="http://schemas.microsoft.com/sharepoint/v3/contenttype/forms"/>
  </ds:schemaRefs>
</ds:datastoreItem>
</file>

<file path=customXml/itemProps4.xml><?xml version="1.0" encoding="utf-8"?>
<ds:datastoreItem xmlns:ds="http://schemas.openxmlformats.org/officeDocument/2006/customXml" ds:itemID="{039FB629-D552-45C7-93FB-327E18C3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CED.dotm</Template>
  <TotalTime>1</TotalTime>
  <Pages>2</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CED/SP/6/2/Add.1</vt:lpstr>
    </vt:vector>
  </TitlesOfParts>
  <Company>DCM</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CED/SP/6/2/Add.1</dc:title>
  <dc:subject>2105768</dc:subject>
  <dc:creator>Brigoli</dc:creator>
  <cp:keywords/>
  <dc:description/>
  <cp:lastModifiedBy>DEJA Perrine</cp:lastModifiedBy>
  <cp:revision>3</cp:revision>
  <dcterms:created xsi:type="dcterms:W3CDTF">2021-06-30T10:29:00Z</dcterms:created>
  <dcterms:modified xsi:type="dcterms:W3CDTF">2021-06-30T10:30:00Z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