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C05" w:rsidRPr="00126410" w:rsidRDefault="007D72E6" w:rsidP="00B978CB">
      <w:pPr>
        <w:jc w:val="right"/>
        <w:rPr>
          <w:rFonts w:ascii="Maiandra GD" w:hAnsi="Maiandra GD"/>
        </w:rPr>
      </w:pPr>
      <w:r w:rsidRPr="00126410">
        <w:rPr>
          <w:rFonts w:ascii="Maiandra GD" w:hAnsi="Maiandra GD"/>
        </w:rPr>
        <w:t xml:space="preserve">Buenos </w:t>
      </w:r>
      <w:proofErr w:type="gramStart"/>
      <w:r w:rsidRPr="00126410">
        <w:rPr>
          <w:rFonts w:ascii="Maiandra GD" w:hAnsi="Maiandra GD"/>
        </w:rPr>
        <w:t xml:space="preserve">Aires, </w:t>
      </w:r>
      <w:r w:rsidR="00B56FB7" w:rsidRPr="00126410">
        <w:rPr>
          <w:rFonts w:ascii="Maiandra GD" w:hAnsi="Maiandra GD"/>
        </w:rPr>
        <w:t xml:space="preserve"> </w:t>
      </w:r>
      <w:r w:rsidR="00110CDB">
        <w:rPr>
          <w:rFonts w:ascii="Maiandra GD" w:hAnsi="Maiandra GD"/>
        </w:rPr>
        <w:t>24</w:t>
      </w:r>
      <w:proofErr w:type="gramEnd"/>
      <w:r w:rsidR="00110CDB">
        <w:rPr>
          <w:rFonts w:ascii="Maiandra GD" w:hAnsi="Maiandra GD"/>
        </w:rPr>
        <w:t xml:space="preserve"> </w:t>
      </w:r>
      <w:r w:rsidR="00E14F8E" w:rsidRPr="00126410">
        <w:rPr>
          <w:rFonts w:ascii="Maiandra GD" w:hAnsi="Maiandra GD"/>
        </w:rPr>
        <w:t xml:space="preserve">de </w:t>
      </w:r>
      <w:r w:rsidR="00B56FB7" w:rsidRPr="00126410">
        <w:rPr>
          <w:rFonts w:ascii="Maiandra GD" w:hAnsi="Maiandra GD"/>
        </w:rPr>
        <w:t>enero de 2019</w:t>
      </w:r>
    </w:p>
    <w:p w:rsidR="00B978CB" w:rsidRPr="00126410" w:rsidRDefault="00B978CB" w:rsidP="00B978CB">
      <w:pPr>
        <w:jc w:val="both"/>
        <w:rPr>
          <w:rFonts w:ascii="Maiandra GD" w:hAnsi="Maiandra GD"/>
        </w:rPr>
      </w:pPr>
    </w:p>
    <w:p w:rsidR="00B978CB" w:rsidRPr="00126410" w:rsidRDefault="00B978CB" w:rsidP="00B978CB">
      <w:pPr>
        <w:ind w:left="1134"/>
        <w:jc w:val="both"/>
        <w:rPr>
          <w:rFonts w:ascii="Maiandra GD" w:hAnsi="Maiandra GD"/>
        </w:rPr>
      </w:pPr>
    </w:p>
    <w:p w:rsidR="00B56FB7" w:rsidRPr="00126410" w:rsidRDefault="00B978CB" w:rsidP="00B978CB">
      <w:pPr>
        <w:ind w:left="1134"/>
        <w:jc w:val="both"/>
        <w:rPr>
          <w:rFonts w:ascii="Maiandra GD" w:hAnsi="Maiandra GD"/>
        </w:rPr>
      </w:pPr>
      <w:r w:rsidRPr="00126410">
        <w:rPr>
          <w:rFonts w:ascii="Maiandra GD" w:hAnsi="Maiandra GD"/>
        </w:rPr>
        <w:t>A</w:t>
      </w:r>
      <w:r w:rsidR="00B56FB7" w:rsidRPr="00126410">
        <w:rPr>
          <w:rFonts w:ascii="Maiandra GD" w:hAnsi="Maiandra GD"/>
        </w:rPr>
        <w:t xml:space="preserve"> los/as </w:t>
      </w:r>
      <w:r w:rsidRPr="00126410">
        <w:rPr>
          <w:rFonts w:ascii="Maiandra GD" w:hAnsi="Maiandra GD"/>
        </w:rPr>
        <w:t>Señor</w:t>
      </w:r>
      <w:r w:rsidR="00B56FB7" w:rsidRPr="00126410">
        <w:rPr>
          <w:rFonts w:ascii="Maiandra GD" w:hAnsi="Maiandra GD"/>
        </w:rPr>
        <w:t xml:space="preserve">/es </w:t>
      </w:r>
      <w:r w:rsidR="00110CDB" w:rsidRPr="00126410">
        <w:rPr>
          <w:rFonts w:ascii="Maiandra GD" w:hAnsi="Maiandra GD"/>
        </w:rPr>
        <w:t>Integrantes del</w:t>
      </w:r>
      <w:r w:rsidR="00B56FB7" w:rsidRPr="00126410">
        <w:rPr>
          <w:rFonts w:ascii="Maiandra GD" w:hAnsi="Maiandra GD"/>
        </w:rPr>
        <w:t xml:space="preserve"> </w:t>
      </w:r>
    </w:p>
    <w:p w:rsidR="00B56FB7" w:rsidRPr="00126410" w:rsidRDefault="00B56FB7" w:rsidP="00B56FB7">
      <w:pPr>
        <w:ind w:left="1134"/>
        <w:jc w:val="both"/>
        <w:rPr>
          <w:rFonts w:ascii="Maiandra GD" w:hAnsi="Maiandra GD"/>
          <w:b/>
        </w:rPr>
      </w:pPr>
      <w:r w:rsidRPr="00B56FB7">
        <w:rPr>
          <w:rFonts w:ascii="Maiandra GD" w:hAnsi="Maiandra GD"/>
          <w:b/>
        </w:rPr>
        <w:t>Comité contra la Desaparición Forzada</w:t>
      </w:r>
    </w:p>
    <w:p w:rsidR="00B56FB7" w:rsidRPr="00126410" w:rsidRDefault="00B56FB7" w:rsidP="00B56FB7">
      <w:pPr>
        <w:ind w:left="1134"/>
        <w:jc w:val="both"/>
        <w:rPr>
          <w:rFonts w:ascii="Maiandra GD" w:hAnsi="Maiandra GD"/>
          <w:b/>
        </w:rPr>
      </w:pPr>
      <w:r w:rsidRPr="00126410">
        <w:rPr>
          <w:rFonts w:ascii="Maiandra GD" w:hAnsi="Maiandra GD"/>
          <w:b/>
        </w:rPr>
        <w:t xml:space="preserve">De Naciones Unidas </w:t>
      </w:r>
    </w:p>
    <w:p w:rsidR="00B56FB7" w:rsidRPr="00126410" w:rsidRDefault="00B56FB7" w:rsidP="00B978CB">
      <w:pPr>
        <w:ind w:left="1134" w:firstLine="4962"/>
        <w:jc w:val="both"/>
        <w:rPr>
          <w:rFonts w:ascii="Maiandra GD" w:hAnsi="Maiandra GD"/>
        </w:rPr>
      </w:pPr>
    </w:p>
    <w:p w:rsidR="00B56FB7" w:rsidRPr="00126410" w:rsidRDefault="00B56FB7" w:rsidP="00B56FB7">
      <w:pPr>
        <w:ind w:left="1134" w:firstLine="4962"/>
        <w:jc w:val="both"/>
        <w:rPr>
          <w:rFonts w:ascii="Maiandra GD" w:hAnsi="Maiandra GD"/>
          <w:b/>
          <w:bCs/>
          <w:u w:val="single"/>
        </w:rPr>
      </w:pPr>
      <w:r w:rsidRPr="00126410">
        <w:rPr>
          <w:rFonts w:ascii="Maiandra GD" w:hAnsi="Maiandra GD"/>
          <w:b/>
          <w:bCs/>
          <w:u w:val="single"/>
        </w:rPr>
        <w:t>Ref. CED/C/15/2</w:t>
      </w:r>
    </w:p>
    <w:p w:rsidR="00B56FB7" w:rsidRPr="00126410" w:rsidRDefault="00B56FB7" w:rsidP="00B56FB7">
      <w:pPr>
        <w:ind w:left="1134" w:firstLine="4962"/>
        <w:jc w:val="both"/>
        <w:rPr>
          <w:rFonts w:ascii="Maiandra GD" w:hAnsi="Maiandra GD"/>
        </w:rPr>
      </w:pPr>
    </w:p>
    <w:p w:rsidR="00B56FB7" w:rsidRPr="00126410" w:rsidRDefault="00B978CB" w:rsidP="00B56FB7">
      <w:pPr>
        <w:ind w:left="1134" w:firstLine="1985"/>
        <w:jc w:val="both"/>
        <w:rPr>
          <w:rFonts w:ascii="Maiandra GD" w:hAnsi="Maiandra GD"/>
        </w:rPr>
      </w:pPr>
      <w:r w:rsidRPr="00126410">
        <w:rPr>
          <w:rFonts w:ascii="Maiandra GD" w:hAnsi="Maiandra GD"/>
        </w:rPr>
        <w:t>Ten</w:t>
      </w:r>
      <w:r w:rsidR="00B56FB7" w:rsidRPr="00126410">
        <w:rPr>
          <w:rFonts w:ascii="Maiandra GD" w:hAnsi="Maiandra GD"/>
        </w:rPr>
        <w:t xml:space="preserve">emos </w:t>
      </w:r>
      <w:r w:rsidRPr="00126410">
        <w:rPr>
          <w:rFonts w:ascii="Maiandra GD" w:hAnsi="Maiandra GD"/>
        </w:rPr>
        <w:t>el agrado de dirigir</w:t>
      </w:r>
      <w:r w:rsidR="00B56FB7" w:rsidRPr="00126410">
        <w:rPr>
          <w:rFonts w:ascii="Maiandra GD" w:hAnsi="Maiandra GD"/>
        </w:rPr>
        <w:t xml:space="preserve">nos a ustedes en el marco de la solicitud de </w:t>
      </w:r>
      <w:r w:rsidR="00126410" w:rsidRPr="00126410">
        <w:rPr>
          <w:rFonts w:ascii="Maiandra GD" w:hAnsi="Maiandra GD"/>
        </w:rPr>
        <w:t>contribuciones</w:t>
      </w:r>
      <w:r w:rsidR="00B56FB7" w:rsidRPr="00126410">
        <w:rPr>
          <w:rFonts w:ascii="Maiandra GD" w:hAnsi="Maiandra GD"/>
        </w:rPr>
        <w:t xml:space="preserve"> y comentarios </w:t>
      </w:r>
      <w:r w:rsidR="00110CDB" w:rsidRPr="00126410">
        <w:rPr>
          <w:rFonts w:ascii="Maiandra GD" w:hAnsi="Maiandra GD"/>
        </w:rPr>
        <w:t>al Proyecto</w:t>
      </w:r>
      <w:r w:rsidR="00B56FB7" w:rsidRPr="00126410">
        <w:rPr>
          <w:rFonts w:ascii="Maiandra GD" w:hAnsi="Maiandra GD"/>
        </w:rPr>
        <w:t xml:space="preserve"> de principios rectores para la búsqueda de personas desaparecidas elaborado por </w:t>
      </w:r>
      <w:proofErr w:type="spellStart"/>
      <w:r w:rsidR="00B56FB7" w:rsidRPr="00126410">
        <w:rPr>
          <w:rFonts w:ascii="Maiandra GD" w:hAnsi="Maiandra GD"/>
        </w:rPr>
        <w:t>uds.</w:t>
      </w:r>
      <w:proofErr w:type="spellEnd"/>
      <w:r w:rsidR="00B56FB7" w:rsidRPr="00126410">
        <w:rPr>
          <w:rFonts w:ascii="Maiandra GD" w:hAnsi="Maiandra GD"/>
        </w:rPr>
        <w:t xml:space="preserve"> </w:t>
      </w:r>
    </w:p>
    <w:p w:rsidR="00B56FB7" w:rsidRPr="00126410" w:rsidRDefault="00B56FB7" w:rsidP="00B56FB7">
      <w:pPr>
        <w:ind w:left="1134" w:firstLine="1985"/>
        <w:jc w:val="both"/>
        <w:rPr>
          <w:rFonts w:ascii="Maiandra GD" w:hAnsi="Maiandra GD"/>
        </w:rPr>
      </w:pPr>
    </w:p>
    <w:p w:rsidR="00B56FB7" w:rsidRPr="00B56FB7" w:rsidRDefault="00B56FB7" w:rsidP="00B56FB7">
      <w:pPr>
        <w:ind w:left="1134" w:firstLine="1985"/>
        <w:jc w:val="both"/>
        <w:rPr>
          <w:rFonts w:ascii="Maiandra GD" w:hAnsi="Maiandra GD"/>
        </w:rPr>
      </w:pPr>
      <w:r w:rsidRPr="00B56FB7">
        <w:rPr>
          <w:rFonts w:ascii="Maiandra GD" w:hAnsi="Maiandra GD"/>
        </w:rPr>
        <w:t xml:space="preserve">En primer lugar, queremos celebrar la </w:t>
      </w:r>
      <w:r w:rsidR="00110CDB" w:rsidRPr="00B56FB7">
        <w:rPr>
          <w:rFonts w:ascii="Maiandra GD" w:hAnsi="Maiandra GD"/>
        </w:rPr>
        <w:t>iniciativa</w:t>
      </w:r>
      <w:r w:rsidRPr="00B56FB7">
        <w:rPr>
          <w:rFonts w:ascii="Maiandra GD" w:hAnsi="Maiandra GD"/>
        </w:rPr>
        <w:t xml:space="preserve"> de la elaboración de </w:t>
      </w:r>
      <w:r w:rsidR="00110CDB" w:rsidRPr="00B56FB7">
        <w:rPr>
          <w:rFonts w:ascii="Maiandra GD" w:hAnsi="Maiandra GD"/>
        </w:rPr>
        <w:t>principios</w:t>
      </w:r>
      <w:r w:rsidRPr="00B56FB7">
        <w:rPr>
          <w:rFonts w:ascii="Maiandra GD" w:hAnsi="Maiandra GD"/>
        </w:rPr>
        <w:t xml:space="preserve"> rectores que pueden guiar las políticas públicas estatales en materia de búsqueda de personas desaparecidas. Sin embargo, debido a que esta guía busca convertirse en una base para que los Estados promulguen sus propias leyes y reglamentos y planifiquen e implementen políticas púbicas de búsqueda de personas desaparecidas entendemos oportuno acerca</w:t>
      </w:r>
      <w:r w:rsidR="008422D8">
        <w:rPr>
          <w:rFonts w:ascii="Maiandra GD" w:hAnsi="Maiandra GD"/>
        </w:rPr>
        <w:t>r</w:t>
      </w:r>
      <w:r w:rsidRPr="00B56FB7">
        <w:rPr>
          <w:rFonts w:ascii="Maiandra GD" w:hAnsi="Maiandra GD"/>
        </w:rPr>
        <w:t xml:space="preserve"> algunas consideraciones que surgen de una práctica de 35 años en la investigación de violaciones de Derechos Humanos en aproximadamente </w:t>
      </w:r>
      <w:r w:rsidR="008422D8">
        <w:rPr>
          <w:rFonts w:ascii="Maiandra GD" w:hAnsi="Maiandra GD"/>
        </w:rPr>
        <w:t>50</w:t>
      </w:r>
      <w:r w:rsidRPr="00B56FB7">
        <w:rPr>
          <w:rFonts w:ascii="Maiandra GD" w:hAnsi="Maiandra GD"/>
        </w:rPr>
        <w:t xml:space="preserve"> países.</w:t>
      </w:r>
    </w:p>
    <w:p w:rsidR="00B56FB7" w:rsidRPr="00B56FB7" w:rsidRDefault="00B56FB7" w:rsidP="00B56FB7">
      <w:pPr>
        <w:ind w:left="1134" w:firstLine="1985"/>
        <w:jc w:val="both"/>
        <w:rPr>
          <w:rFonts w:ascii="Maiandra GD" w:hAnsi="Maiandra GD"/>
        </w:rPr>
      </w:pPr>
    </w:p>
    <w:p w:rsidR="00B56FB7" w:rsidRPr="00B56FB7" w:rsidRDefault="00B56FB7" w:rsidP="00B56FB7">
      <w:pPr>
        <w:ind w:left="1134" w:firstLine="1985"/>
        <w:jc w:val="both"/>
        <w:rPr>
          <w:rFonts w:ascii="Maiandra GD" w:hAnsi="Maiandra GD"/>
        </w:rPr>
      </w:pPr>
      <w:r w:rsidRPr="00B56FB7">
        <w:rPr>
          <w:rFonts w:ascii="Maiandra GD" w:hAnsi="Maiandra GD"/>
        </w:rPr>
        <w:t xml:space="preserve">Es a partir de la experiencia reunida que entendemos que la aplicación práctica del </w:t>
      </w:r>
      <w:r w:rsidR="00B36A72" w:rsidRPr="00B56FB7">
        <w:rPr>
          <w:rFonts w:ascii="Maiandra GD" w:hAnsi="Maiandra GD"/>
          <w:b/>
          <w:bCs/>
        </w:rPr>
        <w:t>Principio</w:t>
      </w:r>
      <w:r w:rsidRPr="00B56FB7">
        <w:rPr>
          <w:rFonts w:ascii="Maiandra GD" w:hAnsi="Maiandra GD"/>
          <w:b/>
          <w:bCs/>
        </w:rPr>
        <w:t xml:space="preserve"> 1, </w:t>
      </w:r>
      <w:r w:rsidRPr="00B56FB7">
        <w:rPr>
          <w:rFonts w:ascii="Maiandra GD" w:hAnsi="Maiandra GD"/>
        </w:rPr>
        <w:t xml:space="preserve">que señala que la búsqueda de una persona desparecida debe realizarse bajo la presunción con vida, podría entorpecer las actividades de investigación. A excepción de los niños/as que nacieron durante el </w:t>
      </w:r>
      <w:r w:rsidR="00B36A72" w:rsidRPr="00B56FB7">
        <w:rPr>
          <w:rFonts w:ascii="Maiandra GD" w:hAnsi="Maiandra GD"/>
        </w:rPr>
        <w:t>cautiverio</w:t>
      </w:r>
      <w:r w:rsidRPr="00B56FB7">
        <w:rPr>
          <w:rFonts w:ascii="Maiandra GD" w:hAnsi="Maiandra GD"/>
        </w:rPr>
        <w:t xml:space="preserve"> de sus padres y luego fueron apropiados, la gran mayoría de las </w:t>
      </w:r>
      <w:r w:rsidR="00B36A72" w:rsidRPr="00B56FB7">
        <w:rPr>
          <w:rFonts w:ascii="Maiandra GD" w:hAnsi="Maiandra GD"/>
        </w:rPr>
        <w:t>desapariciones</w:t>
      </w:r>
      <w:r w:rsidRPr="00B56FB7">
        <w:rPr>
          <w:rFonts w:ascii="Maiandra GD" w:hAnsi="Maiandra GD"/>
        </w:rPr>
        <w:t xml:space="preserve">, forzadas o no, en las que se ha logrado esclarecer el paradero de las víctimas ha sido a partir de la recuperación e identificación de restos humanos. Por ello, debe investigarse la posibilidad de que ellas se encuentren muertas y los posibles lugares de enterramiento. </w:t>
      </w:r>
      <w:r w:rsidR="00B36A72">
        <w:rPr>
          <w:rFonts w:ascii="Maiandra GD" w:hAnsi="Maiandra GD"/>
        </w:rPr>
        <w:t>Es decir, no descartar la posibilidad aun desde el inicio de la investigación.</w:t>
      </w:r>
    </w:p>
    <w:p w:rsidR="00B56FB7" w:rsidRPr="00B56FB7" w:rsidRDefault="00B56FB7" w:rsidP="00B56FB7">
      <w:pPr>
        <w:ind w:left="1134" w:firstLine="1985"/>
        <w:jc w:val="both"/>
        <w:rPr>
          <w:rFonts w:ascii="Maiandra GD" w:hAnsi="Maiandra GD"/>
        </w:rPr>
      </w:pPr>
    </w:p>
    <w:p w:rsidR="00B56FB7" w:rsidRPr="00B56FB7" w:rsidRDefault="00B56FB7" w:rsidP="00B56FB7">
      <w:pPr>
        <w:ind w:left="1134" w:firstLine="1985"/>
        <w:jc w:val="both"/>
        <w:rPr>
          <w:rFonts w:ascii="Maiandra GD" w:hAnsi="Maiandra GD"/>
        </w:rPr>
      </w:pPr>
      <w:r w:rsidRPr="00B56FB7">
        <w:rPr>
          <w:rFonts w:ascii="Maiandra GD" w:hAnsi="Maiandra GD"/>
        </w:rPr>
        <w:t xml:space="preserve">En relación al </w:t>
      </w:r>
      <w:r w:rsidR="00B36A72" w:rsidRPr="00B56FB7">
        <w:rPr>
          <w:rFonts w:ascii="Maiandra GD" w:hAnsi="Maiandra GD"/>
          <w:b/>
          <w:bCs/>
        </w:rPr>
        <w:t>Principio</w:t>
      </w:r>
      <w:r w:rsidRPr="00B56FB7">
        <w:rPr>
          <w:rFonts w:ascii="Maiandra GD" w:hAnsi="Maiandra GD"/>
          <w:b/>
          <w:bCs/>
        </w:rPr>
        <w:t xml:space="preserve"> 4</w:t>
      </w:r>
      <w:r w:rsidRPr="00B56FB7">
        <w:rPr>
          <w:rFonts w:ascii="Maiandra GD" w:hAnsi="Maiandra GD"/>
        </w:rPr>
        <w:t xml:space="preserve">, que indica que la </w:t>
      </w:r>
      <w:proofErr w:type="gramStart"/>
      <w:r w:rsidR="00B36A72" w:rsidRPr="00B56FB7">
        <w:rPr>
          <w:rFonts w:ascii="Maiandra GD" w:hAnsi="Maiandra GD"/>
        </w:rPr>
        <w:t>búsqueda</w:t>
      </w:r>
      <w:r w:rsidRPr="00B56FB7">
        <w:rPr>
          <w:rFonts w:ascii="Maiandra GD" w:hAnsi="Maiandra GD"/>
        </w:rPr>
        <w:t xml:space="preserve">  debe</w:t>
      </w:r>
      <w:proofErr w:type="gramEnd"/>
      <w:r w:rsidRPr="00B56FB7">
        <w:rPr>
          <w:rFonts w:ascii="Maiandra GD" w:hAnsi="Maiandra GD"/>
        </w:rPr>
        <w:t xml:space="preserve"> desarrollarse con un enfoque estratégico, el EAAF ha </w:t>
      </w:r>
      <w:r w:rsidR="00B36A72">
        <w:rPr>
          <w:rFonts w:ascii="Maiandra GD" w:hAnsi="Maiandra GD"/>
        </w:rPr>
        <w:t xml:space="preserve">desarrollado una estrategia que tiene tres fases de </w:t>
      </w:r>
      <w:r w:rsidRPr="00B56FB7">
        <w:rPr>
          <w:rFonts w:ascii="Maiandra GD" w:hAnsi="Maiandra GD"/>
        </w:rPr>
        <w:t xml:space="preserve"> en la investigación:</w:t>
      </w:r>
    </w:p>
    <w:p w:rsidR="00B56FB7" w:rsidRPr="00B56FB7" w:rsidRDefault="00B56FB7" w:rsidP="00B30F16">
      <w:pPr>
        <w:numPr>
          <w:ilvl w:val="0"/>
          <w:numId w:val="3"/>
        </w:numPr>
        <w:ind w:left="1843" w:hanging="425"/>
        <w:jc w:val="both"/>
        <w:rPr>
          <w:rFonts w:ascii="Maiandra GD" w:hAnsi="Maiandra GD"/>
        </w:rPr>
      </w:pPr>
      <w:r w:rsidRPr="00B56FB7">
        <w:rPr>
          <w:rFonts w:ascii="Maiandra GD" w:hAnsi="Maiandra GD"/>
          <w:b/>
          <w:bCs/>
          <w:i/>
          <w:iCs/>
        </w:rPr>
        <w:t>Investigación preliminar</w:t>
      </w:r>
      <w:r w:rsidRPr="00B56FB7">
        <w:rPr>
          <w:rFonts w:ascii="Maiandra GD" w:hAnsi="Maiandra GD"/>
        </w:rPr>
        <w:t xml:space="preserve">.  Se trata de la recuperación y análisis de fuentes orales y escritas y, a partir de allí, formular de hipótesis. La investigación histórica del hecho (qué, quién, cuándo, dónde, cómo, porqué, por quién), la obtención de las listas de víctimas y la información tanto histórica (ocupación, actividades, militancia, relaciones, etc.), como física referida a cada una de ellas (datos físicos, médicos, odontológicos, etc.), así como la investigación de los posibles lugares de detención, muerte e inhumación (registros, testigos, arqueología). Dicha información permite conocer la </w:t>
      </w:r>
      <w:r w:rsidRPr="00B56FB7">
        <w:rPr>
          <w:rFonts w:ascii="Maiandra GD" w:hAnsi="Maiandra GD"/>
        </w:rPr>
        <w:lastRenderedPageBreak/>
        <w:t>identidad de las víctimas, la construcción de hipótesis y líneas de seguimiento de los casos, los responsables, la ubicación de las posibles fosas, y la reconstrucción de los hechos.</w:t>
      </w:r>
    </w:p>
    <w:p w:rsidR="00B56FB7" w:rsidRPr="00B56FB7" w:rsidRDefault="00B56FB7" w:rsidP="00B30F16">
      <w:pPr>
        <w:numPr>
          <w:ilvl w:val="0"/>
          <w:numId w:val="3"/>
        </w:numPr>
        <w:ind w:left="1843" w:hanging="425"/>
        <w:jc w:val="both"/>
        <w:rPr>
          <w:rFonts w:ascii="Maiandra GD" w:hAnsi="Maiandra GD"/>
        </w:rPr>
      </w:pPr>
      <w:r w:rsidRPr="00B56FB7">
        <w:rPr>
          <w:rFonts w:ascii="Maiandra GD" w:hAnsi="Maiandra GD"/>
          <w:b/>
          <w:bCs/>
          <w:i/>
          <w:iCs/>
        </w:rPr>
        <w:t xml:space="preserve">Recuperación arqueológica del cuerpo y evidencia </w:t>
      </w:r>
      <w:r w:rsidR="00B36A72" w:rsidRPr="00B56FB7">
        <w:rPr>
          <w:rFonts w:ascii="Maiandra GD" w:hAnsi="Maiandra GD"/>
          <w:b/>
          <w:bCs/>
          <w:i/>
          <w:iCs/>
        </w:rPr>
        <w:t>asociada:</w:t>
      </w:r>
      <w:r w:rsidRPr="00B56FB7">
        <w:rPr>
          <w:rFonts w:ascii="Maiandra GD" w:hAnsi="Maiandra GD"/>
        </w:rPr>
        <w:t xml:space="preserve"> Cuando se ha localizado un posible lugar de entierro (fosas clandestinas o no)</w:t>
      </w:r>
      <w:r w:rsidR="00B36A72">
        <w:rPr>
          <w:rFonts w:ascii="Maiandra GD" w:hAnsi="Maiandra GD"/>
        </w:rPr>
        <w:t xml:space="preserve"> </w:t>
      </w:r>
      <w:r w:rsidRPr="00B56FB7">
        <w:rPr>
          <w:rFonts w:ascii="Maiandra GD" w:hAnsi="Maiandra GD"/>
        </w:rPr>
        <w:t xml:space="preserve">debe </w:t>
      </w:r>
      <w:r w:rsidR="00B36A72">
        <w:rPr>
          <w:rFonts w:ascii="Maiandra GD" w:hAnsi="Maiandra GD"/>
        </w:rPr>
        <w:t xml:space="preserve">ser tratado como una escena del crimen, y </w:t>
      </w:r>
      <w:r w:rsidRPr="00B56FB7">
        <w:rPr>
          <w:rFonts w:ascii="Maiandra GD" w:hAnsi="Maiandra GD"/>
        </w:rPr>
        <w:t xml:space="preserve">procederse a </w:t>
      </w:r>
      <w:proofErr w:type="gramStart"/>
      <w:r w:rsidRPr="00B56FB7">
        <w:rPr>
          <w:rFonts w:ascii="Maiandra GD" w:hAnsi="Maiandra GD"/>
        </w:rPr>
        <w:t>su  excavación</w:t>
      </w:r>
      <w:proofErr w:type="gramEnd"/>
      <w:r w:rsidRPr="00B56FB7">
        <w:rPr>
          <w:rFonts w:ascii="Maiandra GD" w:hAnsi="Maiandra GD"/>
        </w:rPr>
        <w:t xml:space="preserve">, así como la recuperación </w:t>
      </w:r>
      <w:r w:rsidR="00B36A72">
        <w:rPr>
          <w:rFonts w:ascii="Maiandra GD" w:hAnsi="Maiandra GD"/>
        </w:rPr>
        <w:t>del/los cuerpo/s</w:t>
      </w:r>
      <w:r w:rsidRPr="00B56FB7">
        <w:rPr>
          <w:rFonts w:ascii="Maiandra GD" w:hAnsi="Maiandra GD"/>
        </w:rPr>
        <w:t xml:space="preserve"> </w:t>
      </w:r>
      <w:r w:rsidR="00B36A72">
        <w:rPr>
          <w:rFonts w:ascii="Maiandra GD" w:hAnsi="Maiandra GD"/>
        </w:rPr>
        <w:t>así como cualquier evidencia asociada</w:t>
      </w:r>
      <w:r w:rsidRPr="00B56FB7">
        <w:rPr>
          <w:rFonts w:ascii="Maiandra GD" w:hAnsi="Maiandra GD"/>
        </w:rPr>
        <w:t xml:space="preserve"> (balística, objetos </w:t>
      </w:r>
      <w:r w:rsidR="00B36A72">
        <w:rPr>
          <w:rFonts w:ascii="Maiandra GD" w:hAnsi="Maiandra GD"/>
        </w:rPr>
        <w:t>personales</w:t>
      </w:r>
      <w:r w:rsidRPr="00B56FB7">
        <w:rPr>
          <w:rFonts w:ascii="Maiandra GD" w:hAnsi="Maiandra GD"/>
        </w:rPr>
        <w:t>, etc.) de acu</w:t>
      </w:r>
      <w:r w:rsidR="00B36A72">
        <w:rPr>
          <w:rFonts w:ascii="Maiandra GD" w:hAnsi="Maiandra GD"/>
        </w:rPr>
        <w:t>e</w:t>
      </w:r>
      <w:r w:rsidRPr="00B56FB7">
        <w:rPr>
          <w:rFonts w:ascii="Maiandra GD" w:hAnsi="Maiandra GD"/>
        </w:rPr>
        <w:t xml:space="preserve">rdo a las mejores prácticas forenses. La excavación es un proceso único, los errores cometidos durante el proceso no se pueden reparar. Se deben </w:t>
      </w:r>
      <w:r w:rsidR="00B36A72" w:rsidRPr="00B56FB7">
        <w:rPr>
          <w:rFonts w:ascii="Maiandra GD" w:hAnsi="Maiandra GD"/>
        </w:rPr>
        <w:t>recuperar</w:t>
      </w:r>
      <w:r w:rsidRPr="00B56FB7">
        <w:rPr>
          <w:rFonts w:ascii="Maiandra GD" w:hAnsi="Maiandra GD"/>
        </w:rPr>
        <w:t xml:space="preserve"> no </w:t>
      </w:r>
      <w:r w:rsidR="00B36A72" w:rsidRPr="00B56FB7">
        <w:rPr>
          <w:rFonts w:ascii="Maiandra GD" w:hAnsi="Maiandra GD"/>
        </w:rPr>
        <w:t>sólo</w:t>
      </w:r>
      <w:r w:rsidRPr="00B56FB7">
        <w:rPr>
          <w:rFonts w:ascii="Maiandra GD" w:hAnsi="Maiandra GD"/>
        </w:rPr>
        <w:t xml:space="preserve"> restos humanos y </w:t>
      </w:r>
      <w:r w:rsidR="00B36A72">
        <w:rPr>
          <w:rFonts w:ascii="Maiandra GD" w:hAnsi="Maiandra GD"/>
        </w:rPr>
        <w:t>evidencia asociada, como proyectiles,</w:t>
      </w:r>
      <w:r w:rsidRPr="00B56FB7">
        <w:rPr>
          <w:rFonts w:ascii="Maiandra GD" w:hAnsi="Maiandra GD"/>
        </w:rPr>
        <w:t xml:space="preserve"> sino</w:t>
      </w:r>
      <w:r w:rsidR="00B36A72">
        <w:rPr>
          <w:rFonts w:ascii="Maiandra GD" w:hAnsi="Maiandra GD"/>
        </w:rPr>
        <w:t xml:space="preserve"> entender el </w:t>
      </w:r>
      <w:r w:rsidR="00B36A72" w:rsidRPr="00B36A72">
        <w:rPr>
          <w:rFonts w:ascii="Maiandra GD" w:hAnsi="Maiandra GD"/>
          <w:i/>
        </w:rPr>
        <w:t>modus operand</w:t>
      </w:r>
      <w:r w:rsidR="00B36A72">
        <w:rPr>
          <w:rFonts w:ascii="Maiandra GD" w:hAnsi="Maiandra GD"/>
        </w:rPr>
        <w:t>i de los victimarios</w:t>
      </w:r>
      <w:r w:rsidRPr="00B56FB7">
        <w:rPr>
          <w:rFonts w:ascii="Maiandra GD" w:hAnsi="Maiandra GD"/>
        </w:rPr>
        <w:t xml:space="preserve">. No se trata solamente de excavar y recuperar un cuerpo sino de interpretar el hallazgo en el contexto adecuado, relacionándolo con la investigación preliminar y el análisis de laboratorio. Cada contexto requiere una estrategia específica y un diseño de recuperación adecuado a la situación. </w:t>
      </w:r>
    </w:p>
    <w:p w:rsidR="00B56FB7" w:rsidRPr="00B56FB7" w:rsidRDefault="00B56FB7" w:rsidP="00B30F16">
      <w:pPr>
        <w:numPr>
          <w:ilvl w:val="0"/>
          <w:numId w:val="3"/>
        </w:numPr>
        <w:ind w:left="1843" w:hanging="425"/>
        <w:jc w:val="both"/>
        <w:rPr>
          <w:rFonts w:ascii="Maiandra GD" w:hAnsi="Maiandra GD"/>
        </w:rPr>
      </w:pPr>
      <w:r w:rsidRPr="00B56FB7">
        <w:rPr>
          <w:rFonts w:ascii="Maiandra GD" w:hAnsi="Maiandra GD"/>
          <w:b/>
          <w:bCs/>
          <w:i/>
          <w:iCs/>
        </w:rPr>
        <w:t xml:space="preserve">Análisis de laboratorio: </w:t>
      </w:r>
      <w:r w:rsidRPr="00B56FB7">
        <w:rPr>
          <w:rFonts w:ascii="Maiandra GD" w:hAnsi="Maiandra GD"/>
        </w:rPr>
        <w:t>En esta etapa se procede al</w:t>
      </w:r>
      <w:r w:rsidR="00B36A72">
        <w:rPr>
          <w:rFonts w:ascii="Maiandra GD" w:hAnsi="Maiandra GD"/>
        </w:rPr>
        <w:t xml:space="preserve"> análisis forense multidisciplinario, tanto del cuerpo como de los </w:t>
      </w:r>
      <w:r w:rsidRPr="00B56FB7">
        <w:rPr>
          <w:rFonts w:ascii="Maiandra GD" w:hAnsi="Maiandra GD"/>
        </w:rPr>
        <w:t>objetos asociados, con el que se completará el proceso de análisis de la información.</w:t>
      </w:r>
      <w:r w:rsidR="00B36A72">
        <w:rPr>
          <w:rFonts w:ascii="Maiandra GD" w:hAnsi="Maiandra GD"/>
        </w:rPr>
        <w:t xml:space="preserve"> </w:t>
      </w:r>
      <w:r w:rsidRPr="00B56FB7">
        <w:rPr>
          <w:rFonts w:ascii="Maiandra GD" w:hAnsi="Maiandra GD"/>
        </w:rPr>
        <w:t xml:space="preserve">Tiene una doble vertiente, la identificación de las víctimas y el esclarecimiento de la causa de la muerte o de las lesiones producidas en la víctima alrededor del momento de la muerte. La identificación dependerá de múltiples factores, como la cantidad de huesos presentes, las condiciones de conservación de los restos, el estado de los restos (mezclados, fragmentados, etc.), la calidad de la investigación previa, el acceso a registros médicos de las víctimas, el acceso a muestras de sangre de familiares, etc. Es necesario tener en cuenta que </w:t>
      </w:r>
      <w:r w:rsidRPr="00B56FB7">
        <w:rPr>
          <w:rFonts w:ascii="Maiandra GD" w:hAnsi="Maiandra GD"/>
          <w:b/>
          <w:bCs/>
        </w:rPr>
        <w:t>el ADN es un recurso más, no el único, en la identificación.</w:t>
      </w:r>
    </w:p>
    <w:p w:rsidR="00EC2844" w:rsidRPr="00126410" w:rsidRDefault="00EC2844" w:rsidP="00EC2844">
      <w:pPr>
        <w:ind w:left="1134" w:firstLine="1985"/>
        <w:jc w:val="both"/>
        <w:rPr>
          <w:rFonts w:ascii="Maiandra GD" w:hAnsi="Maiandra GD"/>
        </w:rPr>
      </w:pPr>
    </w:p>
    <w:p w:rsidR="00EC2844" w:rsidRPr="00126410" w:rsidRDefault="00B56FB7" w:rsidP="00EC2844">
      <w:pPr>
        <w:ind w:left="1134" w:firstLine="1985"/>
        <w:jc w:val="both"/>
        <w:rPr>
          <w:rFonts w:ascii="Maiandra GD" w:hAnsi="Maiandra GD"/>
        </w:rPr>
      </w:pPr>
      <w:r w:rsidRPr="00B56FB7">
        <w:rPr>
          <w:rFonts w:ascii="Maiandra GD" w:hAnsi="Maiandra GD"/>
        </w:rPr>
        <w:t xml:space="preserve">En este </w:t>
      </w:r>
      <w:r w:rsidRPr="00126410">
        <w:rPr>
          <w:rFonts w:ascii="Maiandra GD" w:hAnsi="Maiandra GD"/>
        </w:rPr>
        <w:t xml:space="preserve">contexto, entendemos que sería de gran utilidad evitar formulaciones que aporten a </w:t>
      </w:r>
      <w:r w:rsidRPr="00B56FB7">
        <w:rPr>
          <w:rFonts w:ascii="Maiandra GD" w:hAnsi="Maiandra GD"/>
        </w:rPr>
        <w:t xml:space="preserve">la confusión habitual y reduccionista de </w:t>
      </w:r>
      <w:r w:rsidRPr="00126410">
        <w:rPr>
          <w:rFonts w:ascii="Maiandra GD" w:hAnsi="Maiandra GD"/>
        </w:rPr>
        <w:t xml:space="preserve">considerar que </w:t>
      </w:r>
      <w:r w:rsidR="00B36A72" w:rsidRPr="00126410">
        <w:rPr>
          <w:rFonts w:ascii="Maiandra GD" w:hAnsi="Maiandra GD"/>
        </w:rPr>
        <w:t xml:space="preserve">un </w:t>
      </w:r>
      <w:r w:rsidR="00B36A72" w:rsidRPr="00B56FB7">
        <w:rPr>
          <w:rFonts w:ascii="Maiandra GD" w:hAnsi="Maiandra GD"/>
        </w:rPr>
        <w:t>banco</w:t>
      </w:r>
      <w:r w:rsidRPr="00B56FB7">
        <w:rPr>
          <w:rFonts w:ascii="Maiandra GD" w:hAnsi="Maiandra GD"/>
        </w:rPr>
        <w:t xml:space="preserve"> de datos genéticos es </w:t>
      </w:r>
      <w:r w:rsidRPr="00126410">
        <w:rPr>
          <w:rFonts w:ascii="Maiandra GD" w:hAnsi="Maiandra GD"/>
        </w:rPr>
        <w:t xml:space="preserve">una </w:t>
      </w:r>
      <w:r w:rsidRPr="00B56FB7">
        <w:rPr>
          <w:rFonts w:ascii="Maiandra GD" w:hAnsi="Maiandra GD"/>
        </w:rPr>
        <w:t xml:space="preserve">solución para la </w:t>
      </w:r>
      <w:r w:rsidR="00B36A72" w:rsidRPr="00B56FB7">
        <w:rPr>
          <w:rFonts w:ascii="Maiandra GD" w:hAnsi="Maiandra GD"/>
        </w:rPr>
        <w:t>búsqueda</w:t>
      </w:r>
      <w:r w:rsidRPr="00126410">
        <w:rPr>
          <w:rFonts w:ascii="Maiandra GD" w:hAnsi="Maiandra GD"/>
        </w:rPr>
        <w:t xml:space="preserve">. En este sentido, el </w:t>
      </w:r>
      <w:r w:rsidRPr="00B56FB7">
        <w:rPr>
          <w:rFonts w:ascii="Maiandra GD" w:hAnsi="Maiandra GD"/>
          <w:b/>
          <w:bCs/>
        </w:rPr>
        <w:t>Protocolo de Minnesota sobre la Investigación de Muertes Potencialmente Ilícitas</w:t>
      </w:r>
      <w:r w:rsidRPr="00B56FB7">
        <w:rPr>
          <w:rFonts w:ascii="Maiandra GD" w:hAnsi="Maiandra GD"/>
        </w:rPr>
        <w:t xml:space="preserve"> (2016), </w:t>
      </w:r>
      <w:r w:rsidRPr="00126410">
        <w:rPr>
          <w:rFonts w:ascii="Maiandra GD" w:hAnsi="Maiandra GD"/>
        </w:rPr>
        <w:t xml:space="preserve">elaborado por el </w:t>
      </w:r>
      <w:r w:rsidRPr="00B56FB7">
        <w:rPr>
          <w:rFonts w:ascii="Maiandra GD" w:hAnsi="Maiandra GD"/>
        </w:rPr>
        <w:t>Oficina del Alto Comisionado de las Naciones Unidas para los Derechos Humanos,</w:t>
      </w:r>
      <w:r w:rsidRPr="00126410">
        <w:rPr>
          <w:rFonts w:ascii="Maiandra GD" w:hAnsi="Maiandra GD"/>
        </w:rPr>
        <w:t xml:space="preserve"> en </w:t>
      </w:r>
      <w:r w:rsidRPr="00B56FB7">
        <w:rPr>
          <w:rFonts w:ascii="Maiandra GD" w:hAnsi="Maiandra GD"/>
        </w:rPr>
        <w:t xml:space="preserve"> cuya redacción colaboró un equipo internacional de juristas y expertos forenses, así como un grupo consultivo de alto nivel </w:t>
      </w:r>
      <w:r w:rsidRPr="00126410">
        <w:rPr>
          <w:rFonts w:ascii="Maiandra GD" w:hAnsi="Maiandra GD"/>
        </w:rPr>
        <w:t xml:space="preserve"> prevé específicamente la utilización de una variedad de datos </w:t>
      </w:r>
      <w:r w:rsidR="00C511E2" w:rsidRPr="00126410">
        <w:rPr>
          <w:rFonts w:ascii="Maiandra GD" w:hAnsi="Maiandra GD"/>
        </w:rPr>
        <w:t>forenses</w:t>
      </w:r>
      <w:bookmarkStart w:id="0" w:name="_GoBack"/>
      <w:bookmarkEnd w:id="0"/>
      <w:r w:rsidRPr="00126410">
        <w:rPr>
          <w:rFonts w:ascii="Maiandra GD" w:hAnsi="Maiandra GD"/>
        </w:rPr>
        <w:t xml:space="preserve"> y</w:t>
      </w:r>
      <w:r w:rsidRPr="00B56FB7">
        <w:rPr>
          <w:rFonts w:ascii="Maiandra GD" w:hAnsi="Maiandra GD"/>
        </w:rPr>
        <w:t xml:space="preserve">, </w:t>
      </w:r>
      <w:r w:rsidRPr="00126410">
        <w:rPr>
          <w:rFonts w:ascii="Maiandra GD" w:hAnsi="Maiandra GD"/>
        </w:rPr>
        <w:t xml:space="preserve">tal como allí se señala es aplicable, </w:t>
      </w:r>
      <w:r w:rsidRPr="00B36A72">
        <w:rPr>
          <w:rFonts w:ascii="Maiandra GD" w:hAnsi="Maiandra GD"/>
          <w:i/>
        </w:rPr>
        <w:t>mutatis mutandis</w:t>
      </w:r>
      <w:r w:rsidRPr="00B56FB7">
        <w:rPr>
          <w:rFonts w:ascii="Maiandra GD" w:hAnsi="Maiandra GD"/>
        </w:rPr>
        <w:t xml:space="preserve">, </w:t>
      </w:r>
      <w:r w:rsidRPr="00126410">
        <w:rPr>
          <w:rFonts w:ascii="Maiandra GD" w:hAnsi="Maiandra GD"/>
        </w:rPr>
        <w:t xml:space="preserve">a </w:t>
      </w:r>
      <w:r w:rsidRPr="00B56FB7">
        <w:rPr>
          <w:rFonts w:ascii="Maiandra GD" w:hAnsi="Maiandra GD"/>
        </w:rPr>
        <w:t xml:space="preserve"> toda sospecha de desaparición forzada. </w:t>
      </w:r>
    </w:p>
    <w:p w:rsidR="00126410" w:rsidRDefault="00126410" w:rsidP="00EC2844">
      <w:pPr>
        <w:ind w:left="1134" w:firstLine="1985"/>
        <w:jc w:val="both"/>
        <w:rPr>
          <w:rFonts w:ascii="Maiandra GD" w:hAnsi="Maiandra GD"/>
        </w:rPr>
      </w:pPr>
    </w:p>
    <w:p w:rsidR="00EC2844" w:rsidRPr="00126410" w:rsidRDefault="00EC2844" w:rsidP="00EC2844">
      <w:pPr>
        <w:ind w:left="1134" w:firstLine="1985"/>
        <w:jc w:val="both"/>
        <w:rPr>
          <w:rFonts w:ascii="Maiandra GD" w:hAnsi="Maiandra GD"/>
        </w:rPr>
      </w:pPr>
      <w:r w:rsidRPr="00126410">
        <w:rPr>
          <w:rFonts w:ascii="Maiandra GD" w:hAnsi="Maiandra GD"/>
        </w:rPr>
        <w:t xml:space="preserve">Tal como se señala allí, entre muchos otros documentos internacionales sobre la localización e identificación de restos es un proceso que implica </w:t>
      </w:r>
      <w:r w:rsidRPr="00EC2844">
        <w:rPr>
          <w:rFonts w:ascii="Maiandra GD" w:hAnsi="Maiandra GD"/>
        </w:rPr>
        <w:t xml:space="preserve">la asignación del nombre o identidad correctos a unos restos humanos. </w:t>
      </w:r>
    </w:p>
    <w:p w:rsidR="00126410" w:rsidRDefault="00126410" w:rsidP="00B76699">
      <w:pPr>
        <w:ind w:left="1134" w:firstLine="1985"/>
        <w:jc w:val="both"/>
        <w:rPr>
          <w:rFonts w:ascii="Maiandra GD" w:hAnsi="Maiandra GD"/>
        </w:rPr>
      </w:pPr>
    </w:p>
    <w:p w:rsidR="00EC2844" w:rsidRPr="00126410" w:rsidRDefault="00EC2844" w:rsidP="00B76699">
      <w:pPr>
        <w:ind w:left="1134" w:firstLine="1985"/>
        <w:jc w:val="both"/>
        <w:rPr>
          <w:rFonts w:ascii="Maiandra GD" w:hAnsi="Maiandra GD"/>
        </w:rPr>
      </w:pPr>
      <w:r w:rsidRPr="00126410">
        <w:rPr>
          <w:rFonts w:ascii="Maiandra GD" w:hAnsi="Maiandra GD"/>
        </w:rPr>
        <w:lastRenderedPageBreak/>
        <w:t xml:space="preserve">La </w:t>
      </w:r>
      <w:r w:rsidRPr="00C511E2">
        <w:rPr>
          <w:rFonts w:ascii="Maiandra GD" w:hAnsi="Maiandra GD"/>
          <w:b/>
        </w:rPr>
        <w:t xml:space="preserve">identificación </w:t>
      </w:r>
      <w:r w:rsidR="00C511E2" w:rsidRPr="00C511E2">
        <w:rPr>
          <w:rFonts w:ascii="Maiandra GD" w:hAnsi="Maiandra GD"/>
          <w:b/>
        </w:rPr>
        <w:t xml:space="preserve">es un </w:t>
      </w:r>
      <w:r w:rsidR="00C511E2">
        <w:rPr>
          <w:rFonts w:ascii="Maiandra GD" w:hAnsi="Maiandra GD"/>
          <w:b/>
        </w:rPr>
        <w:t>p</w:t>
      </w:r>
      <w:r w:rsidR="00C511E2" w:rsidRPr="00C511E2">
        <w:rPr>
          <w:rFonts w:ascii="Maiandra GD" w:hAnsi="Maiandra GD"/>
          <w:b/>
        </w:rPr>
        <w:t>roceso</w:t>
      </w:r>
      <w:r w:rsidR="00C511E2">
        <w:rPr>
          <w:rFonts w:ascii="Maiandra GD" w:hAnsi="Maiandra GD"/>
        </w:rPr>
        <w:t xml:space="preserve">, y </w:t>
      </w:r>
      <w:r w:rsidRPr="00126410">
        <w:rPr>
          <w:rFonts w:ascii="Maiandra GD" w:hAnsi="Maiandra GD"/>
        </w:rPr>
        <w:t xml:space="preserve">debe llevarse adelante </w:t>
      </w:r>
      <w:r w:rsidR="00C511E2">
        <w:rPr>
          <w:rFonts w:ascii="Maiandra GD" w:hAnsi="Maiandra GD"/>
        </w:rPr>
        <w:t xml:space="preserve">siguiendo lo que se denomina </w:t>
      </w:r>
      <w:r w:rsidR="00C511E2">
        <w:rPr>
          <w:rFonts w:ascii="Maiandra GD" w:hAnsi="Maiandra GD"/>
          <w:b/>
        </w:rPr>
        <w:t>L</w:t>
      </w:r>
      <w:r w:rsidR="00C511E2" w:rsidRPr="00C511E2">
        <w:rPr>
          <w:rFonts w:ascii="Maiandra GD" w:hAnsi="Maiandra GD"/>
          <w:b/>
        </w:rPr>
        <w:t xml:space="preserve">íneas de </w:t>
      </w:r>
      <w:r w:rsidR="00C511E2">
        <w:rPr>
          <w:rFonts w:ascii="Maiandra GD" w:hAnsi="Maiandra GD"/>
          <w:b/>
        </w:rPr>
        <w:t>E</w:t>
      </w:r>
      <w:r w:rsidR="00C511E2" w:rsidRPr="00C511E2">
        <w:rPr>
          <w:rFonts w:ascii="Maiandra GD" w:hAnsi="Maiandra GD"/>
          <w:b/>
        </w:rPr>
        <w:t>videncia</w:t>
      </w:r>
      <w:r w:rsidR="00C511E2">
        <w:rPr>
          <w:rFonts w:ascii="Maiandra GD" w:hAnsi="Maiandra GD"/>
          <w:b/>
        </w:rPr>
        <w:t>. Esto implica evaluar toda la información disponible, que va desde el contexto especifico de cada caso, a la información medica, antropológica, odontológica y genética, así como vestimenta y efectos personales.</w:t>
      </w:r>
      <w:r w:rsidRPr="00126410">
        <w:rPr>
          <w:rFonts w:ascii="Maiandra GD" w:hAnsi="Maiandra GD"/>
        </w:rPr>
        <w:t xml:space="preserve"> Por ello, los </w:t>
      </w:r>
      <w:r w:rsidR="00B76699" w:rsidRPr="00126410">
        <w:rPr>
          <w:rFonts w:ascii="Maiandra GD" w:hAnsi="Maiandra GD"/>
        </w:rPr>
        <w:t xml:space="preserve">instrumentos </w:t>
      </w:r>
      <w:r w:rsidRPr="00126410">
        <w:rPr>
          <w:rFonts w:ascii="Maiandra GD" w:hAnsi="Maiandra GD"/>
        </w:rPr>
        <w:t>internacionales sobre la materia</w:t>
      </w:r>
      <w:r w:rsidR="00B76699" w:rsidRPr="00126410">
        <w:rPr>
          <w:rFonts w:ascii="Maiandra GD" w:hAnsi="Maiandra GD"/>
        </w:rPr>
        <w:t xml:space="preserve"> sugieren</w:t>
      </w:r>
      <w:r w:rsidRPr="00126410">
        <w:rPr>
          <w:rFonts w:ascii="Maiandra GD" w:hAnsi="Maiandra GD"/>
        </w:rPr>
        <w:t xml:space="preserve"> que no circunscriba la metodología de búsqueda a la elaboración de bancos de datos genéticos, sino que se impulse la creación de </w:t>
      </w:r>
      <w:r w:rsidRPr="00126410">
        <w:rPr>
          <w:rFonts w:ascii="Maiandra GD" w:hAnsi="Maiandra GD"/>
          <w:b/>
          <w:bCs/>
        </w:rPr>
        <w:t xml:space="preserve">bases de datos </w:t>
      </w:r>
      <w:r w:rsidR="00126410" w:rsidRPr="00126410">
        <w:rPr>
          <w:rFonts w:ascii="Maiandra GD" w:hAnsi="Maiandra GD"/>
          <w:b/>
          <w:bCs/>
        </w:rPr>
        <w:t>forenses</w:t>
      </w:r>
      <w:r w:rsidR="00B76699" w:rsidRPr="00126410">
        <w:rPr>
          <w:rFonts w:ascii="Maiandra GD" w:hAnsi="Maiandra GD"/>
          <w:vertAlign w:val="superscript"/>
        </w:rPr>
        <w:footnoteReference w:id="1"/>
      </w:r>
      <w:r w:rsidR="00B76699" w:rsidRPr="00126410">
        <w:rPr>
          <w:rFonts w:ascii="Maiandra GD" w:hAnsi="Maiandra GD"/>
        </w:rPr>
        <w:t xml:space="preserve"> que permitan comparar información anterior a la desaparición de la persona con aquella proveniente de restos humanos que sean hallados en el proceso de búsqueda.</w:t>
      </w:r>
    </w:p>
    <w:p w:rsidR="00B76699" w:rsidRPr="00126410" w:rsidRDefault="00126410" w:rsidP="00B76699">
      <w:pPr>
        <w:ind w:left="1134" w:firstLine="1985"/>
        <w:jc w:val="both"/>
        <w:rPr>
          <w:rFonts w:ascii="Maiandra GD" w:hAnsi="Maiandra GD"/>
        </w:rPr>
      </w:pPr>
      <w:r w:rsidRPr="00126410">
        <w:rPr>
          <w:rFonts w:ascii="Maiandra GD" w:hAnsi="Maiandra GD"/>
          <w:noProof/>
        </w:rPr>
        <w:drawing>
          <wp:anchor distT="0" distB="0" distL="114300" distR="114300" simplePos="0" relativeHeight="251658240" behindDoc="0" locked="0" layoutInCell="1" allowOverlap="1" wp14:anchorId="6398C07A">
            <wp:simplePos x="0" y="0"/>
            <wp:positionH relativeFrom="column">
              <wp:posOffset>646430</wp:posOffset>
            </wp:positionH>
            <wp:positionV relativeFrom="page">
              <wp:posOffset>2673985</wp:posOffset>
            </wp:positionV>
            <wp:extent cx="5269865" cy="43364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9211"/>
                    <a:stretch/>
                  </pic:blipFill>
                  <pic:spPr bwMode="auto">
                    <a:xfrm>
                      <a:off x="0" y="0"/>
                      <a:ext cx="5269865" cy="433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76699" w:rsidRPr="00126410" w:rsidRDefault="00126410" w:rsidP="00EC2844">
      <w:pPr>
        <w:ind w:left="1134" w:firstLine="1985"/>
        <w:jc w:val="both"/>
        <w:rPr>
          <w:rFonts w:ascii="Maiandra GD" w:hAnsi="Maiandra GD"/>
        </w:rPr>
      </w:pPr>
      <w:r w:rsidRPr="00126410">
        <w:rPr>
          <w:rFonts w:ascii="Maiandra GD" w:hAnsi="Maiandra GD"/>
          <w:noProof/>
        </w:rPr>
        <mc:AlternateContent>
          <mc:Choice Requires="wps">
            <w:drawing>
              <wp:anchor distT="0" distB="0" distL="114300" distR="114300" simplePos="0" relativeHeight="251662336" behindDoc="0" locked="0" layoutInCell="1" allowOverlap="1">
                <wp:simplePos x="0" y="0"/>
                <wp:positionH relativeFrom="column">
                  <wp:posOffset>672465</wp:posOffset>
                </wp:positionH>
                <wp:positionV relativeFrom="paragraph">
                  <wp:posOffset>4638675</wp:posOffset>
                </wp:positionV>
                <wp:extent cx="5157470" cy="285274"/>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157470" cy="285274"/>
                        </a:xfrm>
                        <a:prstGeom prst="rect">
                          <a:avLst/>
                        </a:prstGeom>
                        <a:solidFill>
                          <a:schemeClr val="lt1"/>
                        </a:solidFill>
                        <a:ln w="6350">
                          <a:noFill/>
                        </a:ln>
                      </wps:spPr>
                      <wps:txbx>
                        <w:txbxContent>
                          <w:p w:rsidR="00126410" w:rsidRPr="00126410" w:rsidRDefault="00126410" w:rsidP="00126410">
                            <w:pPr>
                              <w:rPr>
                                <w:sz w:val="20"/>
                                <w:szCs w:val="20"/>
                                <w:lang w:val="es-ES"/>
                              </w:rPr>
                            </w:pPr>
                            <w:proofErr w:type="spellStart"/>
                            <w:r w:rsidRPr="00126410">
                              <w:rPr>
                                <w:sz w:val="20"/>
                                <w:szCs w:val="20"/>
                                <w:lang w:val="es-ES"/>
                              </w:rPr>
                              <w:t>Fte</w:t>
                            </w:r>
                            <w:proofErr w:type="spellEnd"/>
                            <w:r>
                              <w:rPr>
                                <w:lang w:val="es-ES"/>
                              </w:rPr>
                              <w:t xml:space="preserve">.: </w:t>
                            </w:r>
                            <w:r w:rsidRPr="00B56FB7">
                              <w:rPr>
                                <w:sz w:val="20"/>
                                <w:szCs w:val="20"/>
                                <w:lang w:val="es-ES"/>
                              </w:rPr>
                              <w:t>Protocolo de Minnesota sobre la Investigación de Muertes Potencialmente Ilícitas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52.95pt;margin-top:365.25pt;width:406.1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" fillcolor="white [3201]" stroked="f" strokeweight=".5pt">
                <v:textbox>
                  <w:txbxContent>
                    <w:p w:rsidR="00126410" w:rsidRPr="00126410" w:rsidRDefault="00126410" w:rsidP="00126410">
                      <w:pPr>
                        <w:rPr>
                          <w:sz w:val="20"/>
                          <w:szCs w:val="20"/>
                          <w:lang w:val="es-ES"/>
                        </w:rPr>
                      </w:pPr>
                      <w:proofErr w:type="spellStart"/>
                      <w:r w:rsidRPr="00126410">
                        <w:rPr>
                          <w:sz w:val="20"/>
                          <w:szCs w:val="20"/>
                          <w:lang w:val="es-ES"/>
                        </w:rPr>
                        <w:t>Fte</w:t>
                      </w:r>
                      <w:proofErr w:type="spellEnd"/>
                      <w:r>
                        <w:rPr>
                          <w:lang w:val="es-ES"/>
                        </w:rPr>
                        <w:t xml:space="preserve">.: </w:t>
                      </w:r>
                      <w:r w:rsidRPr="00B56FB7">
                        <w:rPr>
                          <w:sz w:val="20"/>
                          <w:szCs w:val="20"/>
                          <w:lang w:val="es-ES"/>
                        </w:rPr>
                        <w:t>Protocolo de Minnesota sobre la Investigación de Muertes Potencialmente Ilícitas (2016)</w:t>
                      </w:r>
                    </w:p>
                  </w:txbxContent>
                </v:textbox>
              </v:shape>
            </w:pict>
          </mc:Fallback>
        </mc:AlternateContent>
      </w:r>
      <w:r w:rsidRPr="00126410">
        <w:rPr>
          <w:rFonts w:ascii="Maiandra GD" w:hAnsi="Maiandra GD"/>
          <w:noProof/>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60167</wp:posOffset>
                </wp:positionV>
                <wp:extent cx="5043170" cy="257810"/>
                <wp:effectExtent l="0" t="0" r="11430" b="8890"/>
                <wp:wrapNone/>
                <wp:docPr id="2" name="Cuadro de texto 2"/>
                <wp:cNvGraphicFramePr/>
                <a:graphic xmlns:a="http://schemas.openxmlformats.org/drawingml/2006/main">
                  <a:graphicData uri="http://schemas.microsoft.com/office/word/2010/wordprocessingShape">
                    <wps:wsp>
                      <wps:cNvSpPr txBox="1"/>
                      <wps:spPr>
                        <a:xfrm>
                          <a:off x="0" y="0"/>
                          <a:ext cx="5043170" cy="257810"/>
                        </a:xfrm>
                        <a:prstGeom prst="rect">
                          <a:avLst/>
                        </a:prstGeom>
                        <a:solidFill>
                          <a:schemeClr val="accent5">
                            <a:lumMod val="75000"/>
                          </a:schemeClr>
                        </a:solidFill>
                        <a:ln w="6350">
                          <a:solidFill>
                            <a:prstClr val="black"/>
                          </a:solidFill>
                        </a:ln>
                      </wps:spPr>
                      <wps:txbx>
                        <w:txbxContent>
                          <w:p w:rsidR="00B76699" w:rsidRPr="00B76699" w:rsidRDefault="00B76699" w:rsidP="00B76699">
                            <w:pPr>
                              <w:jc w:val="center"/>
                              <w:rPr>
                                <w:color w:val="FFFFFF" w:themeColor="background1"/>
                                <w:lang w:val="es-ES"/>
                              </w:rPr>
                            </w:pPr>
                            <w:r w:rsidRPr="00B76699">
                              <w:rPr>
                                <w:color w:val="FFFFFF" w:themeColor="background1"/>
                                <w:lang w:val="es-ES"/>
                              </w:rPr>
                              <w:t>ELEMENTOS DE UNA BASE DE DATOS FORENESE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55.8pt;margin-top:4.75pt;width:397.1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" fillcolor="#2e74b5 [2408]" strokeweight=".5pt">
                <v:textbox>
                  <w:txbxContent>
                    <w:p w:rsidR="00B76699" w:rsidRPr="00B76699" w:rsidRDefault="00B76699" w:rsidP="00B76699">
                      <w:pPr>
                        <w:jc w:val="center"/>
                        <w:rPr>
                          <w:color w:val="FFFFFF" w:themeColor="background1"/>
                          <w:lang w:val="es-ES"/>
                        </w:rPr>
                      </w:pPr>
                      <w:r w:rsidRPr="00B76699">
                        <w:rPr>
                          <w:color w:val="FFFFFF" w:themeColor="background1"/>
                          <w:lang w:val="es-ES"/>
                        </w:rPr>
                        <w:t>ELEMENTOS DE UNA BASE DE DATOS FORENESE</w:t>
                      </w:r>
                    </w:p>
                  </w:txbxContent>
                </v:textbox>
              </v:shape>
            </w:pict>
          </mc:Fallback>
        </mc:AlternateContent>
      </w:r>
    </w:p>
    <w:p w:rsidR="00B76699" w:rsidRPr="00126410" w:rsidRDefault="00B76699" w:rsidP="00EC2844">
      <w:pPr>
        <w:ind w:left="1134" w:firstLine="1985"/>
        <w:jc w:val="both"/>
        <w:rPr>
          <w:rFonts w:ascii="Maiandra GD" w:hAnsi="Maiandra GD"/>
        </w:rPr>
      </w:pPr>
    </w:p>
    <w:p w:rsidR="00B76699" w:rsidRPr="00126410" w:rsidRDefault="00B76699" w:rsidP="00EC2844">
      <w:pPr>
        <w:ind w:left="1134" w:firstLine="1985"/>
        <w:jc w:val="both"/>
        <w:rPr>
          <w:rFonts w:ascii="Maiandra GD" w:hAnsi="Maiandra GD"/>
        </w:rPr>
      </w:pPr>
    </w:p>
    <w:p w:rsidR="00EC2844" w:rsidRPr="00126410" w:rsidRDefault="00B30F16" w:rsidP="00EC2844">
      <w:pPr>
        <w:ind w:left="1134" w:firstLine="1985"/>
        <w:jc w:val="both"/>
        <w:rPr>
          <w:rFonts w:ascii="Maiandra GD" w:hAnsi="Maiandra GD"/>
        </w:rPr>
      </w:pPr>
      <w:r w:rsidRPr="00126410">
        <w:rPr>
          <w:rFonts w:ascii="Maiandra GD" w:hAnsi="Maiandra GD"/>
        </w:rPr>
        <w:lastRenderedPageBreak/>
        <w:t xml:space="preserve">Ante el hallazgo de posibles lugares de enterramiento, consideramos que los </w:t>
      </w:r>
      <w:proofErr w:type="spellStart"/>
      <w:r w:rsidRPr="00126410">
        <w:rPr>
          <w:rFonts w:ascii="Maiandra GD" w:hAnsi="Maiandra GD"/>
        </w:rPr>
        <w:t>Prinicipios</w:t>
      </w:r>
      <w:proofErr w:type="spellEnd"/>
      <w:r w:rsidRPr="00126410">
        <w:rPr>
          <w:rFonts w:ascii="Maiandra GD" w:hAnsi="Maiandra GD"/>
        </w:rPr>
        <w:t xml:space="preserve"> deben remitir específicamente a la aplicación del mencionado Protocolo ya que posee una </w:t>
      </w:r>
      <w:r w:rsidR="00C511E2" w:rsidRPr="00126410">
        <w:rPr>
          <w:rFonts w:ascii="Maiandra GD" w:hAnsi="Maiandra GD"/>
        </w:rPr>
        <w:t>descripción</w:t>
      </w:r>
      <w:r w:rsidRPr="00126410">
        <w:rPr>
          <w:rFonts w:ascii="Maiandra GD" w:hAnsi="Maiandra GD"/>
        </w:rPr>
        <w:t xml:space="preserve"> </w:t>
      </w:r>
      <w:r w:rsidR="00AD04D8" w:rsidRPr="00126410">
        <w:rPr>
          <w:rFonts w:ascii="Maiandra GD" w:hAnsi="Maiandra GD"/>
        </w:rPr>
        <w:t xml:space="preserve">precisa de las </w:t>
      </w:r>
      <w:proofErr w:type="spellStart"/>
      <w:r w:rsidRPr="00B30F16">
        <w:rPr>
          <w:rFonts w:ascii="Maiandra GD" w:hAnsi="Maiandra GD"/>
        </w:rPr>
        <w:t>las</w:t>
      </w:r>
      <w:proofErr w:type="spellEnd"/>
      <w:r w:rsidRPr="00B30F16">
        <w:rPr>
          <w:rFonts w:ascii="Maiandra GD" w:hAnsi="Maiandra GD"/>
        </w:rPr>
        <w:t xml:space="preserve"> normas y directrices comunes relativas a la investigación de muertes potencialmente ilícitas</w:t>
      </w:r>
      <w:r w:rsidR="00AD04D8" w:rsidRPr="00126410">
        <w:rPr>
          <w:rFonts w:ascii="Maiandra GD" w:hAnsi="Maiandra GD"/>
        </w:rPr>
        <w:t xml:space="preserve">, las </w:t>
      </w:r>
      <w:r w:rsidRPr="00B30F16">
        <w:rPr>
          <w:rFonts w:ascii="Maiandra GD" w:hAnsi="Maiandra GD"/>
        </w:rPr>
        <w:t>obligaci</w:t>
      </w:r>
      <w:r w:rsidR="00AD04D8" w:rsidRPr="00126410">
        <w:rPr>
          <w:rFonts w:ascii="Maiandra GD" w:hAnsi="Maiandra GD"/>
        </w:rPr>
        <w:t xml:space="preserve">ones </w:t>
      </w:r>
      <w:r w:rsidRPr="00B30F16">
        <w:rPr>
          <w:rFonts w:ascii="Maiandra GD" w:hAnsi="Maiandra GD"/>
        </w:rPr>
        <w:t>de toda persona partícipe en una investigación de observar las normas de ética profesional más estrictas</w:t>
      </w:r>
      <w:r w:rsidR="00AD04D8" w:rsidRPr="00126410">
        <w:rPr>
          <w:rFonts w:ascii="Maiandra GD" w:hAnsi="Maiandra GD"/>
        </w:rPr>
        <w:t xml:space="preserve">, </w:t>
      </w:r>
      <w:r w:rsidRPr="00B30F16">
        <w:rPr>
          <w:rFonts w:ascii="Maiandra GD" w:hAnsi="Maiandra GD"/>
        </w:rPr>
        <w:t>se describen las buenas prácticas aplicables a los partícipes en el proceso de investigación, incluida la policía y otros investigadores, los médicos y juristas y los miembros de mecanismos y procedimientos de indagació</w:t>
      </w:r>
      <w:r w:rsidR="00EC2844" w:rsidRPr="00126410">
        <w:rPr>
          <w:rFonts w:ascii="Maiandra GD" w:hAnsi="Maiandra GD"/>
        </w:rPr>
        <w:t xml:space="preserve">n, incluidas previsiones en lo relativo a la  recuperación y la manipulación de los restos humanos. Cabe </w:t>
      </w:r>
      <w:r w:rsidR="00126410" w:rsidRPr="00126410">
        <w:rPr>
          <w:rFonts w:ascii="Maiandra GD" w:hAnsi="Maiandra GD"/>
        </w:rPr>
        <w:t>destacar</w:t>
      </w:r>
      <w:r w:rsidR="00EC2844" w:rsidRPr="00126410">
        <w:rPr>
          <w:rFonts w:ascii="Maiandra GD" w:hAnsi="Maiandra GD"/>
        </w:rPr>
        <w:t xml:space="preserve"> que los restos son la prueba más importante en la escena de un delito y requieren especial atención y cuidado, incluido el respeto de la dignidad de la persona fallecida y el cumplimiento de las mejores prácticas forenses</w:t>
      </w:r>
      <w:r w:rsidR="00EC2844" w:rsidRPr="00126410">
        <w:rPr>
          <w:rFonts w:ascii="Times New Roman" w:eastAsia="Times New Roman" w:hAnsi="Times New Roman" w:cs="Times New Roman"/>
          <w:lang w:eastAsia="zh-CN"/>
        </w:rPr>
        <w:t xml:space="preserve">. </w:t>
      </w:r>
    </w:p>
    <w:p w:rsidR="00EC2844" w:rsidRPr="00126410" w:rsidRDefault="00EC2844" w:rsidP="00EC2844">
      <w:pPr>
        <w:ind w:left="1134" w:firstLine="1985"/>
        <w:jc w:val="both"/>
        <w:rPr>
          <w:rFonts w:ascii="Maiandra GD" w:hAnsi="Maiandra GD"/>
        </w:rPr>
      </w:pPr>
    </w:p>
    <w:p w:rsidR="00EC2844" w:rsidRPr="00126410" w:rsidRDefault="00126410" w:rsidP="00EC2844">
      <w:pPr>
        <w:ind w:left="1134" w:firstLine="1985"/>
        <w:jc w:val="both"/>
        <w:rPr>
          <w:rFonts w:ascii="Maiandra GD" w:hAnsi="Maiandra GD"/>
        </w:rPr>
      </w:pPr>
      <w:r>
        <w:rPr>
          <w:rFonts w:ascii="Maiandra GD" w:hAnsi="Maiandra GD"/>
        </w:rPr>
        <w:t xml:space="preserve">Por último, </w:t>
      </w:r>
      <w:r w:rsidR="00C511E2">
        <w:rPr>
          <w:rFonts w:ascii="Maiandra GD" w:hAnsi="Maiandra GD"/>
        </w:rPr>
        <w:t xml:space="preserve">aunque existe una gran diversidad en el mundo en cuanto a practicas culturales y religiosas, </w:t>
      </w:r>
      <w:proofErr w:type="gramStart"/>
      <w:r w:rsidR="00B56FB7" w:rsidRPr="00B56FB7">
        <w:rPr>
          <w:rFonts w:ascii="Maiandra GD" w:hAnsi="Maiandra GD"/>
        </w:rPr>
        <w:t>proceso</w:t>
      </w:r>
      <w:r w:rsidR="00C511E2">
        <w:rPr>
          <w:rFonts w:ascii="Maiandra GD" w:hAnsi="Maiandra GD"/>
        </w:rPr>
        <w:t>s</w:t>
      </w:r>
      <w:r w:rsidR="00B56FB7" w:rsidRPr="00B56FB7">
        <w:rPr>
          <w:rFonts w:ascii="Maiandra GD" w:hAnsi="Maiandra GD"/>
        </w:rPr>
        <w:t xml:space="preserve"> político</w:t>
      </w:r>
      <w:proofErr w:type="gramEnd"/>
      <w:r w:rsidR="00B56FB7" w:rsidRPr="00B56FB7">
        <w:rPr>
          <w:rFonts w:ascii="Maiandra GD" w:hAnsi="Maiandra GD"/>
        </w:rPr>
        <w:t xml:space="preserve"> o método</w:t>
      </w:r>
      <w:r w:rsidR="00C511E2">
        <w:rPr>
          <w:rFonts w:ascii="Maiandra GD" w:hAnsi="Maiandra GD"/>
        </w:rPr>
        <w:t>s</w:t>
      </w:r>
      <w:r w:rsidR="00B56FB7" w:rsidRPr="00B56FB7">
        <w:rPr>
          <w:rFonts w:ascii="Maiandra GD" w:hAnsi="Maiandra GD"/>
        </w:rPr>
        <w:t xml:space="preserve"> represivo</w:t>
      </w:r>
      <w:r w:rsidR="00C511E2">
        <w:rPr>
          <w:rFonts w:ascii="Maiandra GD" w:hAnsi="Maiandra GD"/>
        </w:rPr>
        <w:t>s,</w:t>
      </w:r>
      <w:r w:rsidR="00B56FB7" w:rsidRPr="00B56FB7">
        <w:rPr>
          <w:rFonts w:ascii="Maiandra GD" w:hAnsi="Maiandra GD"/>
        </w:rPr>
        <w:t xml:space="preserve"> hemos aprendido que la necesidad de los familiares de respuestas, de respeto, de apoyo y de dignificación de las víctimas es básicamente la misma. </w:t>
      </w:r>
      <w:r w:rsidR="00B56FB7" w:rsidRPr="00126410">
        <w:rPr>
          <w:rFonts w:ascii="Maiandra GD" w:hAnsi="Maiandra GD"/>
        </w:rPr>
        <w:t>En este sentido, a fin de garantizar la entrega de restos a los familiares de las víctimas</w:t>
      </w:r>
      <w:r>
        <w:rPr>
          <w:rFonts w:ascii="Maiandra GD" w:hAnsi="Maiandra GD"/>
        </w:rPr>
        <w:t xml:space="preserve"> de acuerdo a las obligaciones que el derecho internacional de los derechos humanos impone y de acuerdo a principios humanitarios</w:t>
      </w:r>
      <w:r w:rsidR="00B56FB7" w:rsidRPr="00126410">
        <w:rPr>
          <w:rFonts w:ascii="Maiandra GD" w:hAnsi="Maiandra GD"/>
        </w:rPr>
        <w:t xml:space="preserve"> </w:t>
      </w:r>
      <w:r w:rsidR="00B30F16" w:rsidRPr="00126410">
        <w:rPr>
          <w:rFonts w:ascii="Maiandra GD" w:hAnsi="Maiandra GD"/>
        </w:rPr>
        <w:t>consideramos que es oportuno que se incluya una prohibición de enterrar en fosas comunes a las personas que no han sido identificadas</w:t>
      </w:r>
      <w:r>
        <w:rPr>
          <w:rFonts w:ascii="Maiandra GD" w:hAnsi="Maiandra GD"/>
        </w:rPr>
        <w:t>; sino que deben ser debidamente preservados</w:t>
      </w:r>
      <w:r w:rsidR="00B30F16" w:rsidRPr="00126410">
        <w:rPr>
          <w:rFonts w:ascii="Maiandra GD" w:hAnsi="Maiandra GD"/>
        </w:rPr>
        <w:t>; ya que su recuperación posterior puede a veces resultar imposible.</w:t>
      </w:r>
    </w:p>
    <w:p w:rsidR="00EC2844" w:rsidRPr="00126410" w:rsidRDefault="00EC2844" w:rsidP="00EC2844">
      <w:pPr>
        <w:ind w:left="1134" w:firstLine="1985"/>
        <w:jc w:val="both"/>
        <w:rPr>
          <w:rFonts w:ascii="Maiandra GD" w:hAnsi="Maiandra GD"/>
        </w:rPr>
      </w:pPr>
    </w:p>
    <w:p w:rsidR="001A6241" w:rsidRPr="00126410" w:rsidRDefault="007E117E" w:rsidP="00EC2844">
      <w:pPr>
        <w:ind w:left="1134" w:firstLine="1985"/>
        <w:jc w:val="both"/>
        <w:rPr>
          <w:rFonts w:ascii="Maiandra GD" w:hAnsi="Maiandra GD"/>
        </w:rPr>
      </w:pPr>
      <w:r w:rsidRPr="00126410">
        <w:rPr>
          <w:rFonts w:ascii="Maiandra GD" w:hAnsi="Maiandra GD"/>
        </w:rPr>
        <w:t>Lo saluda muy atentamente</w:t>
      </w:r>
    </w:p>
    <w:p w:rsidR="002D7D54" w:rsidRPr="00126410" w:rsidRDefault="002D7D54" w:rsidP="007E117E">
      <w:pPr>
        <w:pStyle w:val="Prrafodelista"/>
        <w:ind w:left="1134" w:firstLine="5027"/>
        <w:jc w:val="both"/>
        <w:rPr>
          <w:noProof/>
        </w:rPr>
      </w:pPr>
    </w:p>
    <w:p w:rsidR="000E7004" w:rsidRPr="00126410" w:rsidRDefault="000E7004" w:rsidP="007E117E">
      <w:pPr>
        <w:pStyle w:val="Prrafodelista"/>
        <w:ind w:left="1134" w:firstLine="5027"/>
        <w:jc w:val="both"/>
        <w:rPr>
          <w:noProof/>
        </w:rPr>
      </w:pPr>
    </w:p>
    <w:p w:rsidR="00C26F45" w:rsidRPr="00126410" w:rsidRDefault="00C26F45" w:rsidP="007E117E">
      <w:pPr>
        <w:pStyle w:val="Prrafodelista"/>
        <w:ind w:left="1134" w:firstLine="5027"/>
        <w:jc w:val="both"/>
        <w:rPr>
          <w:noProof/>
        </w:rPr>
      </w:pPr>
    </w:p>
    <w:p w:rsidR="000E7004" w:rsidRPr="00126410" w:rsidRDefault="000E7004" w:rsidP="007E117E">
      <w:pPr>
        <w:pStyle w:val="Prrafodelista"/>
        <w:ind w:left="1134" w:firstLine="5027"/>
        <w:jc w:val="both"/>
        <w:rPr>
          <w:noProof/>
        </w:rPr>
      </w:pPr>
    </w:p>
    <w:sectPr w:rsidR="000E7004" w:rsidRPr="00126410" w:rsidSect="00FA7C05">
      <w:headerReference w:type="default" r:id="rId9"/>
      <w:footerReference w:type="even" r:id="rId10"/>
      <w:pgSz w:w="11900" w:h="16840"/>
      <w:pgMar w:top="1418" w:right="1134" w:bottom="1418" w:left="1134"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DE0" w:rsidRDefault="00004DE0" w:rsidP="00FA7C05">
      <w:r>
        <w:separator/>
      </w:r>
    </w:p>
  </w:endnote>
  <w:endnote w:type="continuationSeparator" w:id="0">
    <w:p w:rsidR="00004DE0" w:rsidRDefault="00004DE0" w:rsidP="00FA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C05" w:rsidRDefault="001059B6" w:rsidP="00D8487F">
    <w:pPr>
      <w:pStyle w:val="Piedepgina"/>
      <w:framePr w:wrap="none" w:vAnchor="text" w:hAnchor="margin" w:xAlign="center" w:y="1"/>
      <w:rPr>
        <w:rStyle w:val="Nmerodepgina"/>
      </w:rPr>
    </w:pPr>
    <w:r>
      <w:rPr>
        <w:rStyle w:val="Nmerodepgina"/>
      </w:rPr>
      <w:fldChar w:fldCharType="begin"/>
    </w:r>
    <w:r w:rsidR="00FA7C05">
      <w:rPr>
        <w:rStyle w:val="Nmerodepgina"/>
      </w:rPr>
      <w:instrText xml:space="preserve">PAGE  </w:instrText>
    </w:r>
    <w:r>
      <w:rPr>
        <w:rStyle w:val="Nmerodepgina"/>
      </w:rPr>
      <w:fldChar w:fldCharType="end"/>
    </w:r>
  </w:p>
  <w:p w:rsidR="00FA7C05" w:rsidRDefault="00FA7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DE0" w:rsidRDefault="00004DE0" w:rsidP="00FA7C05">
      <w:r>
        <w:separator/>
      </w:r>
    </w:p>
  </w:footnote>
  <w:footnote w:type="continuationSeparator" w:id="0">
    <w:p w:rsidR="00004DE0" w:rsidRDefault="00004DE0" w:rsidP="00FA7C05">
      <w:r>
        <w:continuationSeparator/>
      </w:r>
    </w:p>
  </w:footnote>
  <w:footnote w:id="1">
    <w:p w:rsidR="00B76699" w:rsidRPr="00110CDB" w:rsidRDefault="00B76699">
      <w:pPr>
        <w:pStyle w:val="Textonotapie"/>
        <w:rPr>
          <w:lang w:val="es-AR"/>
        </w:rPr>
      </w:pPr>
      <w:r>
        <w:rPr>
          <w:rStyle w:val="Refdenotaalpie"/>
        </w:rPr>
        <w:footnoteRef/>
      </w:r>
      <w:r>
        <w:t xml:space="preserve"> </w:t>
      </w:r>
      <w:r>
        <w:rPr>
          <w:lang w:val="es-ES"/>
        </w:rPr>
        <w:t xml:space="preserve">Véase, entre otros, el mencionado Protocolo de Minnesota disponible en </w:t>
      </w:r>
      <w:hyperlink r:id="rId1" w:history="1">
        <w:r w:rsidRPr="009B6E6F">
          <w:rPr>
            <w:rStyle w:val="Hipervnculo"/>
            <w:lang w:val="es-ES"/>
          </w:rPr>
          <w:t>https://www.ohchr.org/Documents/Publications/MinnesotaProtocol_SP.pdf</w:t>
        </w:r>
      </w:hyperlink>
      <w:r>
        <w:rPr>
          <w:lang w:val="es-ES"/>
        </w:rPr>
        <w:t xml:space="preserve"> , </w:t>
      </w:r>
      <w:r w:rsidRPr="00EC2844">
        <w:rPr>
          <w:rFonts w:ascii="Maiandra GD" w:hAnsi="Maiandra GD"/>
          <w:lang w:val="es-AR"/>
        </w:rPr>
        <w:t xml:space="preserve">INTERPOL, Guía de INTERPOL para la Identificación de Víctimas, </w:t>
      </w:r>
      <w:r>
        <w:rPr>
          <w:rFonts w:ascii="Maiandra GD" w:hAnsi="Maiandra GD"/>
          <w:lang w:val="es-AR"/>
        </w:rPr>
        <w:t xml:space="preserve">diposible en </w:t>
      </w:r>
      <w:r w:rsidRPr="00EC2844">
        <w:rPr>
          <w:rFonts w:ascii="Maiandra GD" w:hAnsi="Maiandra GD"/>
          <w:lang w:val="es-AR"/>
        </w:rPr>
        <w:t xml:space="preserve"> </w:t>
      </w:r>
      <w:hyperlink r:id="rId2" w:history="1">
        <w:r w:rsidRPr="009B6E6F">
          <w:rPr>
            <w:rStyle w:val="Hipervnculo"/>
            <w:rFonts w:ascii="Maiandra GD" w:hAnsi="Maiandra GD"/>
            <w:lang w:val="es-AR"/>
          </w:rPr>
          <w:t>http://www.interpol.int/INTERPOL-expertise/Forensics/DVI-Pages/DVI-guide</w:t>
        </w:r>
      </w:hyperlink>
      <w:r>
        <w:rPr>
          <w:rFonts w:ascii="Maiandra GD" w:hAnsi="Maiandra GD"/>
          <w:lang w:val="es-AR"/>
        </w:rPr>
        <w:t xml:space="preserve"> </w:t>
      </w:r>
      <w:r w:rsidRPr="00110CDB">
        <w:rPr>
          <w:rFonts w:ascii="Maiandra GD" w:hAnsi="Maiandra GD"/>
          <w:lang w:val="es-AR"/>
        </w:rPr>
        <w:t xml:space="preserve"> y  M. Tidball-Binz and D. Van Alphen, eds., Management of Dead Bodies after Disasters: A Field Manual for First Responders, 2016; puede consultarse en  </w:t>
      </w:r>
      <w:hyperlink r:id="rId3" w:history="1">
        <w:r w:rsidRPr="00110CDB">
          <w:rPr>
            <w:rStyle w:val="Hipervnculo"/>
            <w:rFonts w:ascii="Maiandra GD" w:hAnsi="Maiandra GD"/>
            <w:lang w:val="es-AR"/>
          </w:rPr>
          <w:t>www.paho.org/disasters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C05" w:rsidRDefault="00103A3F" w:rsidP="00B978CB">
    <w:pPr>
      <w:pStyle w:val="Encabezado"/>
      <w:ind w:left="993"/>
    </w:pPr>
    <w:r>
      <w:rPr>
        <w:noProof/>
        <w:lang w:val="es-AR" w:eastAsia="es-AR"/>
      </w:rPr>
      <mc:AlternateContent>
        <mc:Choice Requires="wps">
          <w:drawing>
            <wp:anchor distT="4294967295" distB="4294967295" distL="114300" distR="114300" simplePos="0" relativeHeight="251659264" behindDoc="0" locked="0" layoutInCell="1" allowOverlap="1">
              <wp:simplePos x="0" y="0"/>
              <wp:positionH relativeFrom="column">
                <wp:posOffset>668020</wp:posOffset>
              </wp:positionH>
              <wp:positionV relativeFrom="paragraph">
                <wp:posOffset>-15876</wp:posOffset>
              </wp:positionV>
              <wp:extent cx="60864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12728E" id="Conector rec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pt,-1.25pt" to="53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" strokecolor="black [3200]">
              <v:stroke joinstyle="miter"/>
              <o:lock v:ext="edit" shapetype="f"/>
            </v:line>
          </w:pict>
        </mc:Fallback>
      </mc:AlternateContent>
    </w:r>
    <w:r w:rsidR="00B978CB">
      <w:rPr>
        <w:noProof/>
        <w:lang w:val="es-AR" w:eastAsia="es-AR"/>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-1021715</wp:posOffset>
          </wp:positionV>
          <wp:extent cx="2176145" cy="76962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7-11-04 a la(s) 16.49.4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6145" cy="769620"/>
                  </a:xfrm>
                  <a:prstGeom prst="rect">
                    <a:avLst/>
                  </a:prstGeom>
                </pic:spPr>
              </pic:pic>
            </a:graphicData>
          </a:graphic>
        </wp:anchor>
      </w:drawing>
    </w:r>
    <w:r w:rsidR="001D4860">
      <w:rPr>
        <w:noProof/>
        <w:lang w:val="es-AR" w:eastAsia="es-AR"/>
      </w:rPr>
      <w:drawing>
        <wp:anchor distT="0" distB="0" distL="114300" distR="114300" simplePos="0" relativeHeight="251661312" behindDoc="0" locked="0" layoutInCell="1" allowOverlap="1">
          <wp:simplePos x="0" y="0"/>
          <wp:positionH relativeFrom="column">
            <wp:posOffset>4949410</wp:posOffset>
          </wp:positionH>
          <wp:positionV relativeFrom="paragraph">
            <wp:posOffset>-912495</wp:posOffset>
          </wp:positionV>
          <wp:extent cx="1209040" cy="6908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7-11-04 a la(s) 16.49.4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904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81F3D"/>
    <w:multiLevelType w:val="hybridMultilevel"/>
    <w:tmpl w:val="65BA2B3C"/>
    <w:lvl w:ilvl="0" w:tplc="BF1E6860">
      <w:start w:val="181"/>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AA849AC"/>
    <w:multiLevelType w:val="hybridMultilevel"/>
    <w:tmpl w:val="D79E8B0C"/>
    <w:lvl w:ilvl="0" w:tplc="1DD6FCCC">
      <w:start w:val="1"/>
      <w:numFmt w:val="decimal"/>
      <w:lvlText w:val="%1."/>
      <w:lvlJc w:val="left"/>
      <w:pPr>
        <w:ind w:left="6456" w:hanging="360"/>
      </w:pPr>
      <w:rPr>
        <w:rFonts w:hint="default"/>
      </w:rPr>
    </w:lvl>
    <w:lvl w:ilvl="1" w:tplc="2C0A0019" w:tentative="1">
      <w:start w:val="1"/>
      <w:numFmt w:val="lowerLetter"/>
      <w:lvlText w:val="%2."/>
      <w:lvlJc w:val="left"/>
      <w:pPr>
        <w:ind w:left="7176" w:hanging="360"/>
      </w:pPr>
    </w:lvl>
    <w:lvl w:ilvl="2" w:tplc="2C0A001B" w:tentative="1">
      <w:start w:val="1"/>
      <w:numFmt w:val="lowerRoman"/>
      <w:lvlText w:val="%3."/>
      <w:lvlJc w:val="right"/>
      <w:pPr>
        <w:ind w:left="7896" w:hanging="180"/>
      </w:pPr>
    </w:lvl>
    <w:lvl w:ilvl="3" w:tplc="2C0A000F" w:tentative="1">
      <w:start w:val="1"/>
      <w:numFmt w:val="decimal"/>
      <w:lvlText w:val="%4."/>
      <w:lvlJc w:val="left"/>
      <w:pPr>
        <w:ind w:left="8616" w:hanging="360"/>
      </w:pPr>
    </w:lvl>
    <w:lvl w:ilvl="4" w:tplc="2C0A0019" w:tentative="1">
      <w:start w:val="1"/>
      <w:numFmt w:val="lowerLetter"/>
      <w:lvlText w:val="%5."/>
      <w:lvlJc w:val="left"/>
      <w:pPr>
        <w:ind w:left="9336" w:hanging="360"/>
      </w:pPr>
    </w:lvl>
    <w:lvl w:ilvl="5" w:tplc="2C0A001B" w:tentative="1">
      <w:start w:val="1"/>
      <w:numFmt w:val="lowerRoman"/>
      <w:lvlText w:val="%6."/>
      <w:lvlJc w:val="right"/>
      <w:pPr>
        <w:ind w:left="10056" w:hanging="180"/>
      </w:pPr>
    </w:lvl>
    <w:lvl w:ilvl="6" w:tplc="2C0A000F" w:tentative="1">
      <w:start w:val="1"/>
      <w:numFmt w:val="decimal"/>
      <w:lvlText w:val="%7."/>
      <w:lvlJc w:val="left"/>
      <w:pPr>
        <w:ind w:left="10776" w:hanging="360"/>
      </w:pPr>
    </w:lvl>
    <w:lvl w:ilvl="7" w:tplc="2C0A0019" w:tentative="1">
      <w:start w:val="1"/>
      <w:numFmt w:val="lowerLetter"/>
      <w:lvlText w:val="%8."/>
      <w:lvlJc w:val="left"/>
      <w:pPr>
        <w:ind w:left="11496" w:hanging="360"/>
      </w:pPr>
    </w:lvl>
    <w:lvl w:ilvl="8" w:tplc="2C0A001B" w:tentative="1">
      <w:start w:val="1"/>
      <w:numFmt w:val="lowerRoman"/>
      <w:lvlText w:val="%9."/>
      <w:lvlJc w:val="right"/>
      <w:pPr>
        <w:ind w:left="12216" w:hanging="180"/>
      </w:pPr>
    </w:lvl>
  </w:abstractNum>
  <w:abstractNum w:abstractNumId="2" w15:restartNumberingAfterBreak="0">
    <w:nsid w:val="7FA82C30"/>
    <w:multiLevelType w:val="hybridMultilevel"/>
    <w:tmpl w:val="164A89C6"/>
    <w:lvl w:ilvl="0" w:tplc="12967D40">
      <w:start w:val="1"/>
      <w:numFmt w:val="upperLetter"/>
      <w:lvlText w:val="%1."/>
      <w:lvlJc w:val="left"/>
      <w:pPr>
        <w:ind w:left="6521" w:hanging="360"/>
      </w:pPr>
      <w:rPr>
        <w:rFonts w:hint="default"/>
        <w:b/>
      </w:rPr>
    </w:lvl>
    <w:lvl w:ilvl="1" w:tplc="2C0A0019" w:tentative="1">
      <w:start w:val="1"/>
      <w:numFmt w:val="lowerLetter"/>
      <w:lvlText w:val="%2."/>
      <w:lvlJc w:val="left"/>
      <w:pPr>
        <w:ind w:left="7241" w:hanging="360"/>
      </w:pPr>
    </w:lvl>
    <w:lvl w:ilvl="2" w:tplc="2C0A001B" w:tentative="1">
      <w:start w:val="1"/>
      <w:numFmt w:val="lowerRoman"/>
      <w:lvlText w:val="%3."/>
      <w:lvlJc w:val="right"/>
      <w:pPr>
        <w:ind w:left="7961" w:hanging="180"/>
      </w:pPr>
    </w:lvl>
    <w:lvl w:ilvl="3" w:tplc="2C0A000F" w:tentative="1">
      <w:start w:val="1"/>
      <w:numFmt w:val="decimal"/>
      <w:lvlText w:val="%4."/>
      <w:lvlJc w:val="left"/>
      <w:pPr>
        <w:ind w:left="8681" w:hanging="360"/>
      </w:pPr>
    </w:lvl>
    <w:lvl w:ilvl="4" w:tplc="2C0A0019" w:tentative="1">
      <w:start w:val="1"/>
      <w:numFmt w:val="lowerLetter"/>
      <w:lvlText w:val="%5."/>
      <w:lvlJc w:val="left"/>
      <w:pPr>
        <w:ind w:left="9401" w:hanging="360"/>
      </w:pPr>
    </w:lvl>
    <w:lvl w:ilvl="5" w:tplc="2C0A001B" w:tentative="1">
      <w:start w:val="1"/>
      <w:numFmt w:val="lowerRoman"/>
      <w:lvlText w:val="%6."/>
      <w:lvlJc w:val="right"/>
      <w:pPr>
        <w:ind w:left="10121" w:hanging="180"/>
      </w:pPr>
    </w:lvl>
    <w:lvl w:ilvl="6" w:tplc="2C0A000F" w:tentative="1">
      <w:start w:val="1"/>
      <w:numFmt w:val="decimal"/>
      <w:lvlText w:val="%7."/>
      <w:lvlJc w:val="left"/>
      <w:pPr>
        <w:ind w:left="10841" w:hanging="360"/>
      </w:pPr>
    </w:lvl>
    <w:lvl w:ilvl="7" w:tplc="2C0A0019" w:tentative="1">
      <w:start w:val="1"/>
      <w:numFmt w:val="lowerLetter"/>
      <w:lvlText w:val="%8."/>
      <w:lvlJc w:val="left"/>
      <w:pPr>
        <w:ind w:left="11561" w:hanging="360"/>
      </w:pPr>
    </w:lvl>
    <w:lvl w:ilvl="8" w:tplc="2C0A001B" w:tentative="1">
      <w:start w:val="1"/>
      <w:numFmt w:val="lowerRoman"/>
      <w:lvlText w:val="%9."/>
      <w:lvlJc w:val="right"/>
      <w:pPr>
        <w:ind w:left="1228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05"/>
    <w:rsid w:val="00004DE0"/>
    <w:rsid w:val="0001029A"/>
    <w:rsid w:val="00024F28"/>
    <w:rsid w:val="000400BD"/>
    <w:rsid w:val="00083CD6"/>
    <w:rsid w:val="000A63FD"/>
    <w:rsid w:val="000B362E"/>
    <w:rsid w:val="000E7004"/>
    <w:rsid w:val="00103A3F"/>
    <w:rsid w:val="001059B6"/>
    <w:rsid w:val="00110CDB"/>
    <w:rsid w:val="00126410"/>
    <w:rsid w:val="00130EEE"/>
    <w:rsid w:val="001314CC"/>
    <w:rsid w:val="001A6241"/>
    <w:rsid w:val="001D4860"/>
    <w:rsid w:val="00223960"/>
    <w:rsid w:val="00237E2C"/>
    <w:rsid w:val="0026695B"/>
    <w:rsid w:val="002A0A90"/>
    <w:rsid w:val="002D44C7"/>
    <w:rsid w:val="002D5ADB"/>
    <w:rsid w:val="002D7D54"/>
    <w:rsid w:val="00363EF8"/>
    <w:rsid w:val="00393F0A"/>
    <w:rsid w:val="003B3EBB"/>
    <w:rsid w:val="003C5A1F"/>
    <w:rsid w:val="003E59ED"/>
    <w:rsid w:val="003F54A2"/>
    <w:rsid w:val="0044715A"/>
    <w:rsid w:val="004779A4"/>
    <w:rsid w:val="004972A3"/>
    <w:rsid w:val="0052178B"/>
    <w:rsid w:val="00533405"/>
    <w:rsid w:val="005623A6"/>
    <w:rsid w:val="005A13F0"/>
    <w:rsid w:val="005B620C"/>
    <w:rsid w:val="005B6DB3"/>
    <w:rsid w:val="00620D50"/>
    <w:rsid w:val="006232B8"/>
    <w:rsid w:val="00667F78"/>
    <w:rsid w:val="00683BA1"/>
    <w:rsid w:val="006948D6"/>
    <w:rsid w:val="00732636"/>
    <w:rsid w:val="007B5AE5"/>
    <w:rsid w:val="007D72E6"/>
    <w:rsid w:val="007E117E"/>
    <w:rsid w:val="008422D8"/>
    <w:rsid w:val="008A09B2"/>
    <w:rsid w:val="008B0612"/>
    <w:rsid w:val="008B199B"/>
    <w:rsid w:val="008E136E"/>
    <w:rsid w:val="009659E6"/>
    <w:rsid w:val="00980549"/>
    <w:rsid w:val="0099168D"/>
    <w:rsid w:val="0099352D"/>
    <w:rsid w:val="009B7099"/>
    <w:rsid w:val="009D3C19"/>
    <w:rsid w:val="009F1180"/>
    <w:rsid w:val="00A119A6"/>
    <w:rsid w:val="00A57B5A"/>
    <w:rsid w:val="00AD04D8"/>
    <w:rsid w:val="00AE1B2E"/>
    <w:rsid w:val="00AF0C75"/>
    <w:rsid w:val="00B30F16"/>
    <w:rsid w:val="00B36A72"/>
    <w:rsid w:val="00B41E51"/>
    <w:rsid w:val="00B447E0"/>
    <w:rsid w:val="00B56FB7"/>
    <w:rsid w:val="00B76699"/>
    <w:rsid w:val="00B86236"/>
    <w:rsid w:val="00B978CB"/>
    <w:rsid w:val="00BA774F"/>
    <w:rsid w:val="00BB5CBA"/>
    <w:rsid w:val="00BE0C13"/>
    <w:rsid w:val="00C26F45"/>
    <w:rsid w:val="00C303BA"/>
    <w:rsid w:val="00C347FF"/>
    <w:rsid w:val="00C511E2"/>
    <w:rsid w:val="00C748D0"/>
    <w:rsid w:val="00C90E2F"/>
    <w:rsid w:val="00CC1F87"/>
    <w:rsid w:val="00CC60BF"/>
    <w:rsid w:val="00CF415B"/>
    <w:rsid w:val="00D34B27"/>
    <w:rsid w:val="00D572D9"/>
    <w:rsid w:val="00D7442D"/>
    <w:rsid w:val="00DB47DA"/>
    <w:rsid w:val="00DD1A2C"/>
    <w:rsid w:val="00E14F8E"/>
    <w:rsid w:val="00E43989"/>
    <w:rsid w:val="00E45F84"/>
    <w:rsid w:val="00E62E55"/>
    <w:rsid w:val="00E745DF"/>
    <w:rsid w:val="00EC2844"/>
    <w:rsid w:val="00EC31B3"/>
    <w:rsid w:val="00F26A19"/>
    <w:rsid w:val="00F5109C"/>
    <w:rsid w:val="00F82CB6"/>
    <w:rsid w:val="00FA7C05"/>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747E"/>
  <w15:docId w15:val="{01031AA0-173B-4066-8FDA-AB4ED8CE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C05"/>
    <w:pPr>
      <w:tabs>
        <w:tab w:val="center" w:pos="4419"/>
        <w:tab w:val="right" w:pos="8838"/>
      </w:tabs>
    </w:pPr>
  </w:style>
  <w:style w:type="character" w:customStyle="1" w:styleId="EncabezadoCar">
    <w:name w:val="Encabezado Car"/>
    <w:basedOn w:val="Fuentedeprrafopredeter"/>
    <w:link w:val="Encabezado"/>
    <w:uiPriority w:val="99"/>
    <w:rsid w:val="00FA7C05"/>
  </w:style>
  <w:style w:type="paragraph" w:styleId="Piedepgina">
    <w:name w:val="footer"/>
    <w:basedOn w:val="Normal"/>
    <w:link w:val="PiedepginaCar"/>
    <w:uiPriority w:val="99"/>
    <w:unhideWhenUsed/>
    <w:rsid w:val="00FA7C05"/>
    <w:pPr>
      <w:tabs>
        <w:tab w:val="center" w:pos="4419"/>
        <w:tab w:val="right" w:pos="8838"/>
      </w:tabs>
    </w:pPr>
  </w:style>
  <w:style w:type="character" w:customStyle="1" w:styleId="PiedepginaCar">
    <w:name w:val="Pie de página Car"/>
    <w:basedOn w:val="Fuentedeprrafopredeter"/>
    <w:link w:val="Piedepgina"/>
    <w:uiPriority w:val="99"/>
    <w:rsid w:val="00FA7C05"/>
  </w:style>
  <w:style w:type="character" w:styleId="Nmerodepgina">
    <w:name w:val="page number"/>
    <w:basedOn w:val="Fuentedeprrafopredeter"/>
    <w:uiPriority w:val="99"/>
    <w:semiHidden/>
    <w:unhideWhenUsed/>
    <w:rsid w:val="00FA7C05"/>
  </w:style>
  <w:style w:type="paragraph" w:styleId="Prrafodelista">
    <w:name w:val="List Paragraph"/>
    <w:basedOn w:val="Normal"/>
    <w:uiPriority w:val="34"/>
    <w:qFormat/>
    <w:rsid w:val="00B978CB"/>
    <w:pPr>
      <w:ind w:left="720"/>
      <w:contextualSpacing/>
    </w:pPr>
  </w:style>
  <w:style w:type="paragraph" w:styleId="Textodeglobo">
    <w:name w:val="Balloon Text"/>
    <w:basedOn w:val="Normal"/>
    <w:link w:val="TextodegloboCar"/>
    <w:uiPriority w:val="99"/>
    <w:semiHidden/>
    <w:unhideWhenUsed/>
    <w:rsid w:val="000E70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7004"/>
    <w:rPr>
      <w:rFonts w:ascii="Segoe UI" w:hAnsi="Segoe UI" w:cs="Segoe UI"/>
      <w:sz w:val="18"/>
      <w:szCs w:val="18"/>
    </w:rPr>
  </w:style>
  <w:style w:type="paragraph" w:styleId="Textonotapie">
    <w:name w:val="footnote text"/>
    <w:basedOn w:val="Normal"/>
    <w:link w:val="TextonotapieCar"/>
    <w:uiPriority w:val="99"/>
    <w:semiHidden/>
    <w:unhideWhenUsed/>
    <w:rsid w:val="00667F78"/>
    <w:rPr>
      <w:sz w:val="20"/>
      <w:szCs w:val="20"/>
    </w:rPr>
  </w:style>
  <w:style w:type="character" w:customStyle="1" w:styleId="TextonotapieCar">
    <w:name w:val="Texto nota pie Car"/>
    <w:basedOn w:val="Fuentedeprrafopredeter"/>
    <w:link w:val="Textonotapie"/>
    <w:uiPriority w:val="99"/>
    <w:semiHidden/>
    <w:rsid w:val="00667F78"/>
    <w:rPr>
      <w:sz w:val="20"/>
      <w:szCs w:val="20"/>
    </w:rPr>
  </w:style>
  <w:style w:type="character" w:styleId="Refdenotaalpie">
    <w:name w:val="footnote reference"/>
    <w:basedOn w:val="Fuentedeprrafopredeter"/>
    <w:uiPriority w:val="99"/>
    <w:semiHidden/>
    <w:unhideWhenUsed/>
    <w:rsid w:val="00667F78"/>
    <w:rPr>
      <w:vertAlign w:val="superscript"/>
    </w:rPr>
  </w:style>
  <w:style w:type="character" w:styleId="Hipervnculo">
    <w:name w:val="Hyperlink"/>
    <w:basedOn w:val="Fuentedeprrafopredeter"/>
    <w:uiPriority w:val="99"/>
    <w:unhideWhenUsed/>
    <w:rsid w:val="00EC2844"/>
    <w:rPr>
      <w:color w:val="0563C1" w:themeColor="hyperlink"/>
      <w:u w:val="single"/>
    </w:rPr>
  </w:style>
  <w:style w:type="character" w:styleId="Mencinsinresolver">
    <w:name w:val="Unresolved Mention"/>
    <w:basedOn w:val="Fuentedeprrafopredeter"/>
    <w:uiPriority w:val="99"/>
    <w:semiHidden/>
    <w:unhideWhenUsed/>
    <w:rsid w:val="00EC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0093">
      <w:bodyDiv w:val="1"/>
      <w:marLeft w:val="0"/>
      <w:marRight w:val="0"/>
      <w:marTop w:val="0"/>
      <w:marBottom w:val="0"/>
      <w:divBdr>
        <w:top w:val="none" w:sz="0" w:space="0" w:color="auto"/>
        <w:left w:val="none" w:sz="0" w:space="0" w:color="auto"/>
        <w:bottom w:val="none" w:sz="0" w:space="0" w:color="auto"/>
        <w:right w:val="none" w:sz="0" w:space="0" w:color="auto"/>
      </w:divBdr>
    </w:div>
    <w:div w:id="264701486">
      <w:bodyDiv w:val="1"/>
      <w:marLeft w:val="0"/>
      <w:marRight w:val="0"/>
      <w:marTop w:val="0"/>
      <w:marBottom w:val="0"/>
      <w:divBdr>
        <w:top w:val="none" w:sz="0" w:space="0" w:color="auto"/>
        <w:left w:val="none" w:sz="0" w:space="0" w:color="auto"/>
        <w:bottom w:val="none" w:sz="0" w:space="0" w:color="auto"/>
        <w:right w:val="none" w:sz="0" w:space="0" w:color="auto"/>
      </w:divBdr>
    </w:div>
    <w:div w:id="643314689">
      <w:bodyDiv w:val="1"/>
      <w:marLeft w:val="0"/>
      <w:marRight w:val="0"/>
      <w:marTop w:val="0"/>
      <w:marBottom w:val="0"/>
      <w:divBdr>
        <w:top w:val="none" w:sz="0" w:space="0" w:color="auto"/>
        <w:left w:val="none" w:sz="0" w:space="0" w:color="auto"/>
        <w:bottom w:val="none" w:sz="0" w:space="0" w:color="auto"/>
        <w:right w:val="none" w:sz="0" w:space="0" w:color="auto"/>
      </w:divBdr>
    </w:div>
    <w:div w:id="1126196119">
      <w:bodyDiv w:val="1"/>
      <w:marLeft w:val="0"/>
      <w:marRight w:val="0"/>
      <w:marTop w:val="0"/>
      <w:marBottom w:val="0"/>
      <w:divBdr>
        <w:top w:val="none" w:sz="0" w:space="0" w:color="auto"/>
        <w:left w:val="none" w:sz="0" w:space="0" w:color="auto"/>
        <w:bottom w:val="none" w:sz="0" w:space="0" w:color="auto"/>
        <w:right w:val="none" w:sz="0" w:space="0" w:color="auto"/>
      </w:divBdr>
    </w:div>
    <w:div w:id="1575771977">
      <w:bodyDiv w:val="1"/>
      <w:marLeft w:val="0"/>
      <w:marRight w:val="0"/>
      <w:marTop w:val="0"/>
      <w:marBottom w:val="0"/>
      <w:divBdr>
        <w:top w:val="none" w:sz="0" w:space="0" w:color="auto"/>
        <w:left w:val="none" w:sz="0" w:space="0" w:color="auto"/>
        <w:bottom w:val="none" w:sz="0" w:space="0" w:color="auto"/>
        <w:right w:val="none" w:sz="0" w:space="0" w:color="auto"/>
      </w:divBdr>
    </w:div>
    <w:div w:id="1620994464">
      <w:bodyDiv w:val="1"/>
      <w:marLeft w:val="0"/>
      <w:marRight w:val="0"/>
      <w:marTop w:val="0"/>
      <w:marBottom w:val="0"/>
      <w:divBdr>
        <w:top w:val="none" w:sz="0" w:space="0" w:color="auto"/>
        <w:left w:val="none" w:sz="0" w:space="0" w:color="auto"/>
        <w:bottom w:val="none" w:sz="0" w:space="0" w:color="auto"/>
        <w:right w:val="none" w:sz="0" w:space="0" w:color="auto"/>
      </w:divBdr>
    </w:div>
    <w:div w:id="199309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paho.org/disasters" TargetMode="External"/><Relationship Id="rId2" Type="http://schemas.openxmlformats.org/officeDocument/2006/relationships/hyperlink" Target="http://www.interpol.int/INTERPOL-expertise/Forensics/DVI-Pages/DVI-guide" TargetMode="External"/><Relationship Id="rId1" Type="http://schemas.openxmlformats.org/officeDocument/2006/relationships/hyperlink" Target="https://www.ohchr.org/Documents/Publications/MinnesotaProtocol_S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ED3097-F40F-E244-9524-6AC342E22612}">
  <ds:schemaRefs>
    <ds:schemaRef ds:uri="http://schemas.openxmlformats.org/officeDocument/2006/bibliography"/>
  </ds:schemaRefs>
</ds:datastoreItem>
</file>

<file path=customXml/itemProps2.xml><?xml version="1.0" encoding="utf-8"?>
<ds:datastoreItem xmlns:ds="http://schemas.openxmlformats.org/officeDocument/2006/customXml" ds:itemID="{72E3A0B9-5471-4468-9A94-31BA0FB9D952}"/>
</file>

<file path=customXml/itemProps3.xml><?xml version="1.0" encoding="utf-8"?>
<ds:datastoreItem xmlns:ds="http://schemas.openxmlformats.org/officeDocument/2006/customXml" ds:itemID="{913B84D4-4D63-4868-AA63-C88E574F0FAA}"/>
</file>

<file path=customXml/itemProps4.xml><?xml version="1.0" encoding="utf-8"?>
<ds:datastoreItem xmlns:ds="http://schemas.openxmlformats.org/officeDocument/2006/customXml" ds:itemID="{AD2D1ED0-F851-4275-BAB0-D85086244318}"/>
</file>

<file path=docProps/app.xml><?xml version="1.0" encoding="utf-8"?>
<Properties xmlns="http://schemas.openxmlformats.org/officeDocument/2006/extended-properties" xmlns:vt="http://schemas.openxmlformats.org/officeDocument/2006/docPropsVTypes">
  <Template>Normal.dotm</Template>
  <TotalTime>15</TotalTime>
  <Pages>4</Pages>
  <Words>1196</Words>
  <Characters>6581</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Riemann</dc:creator>
  <cp:lastModifiedBy>luis fondebrider</cp:lastModifiedBy>
  <cp:revision>3</cp:revision>
  <cp:lastPrinted>2018-10-04T14:20:00Z</cp:lastPrinted>
  <dcterms:created xsi:type="dcterms:W3CDTF">2019-01-24T05:32:00Z</dcterms:created>
  <dcterms:modified xsi:type="dcterms:W3CDTF">2019-01-24T05:47:00Z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