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12CC" w14:textId="77777777" w:rsidR="0009052F" w:rsidRDefault="006A0437" w:rsidP="000905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57690">
        <w:rPr>
          <w:rFonts w:ascii="Garamond" w:hAnsi="Garamond"/>
          <w:noProof/>
          <w:color w:val="000000" w:themeColor="text1"/>
          <w:lang w:eastAsia="en-PH"/>
        </w:rPr>
        <w:drawing>
          <wp:anchor distT="0" distB="0" distL="114300" distR="114300" simplePos="0" relativeHeight="251659264" behindDoc="1" locked="0" layoutInCell="1" allowOverlap="1" wp14:anchorId="260337BD" wp14:editId="647E1F7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92455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531" y="21412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1EC81" w14:textId="77777777" w:rsidR="0009052F" w:rsidRDefault="0009052F" w:rsidP="000905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PHILIPPINE STATEMENT</w:t>
      </w:r>
    </w:p>
    <w:p w14:paraId="4EDB0D3E" w14:textId="77777777" w:rsidR="0009052F" w:rsidRDefault="007251EC" w:rsidP="000905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ON</w:t>
      </w:r>
      <w:r w:rsidR="000905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THE </w:t>
      </w:r>
    </w:p>
    <w:p w14:paraId="4497F171" w14:textId="51C48879" w:rsidR="0009052F" w:rsidRDefault="0009052F" w:rsidP="000905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79</w:t>
      </w:r>
      <w:r w:rsidRPr="00305D7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SESSION OF THE UN CEDAW COMMITTEE</w:t>
      </w:r>
    </w:p>
    <w:p w14:paraId="55EED20B" w14:textId="77777777" w:rsidR="00B50A61" w:rsidRPr="009B1516" w:rsidRDefault="00B50A61" w:rsidP="00B50A61">
      <w:pPr>
        <w:jc w:val="center"/>
        <w:rPr>
          <w:rFonts w:ascii="Arial Narrow" w:hAnsi="Arial Narrow"/>
          <w:b/>
          <w:bCs/>
          <w:iCs/>
          <w:color w:val="000000"/>
          <w:sz w:val="24"/>
          <w:szCs w:val="24"/>
          <w:shd w:val="clear" w:color="auto" w:fill="FFFFFF"/>
        </w:rPr>
      </w:pPr>
      <w:r w:rsidRPr="009B1516">
        <w:rPr>
          <w:rFonts w:ascii="Arial Narrow" w:hAnsi="Arial Narrow"/>
          <w:b/>
          <w:bCs/>
          <w:iCs/>
          <w:color w:val="000000"/>
          <w:sz w:val="24"/>
          <w:szCs w:val="24"/>
          <w:shd w:val="clear" w:color="auto" w:fill="FFFFFF"/>
        </w:rPr>
        <w:t>21 June to 1 July 2021</w:t>
      </w:r>
    </w:p>
    <w:p w14:paraId="7BB47B65" w14:textId="77777777" w:rsidR="00B50A61" w:rsidRDefault="00B50A61" w:rsidP="000905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A98DE97" w14:textId="5B3CC234" w:rsidR="0025136F" w:rsidRPr="00B50A61" w:rsidRDefault="0009052F" w:rsidP="0025136F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</w:rPr>
      </w:pPr>
      <w:r w:rsidRPr="00B50A61">
        <w:rPr>
          <w:rFonts w:ascii="Arial" w:hAnsi="Arial" w:cs="Arial"/>
          <w:b/>
          <w:bCs/>
          <w:iCs/>
          <w:color w:val="0070C0"/>
          <w:sz w:val="24"/>
          <w:szCs w:val="24"/>
          <w:shd w:val="clear" w:color="auto" w:fill="FFFFFF"/>
        </w:rPr>
        <w:t>Theme:</w:t>
      </w:r>
      <w:r w:rsidRPr="00B50A61">
        <w:rPr>
          <w:rFonts w:ascii="Arial" w:hAnsi="Arial" w:cs="Arial"/>
          <w:b/>
          <w:bCs/>
          <w:i/>
          <w:color w:val="0070C0"/>
          <w:sz w:val="24"/>
          <w:szCs w:val="24"/>
          <w:shd w:val="clear" w:color="auto" w:fill="FFFFFF"/>
        </w:rPr>
        <w:t xml:space="preserve"> </w:t>
      </w:r>
      <w:r w:rsidR="0025136F" w:rsidRPr="00B50A61">
        <w:rPr>
          <w:rFonts w:ascii="Arial" w:hAnsi="Arial" w:cs="Arial"/>
          <w:b/>
          <w:bCs/>
          <w:i/>
          <w:color w:val="0070C0"/>
          <w:sz w:val="24"/>
          <w:szCs w:val="24"/>
          <w:shd w:val="clear" w:color="auto" w:fill="FFFFFF"/>
        </w:rPr>
        <w:t>“</w:t>
      </w:r>
      <w:r w:rsidRPr="00B50A61">
        <w:rPr>
          <w:rFonts w:ascii="Arial" w:hAnsi="Arial" w:cs="Arial"/>
          <w:b/>
          <w:bCs/>
          <w:i/>
          <w:color w:val="0070C0"/>
          <w:sz w:val="24"/>
          <w:szCs w:val="24"/>
          <w:shd w:val="clear" w:color="auto" w:fill="FFFFFF"/>
        </w:rPr>
        <w:t xml:space="preserve">Effective participation, consultation </w:t>
      </w:r>
      <w:r w:rsidR="0025136F" w:rsidRPr="00B50A61">
        <w:rPr>
          <w:rFonts w:ascii="Arial" w:hAnsi="Arial" w:cs="Arial"/>
          <w:b/>
          <w:bCs/>
          <w:i/>
          <w:color w:val="0070C0"/>
          <w:sz w:val="24"/>
          <w:szCs w:val="24"/>
          <w:shd w:val="clear" w:color="auto" w:fill="FFFFFF"/>
        </w:rPr>
        <w:t>and consent of indigenous women</w:t>
      </w:r>
      <w:r w:rsidR="001571DD" w:rsidRPr="00B50A61">
        <w:rPr>
          <w:rFonts w:ascii="Arial" w:hAnsi="Arial" w:cs="Arial"/>
          <w:b/>
          <w:bCs/>
          <w:i/>
          <w:color w:val="0070C0"/>
          <w:sz w:val="24"/>
          <w:szCs w:val="24"/>
          <w:shd w:val="clear" w:color="auto" w:fill="FFFFFF"/>
        </w:rPr>
        <w:t xml:space="preserve"> </w:t>
      </w:r>
      <w:r w:rsidR="0025136F" w:rsidRPr="00B50A61">
        <w:rPr>
          <w:rFonts w:ascii="Arial" w:hAnsi="Arial" w:cs="Arial"/>
          <w:b/>
          <w:bCs/>
          <w:i/>
          <w:color w:val="0070C0"/>
          <w:sz w:val="24"/>
          <w:szCs w:val="24"/>
          <w:shd w:val="clear" w:color="auto" w:fill="FFFFFF"/>
        </w:rPr>
        <w:t>and girls in political and public life”</w:t>
      </w:r>
      <w:r w:rsidR="009B1516" w:rsidRPr="00B50A61">
        <w:rPr>
          <w:rFonts w:ascii="Arial" w:eastAsia="Times New Roman" w:hAnsi="Arial" w:cs="Arial"/>
          <w:color w:val="0070C0"/>
          <w:sz w:val="28"/>
          <w:szCs w:val="28"/>
        </w:rPr>
        <w:t xml:space="preserve"> </w:t>
      </w:r>
    </w:p>
    <w:p w14:paraId="29ADAEB7" w14:textId="77777777" w:rsidR="009B1516" w:rsidRPr="007251EC" w:rsidRDefault="009B1516" w:rsidP="0025136F">
      <w:pPr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</w:pPr>
    </w:p>
    <w:p w14:paraId="3CE1E984" w14:textId="77777777" w:rsidR="0009052F" w:rsidRDefault="0009052F" w:rsidP="0009052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1C83B07" w14:textId="30710A31" w:rsidR="0009052F" w:rsidRDefault="0009052F" w:rsidP="0009052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Chairperson, </w:t>
      </w:r>
      <w:r w:rsidR="00E56AA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istinguished </w:t>
      </w:r>
      <w:r w:rsidR="00E56AA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elegates, </w:t>
      </w:r>
    </w:p>
    <w:p w14:paraId="398D5FB9" w14:textId="77777777" w:rsidR="0009052F" w:rsidRDefault="0009052F" w:rsidP="0009052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7F9E106C" w14:textId="77777777" w:rsidR="0009052F" w:rsidRPr="003670D0" w:rsidRDefault="0009052F" w:rsidP="0009052F">
      <w:pPr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The participation in political and public life of Indigenous Peoples or IPs that include indigenous women and girls </w:t>
      </w:r>
      <w:r w:rsidR="003670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is indeed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crucial to our global goal to build back better.</w:t>
      </w:r>
      <w:r w:rsidR="003670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In order to have IPs benefit on equal footing with the rest of the population, taking measures to respect their cultural integrity should be with their participation, consultation and consent. </w:t>
      </w:r>
    </w:p>
    <w:p w14:paraId="6DE905BA" w14:textId="77777777" w:rsidR="0009052F" w:rsidRDefault="0009052F" w:rsidP="000905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1F8DB293" w14:textId="1DA741E3" w:rsidR="0009052F" w:rsidRDefault="0009052F" w:rsidP="000905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Notably, </w:t>
      </w:r>
      <w:r w:rsidR="0076280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in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the Philippines</w:t>
      </w:r>
      <w:r w:rsidR="00766D0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th</w:t>
      </w:r>
      <w:r w:rsidR="003670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ese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principle</w:t>
      </w:r>
      <w:r w:rsidR="003670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 are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23503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explicitly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enshrined in its constitution</w:t>
      </w:r>
      <w:r w:rsidR="0023503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the fundamental law of the land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and </w:t>
      </w:r>
      <w:r w:rsidR="00CA38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in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Republic Act 8371, the Indigenous Peoples Rights Act or IPRA</w:t>
      </w:r>
      <w:r w:rsidR="0023503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as it is popularly known</w:t>
      </w:r>
      <w:r w:rsidR="0025136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="00941DC5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23503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he right</w:t>
      </w:r>
      <w:r w:rsidR="0023503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of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602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IPs to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participate fully</w:t>
      </w:r>
      <w:r w:rsidR="003670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at all levels of decision-making</w:t>
      </w:r>
      <w:r w:rsidR="003079A5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the equal enjoyment and opportunities of indigenous women with men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in matters which may affect their rights, lives and destinies as well as maintain and develop their Indigenous </w:t>
      </w:r>
      <w:r w:rsidR="003670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Political Structures or IPS and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be given mandatory representation in policy-making bodies and other legislative councils to freely pursue their economic, social and cultural development</w:t>
      </w:r>
      <w:r w:rsidR="007B5CF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with due respect and recognition to the participation of indigenous women on this concerns</w:t>
      </w:r>
      <w:r w:rsidR="003079A5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are</w:t>
      </w:r>
      <w:r w:rsidR="0023503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clearly elaborated and should not be taken for granted.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A086A93" w14:textId="77777777" w:rsidR="0009052F" w:rsidRDefault="0009052F" w:rsidP="000905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1341CB68" w14:textId="343F8531" w:rsidR="006A0437" w:rsidRDefault="0023503C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It is from this premise, that</w:t>
      </w:r>
      <w:r w:rsidR="00941DC5"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09052F" w:rsidRPr="00EA2AEB">
        <w:rPr>
          <w:rFonts w:ascii="Arial" w:hAnsi="Arial" w:cs="Arial"/>
          <w:sz w:val="24"/>
          <w:szCs w:val="24"/>
          <w:shd w:val="clear" w:color="auto" w:fill="FFFFFF"/>
        </w:rPr>
        <w:t>he National Commission on Indigenous Peoples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 NCIP</w:t>
      </w:r>
      <w:r w:rsidR="0009052F" w:rsidRPr="00EA2AEB">
        <w:rPr>
          <w:rFonts w:ascii="Arial" w:hAnsi="Arial" w:cs="Arial"/>
          <w:sz w:val="24"/>
          <w:szCs w:val="24"/>
          <w:shd w:val="clear" w:color="auto" w:fill="FFFFFF"/>
        </w:rPr>
        <w:t xml:space="preserve">, a state mechanism that is mandated to respect, recognize, protect and promote the rights of IPs, </w:t>
      </w:r>
      <w:r w:rsidR="0009052F">
        <w:rPr>
          <w:rFonts w:ascii="Arial" w:hAnsi="Arial" w:cs="Arial"/>
          <w:sz w:val="24"/>
          <w:szCs w:val="24"/>
          <w:shd w:val="clear" w:color="auto" w:fill="FFFFFF"/>
        </w:rPr>
        <w:t>has</w:t>
      </w:r>
      <w:r w:rsidR="0009052F" w:rsidRPr="00EA2A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DC5">
        <w:rPr>
          <w:rFonts w:ascii="Arial" w:hAnsi="Arial" w:cs="Arial"/>
          <w:sz w:val="24"/>
          <w:szCs w:val="24"/>
          <w:shd w:val="clear" w:color="auto" w:fill="FFFFFF"/>
        </w:rPr>
        <w:t>operationalized these basic tenets</w:t>
      </w:r>
      <w:r w:rsidR="00CE2F85">
        <w:rPr>
          <w:rFonts w:ascii="Arial" w:hAnsi="Arial" w:cs="Arial"/>
          <w:sz w:val="24"/>
          <w:szCs w:val="24"/>
          <w:shd w:val="clear" w:color="auto" w:fill="FFFFFF"/>
        </w:rPr>
        <w:t xml:space="preserve">. It facilitates the process whereby </w:t>
      </w:r>
      <w:r w:rsidR="0009052F">
        <w:rPr>
          <w:rFonts w:ascii="Arial" w:hAnsi="Arial" w:cs="Arial"/>
          <w:sz w:val="24"/>
          <w:szCs w:val="24"/>
          <w:shd w:val="clear" w:color="auto" w:fill="FFFFFF"/>
        </w:rPr>
        <w:t xml:space="preserve">IP leaders, women and men alike, </w:t>
      </w:r>
      <w:r w:rsidR="00CE2F85">
        <w:rPr>
          <w:rFonts w:ascii="Arial" w:hAnsi="Arial" w:cs="Arial"/>
          <w:sz w:val="24"/>
          <w:szCs w:val="24"/>
          <w:shd w:val="clear" w:color="auto" w:fill="FFFFFF"/>
        </w:rPr>
        <w:t xml:space="preserve">are </w:t>
      </w:r>
      <w:r w:rsidR="00941DC5">
        <w:rPr>
          <w:rFonts w:ascii="Arial" w:hAnsi="Arial" w:cs="Arial"/>
          <w:sz w:val="24"/>
          <w:szCs w:val="24"/>
          <w:shd w:val="clear" w:color="auto" w:fill="FFFFFF"/>
        </w:rPr>
        <w:t>rather selected not elected by their respective communities themselves guided by their customary laws or indigenous processes</w:t>
      </w:r>
      <w:r w:rsidR="00CE2F85">
        <w:rPr>
          <w:rFonts w:ascii="Arial" w:hAnsi="Arial" w:cs="Arial"/>
          <w:sz w:val="24"/>
          <w:szCs w:val="24"/>
          <w:shd w:val="clear" w:color="auto" w:fill="FFFFFF"/>
        </w:rPr>
        <w:t xml:space="preserve"> to become their IP mandatory representative or IPMRs</w:t>
      </w:r>
      <w:r w:rsidR="00941DC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CE2F85">
        <w:rPr>
          <w:rFonts w:ascii="Arial" w:hAnsi="Arial" w:cs="Arial"/>
          <w:sz w:val="24"/>
          <w:szCs w:val="24"/>
          <w:shd w:val="clear" w:color="auto" w:fill="FFFFFF"/>
        </w:rPr>
        <w:t xml:space="preserve">Coupled with </w:t>
      </w:r>
      <w:r w:rsidR="00766D0E">
        <w:rPr>
          <w:rFonts w:ascii="Arial" w:hAnsi="Arial" w:cs="Arial"/>
          <w:sz w:val="24"/>
          <w:szCs w:val="24"/>
          <w:shd w:val="clear" w:color="auto" w:fill="FFFFFF"/>
        </w:rPr>
        <w:t xml:space="preserve">this, community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F6024F">
        <w:rPr>
          <w:rFonts w:ascii="Arial" w:hAnsi="Arial" w:cs="Arial"/>
          <w:sz w:val="24"/>
          <w:szCs w:val="24"/>
          <w:shd w:val="clear" w:color="auto" w:fill="FFFFFF"/>
        </w:rPr>
        <w:t>onsultations and assemblies encourage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6024F">
        <w:rPr>
          <w:rFonts w:ascii="Arial" w:hAnsi="Arial" w:cs="Arial"/>
          <w:sz w:val="24"/>
          <w:szCs w:val="24"/>
          <w:shd w:val="clear" w:color="auto" w:fill="FFFFFF"/>
        </w:rPr>
        <w:t>indigenous women and girls</w:t>
      </w:r>
      <w:r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F6024F">
        <w:rPr>
          <w:rFonts w:ascii="Arial" w:hAnsi="Arial" w:cs="Arial"/>
          <w:sz w:val="24"/>
          <w:szCs w:val="24"/>
          <w:shd w:val="clear" w:color="auto" w:fill="FFFFFF"/>
        </w:rPr>
        <w:t xml:space="preserve"> participation as it has been more effective and inclusive. </w:t>
      </w:r>
    </w:p>
    <w:p w14:paraId="5E25216E" w14:textId="77777777" w:rsidR="006A0437" w:rsidRDefault="006A0437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81EEEBA" w14:textId="3AD97725" w:rsidR="00F6024F" w:rsidRDefault="0009052F" w:rsidP="00F6024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We 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>support the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CEDAW Committee, to 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 xml:space="preserve">have </w:t>
      </w:r>
      <w:r>
        <w:rPr>
          <w:rFonts w:ascii="Arial" w:hAnsi="Arial" w:cs="Arial"/>
          <w:sz w:val="24"/>
          <w:szCs w:val="24"/>
          <w:shd w:val="clear" w:color="auto" w:fill="FFFFFF"/>
        </w:rPr>
        <w:t>consider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>ed these themes for discussion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6024F">
        <w:rPr>
          <w:rFonts w:ascii="Arial" w:hAnsi="Arial" w:cs="Arial"/>
          <w:sz w:val="24"/>
          <w:szCs w:val="24"/>
          <w:shd w:val="clear" w:color="auto" w:fill="FFFFFF"/>
        </w:rPr>
        <w:t>as we believe, indigenous women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 xml:space="preserve"> and girls have much unique and responsive approaches to share and contribute as they are the current and future</w:t>
      </w:r>
      <w:r w:rsidR="00F6024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6024F" w:rsidRPr="00EA2AEB">
        <w:rPr>
          <w:rFonts w:ascii="Arial" w:hAnsi="Arial" w:cs="Arial"/>
          <w:sz w:val="24"/>
          <w:szCs w:val="24"/>
          <w:shd w:val="clear" w:color="auto" w:fill="FFFFFF"/>
        </w:rPr>
        <w:t xml:space="preserve">are the </w:t>
      </w:r>
      <w:r w:rsidR="00F6024F">
        <w:rPr>
          <w:rFonts w:ascii="Arial" w:hAnsi="Arial" w:cs="Arial"/>
          <w:sz w:val="24"/>
          <w:szCs w:val="24"/>
          <w:shd w:val="clear" w:color="auto" w:fill="FFFFFF"/>
        </w:rPr>
        <w:t>bearers</w:t>
      </w:r>
      <w:r w:rsidR="00F6024F" w:rsidRPr="00EA2AEB">
        <w:rPr>
          <w:rFonts w:ascii="Arial" w:hAnsi="Arial" w:cs="Arial"/>
          <w:sz w:val="24"/>
          <w:szCs w:val="24"/>
          <w:shd w:val="clear" w:color="auto" w:fill="FFFFFF"/>
        </w:rPr>
        <w:t xml:space="preserve"> of indigenous knowledge</w:t>
      </w:r>
      <w:r w:rsidR="00CE2F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D0E">
        <w:rPr>
          <w:rFonts w:ascii="Arial" w:hAnsi="Arial" w:cs="Arial"/>
          <w:sz w:val="24"/>
          <w:szCs w:val="24"/>
          <w:shd w:val="clear" w:color="auto" w:fill="FFFFFF"/>
        </w:rPr>
        <w:t>be it on</w:t>
      </w:r>
      <w:r w:rsidR="00CE2F85">
        <w:rPr>
          <w:rFonts w:ascii="Arial" w:hAnsi="Arial" w:cs="Arial"/>
          <w:sz w:val="24"/>
          <w:szCs w:val="24"/>
          <w:shd w:val="clear" w:color="auto" w:fill="FFFFFF"/>
        </w:rPr>
        <w:t xml:space="preserve"> health</w:t>
      </w:r>
      <w:r w:rsidR="00CE2F85" w:rsidRPr="00EA2AEB">
        <w:rPr>
          <w:rFonts w:ascii="Arial" w:hAnsi="Arial" w:cs="Arial"/>
          <w:sz w:val="24"/>
          <w:szCs w:val="24"/>
          <w:shd w:val="clear" w:color="auto" w:fill="FFFFFF"/>
        </w:rPr>
        <w:t>, agriculture, food, family and community security, environment, land and resources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5B915C9" w14:textId="77777777" w:rsidR="00F6024F" w:rsidRDefault="00F6024F" w:rsidP="0025136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E57EADD" w14:textId="77777777" w:rsidR="001571DD" w:rsidRDefault="001571DD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8858D0B" w14:textId="1BD10FCD" w:rsidR="003670D0" w:rsidRDefault="001E4182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To truly facilitate indigenous women participation in the United Nations, w</w:t>
      </w:r>
      <w:r w:rsidR="0009052F">
        <w:rPr>
          <w:rFonts w:ascii="Arial" w:hAnsi="Arial" w:cs="Arial"/>
          <w:sz w:val="24"/>
          <w:szCs w:val="24"/>
          <w:shd w:val="clear" w:color="auto" w:fill="FFFFFF"/>
        </w:rPr>
        <w:t xml:space="preserve">e also look forward to the 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>establishment of</w:t>
      </w:r>
      <w:r w:rsidR="0009052F">
        <w:rPr>
          <w:rFonts w:ascii="Arial" w:hAnsi="Arial" w:cs="Arial"/>
          <w:sz w:val="24"/>
          <w:szCs w:val="24"/>
          <w:shd w:val="clear" w:color="auto" w:fill="FFFFFF"/>
        </w:rPr>
        <w:t xml:space="preserve"> a category for 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>Indigenous Peoples Political Structures or the equivalent traditional organizations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that has evolved through generations, recognized and respected through IP customary laws</w:t>
      </w:r>
      <w:r w:rsidR="007B5CFF">
        <w:rPr>
          <w:rFonts w:ascii="Arial" w:hAnsi="Arial" w:cs="Arial"/>
          <w:sz w:val="24"/>
          <w:szCs w:val="24"/>
          <w:shd w:val="clear" w:color="auto" w:fill="FFFFFF"/>
        </w:rPr>
        <w:t xml:space="preserve"> where indigenous women are participating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052F">
        <w:rPr>
          <w:rFonts w:ascii="Arial" w:hAnsi="Arial" w:cs="Arial"/>
          <w:sz w:val="24"/>
          <w:szCs w:val="24"/>
          <w:shd w:val="clear" w:color="auto" w:fill="FFFFFF"/>
        </w:rPr>
        <w:t xml:space="preserve">in matters affecting them. </w:t>
      </w:r>
    </w:p>
    <w:p w14:paraId="3680D4B6" w14:textId="77777777" w:rsidR="003670D0" w:rsidRDefault="003670D0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76D0B62" w14:textId="4ED7E50F" w:rsidR="0009052F" w:rsidRDefault="0009052F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For</w:t>
      </w:r>
      <w:r w:rsidR="003670D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given the serious consequences of COVID19 to indigenous communities, effective participation, consultation and consent of indigenous women and girls is </w:t>
      </w:r>
      <w:r w:rsidR="001E4182">
        <w:rPr>
          <w:rFonts w:ascii="Arial" w:hAnsi="Arial" w:cs="Arial"/>
          <w:sz w:val="24"/>
          <w:szCs w:val="24"/>
          <w:shd w:val="clear" w:color="auto" w:fill="FFFFFF"/>
        </w:rPr>
        <w:t>the pivotal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way to build back better. </w:t>
      </w:r>
    </w:p>
    <w:p w14:paraId="7D5A6A17" w14:textId="77777777" w:rsidR="0009052F" w:rsidRDefault="0009052F" w:rsidP="0009052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0A4FD1A" w14:textId="77777777" w:rsidR="0009052F" w:rsidRPr="00CC60BB" w:rsidRDefault="0009052F" w:rsidP="0009052F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>Thank you and good day!</w:t>
      </w:r>
    </w:p>
    <w:p w14:paraId="248E94F4" w14:textId="510BA789" w:rsidR="0009052F" w:rsidRDefault="0009052F" w:rsidP="0009052F"/>
    <w:p w14:paraId="0CF52B90" w14:textId="77777777" w:rsidR="00ED6EA9" w:rsidRDefault="00ED6EA9" w:rsidP="0009052F"/>
    <w:p w14:paraId="3494DB66" w14:textId="77777777" w:rsidR="00ED6EA9" w:rsidRDefault="00ED6EA9" w:rsidP="0009052F"/>
    <w:p w14:paraId="4DB1B8B6" w14:textId="77777777" w:rsidR="00ED6EA9" w:rsidRDefault="00ED6EA9" w:rsidP="0009052F"/>
    <w:p w14:paraId="36080418" w14:textId="77777777" w:rsidR="00ED6EA9" w:rsidRDefault="00ED6EA9" w:rsidP="0009052F"/>
    <w:p w14:paraId="6C91EEB9" w14:textId="77777777" w:rsidR="00ED6EA9" w:rsidRDefault="00ED6EA9" w:rsidP="0009052F"/>
    <w:p w14:paraId="35801F87" w14:textId="77777777" w:rsidR="00ED6EA9" w:rsidRDefault="00ED6EA9" w:rsidP="0009052F"/>
    <w:p w14:paraId="0F463C50" w14:textId="77777777" w:rsidR="00ED6EA9" w:rsidRDefault="00ED6EA9" w:rsidP="0009052F"/>
    <w:p w14:paraId="14847A5E" w14:textId="77777777" w:rsidR="00ED6EA9" w:rsidRDefault="00ED6EA9" w:rsidP="0009052F"/>
    <w:p w14:paraId="39572F8E" w14:textId="77777777" w:rsidR="00ED6EA9" w:rsidRDefault="00ED6EA9" w:rsidP="0009052F"/>
    <w:p w14:paraId="60C83865" w14:textId="77777777" w:rsidR="00ED6EA9" w:rsidRDefault="00ED6EA9" w:rsidP="0009052F"/>
    <w:p w14:paraId="23AF04A1" w14:textId="77777777" w:rsidR="00ED6EA9" w:rsidRDefault="00ED6EA9" w:rsidP="0009052F"/>
    <w:p w14:paraId="0C514CFD" w14:textId="411385E4" w:rsidR="00ED6EA9" w:rsidRPr="00ED6EA9" w:rsidRDefault="00ED6EA9" w:rsidP="0009052F">
      <w:pPr>
        <w:rPr>
          <w:sz w:val="16"/>
          <w:szCs w:val="16"/>
        </w:rPr>
      </w:pPr>
      <w:r w:rsidRPr="00ED6EA9">
        <w:rPr>
          <w:sz w:val="16"/>
          <w:szCs w:val="16"/>
        </w:rPr>
        <w:t>/dayang15June2021</w:t>
      </w:r>
      <w:r w:rsidR="00381CCE">
        <w:rPr>
          <w:sz w:val="16"/>
          <w:szCs w:val="16"/>
        </w:rPr>
        <w:t>sgd</w:t>
      </w:r>
      <w:bookmarkStart w:id="0" w:name="_GoBack"/>
      <w:bookmarkEnd w:id="0"/>
    </w:p>
    <w:sectPr w:rsidR="00ED6EA9" w:rsidRPr="00ED6EA9" w:rsidSect="00157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29D42" w14:textId="77777777" w:rsidR="009E5D99" w:rsidRDefault="009E5D99" w:rsidP="00ED6EA9">
      <w:pPr>
        <w:spacing w:after="0" w:line="240" w:lineRule="auto"/>
      </w:pPr>
      <w:r>
        <w:separator/>
      </w:r>
    </w:p>
  </w:endnote>
  <w:endnote w:type="continuationSeparator" w:id="0">
    <w:p w14:paraId="251130A3" w14:textId="77777777" w:rsidR="009E5D99" w:rsidRDefault="009E5D99" w:rsidP="00ED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3330" w14:textId="77777777" w:rsidR="001571DD" w:rsidRDefault="00157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1828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CD274E" w14:textId="7E282F3F" w:rsidR="00ED6EA9" w:rsidRDefault="00ED6E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C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C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9CAAD" w14:textId="77777777" w:rsidR="00ED6EA9" w:rsidRDefault="00ED6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3818" w14:textId="77777777" w:rsidR="001571DD" w:rsidRDefault="0015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5FD4" w14:textId="77777777" w:rsidR="009E5D99" w:rsidRDefault="009E5D99" w:rsidP="00ED6EA9">
      <w:pPr>
        <w:spacing w:after="0" w:line="240" w:lineRule="auto"/>
      </w:pPr>
      <w:r>
        <w:separator/>
      </w:r>
    </w:p>
  </w:footnote>
  <w:footnote w:type="continuationSeparator" w:id="0">
    <w:p w14:paraId="0EB2909A" w14:textId="77777777" w:rsidR="009E5D99" w:rsidRDefault="009E5D99" w:rsidP="00ED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FC0A7" w14:textId="77777777" w:rsidR="001571DD" w:rsidRDefault="00157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BBC9E" w14:textId="0513BC70" w:rsidR="001571DD" w:rsidRDefault="00157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E516" w14:textId="77777777" w:rsidR="001571DD" w:rsidRDefault="00157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2F"/>
    <w:rsid w:val="0003217A"/>
    <w:rsid w:val="00077764"/>
    <w:rsid w:val="0009052F"/>
    <w:rsid w:val="001571DD"/>
    <w:rsid w:val="0019399D"/>
    <w:rsid w:val="001E4182"/>
    <w:rsid w:val="0023503C"/>
    <w:rsid w:val="0025136F"/>
    <w:rsid w:val="003079A5"/>
    <w:rsid w:val="003670D0"/>
    <w:rsid w:val="00381CCE"/>
    <w:rsid w:val="003A096C"/>
    <w:rsid w:val="00591A84"/>
    <w:rsid w:val="00612B1C"/>
    <w:rsid w:val="006724F1"/>
    <w:rsid w:val="006A0437"/>
    <w:rsid w:val="007251EC"/>
    <w:rsid w:val="00762807"/>
    <w:rsid w:val="00766D0E"/>
    <w:rsid w:val="00794D6E"/>
    <w:rsid w:val="007B5CFF"/>
    <w:rsid w:val="0089191E"/>
    <w:rsid w:val="008B20CF"/>
    <w:rsid w:val="00941DC5"/>
    <w:rsid w:val="009B1516"/>
    <w:rsid w:val="009E5D99"/>
    <w:rsid w:val="00A66FBD"/>
    <w:rsid w:val="00B50A61"/>
    <w:rsid w:val="00B96134"/>
    <w:rsid w:val="00CA3870"/>
    <w:rsid w:val="00CE2F85"/>
    <w:rsid w:val="00E13127"/>
    <w:rsid w:val="00E56AA8"/>
    <w:rsid w:val="00ED6EA9"/>
    <w:rsid w:val="00F6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066BE"/>
  <w15:docId w15:val="{8C7BB5C8-62DD-4ABA-9930-8CC6268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A9"/>
  </w:style>
  <w:style w:type="paragraph" w:styleId="Footer">
    <w:name w:val="footer"/>
    <w:basedOn w:val="Normal"/>
    <w:link w:val="FooterChar"/>
    <w:uiPriority w:val="99"/>
    <w:unhideWhenUsed/>
    <w:rsid w:val="00ED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A9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96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96134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739E3-A425-4661-B470-DBA070E69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7288C-1FB2-445C-8768-F9D9C7AC742F}"/>
</file>

<file path=customXml/itemProps3.xml><?xml version="1.0" encoding="utf-8"?>
<ds:datastoreItem xmlns:ds="http://schemas.openxmlformats.org/officeDocument/2006/customXml" ds:itemID="{91786916-C7D4-4982-8E72-2B5F7B2FB76E}"/>
</file>

<file path=customXml/itemProps4.xml><?xml version="1.0" encoding="utf-8"?>
<ds:datastoreItem xmlns:ds="http://schemas.openxmlformats.org/officeDocument/2006/customXml" ds:itemID="{C58AEE33-B38C-4996-8174-D355792D0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acer22</dc:creator>
  <cp:keywords/>
  <dc:description/>
  <cp:lastModifiedBy>acer22</cp:lastModifiedBy>
  <cp:revision>2</cp:revision>
  <cp:lastPrinted>2021-06-17T04:38:00Z</cp:lastPrinted>
  <dcterms:created xsi:type="dcterms:W3CDTF">2021-06-18T10:56:00Z</dcterms:created>
  <dcterms:modified xsi:type="dcterms:W3CDTF">2021-06-18T10:56:00Z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