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A5C8C" w14:textId="26AD0A49" w:rsidR="009548D3" w:rsidRDefault="00C32FCA">
      <w:pPr>
        <w:pStyle w:val="Default"/>
        <w:jc w:val="both"/>
        <w:rPr>
          <w:sz w:val="22"/>
          <w:szCs w:val="22"/>
          <w:shd w:val="clear" w:color="auto" w:fill="FFFFFF"/>
        </w:rPr>
      </w:pPr>
      <w:r>
        <w:rPr>
          <w:rFonts w:ascii="Verdana" w:hAnsi="Verdana"/>
          <w:b/>
          <w:bCs/>
          <w:sz w:val="28"/>
          <w:szCs w:val="28"/>
          <w:shd w:val="clear" w:color="auto" w:fill="FFFFFF"/>
        </w:rPr>
        <w:t>Violence and harassment agai</w:t>
      </w:r>
      <w:bookmarkStart w:id="0" w:name="_GoBack"/>
      <w:bookmarkEnd w:id="0"/>
      <w:r>
        <w:rPr>
          <w:rFonts w:ascii="Verdana" w:hAnsi="Verdana"/>
          <w:b/>
          <w:bCs/>
          <w:sz w:val="28"/>
          <w:szCs w:val="28"/>
          <w:shd w:val="clear" w:color="auto" w:fill="FFFFFF"/>
        </w:rPr>
        <w:t>nst women and girls in the wor</w:t>
      </w:r>
      <w:r w:rsidR="001B1AF8">
        <w:rPr>
          <w:rFonts w:ascii="Verdana" w:hAnsi="Verdana"/>
          <w:b/>
          <w:bCs/>
          <w:sz w:val="28"/>
          <w:szCs w:val="28"/>
          <w:shd w:val="clear" w:color="auto" w:fill="FFFFFF"/>
        </w:rPr>
        <w:t xml:space="preserve">ld of work </w:t>
      </w:r>
      <w:r>
        <w:rPr>
          <w:rFonts w:ascii="Verdana" w:hAnsi="Verdana"/>
          <w:b/>
          <w:bCs/>
          <w:sz w:val="28"/>
          <w:szCs w:val="28"/>
          <w:shd w:val="clear" w:color="auto" w:fill="FFFFFF"/>
        </w:rPr>
        <w:t>is a human rights violation, say independent</w:t>
      </w:r>
      <w:r w:rsidR="001E6A0D">
        <w:rPr>
          <w:rFonts w:ascii="Verdana" w:hAnsi="Verdana"/>
          <w:b/>
          <w:bCs/>
          <w:sz w:val="28"/>
          <w:szCs w:val="28"/>
          <w:shd w:val="clear" w:color="auto" w:fill="FFFFFF"/>
        </w:rPr>
        <w:t xml:space="preserve"> </w:t>
      </w:r>
      <w:r>
        <w:rPr>
          <w:rFonts w:ascii="Verdana" w:hAnsi="Verdana"/>
          <w:b/>
          <w:bCs/>
          <w:sz w:val="28"/>
          <w:szCs w:val="28"/>
          <w:shd w:val="clear" w:color="auto" w:fill="FFFFFF"/>
        </w:rPr>
        <w:t xml:space="preserve">human rights mechanisms on violence against women </w:t>
      </w:r>
      <w:r w:rsidR="00957CC3">
        <w:rPr>
          <w:rFonts w:ascii="Verdana" w:hAnsi="Verdana"/>
          <w:b/>
          <w:bCs/>
          <w:sz w:val="28"/>
          <w:szCs w:val="28"/>
          <w:shd w:val="clear" w:color="auto" w:fill="FFFFFF"/>
        </w:rPr>
        <w:t xml:space="preserve">and women’s rights </w:t>
      </w:r>
    </w:p>
    <w:p w14:paraId="755D2113" w14:textId="77777777" w:rsidR="009548D3" w:rsidRDefault="009548D3">
      <w:pPr>
        <w:pStyle w:val="Default"/>
        <w:jc w:val="both"/>
        <w:rPr>
          <w:sz w:val="22"/>
          <w:szCs w:val="22"/>
          <w:shd w:val="clear" w:color="auto" w:fill="FFFFFF"/>
        </w:rPr>
      </w:pPr>
    </w:p>
    <w:p w14:paraId="10CADB47" w14:textId="77777777" w:rsidR="009548D3" w:rsidRDefault="009548D3">
      <w:pPr>
        <w:pStyle w:val="Default"/>
        <w:jc w:val="both"/>
        <w:rPr>
          <w:sz w:val="22"/>
          <w:szCs w:val="22"/>
          <w:shd w:val="clear" w:color="auto" w:fill="FFFFFF"/>
        </w:rPr>
      </w:pPr>
    </w:p>
    <w:p w14:paraId="514AF28E" w14:textId="17322B86" w:rsidR="009548D3" w:rsidRDefault="00A570A2">
      <w:pPr>
        <w:pStyle w:val="Default"/>
        <w:jc w:val="both"/>
        <w:rPr>
          <w:sz w:val="22"/>
          <w:szCs w:val="22"/>
        </w:rPr>
      </w:pPr>
      <w:r>
        <w:rPr>
          <w:sz w:val="22"/>
          <w:szCs w:val="22"/>
          <w:shd w:val="clear" w:color="auto" w:fill="FFFFFF"/>
        </w:rPr>
        <w:t>(</w:t>
      </w:r>
      <w:r w:rsidR="001F648E">
        <w:rPr>
          <w:sz w:val="22"/>
          <w:szCs w:val="22"/>
          <w:shd w:val="clear" w:color="auto" w:fill="FFFFFF"/>
        </w:rPr>
        <w:t xml:space="preserve">31 </w:t>
      </w:r>
      <w:r w:rsidR="00C32FCA">
        <w:rPr>
          <w:sz w:val="22"/>
          <w:szCs w:val="22"/>
          <w:shd w:val="clear" w:color="auto" w:fill="FFFFFF"/>
        </w:rPr>
        <w:t>May 2019) GENEVA - The platform of independent United Nations and regional expert mechanisms on violence against women and women’s rights</w:t>
      </w:r>
      <w:r w:rsidR="001E6A0D">
        <w:rPr>
          <w:rStyle w:val="FootnoteReference"/>
          <w:sz w:val="22"/>
          <w:szCs w:val="22"/>
          <w:shd w:val="clear" w:color="auto" w:fill="FFFFFF"/>
        </w:rPr>
        <w:footnoteReference w:id="2"/>
      </w:r>
      <w:r w:rsidR="00C32FCA">
        <w:rPr>
          <w:i/>
          <w:iCs/>
          <w:sz w:val="22"/>
          <w:szCs w:val="22"/>
          <w:shd w:val="clear" w:color="auto" w:fill="FFFFFF"/>
        </w:rPr>
        <w:t xml:space="preserve"> </w:t>
      </w:r>
      <w:r w:rsidR="00C462A3" w:rsidRPr="00A570A2">
        <w:rPr>
          <w:iCs/>
          <w:sz w:val="22"/>
          <w:szCs w:val="22"/>
          <w:shd w:val="clear" w:color="auto" w:fill="FFFFFF"/>
        </w:rPr>
        <w:t>has followed with keen interest the ongoing negotiations of a new International  Labour Organisation (ILO) instrument to address violence and harassment in the world of work and</w:t>
      </w:r>
      <w:r w:rsidR="00C462A3">
        <w:rPr>
          <w:i/>
          <w:iCs/>
          <w:sz w:val="22"/>
          <w:szCs w:val="22"/>
          <w:shd w:val="clear" w:color="auto" w:fill="FFFFFF"/>
        </w:rPr>
        <w:t xml:space="preserve"> </w:t>
      </w:r>
      <w:r w:rsidR="00C32FCA">
        <w:rPr>
          <w:sz w:val="22"/>
          <w:szCs w:val="22"/>
          <w:shd w:val="clear" w:color="auto" w:fill="FFFFFF"/>
        </w:rPr>
        <w:t>express</w:t>
      </w:r>
      <w:r w:rsidR="0041149F">
        <w:rPr>
          <w:sz w:val="22"/>
          <w:szCs w:val="22"/>
          <w:shd w:val="clear" w:color="auto" w:fill="FFFFFF"/>
        </w:rPr>
        <w:t>e</w:t>
      </w:r>
      <w:r w:rsidR="00C462A3">
        <w:rPr>
          <w:sz w:val="22"/>
          <w:szCs w:val="22"/>
          <w:shd w:val="clear" w:color="auto" w:fill="FFFFFF"/>
        </w:rPr>
        <w:t>s</w:t>
      </w:r>
      <w:r w:rsidR="00C32FCA">
        <w:rPr>
          <w:sz w:val="22"/>
          <w:szCs w:val="22"/>
          <w:shd w:val="clear" w:color="auto" w:fill="FFFFFF"/>
        </w:rPr>
        <w:t xml:space="preserve"> concern </w:t>
      </w:r>
      <w:r w:rsidR="008E5612">
        <w:rPr>
          <w:sz w:val="22"/>
          <w:szCs w:val="22"/>
          <w:shd w:val="clear" w:color="auto" w:fill="FFFFFF"/>
        </w:rPr>
        <w:t>at</w:t>
      </w:r>
      <w:r w:rsidR="00C32FCA">
        <w:rPr>
          <w:sz w:val="22"/>
          <w:szCs w:val="22"/>
          <w:shd w:val="clear" w:color="auto" w:fill="FFFFFF"/>
        </w:rPr>
        <w:t xml:space="preserve"> </w:t>
      </w:r>
      <w:r w:rsidR="0041149F">
        <w:rPr>
          <w:sz w:val="22"/>
          <w:szCs w:val="22"/>
          <w:shd w:val="clear" w:color="auto" w:fill="FFFFFF"/>
        </w:rPr>
        <w:t xml:space="preserve">the </w:t>
      </w:r>
      <w:r w:rsidR="00C32FCA">
        <w:rPr>
          <w:sz w:val="22"/>
          <w:szCs w:val="22"/>
          <w:shd w:val="clear" w:color="auto" w:fill="FFFFFF"/>
        </w:rPr>
        <w:t xml:space="preserve">possibility of </w:t>
      </w:r>
      <w:r w:rsidR="00270A65">
        <w:rPr>
          <w:sz w:val="22"/>
          <w:szCs w:val="22"/>
          <w:shd w:val="clear" w:color="auto" w:fill="FFFFFF"/>
        </w:rPr>
        <w:t>eroding</w:t>
      </w:r>
      <w:r w:rsidR="00C32FCA">
        <w:rPr>
          <w:sz w:val="22"/>
          <w:szCs w:val="22"/>
          <w:shd w:val="clear" w:color="auto" w:fill="FFFFFF"/>
        </w:rPr>
        <w:t xml:space="preserve"> </w:t>
      </w:r>
      <w:r w:rsidR="00BE6377">
        <w:rPr>
          <w:sz w:val="22"/>
          <w:szCs w:val="22"/>
          <w:shd w:val="clear" w:color="auto" w:fill="FFFFFF"/>
        </w:rPr>
        <w:t>already accepted</w:t>
      </w:r>
      <w:r w:rsidR="00C32FCA">
        <w:rPr>
          <w:sz w:val="22"/>
          <w:szCs w:val="22"/>
          <w:shd w:val="clear" w:color="auto" w:fill="FFFFFF"/>
        </w:rPr>
        <w:t xml:space="preserve"> international </w:t>
      </w:r>
      <w:r w:rsidR="001E6A0D">
        <w:rPr>
          <w:sz w:val="22"/>
          <w:szCs w:val="22"/>
          <w:shd w:val="clear" w:color="auto" w:fill="FFFFFF"/>
        </w:rPr>
        <w:t>standards</w:t>
      </w:r>
      <w:r w:rsidR="00C32FCA">
        <w:rPr>
          <w:sz w:val="22"/>
          <w:szCs w:val="22"/>
          <w:shd w:val="clear" w:color="auto" w:fill="FFFFFF"/>
        </w:rPr>
        <w:t xml:space="preserve"> on women’s rights</w:t>
      </w:r>
      <w:r w:rsidR="0041149F">
        <w:rPr>
          <w:sz w:val="22"/>
          <w:szCs w:val="22"/>
          <w:shd w:val="clear" w:color="auto" w:fill="FFFFFF"/>
        </w:rPr>
        <w:t xml:space="preserve">, including </w:t>
      </w:r>
      <w:r w:rsidR="00C32FCA">
        <w:rPr>
          <w:sz w:val="22"/>
          <w:szCs w:val="22"/>
          <w:shd w:val="clear" w:color="auto" w:fill="FFFFFF"/>
        </w:rPr>
        <w:t xml:space="preserve">harassment as a form of </w:t>
      </w:r>
      <w:r w:rsidR="001F648E">
        <w:rPr>
          <w:sz w:val="22"/>
          <w:szCs w:val="22"/>
          <w:shd w:val="clear" w:color="auto" w:fill="FFFFFF"/>
        </w:rPr>
        <w:t xml:space="preserve">gender-based </w:t>
      </w:r>
      <w:r w:rsidR="00C32FCA">
        <w:rPr>
          <w:sz w:val="22"/>
          <w:szCs w:val="22"/>
          <w:shd w:val="clear" w:color="auto" w:fill="FFFFFF"/>
        </w:rPr>
        <w:t>violence</w:t>
      </w:r>
      <w:r w:rsidR="00BE6377">
        <w:rPr>
          <w:sz w:val="22"/>
          <w:szCs w:val="22"/>
          <w:shd w:val="clear" w:color="auto" w:fill="FFFFFF"/>
        </w:rPr>
        <w:t>. The</w:t>
      </w:r>
      <w:r w:rsidR="0041149F">
        <w:rPr>
          <w:sz w:val="22"/>
          <w:szCs w:val="22"/>
          <w:shd w:val="clear" w:color="auto" w:fill="FFFFFF"/>
        </w:rPr>
        <w:t xml:space="preserve"> Platform</w:t>
      </w:r>
      <w:r w:rsidR="00C32FCA">
        <w:rPr>
          <w:sz w:val="22"/>
          <w:szCs w:val="22"/>
          <w:shd w:val="clear" w:color="auto" w:fill="FFFFFF"/>
        </w:rPr>
        <w:t xml:space="preserve"> call</w:t>
      </w:r>
      <w:r w:rsidR="00F306FD">
        <w:rPr>
          <w:sz w:val="22"/>
          <w:szCs w:val="22"/>
          <w:shd w:val="clear" w:color="auto" w:fill="FFFFFF"/>
        </w:rPr>
        <w:t>s</w:t>
      </w:r>
      <w:r w:rsidR="00BE6377">
        <w:rPr>
          <w:sz w:val="22"/>
          <w:szCs w:val="22"/>
          <w:shd w:val="clear" w:color="auto" w:fill="FFFFFF"/>
        </w:rPr>
        <w:t xml:space="preserve"> on</w:t>
      </w:r>
      <w:r w:rsidR="00C32FCA">
        <w:rPr>
          <w:sz w:val="22"/>
          <w:szCs w:val="22"/>
          <w:shd w:val="clear" w:color="auto" w:fill="FFFFFF"/>
        </w:rPr>
        <w:t xml:space="preserve"> all States</w:t>
      </w:r>
      <w:r w:rsidR="001E6A0D">
        <w:rPr>
          <w:sz w:val="22"/>
          <w:szCs w:val="22"/>
          <w:shd w:val="clear" w:color="auto" w:fill="FFFFFF"/>
        </w:rPr>
        <w:t xml:space="preserve"> taking part in the negotiations</w:t>
      </w:r>
      <w:r w:rsidR="00C32FCA">
        <w:rPr>
          <w:sz w:val="22"/>
          <w:szCs w:val="22"/>
          <w:shd w:val="clear" w:color="auto" w:fill="FFFFFF"/>
        </w:rPr>
        <w:t xml:space="preserve"> to uphold standard</w:t>
      </w:r>
      <w:r w:rsidR="001E6A0D">
        <w:rPr>
          <w:sz w:val="22"/>
          <w:szCs w:val="22"/>
          <w:shd w:val="clear" w:color="auto" w:fill="FFFFFF"/>
        </w:rPr>
        <w:t>s</w:t>
      </w:r>
      <w:r w:rsidR="00C32FCA">
        <w:rPr>
          <w:sz w:val="22"/>
          <w:szCs w:val="22"/>
          <w:shd w:val="clear" w:color="auto" w:fill="FFFFFF"/>
        </w:rPr>
        <w:t xml:space="preserve"> from </w:t>
      </w:r>
      <w:r w:rsidR="008E5612">
        <w:rPr>
          <w:sz w:val="22"/>
          <w:szCs w:val="22"/>
          <w:shd w:val="clear" w:color="auto" w:fill="FFFFFF"/>
        </w:rPr>
        <w:t xml:space="preserve">the </w:t>
      </w:r>
      <w:r w:rsidR="008E5612" w:rsidRPr="00DA76AB">
        <w:rPr>
          <w:color w:val="auto"/>
          <w:sz w:val="22"/>
          <w:szCs w:val="22"/>
          <w:shd w:val="clear" w:color="auto" w:fill="FFFFFF"/>
        </w:rPr>
        <w:t xml:space="preserve">Convention on the Elimination of all Forms of </w:t>
      </w:r>
      <w:r w:rsidR="008E5612">
        <w:rPr>
          <w:color w:val="auto"/>
          <w:sz w:val="22"/>
          <w:szCs w:val="22"/>
          <w:shd w:val="clear" w:color="auto" w:fill="FFFFFF"/>
        </w:rPr>
        <w:t>Discrimination a</w:t>
      </w:r>
      <w:r w:rsidR="008E5612" w:rsidRPr="00DA76AB">
        <w:rPr>
          <w:color w:val="auto"/>
          <w:sz w:val="22"/>
          <w:szCs w:val="22"/>
          <w:shd w:val="clear" w:color="auto" w:fill="FFFFFF"/>
        </w:rPr>
        <w:t>gainst Women</w:t>
      </w:r>
      <w:r w:rsidR="000823E0">
        <w:rPr>
          <w:color w:val="auto"/>
          <w:sz w:val="22"/>
          <w:szCs w:val="22"/>
          <w:shd w:val="clear" w:color="auto" w:fill="FFFFFF"/>
        </w:rPr>
        <w:t xml:space="preserve"> (CEDAW), the Declaration on the Elimination of Violence against Women, </w:t>
      </w:r>
      <w:r w:rsidR="001E6A0D">
        <w:rPr>
          <w:sz w:val="22"/>
          <w:szCs w:val="22"/>
          <w:shd w:val="clear" w:color="auto" w:fill="FFFFFF"/>
        </w:rPr>
        <w:t>the</w:t>
      </w:r>
      <w:r w:rsidR="001D297A">
        <w:rPr>
          <w:sz w:val="22"/>
          <w:szCs w:val="22"/>
          <w:shd w:val="clear" w:color="auto" w:fill="FFFFFF"/>
        </w:rPr>
        <w:t xml:space="preserve"> </w:t>
      </w:r>
      <w:r w:rsidR="001D297A" w:rsidRPr="001D297A">
        <w:rPr>
          <w:color w:val="auto"/>
          <w:sz w:val="22"/>
          <w:szCs w:val="22"/>
          <w:shd w:val="clear" w:color="auto" w:fill="FFFFFF"/>
        </w:rPr>
        <w:t>Inter-American </w:t>
      </w:r>
      <w:r w:rsidR="001D297A" w:rsidRPr="00DA76AB">
        <w:rPr>
          <w:rStyle w:val="Emphasis"/>
          <w:bCs/>
          <w:i w:val="0"/>
          <w:iCs w:val="0"/>
          <w:color w:val="auto"/>
          <w:sz w:val="22"/>
          <w:szCs w:val="22"/>
          <w:shd w:val="clear" w:color="auto" w:fill="FFFFFF"/>
        </w:rPr>
        <w:t>Convention</w:t>
      </w:r>
      <w:r w:rsidR="001D297A" w:rsidRPr="001D297A">
        <w:rPr>
          <w:color w:val="auto"/>
          <w:sz w:val="22"/>
          <w:szCs w:val="22"/>
          <w:shd w:val="clear" w:color="auto" w:fill="FFFFFF"/>
        </w:rPr>
        <w:t> on the Prevention, Punishment, and Eradication of Violence against Women</w:t>
      </w:r>
      <w:r w:rsidR="00DA76AB">
        <w:rPr>
          <w:color w:val="auto"/>
          <w:sz w:val="22"/>
          <w:szCs w:val="22"/>
          <w:shd w:val="clear" w:color="auto" w:fill="FFFFFF"/>
        </w:rPr>
        <w:t>, known as</w:t>
      </w:r>
      <w:r w:rsidR="001E6A0D" w:rsidRPr="001D297A">
        <w:rPr>
          <w:color w:val="auto"/>
          <w:sz w:val="22"/>
          <w:szCs w:val="22"/>
          <w:shd w:val="clear" w:color="auto" w:fill="FFFFFF"/>
        </w:rPr>
        <w:t xml:space="preserve"> </w:t>
      </w:r>
      <w:r w:rsidR="00ED309B">
        <w:rPr>
          <w:sz w:val="22"/>
          <w:szCs w:val="22"/>
        </w:rPr>
        <w:t>Belém do Pará</w:t>
      </w:r>
      <w:r w:rsidR="00DA76AB">
        <w:rPr>
          <w:sz w:val="22"/>
          <w:szCs w:val="22"/>
        </w:rPr>
        <w:t xml:space="preserve"> Convention</w:t>
      </w:r>
      <w:r w:rsidR="00ED309B">
        <w:rPr>
          <w:sz w:val="22"/>
          <w:szCs w:val="22"/>
        </w:rPr>
        <w:t xml:space="preserve">, </w:t>
      </w:r>
      <w:r w:rsidR="00DA76AB">
        <w:rPr>
          <w:sz w:val="22"/>
          <w:szCs w:val="22"/>
        </w:rPr>
        <w:t>t</w:t>
      </w:r>
      <w:r w:rsidR="00DA76AB" w:rsidRPr="00DA76AB">
        <w:rPr>
          <w:rStyle w:val="Emphasis"/>
          <w:bCs/>
          <w:i w:val="0"/>
          <w:iCs w:val="0"/>
          <w:color w:val="auto"/>
          <w:sz w:val="22"/>
          <w:szCs w:val="22"/>
          <w:shd w:val="clear" w:color="auto" w:fill="FFFFFF"/>
        </w:rPr>
        <w:t xml:space="preserve">he Protocol to the African Charter on Human and Peoples' Rights on the Rights </w:t>
      </w:r>
      <w:r w:rsidR="00DA76AB" w:rsidRPr="00DA76AB">
        <w:rPr>
          <w:rStyle w:val="Emphasis"/>
          <w:bCs/>
          <w:i w:val="0"/>
          <w:iCs w:val="0"/>
          <w:color w:val="auto"/>
          <w:sz w:val="22"/>
          <w:szCs w:val="22"/>
          <w:shd w:val="clear" w:color="auto" w:fill="FFFFFF"/>
        </w:rPr>
        <w:lastRenderedPageBreak/>
        <w:t>of Women in Africa</w:t>
      </w:r>
      <w:r w:rsidR="00DA76AB">
        <w:rPr>
          <w:color w:val="auto"/>
          <w:sz w:val="22"/>
          <w:szCs w:val="22"/>
        </w:rPr>
        <w:t>, known as Maputo Protocol</w:t>
      </w:r>
      <w:r w:rsidR="00DA76AB" w:rsidRPr="00DA76AB">
        <w:rPr>
          <w:color w:val="auto"/>
          <w:sz w:val="22"/>
          <w:szCs w:val="22"/>
        </w:rPr>
        <w:t xml:space="preserve"> </w:t>
      </w:r>
      <w:r w:rsidR="00ED309B" w:rsidRPr="00DA76AB">
        <w:rPr>
          <w:color w:val="auto"/>
          <w:sz w:val="22"/>
          <w:szCs w:val="22"/>
        </w:rPr>
        <w:t>and the</w:t>
      </w:r>
      <w:r w:rsidR="00DA76AB">
        <w:rPr>
          <w:rStyle w:val="Hyperlink"/>
          <w:bCs/>
          <w:iCs/>
          <w:color w:val="auto"/>
          <w:sz w:val="22"/>
          <w:szCs w:val="22"/>
          <w:u w:val="none"/>
          <w:shd w:val="clear" w:color="auto" w:fill="FFFFFF"/>
        </w:rPr>
        <w:t xml:space="preserve"> </w:t>
      </w:r>
      <w:r w:rsidR="00DA76AB" w:rsidRPr="00DA76AB">
        <w:rPr>
          <w:rStyle w:val="Emphasis"/>
          <w:bCs/>
          <w:i w:val="0"/>
          <w:iCs w:val="0"/>
          <w:color w:val="auto"/>
          <w:sz w:val="22"/>
          <w:szCs w:val="22"/>
          <w:shd w:val="clear" w:color="auto" w:fill="FFFFFF"/>
        </w:rPr>
        <w:t>Council of Europe Convention on preventing and combating violence against women and domestic violence</w:t>
      </w:r>
      <w:r w:rsidR="00DA76AB">
        <w:rPr>
          <w:rStyle w:val="Emphasis"/>
          <w:bCs/>
          <w:i w:val="0"/>
          <w:iCs w:val="0"/>
          <w:color w:val="auto"/>
          <w:sz w:val="22"/>
          <w:szCs w:val="22"/>
          <w:shd w:val="clear" w:color="auto" w:fill="FFFFFF"/>
        </w:rPr>
        <w:t>, known as the Istanbul Convention</w:t>
      </w:r>
      <w:r w:rsidR="00C32FCA" w:rsidRPr="00DA76AB">
        <w:rPr>
          <w:color w:val="auto"/>
          <w:sz w:val="22"/>
          <w:szCs w:val="22"/>
          <w:shd w:val="clear" w:color="auto" w:fill="FFFFFF"/>
        </w:rPr>
        <w:t xml:space="preserve">. </w:t>
      </w:r>
    </w:p>
    <w:p w14:paraId="43482187" w14:textId="77777777" w:rsidR="009548D3" w:rsidRPr="00034D58" w:rsidRDefault="009548D3">
      <w:pPr>
        <w:pStyle w:val="Default"/>
        <w:jc w:val="both"/>
        <w:rPr>
          <w:b/>
          <w:spacing w:val="60"/>
          <w:sz w:val="22"/>
          <w:szCs w:val="2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14:paraId="413B201E" w14:textId="270600FB" w:rsidR="009548D3" w:rsidRDefault="00C32FCA">
      <w:pPr>
        <w:pStyle w:val="Default"/>
        <w:jc w:val="both"/>
        <w:rPr>
          <w:sz w:val="22"/>
          <w:szCs w:val="22"/>
        </w:rPr>
      </w:pPr>
      <w:r>
        <w:rPr>
          <w:sz w:val="22"/>
          <w:szCs w:val="22"/>
          <w:shd w:val="clear" w:color="auto" w:fill="FFFFFF"/>
        </w:rPr>
        <w:t xml:space="preserve">The regressive positions </w:t>
      </w:r>
      <w:r w:rsidR="0041149F">
        <w:rPr>
          <w:sz w:val="22"/>
          <w:szCs w:val="22"/>
          <w:shd w:val="clear" w:color="auto" w:fill="FFFFFF"/>
        </w:rPr>
        <w:t>expressed by</w:t>
      </w:r>
      <w:r w:rsidR="00ED309B">
        <w:rPr>
          <w:sz w:val="22"/>
          <w:szCs w:val="22"/>
          <w:shd w:val="clear" w:color="auto" w:fill="FFFFFF"/>
        </w:rPr>
        <w:t xml:space="preserve"> some</w:t>
      </w:r>
      <w:r>
        <w:rPr>
          <w:sz w:val="22"/>
          <w:szCs w:val="22"/>
          <w:shd w:val="clear" w:color="auto" w:fill="FFFFFF"/>
        </w:rPr>
        <w:t xml:space="preserve"> States during the negotiations of th</w:t>
      </w:r>
      <w:r w:rsidR="0041149F">
        <w:rPr>
          <w:sz w:val="22"/>
          <w:szCs w:val="22"/>
          <w:shd w:val="clear" w:color="auto" w:fill="FFFFFF"/>
        </w:rPr>
        <w:t>is</w:t>
      </w:r>
      <w:r>
        <w:rPr>
          <w:sz w:val="22"/>
          <w:szCs w:val="22"/>
          <w:shd w:val="clear" w:color="auto" w:fill="FFFFFF"/>
        </w:rPr>
        <w:t xml:space="preserve"> new ILO instrument </w:t>
      </w:r>
      <w:r w:rsidR="0041149F">
        <w:rPr>
          <w:sz w:val="22"/>
          <w:szCs w:val="22"/>
          <w:shd w:val="clear" w:color="auto" w:fill="FFFFFF"/>
        </w:rPr>
        <w:t>are</w:t>
      </w:r>
      <w:r>
        <w:rPr>
          <w:sz w:val="22"/>
          <w:szCs w:val="22"/>
          <w:shd w:val="clear" w:color="auto" w:fill="FFFFFF"/>
        </w:rPr>
        <w:t xml:space="preserve"> another attempt to </w:t>
      </w:r>
      <w:r w:rsidR="00270A65">
        <w:rPr>
          <w:sz w:val="22"/>
          <w:szCs w:val="22"/>
          <w:shd w:val="clear" w:color="auto" w:fill="FFFFFF"/>
        </w:rPr>
        <w:t>water down</w:t>
      </w:r>
      <w:r>
        <w:rPr>
          <w:sz w:val="22"/>
          <w:szCs w:val="22"/>
          <w:shd w:val="clear" w:color="auto" w:fill="FFFFFF"/>
        </w:rPr>
        <w:t xml:space="preserve"> women’s </w:t>
      </w:r>
      <w:r w:rsidR="0033608E">
        <w:rPr>
          <w:sz w:val="22"/>
          <w:szCs w:val="22"/>
          <w:shd w:val="clear" w:color="auto" w:fill="FFFFFF"/>
        </w:rPr>
        <w:t xml:space="preserve">human </w:t>
      </w:r>
      <w:r>
        <w:rPr>
          <w:sz w:val="22"/>
          <w:szCs w:val="22"/>
          <w:shd w:val="clear" w:color="auto" w:fill="FFFFFF"/>
        </w:rPr>
        <w:t>rights</w:t>
      </w:r>
      <w:r w:rsidR="00162579">
        <w:rPr>
          <w:sz w:val="22"/>
          <w:szCs w:val="22"/>
          <w:shd w:val="clear" w:color="auto" w:fill="FFFFFF"/>
        </w:rPr>
        <w:t xml:space="preserve">, in </w:t>
      </w:r>
      <w:r w:rsidR="00270A65">
        <w:rPr>
          <w:sz w:val="22"/>
          <w:szCs w:val="22"/>
          <w:shd w:val="clear" w:color="auto" w:fill="FFFFFF"/>
        </w:rPr>
        <w:t>a</w:t>
      </w:r>
      <w:r w:rsidR="00A570A2">
        <w:rPr>
          <w:sz w:val="22"/>
          <w:szCs w:val="22"/>
          <w:shd w:val="clear" w:color="auto" w:fill="FFFFFF"/>
        </w:rPr>
        <w:t xml:space="preserve"> context of </w:t>
      </w:r>
      <w:r w:rsidR="00162579">
        <w:rPr>
          <w:sz w:val="22"/>
          <w:szCs w:val="22"/>
        </w:rPr>
        <w:t>rollback</w:t>
      </w:r>
      <w:r w:rsidR="00270A65">
        <w:rPr>
          <w:sz w:val="22"/>
          <w:szCs w:val="22"/>
        </w:rPr>
        <w:t>s</w:t>
      </w:r>
      <w:r w:rsidR="00162579">
        <w:rPr>
          <w:sz w:val="22"/>
          <w:szCs w:val="22"/>
        </w:rPr>
        <w:t xml:space="preserve"> on </w:t>
      </w:r>
      <w:r w:rsidR="00270A65">
        <w:rPr>
          <w:sz w:val="22"/>
          <w:szCs w:val="22"/>
        </w:rPr>
        <w:t>these</w:t>
      </w:r>
      <w:r w:rsidR="00162579">
        <w:rPr>
          <w:sz w:val="22"/>
          <w:szCs w:val="22"/>
        </w:rPr>
        <w:t xml:space="preserve"> rights which have been occurring in several regional and international fora and at the national level, as recently affirmed in the Platform’s joint statement</w:t>
      </w:r>
      <w:r w:rsidR="001F648E">
        <w:rPr>
          <w:rStyle w:val="FootnoteReference"/>
          <w:sz w:val="22"/>
          <w:szCs w:val="22"/>
        </w:rPr>
        <w:footnoteReference w:id="3"/>
      </w:r>
      <w:r w:rsidR="00A346F7">
        <w:rPr>
          <w:sz w:val="22"/>
          <w:szCs w:val="22"/>
        </w:rPr>
        <w:t xml:space="preserve"> </w:t>
      </w:r>
      <w:r w:rsidR="00A346F7" w:rsidRPr="00A346F7">
        <w:rPr>
          <w:sz w:val="22"/>
          <w:szCs w:val="22"/>
        </w:rPr>
        <w:t>and during the conference organized by the Council of Europe “</w:t>
      </w:r>
      <w:r w:rsidR="00A346F7" w:rsidRPr="00A346F7">
        <w:rPr>
          <w:sz w:val="22"/>
          <w:szCs w:val="22"/>
        </w:rPr>
        <w:t>Women’s rights at the Crossroads: strengthening international cooperation to close the gap between legal frameworks and their implementation</w:t>
      </w:r>
      <w:r w:rsidR="00A346F7" w:rsidRPr="00A346F7">
        <w:rPr>
          <w:sz w:val="22"/>
          <w:szCs w:val="22"/>
        </w:rPr>
        <w:t>” held in Strasbourg on 24 May 2019</w:t>
      </w:r>
      <w:r w:rsidR="00162579">
        <w:rPr>
          <w:sz w:val="22"/>
          <w:szCs w:val="22"/>
        </w:rPr>
        <w:t>.</w:t>
      </w:r>
      <w:r w:rsidR="00A570A2">
        <w:rPr>
          <w:sz w:val="22"/>
          <w:szCs w:val="22"/>
          <w:shd w:val="clear" w:color="auto" w:fill="FFFFFF"/>
        </w:rPr>
        <w:t xml:space="preserve"> </w:t>
      </w:r>
      <w:r>
        <w:rPr>
          <w:sz w:val="22"/>
          <w:szCs w:val="22"/>
        </w:rPr>
        <w:t>Some of the</w:t>
      </w:r>
      <w:r w:rsidR="008E5612">
        <w:rPr>
          <w:sz w:val="22"/>
          <w:szCs w:val="22"/>
        </w:rPr>
        <w:t>se</w:t>
      </w:r>
      <w:r>
        <w:rPr>
          <w:sz w:val="22"/>
          <w:szCs w:val="22"/>
        </w:rPr>
        <w:t xml:space="preserve"> </w:t>
      </w:r>
      <w:r w:rsidR="00BE6377">
        <w:rPr>
          <w:sz w:val="22"/>
          <w:szCs w:val="22"/>
        </w:rPr>
        <w:t>positions denied</w:t>
      </w:r>
      <w:r>
        <w:rPr>
          <w:sz w:val="22"/>
          <w:szCs w:val="22"/>
        </w:rPr>
        <w:t xml:space="preserve"> that violence and harassment against women and girls </w:t>
      </w:r>
      <w:r w:rsidR="00A570A2">
        <w:rPr>
          <w:sz w:val="22"/>
          <w:szCs w:val="22"/>
        </w:rPr>
        <w:t>constitute human</w:t>
      </w:r>
      <w:r>
        <w:rPr>
          <w:sz w:val="22"/>
          <w:szCs w:val="22"/>
        </w:rPr>
        <w:t xml:space="preserve"> rights violation</w:t>
      </w:r>
      <w:r w:rsidR="0033608E">
        <w:rPr>
          <w:sz w:val="22"/>
          <w:szCs w:val="22"/>
        </w:rPr>
        <w:t>s</w:t>
      </w:r>
      <w:r>
        <w:rPr>
          <w:sz w:val="22"/>
          <w:szCs w:val="22"/>
        </w:rPr>
        <w:t>, while others asserted that not all forms of violence and harassment in the workplace would amount to a violation of human rights. After years of struggle</w:t>
      </w:r>
      <w:r w:rsidR="00162579">
        <w:rPr>
          <w:sz w:val="22"/>
          <w:szCs w:val="22"/>
        </w:rPr>
        <w:t xml:space="preserve"> for</w:t>
      </w:r>
      <w:r>
        <w:rPr>
          <w:sz w:val="22"/>
          <w:szCs w:val="22"/>
        </w:rPr>
        <w:t xml:space="preserve"> and achievemen</w:t>
      </w:r>
      <w:r w:rsidR="0041149F">
        <w:rPr>
          <w:sz w:val="22"/>
          <w:szCs w:val="22"/>
        </w:rPr>
        <w:t>ts</w:t>
      </w:r>
      <w:r>
        <w:rPr>
          <w:sz w:val="22"/>
          <w:szCs w:val="22"/>
        </w:rPr>
        <w:t xml:space="preserve"> on women’s rights, we are witnessing an unacceptable erosion of the global consensus that violence and harassment against women and girls are human rights violations</w:t>
      </w:r>
      <w:r w:rsidR="001F648E">
        <w:rPr>
          <w:sz w:val="22"/>
          <w:szCs w:val="22"/>
        </w:rPr>
        <w:t xml:space="preserve">. </w:t>
      </w:r>
    </w:p>
    <w:p w14:paraId="144C0434" w14:textId="77777777" w:rsidR="009548D3" w:rsidRDefault="009548D3">
      <w:pPr>
        <w:pStyle w:val="Default"/>
        <w:jc w:val="both"/>
        <w:rPr>
          <w:sz w:val="22"/>
          <w:szCs w:val="22"/>
        </w:rPr>
      </w:pPr>
    </w:p>
    <w:p w14:paraId="0DE05D2F" w14:textId="2C606830" w:rsidR="000522C1" w:rsidRPr="00A570A2" w:rsidRDefault="00C32FCA" w:rsidP="000522C1">
      <w:pPr>
        <w:pStyle w:val="Default"/>
        <w:jc w:val="both"/>
        <w:rPr>
          <w:rFonts w:eastAsia="Times New Roman"/>
          <w:sz w:val="22"/>
          <w:szCs w:val="22"/>
        </w:rPr>
      </w:pPr>
      <w:r w:rsidRPr="00BE6377">
        <w:rPr>
          <w:sz w:val="22"/>
          <w:szCs w:val="22"/>
        </w:rPr>
        <w:t>In 1993</w:t>
      </w:r>
      <w:r w:rsidR="008E5612">
        <w:rPr>
          <w:sz w:val="22"/>
          <w:szCs w:val="22"/>
        </w:rPr>
        <w:t>,</w:t>
      </w:r>
      <w:r w:rsidRPr="00BE6377">
        <w:rPr>
          <w:sz w:val="22"/>
          <w:szCs w:val="22"/>
        </w:rPr>
        <w:t xml:space="preserve"> the Declaration on the Elimination of Violence against Women explicitly affirmed that “violence against women constitutes a violation of the rights and fundamental freedoms of women and impairs or nullifies their enjoyment of those rights and freedom” </w:t>
      </w:r>
      <w:r w:rsidR="00BE6377" w:rsidRPr="00BE6377">
        <w:rPr>
          <w:sz w:val="22"/>
          <w:szCs w:val="22"/>
        </w:rPr>
        <w:t xml:space="preserve">and it encompasses, at its article 2, </w:t>
      </w:r>
      <w:r w:rsidR="00BE6377" w:rsidRPr="00BE6377">
        <w:rPr>
          <w:color w:val="auto"/>
          <w:sz w:val="22"/>
          <w:szCs w:val="22"/>
          <w:shd w:val="clear" w:color="auto" w:fill="FFFFFF"/>
        </w:rPr>
        <w:t>sexua</w:t>
      </w:r>
      <w:r w:rsidR="00BE6377">
        <w:rPr>
          <w:color w:val="auto"/>
          <w:sz w:val="22"/>
          <w:szCs w:val="22"/>
          <w:shd w:val="clear" w:color="auto" w:fill="FFFFFF"/>
        </w:rPr>
        <w:t>l harassment and intimidation at work</w:t>
      </w:r>
      <w:r w:rsidRPr="00BE6377">
        <w:rPr>
          <w:sz w:val="22"/>
          <w:szCs w:val="22"/>
        </w:rPr>
        <w:t xml:space="preserve">. Other international and regional instruments </w:t>
      </w:r>
      <w:r w:rsidR="00BE6377">
        <w:rPr>
          <w:sz w:val="22"/>
          <w:szCs w:val="22"/>
        </w:rPr>
        <w:t>also uphold that</w:t>
      </w:r>
      <w:r w:rsidRPr="00BE6377">
        <w:rPr>
          <w:sz w:val="22"/>
          <w:szCs w:val="22"/>
        </w:rPr>
        <w:t xml:space="preserve"> violence against women is a h</w:t>
      </w:r>
      <w:r w:rsidR="00BE6377">
        <w:rPr>
          <w:sz w:val="22"/>
          <w:szCs w:val="22"/>
        </w:rPr>
        <w:t xml:space="preserve">uman rights violation and that </w:t>
      </w:r>
      <w:r w:rsidRPr="00BE6377">
        <w:rPr>
          <w:sz w:val="22"/>
          <w:szCs w:val="22"/>
        </w:rPr>
        <w:t>States have an</w:t>
      </w:r>
      <w:r w:rsidR="001E6A0D">
        <w:rPr>
          <w:sz w:val="22"/>
          <w:szCs w:val="22"/>
        </w:rPr>
        <w:t xml:space="preserve"> obligation of due diligence</w:t>
      </w:r>
      <w:r w:rsidR="00270A65">
        <w:rPr>
          <w:sz w:val="22"/>
          <w:szCs w:val="22"/>
        </w:rPr>
        <w:t xml:space="preserve"> in preventing such violence, prosecuting perpetrators and providing redress to victims of such violence</w:t>
      </w:r>
      <w:r w:rsidR="001E6A0D">
        <w:rPr>
          <w:sz w:val="22"/>
          <w:szCs w:val="22"/>
        </w:rPr>
        <w:t xml:space="preserve">.  The CEDAW Committee in </w:t>
      </w:r>
      <w:r w:rsidR="00F66CF1">
        <w:rPr>
          <w:sz w:val="22"/>
          <w:szCs w:val="22"/>
        </w:rPr>
        <w:t>General Recommendation No. 35</w:t>
      </w:r>
      <w:r w:rsidR="002E6533">
        <w:rPr>
          <w:sz w:val="22"/>
          <w:szCs w:val="22"/>
        </w:rPr>
        <w:t xml:space="preserve"> </w:t>
      </w:r>
      <w:r w:rsidR="008E5612">
        <w:rPr>
          <w:sz w:val="22"/>
          <w:szCs w:val="22"/>
        </w:rPr>
        <w:t xml:space="preserve">(2017) on gender-based violence against women, updating general recommendation No. 19, </w:t>
      </w:r>
      <w:r w:rsidR="002E6533" w:rsidRPr="00CA16BC">
        <w:rPr>
          <w:color w:val="auto"/>
          <w:sz w:val="22"/>
          <w:szCs w:val="22"/>
        </w:rPr>
        <w:t xml:space="preserve">at paragraph 14 </w:t>
      </w:r>
      <w:r w:rsidR="00BE6377" w:rsidRPr="00CA16BC">
        <w:rPr>
          <w:color w:val="auto"/>
          <w:sz w:val="22"/>
          <w:szCs w:val="22"/>
        </w:rPr>
        <w:t>affirmed that</w:t>
      </w:r>
      <w:r w:rsidR="001E6A0D" w:rsidRPr="00CA16BC">
        <w:rPr>
          <w:color w:val="auto"/>
          <w:sz w:val="22"/>
          <w:szCs w:val="22"/>
        </w:rPr>
        <w:t xml:space="preserve"> harassment is a form of gender-based violence and</w:t>
      </w:r>
      <w:r w:rsidR="002E6533" w:rsidRPr="00CA16BC">
        <w:rPr>
          <w:color w:val="auto"/>
          <w:sz w:val="22"/>
          <w:szCs w:val="22"/>
        </w:rPr>
        <w:t>, at paragraph 24 (b),</w:t>
      </w:r>
      <w:r w:rsidR="001E6A0D" w:rsidRPr="00CA16BC">
        <w:rPr>
          <w:color w:val="auto"/>
          <w:sz w:val="22"/>
          <w:szCs w:val="22"/>
        </w:rPr>
        <w:t xml:space="preserve"> </w:t>
      </w:r>
      <w:r>
        <w:rPr>
          <w:sz w:val="22"/>
          <w:szCs w:val="22"/>
        </w:rPr>
        <w:t xml:space="preserve">that “States will be responsible if they fail to take all appropriate measures to prevent as well as to investigate, prosecute, punish and provide reparation for acts or omissions by non-State actors which result in gender-based violence against women”. </w:t>
      </w:r>
      <w:r w:rsidR="001E6A0D" w:rsidRPr="001E6A0D">
        <w:rPr>
          <w:sz w:val="22"/>
          <w:szCs w:val="22"/>
        </w:rPr>
        <w:t xml:space="preserve">The Istanbul Convention, </w:t>
      </w:r>
      <w:r w:rsidR="008E5612">
        <w:rPr>
          <w:sz w:val="22"/>
          <w:szCs w:val="22"/>
        </w:rPr>
        <w:t>in</w:t>
      </w:r>
      <w:r w:rsidR="001E6A0D" w:rsidRPr="001E6A0D">
        <w:rPr>
          <w:sz w:val="22"/>
          <w:szCs w:val="22"/>
        </w:rPr>
        <w:t xml:space="preserve"> its article 40, </w:t>
      </w:r>
      <w:r w:rsidR="00A346F7">
        <w:rPr>
          <w:sz w:val="22"/>
          <w:szCs w:val="22"/>
        </w:rPr>
        <w:t xml:space="preserve">requires </w:t>
      </w:r>
      <w:r w:rsidR="008E5612">
        <w:rPr>
          <w:sz w:val="22"/>
          <w:szCs w:val="22"/>
        </w:rPr>
        <w:t xml:space="preserve">that </w:t>
      </w:r>
      <w:r w:rsidR="001E6A0D" w:rsidRPr="001E6A0D">
        <w:rPr>
          <w:sz w:val="22"/>
          <w:szCs w:val="22"/>
        </w:rPr>
        <w:t xml:space="preserve">States take “the necessary legislative or other measures to ensure that any form of </w:t>
      </w:r>
      <w:r w:rsidR="001E6A0D" w:rsidRPr="001E6A0D">
        <w:rPr>
          <w:sz w:val="22"/>
          <w:szCs w:val="22"/>
        </w:rPr>
        <w:lastRenderedPageBreak/>
        <w:t>unwanted verbal, non‐verbal or physical conduct of a sexual nature with the purpose or effect of violating the dignity of a person, in particular when creating an intimidating, hostile, degrading, humiliating or offensive environment, is subject to criminal or other legal sanction”.</w:t>
      </w:r>
      <w:r w:rsidR="00A346F7">
        <w:rPr>
          <w:sz w:val="22"/>
          <w:szCs w:val="22"/>
        </w:rPr>
        <w:t xml:space="preserve"> Articles 33, 35 and 36 of the Istanbul Convention, respectively on psychological violence, physical violence and sexual violence</w:t>
      </w:r>
      <w:r w:rsidR="00550EC8">
        <w:rPr>
          <w:sz w:val="22"/>
          <w:szCs w:val="22"/>
        </w:rPr>
        <w:t>,</w:t>
      </w:r>
      <w:r w:rsidR="00A346F7">
        <w:rPr>
          <w:sz w:val="22"/>
          <w:szCs w:val="22"/>
        </w:rPr>
        <w:t xml:space="preserve"> also set standards that are applicable in the</w:t>
      </w:r>
      <w:r w:rsidR="00550EC8">
        <w:rPr>
          <w:sz w:val="22"/>
          <w:szCs w:val="22"/>
        </w:rPr>
        <w:t xml:space="preserve"> prevention of violence against women in the</w:t>
      </w:r>
      <w:r w:rsidR="00A346F7">
        <w:rPr>
          <w:sz w:val="22"/>
          <w:szCs w:val="22"/>
        </w:rPr>
        <w:t xml:space="preserve"> workplace. </w:t>
      </w:r>
      <w:r w:rsidR="00741334">
        <w:rPr>
          <w:sz w:val="22"/>
          <w:szCs w:val="22"/>
        </w:rPr>
        <w:t xml:space="preserve"> The </w:t>
      </w:r>
      <w:r w:rsidR="00571DEE">
        <w:rPr>
          <w:sz w:val="22"/>
          <w:szCs w:val="22"/>
        </w:rPr>
        <w:t>P</w:t>
      </w:r>
      <w:r w:rsidR="00741334">
        <w:rPr>
          <w:sz w:val="22"/>
          <w:szCs w:val="22"/>
        </w:rPr>
        <w:t xml:space="preserve">rotocol to the African Charter on </w:t>
      </w:r>
      <w:r w:rsidR="00571DEE">
        <w:rPr>
          <w:sz w:val="22"/>
          <w:szCs w:val="22"/>
        </w:rPr>
        <w:t>Human and Peoples’ Rights on the Rights of Wo</w:t>
      </w:r>
      <w:r w:rsidR="00741334">
        <w:rPr>
          <w:sz w:val="22"/>
          <w:szCs w:val="22"/>
        </w:rPr>
        <w:t xml:space="preserve">men in </w:t>
      </w:r>
      <w:r w:rsidR="00571DEE">
        <w:rPr>
          <w:sz w:val="22"/>
          <w:szCs w:val="22"/>
        </w:rPr>
        <w:t>A</w:t>
      </w:r>
      <w:r w:rsidR="00741334">
        <w:rPr>
          <w:sz w:val="22"/>
          <w:szCs w:val="22"/>
        </w:rPr>
        <w:t>frica</w:t>
      </w:r>
      <w:r w:rsidR="000823E0">
        <w:rPr>
          <w:sz w:val="22"/>
          <w:szCs w:val="22"/>
        </w:rPr>
        <w:t xml:space="preserve"> at</w:t>
      </w:r>
      <w:r w:rsidR="00A570A2">
        <w:rPr>
          <w:sz w:val="22"/>
          <w:szCs w:val="22"/>
        </w:rPr>
        <w:t xml:space="preserve"> a</w:t>
      </w:r>
      <w:r w:rsidR="00571DEE">
        <w:rPr>
          <w:sz w:val="22"/>
          <w:szCs w:val="22"/>
        </w:rPr>
        <w:t>rticle 3</w:t>
      </w:r>
      <w:r w:rsidR="0033608E">
        <w:rPr>
          <w:sz w:val="22"/>
          <w:szCs w:val="22"/>
        </w:rPr>
        <w:t xml:space="preserve"> </w:t>
      </w:r>
      <w:r w:rsidR="00741334">
        <w:rPr>
          <w:sz w:val="22"/>
          <w:szCs w:val="22"/>
        </w:rPr>
        <w:t xml:space="preserve">obligates </w:t>
      </w:r>
      <w:r w:rsidR="00DE41E3">
        <w:rPr>
          <w:sz w:val="22"/>
          <w:szCs w:val="22"/>
        </w:rPr>
        <w:t xml:space="preserve">States </w:t>
      </w:r>
      <w:r w:rsidR="00741334">
        <w:rPr>
          <w:sz w:val="22"/>
          <w:szCs w:val="22"/>
        </w:rPr>
        <w:t>to</w:t>
      </w:r>
      <w:r w:rsidR="00571DEE">
        <w:rPr>
          <w:sz w:val="22"/>
          <w:szCs w:val="22"/>
        </w:rPr>
        <w:t xml:space="preserve"> adopt </w:t>
      </w:r>
      <w:r w:rsidR="00741334">
        <w:rPr>
          <w:sz w:val="22"/>
          <w:szCs w:val="22"/>
        </w:rPr>
        <w:t>appropriate m</w:t>
      </w:r>
      <w:r w:rsidR="00571DEE">
        <w:rPr>
          <w:sz w:val="22"/>
          <w:szCs w:val="22"/>
        </w:rPr>
        <w:t>easures</w:t>
      </w:r>
      <w:r w:rsidR="00741334">
        <w:rPr>
          <w:sz w:val="22"/>
          <w:szCs w:val="22"/>
        </w:rPr>
        <w:t xml:space="preserve"> </w:t>
      </w:r>
      <w:r w:rsidR="00571DEE">
        <w:rPr>
          <w:sz w:val="22"/>
          <w:szCs w:val="22"/>
        </w:rPr>
        <w:t xml:space="preserve">to </w:t>
      </w:r>
      <w:r w:rsidR="002E6533" w:rsidRPr="00CA16BC">
        <w:rPr>
          <w:sz w:val="22"/>
          <w:szCs w:val="22"/>
        </w:rPr>
        <w:t>“</w:t>
      </w:r>
      <w:r w:rsidR="00571DEE" w:rsidRPr="00CA16BC">
        <w:rPr>
          <w:sz w:val="22"/>
          <w:szCs w:val="22"/>
        </w:rPr>
        <w:t xml:space="preserve">ensure the protection of every woman’s right to respect for her dignity and </w:t>
      </w:r>
      <w:r w:rsidR="00C12542" w:rsidRPr="00CA16BC">
        <w:rPr>
          <w:sz w:val="22"/>
          <w:szCs w:val="22"/>
        </w:rPr>
        <w:t xml:space="preserve">protection of women from </w:t>
      </w:r>
      <w:r w:rsidR="00571DEE" w:rsidRPr="00CA16BC">
        <w:rPr>
          <w:sz w:val="22"/>
          <w:szCs w:val="22"/>
        </w:rPr>
        <w:t>all forms of violence</w:t>
      </w:r>
      <w:r w:rsidR="00A570A2" w:rsidRPr="00CA16BC">
        <w:rPr>
          <w:sz w:val="22"/>
          <w:szCs w:val="22"/>
        </w:rPr>
        <w:t>,</w:t>
      </w:r>
      <w:r w:rsidR="00571DEE" w:rsidRPr="00CA16BC">
        <w:rPr>
          <w:sz w:val="22"/>
          <w:szCs w:val="22"/>
        </w:rPr>
        <w:t xml:space="preserve"> </w:t>
      </w:r>
      <w:r w:rsidR="00C12542" w:rsidRPr="00CA16BC">
        <w:rPr>
          <w:sz w:val="22"/>
          <w:szCs w:val="22"/>
        </w:rPr>
        <w:t>particular</w:t>
      </w:r>
      <w:r w:rsidR="00A570A2" w:rsidRPr="00CA16BC">
        <w:rPr>
          <w:sz w:val="22"/>
          <w:szCs w:val="22"/>
        </w:rPr>
        <w:t>ly</w:t>
      </w:r>
      <w:r w:rsidR="00C12542" w:rsidRPr="00CA16BC">
        <w:rPr>
          <w:sz w:val="22"/>
          <w:szCs w:val="22"/>
        </w:rPr>
        <w:t xml:space="preserve"> </w:t>
      </w:r>
      <w:r w:rsidR="00DE41E3" w:rsidRPr="00CA16BC">
        <w:rPr>
          <w:sz w:val="22"/>
          <w:szCs w:val="22"/>
        </w:rPr>
        <w:t xml:space="preserve">sexual </w:t>
      </w:r>
      <w:r w:rsidR="00C12542" w:rsidRPr="00CA16BC">
        <w:rPr>
          <w:sz w:val="22"/>
          <w:szCs w:val="22"/>
        </w:rPr>
        <w:t>and verbal violence</w:t>
      </w:r>
      <w:r w:rsidR="002E6533" w:rsidRPr="00CA16BC">
        <w:rPr>
          <w:sz w:val="22"/>
          <w:szCs w:val="22"/>
        </w:rPr>
        <w:t>”</w:t>
      </w:r>
      <w:r w:rsidR="000522C1" w:rsidRPr="00CA16BC">
        <w:rPr>
          <w:sz w:val="22"/>
          <w:szCs w:val="22"/>
        </w:rPr>
        <w:t xml:space="preserve">. </w:t>
      </w:r>
      <w:r w:rsidR="00A570A2" w:rsidRPr="00CA16BC">
        <w:rPr>
          <w:sz w:val="22"/>
          <w:szCs w:val="22"/>
        </w:rPr>
        <w:t xml:space="preserve">Similarly, </w:t>
      </w:r>
      <w:r w:rsidR="00A570A2" w:rsidRPr="00CA16BC">
        <w:rPr>
          <w:rFonts w:eastAsia="Times New Roman"/>
          <w:sz w:val="22"/>
          <w:szCs w:val="22"/>
        </w:rPr>
        <w:t>article 2b of the Belém do Pará Convention states that</w:t>
      </w:r>
      <w:r w:rsidR="00A570A2" w:rsidRPr="00CA16BC">
        <w:rPr>
          <w:rFonts w:eastAsia="Times New Roman"/>
          <w:b/>
          <w:bCs/>
          <w:sz w:val="22"/>
          <w:szCs w:val="22"/>
        </w:rPr>
        <w:t> </w:t>
      </w:r>
      <w:r w:rsidR="00A570A2" w:rsidRPr="00CA16BC">
        <w:rPr>
          <w:rFonts w:eastAsia="Times New Roman"/>
          <w:sz w:val="22"/>
          <w:szCs w:val="22"/>
        </w:rPr>
        <w:t xml:space="preserve">violence against women shall be understood to include </w:t>
      </w:r>
      <w:r w:rsidR="002E6533" w:rsidRPr="00CA16BC">
        <w:rPr>
          <w:rFonts w:eastAsia="Times New Roman"/>
          <w:sz w:val="22"/>
          <w:szCs w:val="22"/>
        </w:rPr>
        <w:t>“</w:t>
      </w:r>
      <w:r w:rsidR="00A570A2" w:rsidRPr="00CA16BC">
        <w:rPr>
          <w:rFonts w:eastAsia="Times New Roman"/>
          <w:sz w:val="22"/>
          <w:szCs w:val="22"/>
        </w:rPr>
        <w:t>physical, sexual and psychological violence that occurs in the community and is perpetrated by any person, including, among others (...) sexual harassment in the workplace".</w:t>
      </w:r>
      <w:r w:rsidR="000522C1" w:rsidRPr="00A570A2">
        <w:rPr>
          <w:sz w:val="22"/>
          <w:szCs w:val="22"/>
        </w:rPr>
        <w:t xml:space="preserve"> </w:t>
      </w:r>
    </w:p>
    <w:p w14:paraId="0A36AB8B" w14:textId="77777777" w:rsidR="009548D3" w:rsidRDefault="009548D3">
      <w:pPr>
        <w:pStyle w:val="Default"/>
        <w:jc w:val="both"/>
        <w:rPr>
          <w:sz w:val="22"/>
          <w:szCs w:val="22"/>
        </w:rPr>
      </w:pPr>
    </w:p>
    <w:p w14:paraId="6E5FAE50" w14:textId="429F20C5" w:rsidR="009548D3" w:rsidRDefault="00C32FCA">
      <w:pPr>
        <w:pStyle w:val="Default"/>
        <w:jc w:val="both"/>
        <w:rPr>
          <w:sz w:val="22"/>
          <w:szCs w:val="22"/>
        </w:rPr>
      </w:pPr>
      <w:r>
        <w:rPr>
          <w:sz w:val="22"/>
          <w:szCs w:val="22"/>
        </w:rPr>
        <w:t>In view of the for</w:t>
      </w:r>
      <w:r w:rsidR="00ED309B">
        <w:rPr>
          <w:sz w:val="22"/>
          <w:szCs w:val="22"/>
        </w:rPr>
        <w:t>th</w:t>
      </w:r>
      <w:r>
        <w:rPr>
          <w:sz w:val="22"/>
          <w:szCs w:val="22"/>
        </w:rPr>
        <w:t>coming 108</w:t>
      </w:r>
      <w:r>
        <w:rPr>
          <w:sz w:val="22"/>
          <w:szCs w:val="22"/>
          <w:vertAlign w:val="superscript"/>
        </w:rPr>
        <w:t>th</w:t>
      </w:r>
      <w:r>
        <w:rPr>
          <w:sz w:val="22"/>
          <w:szCs w:val="22"/>
        </w:rPr>
        <w:t xml:space="preserve"> session of the ILO in June, which w</w:t>
      </w:r>
      <w:r w:rsidR="001E6A0D">
        <w:rPr>
          <w:sz w:val="22"/>
          <w:szCs w:val="22"/>
        </w:rPr>
        <w:t>ill conclude the negotiations of</w:t>
      </w:r>
      <w:r>
        <w:rPr>
          <w:sz w:val="22"/>
          <w:szCs w:val="22"/>
        </w:rPr>
        <w:t xml:space="preserve"> this new legal instrument, we call </w:t>
      </w:r>
      <w:r w:rsidR="001E6A0D">
        <w:rPr>
          <w:sz w:val="22"/>
          <w:szCs w:val="22"/>
        </w:rPr>
        <w:t xml:space="preserve">on all </w:t>
      </w:r>
      <w:r>
        <w:rPr>
          <w:sz w:val="22"/>
          <w:szCs w:val="22"/>
        </w:rPr>
        <w:t xml:space="preserve">States </w:t>
      </w:r>
      <w:r w:rsidR="00472813">
        <w:rPr>
          <w:sz w:val="22"/>
          <w:szCs w:val="22"/>
        </w:rPr>
        <w:t>to safeguard</w:t>
      </w:r>
      <w:r w:rsidR="001E6A0D">
        <w:rPr>
          <w:sz w:val="22"/>
          <w:szCs w:val="22"/>
        </w:rPr>
        <w:t xml:space="preserve"> existing standards on sexual harassment as a human rights violation. A denial of these standards </w:t>
      </w:r>
      <w:r>
        <w:rPr>
          <w:sz w:val="22"/>
          <w:szCs w:val="22"/>
        </w:rPr>
        <w:t xml:space="preserve">would </w:t>
      </w:r>
      <w:r w:rsidR="00C12542">
        <w:rPr>
          <w:sz w:val="22"/>
          <w:szCs w:val="22"/>
        </w:rPr>
        <w:t xml:space="preserve">not only </w:t>
      </w:r>
      <w:r>
        <w:rPr>
          <w:sz w:val="22"/>
          <w:szCs w:val="22"/>
        </w:rPr>
        <w:t xml:space="preserve">constitute an alarming </w:t>
      </w:r>
      <w:r w:rsidR="00472813">
        <w:rPr>
          <w:sz w:val="22"/>
          <w:szCs w:val="22"/>
        </w:rPr>
        <w:t>setback</w:t>
      </w:r>
      <w:r>
        <w:rPr>
          <w:sz w:val="22"/>
          <w:szCs w:val="22"/>
        </w:rPr>
        <w:t xml:space="preserve"> in the promotion and protection of human rights and women’s rights, </w:t>
      </w:r>
      <w:r w:rsidR="000823E0">
        <w:rPr>
          <w:sz w:val="22"/>
          <w:szCs w:val="22"/>
        </w:rPr>
        <w:t xml:space="preserve">but </w:t>
      </w:r>
      <w:r w:rsidR="00472813">
        <w:rPr>
          <w:sz w:val="22"/>
          <w:szCs w:val="22"/>
        </w:rPr>
        <w:t xml:space="preserve">would </w:t>
      </w:r>
      <w:r w:rsidR="00C12542">
        <w:rPr>
          <w:sz w:val="22"/>
          <w:szCs w:val="22"/>
        </w:rPr>
        <w:t>seriously undermine</w:t>
      </w:r>
      <w:r w:rsidR="00472813">
        <w:rPr>
          <w:sz w:val="22"/>
          <w:szCs w:val="22"/>
        </w:rPr>
        <w:t xml:space="preserve"> </w:t>
      </w:r>
      <w:r>
        <w:rPr>
          <w:sz w:val="22"/>
          <w:szCs w:val="22"/>
        </w:rPr>
        <w:t>the efforts made by women</w:t>
      </w:r>
      <w:r w:rsidR="00DA76AB">
        <w:rPr>
          <w:sz w:val="22"/>
          <w:szCs w:val="22"/>
        </w:rPr>
        <w:t xml:space="preserve"> and men</w:t>
      </w:r>
      <w:r>
        <w:rPr>
          <w:sz w:val="22"/>
          <w:szCs w:val="22"/>
        </w:rPr>
        <w:t xml:space="preserve"> in all regions of the world in the last twenty-five years to advance women’s rights.</w:t>
      </w:r>
    </w:p>
    <w:p w14:paraId="46EFBA56" w14:textId="77777777" w:rsidR="009548D3" w:rsidRDefault="009548D3">
      <w:pPr>
        <w:pStyle w:val="Default"/>
        <w:jc w:val="both"/>
        <w:rPr>
          <w:sz w:val="22"/>
          <w:szCs w:val="22"/>
        </w:rPr>
      </w:pPr>
    </w:p>
    <w:p w14:paraId="75CC4124" w14:textId="67FA6ADF" w:rsidR="009548D3" w:rsidRDefault="00C32FCA">
      <w:pPr>
        <w:pStyle w:val="Default"/>
        <w:jc w:val="both"/>
        <w:rPr>
          <w:sz w:val="22"/>
          <w:szCs w:val="22"/>
        </w:rPr>
      </w:pPr>
      <w:r>
        <w:rPr>
          <w:sz w:val="22"/>
          <w:szCs w:val="22"/>
        </w:rPr>
        <w:t xml:space="preserve">We have achieved </w:t>
      </w:r>
      <w:r w:rsidR="0033608E">
        <w:rPr>
          <w:sz w:val="22"/>
          <w:szCs w:val="22"/>
        </w:rPr>
        <w:t xml:space="preserve">strong human rights </w:t>
      </w:r>
      <w:r>
        <w:rPr>
          <w:sz w:val="22"/>
          <w:szCs w:val="22"/>
        </w:rPr>
        <w:t xml:space="preserve">standards and </w:t>
      </w:r>
      <w:r w:rsidR="008E5612">
        <w:rPr>
          <w:sz w:val="22"/>
          <w:szCs w:val="22"/>
        </w:rPr>
        <w:t xml:space="preserve">consider that </w:t>
      </w:r>
      <w:r w:rsidR="004F7063">
        <w:rPr>
          <w:sz w:val="22"/>
          <w:szCs w:val="22"/>
        </w:rPr>
        <w:t>the</w:t>
      </w:r>
      <w:r w:rsidR="008E5612">
        <w:rPr>
          <w:sz w:val="22"/>
          <w:szCs w:val="22"/>
        </w:rPr>
        <w:t>se</w:t>
      </w:r>
      <w:r w:rsidR="004F7063">
        <w:rPr>
          <w:sz w:val="22"/>
          <w:szCs w:val="22"/>
        </w:rPr>
        <w:t xml:space="preserve"> rollbacks are unacceptable.</w:t>
      </w:r>
      <w:r>
        <w:rPr>
          <w:sz w:val="22"/>
          <w:szCs w:val="22"/>
        </w:rPr>
        <w:t xml:space="preserve"> The role </w:t>
      </w:r>
      <w:r w:rsidR="0041149F">
        <w:rPr>
          <w:sz w:val="22"/>
          <w:szCs w:val="22"/>
        </w:rPr>
        <w:t xml:space="preserve">of </w:t>
      </w:r>
      <w:r>
        <w:rPr>
          <w:sz w:val="22"/>
          <w:szCs w:val="22"/>
        </w:rPr>
        <w:t xml:space="preserve">this platform is to continue </w:t>
      </w:r>
      <w:r w:rsidR="0041149F">
        <w:rPr>
          <w:sz w:val="22"/>
          <w:szCs w:val="22"/>
        </w:rPr>
        <w:t>upholding</w:t>
      </w:r>
      <w:r>
        <w:rPr>
          <w:sz w:val="22"/>
          <w:szCs w:val="22"/>
        </w:rPr>
        <w:t xml:space="preserve"> </w:t>
      </w:r>
      <w:r w:rsidR="001E6A0D">
        <w:rPr>
          <w:sz w:val="22"/>
          <w:szCs w:val="22"/>
        </w:rPr>
        <w:t>th</w:t>
      </w:r>
      <w:r w:rsidR="0041149F">
        <w:rPr>
          <w:sz w:val="22"/>
          <w:szCs w:val="22"/>
        </w:rPr>
        <w:t>e</w:t>
      </w:r>
      <w:r w:rsidR="001E6A0D">
        <w:rPr>
          <w:sz w:val="22"/>
          <w:szCs w:val="22"/>
        </w:rPr>
        <w:t xml:space="preserve">se </w:t>
      </w:r>
      <w:r w:rsidR="00472813">
        <w:rPr>
          <w:sz w:val="22"/>
          <w:szCs w:val="22"/>
        </w:rPr>
        <w:t>standards</w:t>
      </w:r>
      <w:r w:rsidR="001E6A0D">
        <w:rPr>
          <w:sz w:val="22"/>
          <w:szCs w:val="22"/>
        </w:rPr>
        <w:t xml:space="preserve">, and </w:t>
      </w:r>
      <w:r>
        <w:rPr>
          <w:sz w:val="22"/>
          <w:szCs w:val="22"/>
        </w:rPr>
        <w:t>remind</w:t>
      </w:r>
      <w:r w:rsidR="001E6A0D">
        <w:rPr>
          <w:sz w:val="22"/>
          <w:szCs w:val="22"/>
        </w:rPr>
        <w:t>ing</w:t>
      </w:r>
      <w:r>
        <w:rPr>
          <w:sz w:val="22"/>
          <w:szCs w:val="22"/>
        </w:rPr>
        <w:t xml:space="preserve"> States of their international obligations.</w:t>
      </w:r>
      <w:r w:rsidR="00E339E6">
        <w:rPr>
          <w:sz w:val="22"/>
          <w:szCs w:val="22"/>
        </w:rPr>
        <w:t xml:space="preserve"> </w:t>
      </w:r>
    </w:p>
    <w:p w14:paraId="37EC025B" w14:textId="77777777" w:rsidR="009548D3" w:rsidRDefault="009548D3">
      <w:pPr>
        <w:pStyle w:val="Default"/>
        <w:jc w:val="both"/>
        <w:rPr>
          <w:sz w:val="22"/>
          <w:szCs w:val="22"/>
        </w:rPr>
      </w:pPr>
    </w:p>
    <w:p w14:paraId="742335B2" w14:textId="42F55C76" w:rsidR="009548D3" w:rsidRDefault="0041149F">
      <w:pPr>
        <w:pStyle w:val="Default"/>
        <w:jc w:val="both"/>
        <w:rPr>
          <w:sz w:val="22"/>
          <w:szCs w:val="22"/>
        </w:rPr>
      </w:pPr>
      <w:r>
        <w:rPr>
          <w:sz w:val="22"/>
          <w:szCs w:val="22"/>
        </w:rPr>
        <w:t>The</w:t>
      </w:r>
      <w:r w:rsidR="001E6A0D">
        <w:rPr>
          <w:sz w:val="22"/>
          <w:szCs w:val="22"/>
        </w:rPr>
        <w:t xml:space="preserve"> platform </w:t>
      </w:r>
      <w:r>
        <w:rPr>
          <w:sz w:val="22"/>
          <w:szCs w:val="22"/>
        </w:rPr>
        <w:t xml:space="preserve">therefore urges </w:t>
      </w:r>
      <w:r w:rsidR="00C32FCA">
        <w:rPr>
          <w:sz w:val="22"/>
          <w:szCs w:val="22"/>
        </w:rPr>
        <w:t xml:space="preserve">States to support the adoption of </w:t>
      </w:r>
      <w:r>
        <w:rPr>
          <w:sz w:val="22"/>
          <w:szCs w:val="22"/>
        </w:rPr>
        <w:t>a strong</w:t>
      </w:r>
      <w:r w:rsidR="00C32FCA">
        <w:rPr>
          <w:sz w:val="22"/>
          <w:szCs w:val="22"/>
        </w:rPr>
        <w:t xml:space="preserve"> new ILO </w:t>
      </w:r>
      <w:r w:rsidR="001E6A0D">
        <w:rPr>
          <w:sz w:val="22"/>
          <w:szCs w:val="22"/>
        </w:rPr>
        <w:t xml:space="preserve">instrument </w:t>
      </w:r>
      <w:r>
        <w:rPr>
          <w:sz w:val="22"/>
          <w:szCs w:val="22"/>
        </w:rPr>
        <w:t>which is aligned to the already agreed</w:t>
      </w:r>
      <w:r w:rsidR="001E6A0D">
        <w:rPr>
          <w:sz w:val="22"/>
          <w:szCs w:val="22"/>
        </w:rPr>
        <w:t xml:space="preserve"> standards</w:t>
      </w:r>
      <w:r w:rsidR="000823E0">
        <w:rPr>
          <w:sz w:val="22"/>
          <w:szCs w:val="22"/>
        </w:rPr>
        <w:t xml:space="preserve"> on</w:t>
      </w:r>
      <w:r w:rsidR="00270A65">
        <w:rPr>
          <w:sz w:val="22"/>
          <w:szCs w:val="22"/>
        </w:rPr>
        <w:t xml:space="preserve"> </w:t>
      </w:r>
      <w:r>
        <w:rPr>
          <w:sz w:val="22"/>
          <w:szCs w:val="22"/>
        </w:rPr>
        <w:t>human rights</w:t>
      </w:r>
      <w:r w:rsidR="001E6A0D">
        <w:rPr>
          <w:sz w:val="22"/>
          <w:szCs w:val="22"/>
        </w:rPr>
        <w:t xml:space="preserve">. The platform </w:t>
      </w:r>
      <w:r w:rsidR="00C32FCA">
        <w:rPr>
          <w:sz w:val="22"/>
          <w:szCs w:val="22"/>
        </w:rPr>
        <w:t>reiterate</w:t>
      </w:r>
      <w:r w:rsidR="001E6A0D">
        <w:rPr>
          <w:sz w:val="22"/>
          <w:szCs w:val="22"/>
        </w:rPr>
        <w:t>s</w:t>
      </w:r>
      <w:r w:rsidR="00C32FCA">
        <w:rPr>
          <w:sz w:val="22"/>
          <w:szCs w:val="22"/>
        </w:rPr>
        <w:t xml:space="preserve"> that it is of paramount importance that States comply with the existing international </w:t>
      </w:r>
      <w:r>
        <w:rPr>
          <w:sz w:val="22"/>
          <w:szCs w:val="22"/>
        </w:rPr>
        <w:t xml:space="preserve">legal </w:t>
      </w:r>
      <w:r w:rsidR="00C32FCA">
        <w:rPr>
          <w:sz w:val="22"/>
          <w:szCs w:val="22"/>
        </w:rPr>
        <w:t xml:space="preserve">standards recognizing that </w:t>
      </w:r>
      <w:r w:rsidR="00270A65">
        <w:rPr>
          <w:sz w:val="22"/>
          <w:szCs w:val="22"/>
        </w:rPr>
        <w:t xml:space="preserve">the </w:t>
      </w:r>
      <w:r w:rsidR="00C32FCA">
        <w:rPr>
          <w:sz w:val="22"/>
          <w:szCs w:val="22"/>
          <w:shd w:val="clear" w:color="auto" w:fill="FFFFFF"/>
        </w:rPr>
        <w:t>human rights of women are an inalienable, integral and indivisible part of universal human rights</w:t>
      </w:r>
      <w:r w:rsidR="003100E1">
        <w:rPr>
          <w:sz w:val="22"/>
          <w:szCs w:val="22"/>
          <w:shd w:val="clear" w:color="auto" w:fill="FFFFFF"/>
        </w:rPr>
        <w:t xml:space="preserve">. </w:t>
      </w:r>
    </w:p>
    <w:p w14:paraId="05CFE94D" w14:textId="77777777" w:rsidR="009548D3" w:rsidRDefault="009548D3">
      <w:pPr>
        <w:pStyle w:val="Default"/>
        <w:jc w:val="both"/>
        <w:rPr>
          <w:sz w:val="22"/>
          <w:szCs w:val="22"/>
        </w:rPr>
      </w:pPr>
    </w:p>
    <w:p w14:paraId="1435D75D" w14:textId="0989CC76" w:rsidR="009548D3" w:rsidRDefault="001F648E">
      <w:pPr>
        <w:pStyle w:val="Default"/>
        <w:jc w:val="both"/>
        <w:rPr>
          <w:sz w:val="22"/>
          <w:szCs w:val="22"/>
        </w:rPr>
      </w:pPr>
      <w:r>
        <w:rPr>
          <w:sz w:val="22"/>
          <w:szCs w:val="22"/>
        </w:rPr>
        <w:t>END</w:t>
      </w:r>
    </w:p>
    <w:p w14:paraId="7093BA96" w14:textId="77777777" w:rsidR="009548D3" w:rsidRDefault="009548D3">
      <w:pPr>
        <w:pStyle w:val="Default"/>
        <w:jc w:val="both"/>
        <w:rPr>
          <w:sz w:val="22"/>
          <w:szCs w:val="22"/>
        </w:rPr>
      </w:pPr>
    </w:p>
    <w:p w14:paraId="6E6A0859" w14:textId="77777777" w:rsidR="009548D3" w:rsidRDefault="009548D3">
      <w:pPr>
        <w:pStyle w:val="Default"/>
        <w:jc w:val="both"/>
        <w:rPr>
          <w:sz w:val="22"/>
          <w:szCs w:val="22"/>
        </w:rPr>
      </w:pPr>
    </w:p>
    <w:p w14:paraId="74CF21E9" w14:textId="77777777" w:rsidR="009548D3" w:rsidRDefault="009548D3">
      <w:pPr>
        <w:pStyle w:val="Default"/>
        <w:jc w:val="both"/>
        <w:rPr>
          <w:sz w:val="22"/>
          <w:szCs w:val="22"/>
        </w:rPr>
      </w:pPr>
    </w:p>
    <w:p w14:paraId="4954D0EB" w14:textId="77777777" w:rsidR="009548D3" w:rsidRDefault="009548D3">
      <w:pPr>
        <w:pStyle w:val="Default"/>
        <w:jc w:val="both"/>
        <w:rPr>
          <w:sz w:val="22"/>
          <w:szCs w:val="22"/>
        </w:rPr>
      </w:pPr>
    </w:p>
    <w:p w14:paraId="55DFA927" w14:textId="77777777" w:rsidR="009548D3" w:rsidRDefault="009548D3">
      <w:pPr>
        <w:pStyle w:val="Default"/>
        <w:jc w:val="both"/>
        <w:rPr>
          <w:sz w:val="22"/>
          <w:szCs w:val="22"/>
        </w:rPr>
      </w:pPr>
    </w:p>
    <w:p w14:paraId="00691896" w14:textId="77777777" w:rsidR="009548D3" w:rsidRDefault="009548D3">
      <w:pPr>
        <w:pStyle w:val="Default"/>
        <w:jc w:val="both"/>
        <w:rPr>
          <w:sz w:val="22"/>
          <w:szCs w:val="22"/>
        </w:rPr>
      </w:pPr>
    </w:p>
    <w:p w14:paraId="5AE0D6AE" w14:textId="77777777" w:rsidR="009548D3" w:rsidRDefault="009548D3">
      <w:pPr>
        <w:pStyle w:val="Default"/>
        <w:jc w:val="both"/>
        <w:rPr>
          <w:sz w:val="22"/>
          <w:szCs w:val="22"/>
        </w:rPr>
      </w:pPr>
    </w:p>
    <w:p w14:paraId="7E98C725" w14:textId="77777777" w:rsidR="009548D3" w:rsidRDefault="009548D3">
      <w:pPr>
        <w:pStyle w:val="Default"/>
        <w:jc w:val="both"/>
        <w:rPr>
          <w:sz w:val="22"/>
          <w:szCs w:val="22"/>
        </w:rPr>
      </w:pPr>
    </w:p>
    <w:p w14:paraId="461CE149" w14:textId="77777777" w:rsidR="009548D3" w:rsidRDefault="009548D3">
      <w:pPr>
        <w:pStyle w:val="Default"/>
        <w:jc w:val="both"/>
        <w:rPr>
          <w:sz w:val="22"/>
          <w:szCs w:val="22"/>
        </w:rPr>
      </w:pPr>
    </w:p>
    <w:p w14:paraId="5CFB7753" w14:textId="77777777" w:rsidR="009548D3" w:rsidRDefault="009548D3">
      <w:pPr>
        <w:pStyle w:val="Default"/>
        <w:jc w:val="both"/>
        <w:rPr>
          <w:sz w:val="22"/>
          <w:szCs w:val="22"/>
        </w:rPr>
      </w:pPr>
    </w:p>
    <w:p w14:paraId="361D81C5" w14:textId="77777777" w:rsidR="009548D3" w:rsidRDefault="009548D3">
      <w:pPr>
        <w:pStyle w:val="Default"/>
        <w:jc w:val="both"/>
        <w:rPr>
          <w:sz w:val="22"/>
          <w:szCs w:val="22"/>
        </w:rPr>
      </w:pPr>
    </w:p>
    <w:p w14:paraId="25083B82" w14:textId="77777777" w:rsidR="009548D3" w:rsidRDefault="009548D3">
      <w:pPr>
        <w:pStyle w:val="Default"/>
        <w:jc w:val="both"/>
        <w:rPr>
          <w:sz w:val="22"/>
          <w:szCs w:val="22"/>
        </w:rPr>
      </w:pPr>
    </w:p>
    <w:p w14:paraId="47DFB501" w14:textId="77777777" w:rsidR="009548D3" w:rsidRDefault="009548D3">
      <w:pPr>
        <w:pStyle w:val="Default"/>
        <w:jc w:val="both"/>
        <w:rPr>
          <w:sz w:val="22"/>
          <w:szCs w:val="22"/>
        </w:rPr>
      </w:pPr>
    </w:p>
    <w:p w14:paraId="6C2FCBD7" w14:textId="77777777" w:rsidR="009548D3" w:rsidRDefault="009548D3">
      <w:pPr>
        <w:pStyle w:val="Default"/>
        <w:jc w:val="both"/>
        <w:rPr>
          <w:sz w:val="22"/>
          <w:szCs w:val="22"/>
        </w:rPr>
      </w:pPr>
    </w:p>
    <w:p w14:paraId="00ABE734" w14:textId="77777777" w:rsidR="009548D3" w:rsidRDefault="009548D3">
      <w:pPr>
        <w:pStyle w:val="Default"/>
        <w:jc w:val="both"/>
      </w:pPr>
    </w:p>
    <w:sectPr w:rsidR="009548D3">
      <w:pgSz w:w="11900" w:h="16840"/>
      <w:pgMar w:top="1440" w:right="1440" w:bottom="1440" w:left="1440" w:header="708" w:footer="70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E4C75" w16cid:durableId="20983F80"/>
  <w16cid:commentId w16cid:paraId="46879677" w16cid:durableId="20983F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087E7" w14:textId="77777777" w:rsidR="0084536C" w:rsidRDefault="0084536C">
      <w:r>
        <w:separator/>
      </w:r>
    </w:p>
  </w:endnote>
  <w:endnote w:type="continuationSeparator" w:id="0">
    <w:p w14:paraId="23902996" w14:textId="77777777" w:rsidR="0084536C" w:rsidRDefault="0084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37CDF" w14:textId="77777777" w:rsidR="0084536C" w:rsidRDefault="0084536C">
      <w:r>
        <w:separator/>
      </w:r>
    </w:p>
  </w:footnote>
  <w:footnote w:type="continuationSeparator" w:id="0">
    <w:p w14:paraId="18FAA181" w14:textId="77777777" w:rsidR="0084536C" w:rsidRDefault="0084536C">
      <w:r>
        <w:continuationSeparator/>
      </w:r>
    </w:p>
  </w:footnote>
  <w:footnote w:type="continuationNotice" w:id="1">
    <w:p w14:paraId="7FA59D54" w14:textId="77777777" w:rsidR="0084536C" w:rsidRDefault="0084536C"/>
  </w:footnote>
  <w:footnote w:id="2">
    <w:p w14:paraId="160E7027" w14:textId="77777777" w:rsidR="001E6A0D" w:rsidRPr="001E6A0D" w:rsidRDefault="001E6A0D" w:rsidP="001E6A0D">
      <w:pPr>
        <w:pStyle w:val="FootnoteText"/>
        <w:jc w:val="both"/>
        <w:rPr>
          <w:lang w:val="en-GB"/>
        </w:rPr>
      </w:pPr>
      <w:r>
        <w:rPr>
          <w:rStyle w:val="FootnoteReference"/>
        </w:rPr>
        <w:footnoteRef/>
      </w:r>
      <w:r>
        <w:t xml:space="preserve"> </w:t>
      </w:r>
      <w:r w:rsidRPr="001E6A0D">
        <w:rPr>
          <w:b/>
          <w:bCs/>
          <w:i/>
          <w:iCs/>
          <w:shd w:val="clear" w:color="auto" w:fill="FFFFFF"/>
        </w:rPr>
        <w:t>Dubravka Šimonovic</w:t>
      </w:r>
      <w:r w:rsidRPr="001E6A0D">
        <w:rPr>
          <w:i/>
          <w:iCs/>
          <w:shd w:val="clear" w:color="auto" w:fill="FFFFFF"/>
        </w:rPr>
        <w:t>, </w:t>
      </w:r>
      <w:hyperlink r:id="rId1" w:history="1">
        <w:r w:rsidRPr="001E6A0D">
          <w:rPr>
            <w:rStyle w:val="Hyperlink0"/>
            <w:sz w:val="20"/>
            <w:szCs w:val="20"/>
          </w:rPr>
          <w:t>Special Rapporteur on violence against women, its causes and consequences</w:t>
        </w:r>
      </w:hyperlink>
      <w:r w:rsidRPr="001E6A0D">
        <w:rPr>
          <w:shd w:val="clear" w:color="auto" w:fill="FFFFFF"/>
        </w:rPr>
        <w:t>; </w:t>
      </w:r>
      <w:r w:rsidRPr="001E6A0D">
        <w:rPr>
          <w:b/>
          <w:bCs/>
          <w:i/>
          <w:iCs/>
          <w:shd w:val="clear" w:color="auto" w:fill="FFFFFF"/>
        </w:rPr>
        <w:t xml:space="preserve">Hilary Gbedemah </w:t>
      </w:r>
      <w:r w:rsidRPr="001E6A0D">
        <w:rPr>
          <w:bCs/>
          <w:iCs/>
          <w:shd w:val="clear" w:color="auto" w:fill="FFFFFF"/>
        </w:rPr>
        <w:t>Chairperson of the</w:t>
      </w:r>
      <w:r w:rsidRPr="001E6A0D">
        <w:rPr>
          <w:b/>
          <w:bCs/>
          <w:i/>
          <w:iCs/>
          <w:shd w:val="clear" w:color="auto" w:fill="FFFFFF"/>
        </w:rPr>
        <w:t xml:space="preserve"> </w:t>
      </w:r>
      <w:hyperlink r:id="rId2" w:history="1">
        <w:r w:rsidRPr="001E6A0D">
          <w:rPr>
            <w:rStyle w:val="Hyperlink0"/>
            <w:sz w:val="20"/>
            <w:szCs w:val="20"/>
          </w:rPr>
          <w:t>UN Committee on the Elimination of Discrimination against Women</w:t>
        </w:r>
      </w:hyperlink>
      <w:r w:rsidRPr="001E6A0D">
        <w:rPr>
          <w:shd w:val="clear" w:color="auto" w:fill="FFFFFF"/>
        </w:rPr>
        <w:t>; </w:t>
      </w:r>
      <w:r w:rsidRPr="001E6A0D">
        <w:rPr>
          <w:b/>
          <w:bCs/>
          <w:i/>
          <w:iCs/>
          <w:shd w:val="clear" w:color="auto" w:fill="FFFFFF"/>
        </w:rPr>
        <w:t>Ivana Radačić</w:t>
      </w:r>
      <w:r w:rsidRPr="001E6A0D">
        <w:rPr>
          <w:shd w:val="clear" w:color="auto" w:fill="FFFFFF"/>
        </w:rPr>
        <w:t>, Chair of the </w:t>
      </w:r>
      <w:hyperlink r:id="rId3" w:history="1">
        <w:r w:rsidRPr="001E6A0D">
          <w:rPr>
            <w:rStyle w:val="Hyperlink0"/>
            <w:sz w:val="20"/>
            <w:szCs w:val="20"/>
          </w:rPr>
          <w:t>UN Working Group on the issue of discrimination against women in law and in practice</w:t>
        </w:r>
      </w:hyperlink>
      <w:r w:rsidRPr="001E6A0D">
        <w:rPr>
          <w:shd w:val="clear" w:color="auto" w:fill="FFFFFF"/>
        </w:rPr>
        <w:t>; </w:t>
      </w:r>
      <w:r w:rsidRPr="001E6A0D">
        <w:rPr>
          <w:b/>
          <w:bCs/>
          <w:i/>
          <w:iCs/>
          <w:shd w:val="clear" w:color="auto" w:fill="FFFFFF"/>
        </w:rPr>
        <w:t>Feride Acar</w:t>
      </w:r>
      <w:r w:rsidRPr="001E6A0D">
        <w:rPr>
          <w:shd w:val="clear" w:color="auto" w:fill="FFFFFF"/>
        </w:rPr>
        <w:t>, President of the </w:t>
      </w:r>
      <w:hyperlink r:id="rId4" w:history="1">
        <w:r w:rsidRPr="001E6A0D">
          <w:rPr>
            <w:rStyle w:val="Hyperlink0"/>
            <w:sz w:val="20"/>
            <w:szCs w:val="20"/>
          </w:rPr>
          <w:t>Group of Experts on Action against Violence against Women and Domestic Violence of the Council of Europe</w:t>
        </w:r>
      </w:hyperlink>
      <w:r w:rsidRPr="001E6A0D">
        <w:rPr>
          <w:shd w:val="clear" w:color="auto" w:fill="FFFFFF"/>
        </w:rPr>
        <w:t>; </w:t>
      </w:r>
      <w:r w:rsidRPr="001E6A0D">
        <w:rPr>
          <w:b/>
          <w:bCs/>
          <w:i/>
          <w:iCs/>
          <w:shd w:val="clear" w:color="auto" w:fill="FFFFFF"/>
        </w:rPr>
        <w:t>Margarette May Macaulay</w:t>
      </w:r>
      <w:r w:rsidRPr="001E6A0D">
        <w:rPr>
          <w:shd w:val="clear" w:color="auto" w:fill="FFFFFF"/>
        </w:rPr>
        <w:t>, </w:t>
      </w:r>
      <w:hyperlink r:id="rId5" w:history="1">
        <w:r w:rsidRPr="001E6A0D">
          <w:rPr>
            <w:rStyle w:val="Hyperlink0"/>
            <w:sz w:val="20"/>
            <w:szCs w:val="20"/>
          </w:rPr>
          <w:t>Rapporteur on the Rights of Women of the IACHR</w:t>
        </w:r>
      </w:hyperlink>
      <w:r w:rsidRPr="001E6A0D">
        <w:rPr>
          <w:shd w:val="clear" w:color="auto" w:fill="FFFFFF"/>
        </w:rPr>
        <w:t>, </w:t>
      </w:r>
      <w:r w:rsidRPr="001E6A0D">
        <w:rPr>
          <w:b/>
          <w:bCs/>
          <w:i/>
          <w:iCs/>
          <w:shd w:val="clear" w:color="auto" w:fill="FFFFFF"/>
        </w:rPr>
        <w:t>Lucy Asuagbor</w:t>
      </w:r>
      <w:r w:rsidRPr="001E6A0D">
        <w:rPr>
          <w:shd w:val="clear" w:color="auto" w:fill="FFFFFF"/>
        </w:rPr>
        <w:t>, </w:t>
      </w:r>
      <w:hyperlink r:id="rId6" w:history="1">
        <w:r w:rsidRPr="001E6A0D">
          <w:rPr>
            <w:rStyle w:val="Hyperlink0"/>
            <w:sz w:val="20"/>
            <w:szCs w:val="20"/>
          </w:rPr>
          <w:t>Special Rapporteur on Rights of Women in Africa</w:t>
        </w:r>
      </w:hyperlink>
      <w:r w:rsidRPr="001E6A0D">
        <w:rPr>
          <w:shd w:val="clear" w:color="auto" w:fill="FFFFFF"/>
        </w:rPr>
        <w:t> and </w:t>
      </w:r>
      <w:r w:rsidRPr="001E6A0D">
        <w:rPr>
          <w:b/>
          <w:bCs/>
          <w:i/>
          <w:iCs/>
          <w:shd w:val="clear" w:color="auto" w:fill="FFFFFF"/>
        </w:rPr>
        <w:t>Sylvia Mesa</w:t>
      </w:r>
      <w:r w:rsidRPr="001E6A0D">
        <w:rPr>
          <w:b/>
          <w:bCs/>
          <w:shd w:val="clear" w:color="auto" w:fill="FFFFFF"/>
        </w:rPr>
        <w:t>,</w:t>
      </w:r>
      <w:r w:rsidRPr="001E6A0D">
        <w:rPr>
          <w:shd w:val="clear" w:color="auto" w:fill="FFFFFF"/>
        </w:rPr>
        <w:t> President of the </w:t>
      </w:r>
      <w:hyperlink r:id="rId7" w:history="1">
        <w:r w:rsidRPr="001E6A0D">
          <w:rPr>
            <w:rStyle w:val="Hyperlink0"/>
            <w:sz w:val="20"/>
            <w:szCs w:val="20"/>
          </w:rPr>
          <w:t>Committee of Experts of the Follow-up Mechanism to the Belém do Pará Convention</w:t>
        </w:r>
      </w:hyperlink>
      <w:r w:rsidRPr="001E6A0D">
        <w:rPr>
          <w:shd w:val="clear" w:color="auto" w:fill="FFFFFF"/>
        </w:rPr>
        <w:t>.</w:t>
      </w:r>
    </w:p>
  </w:footnote>
  <w:footnote w:id="3">
    <w:p w14:paraId="266E01E7" w14:textId="77777777" w:rsidR="001F648E" w:rsidRPr="001E6A0D" w:rsidRDefault="001F648E" w:rsidP="001F648E">
      <w:pPr>
        <w:pStyle w:val="FootnoteText"/>
        <w:rPr>
          <w:lang w:val="en-GB"/>
        </w:rPr>
      </w:pPr>
      <w:r>
        <w:rPr>
          <w:rStyle w:val="FootnoteReference"/>
        </w:rPr>
        <w:footnoteRef/>
      </w:r>
      <w:r>
        <w:t xml:space="preserve"> </w:t>
      </w:r>
      <w:hyperlink r:id="rId8" w:history="1">
        <w:r>
          <w:rPr>
            <w:rStyle w:val="Link"/>
          </w:rPr>
          <w:t>https://www.ohchr.org/EN/NewsEvents/Pages/DisplayNews.aspx?NewsID=24380&amp;LangID=E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D3"/>
    <w:rsid w:val="00034D58"/>
    <w:rsid w:val="000522C1"/>
    <w:rsid w:val="000823E0"/>
    <w:rsid w:val="000B2280"/>
    <w:rsid w:val="00112BDC"/>
    <w:rsid w:val="001377B3"/>
    <w:rsid w:val="00162579"/>
    <w:rsid w:val="001B1AF8"/>
    <w:rsid w:val="001D297A"/>
    <w:rsid w:val="001E6A0D"/>
    <w:rsid w:val="001F648E"/>
    <w:rsid w:val="00265CD8"/>
    <w:rsid w:val="00270A65"/>
    <w:rsid w:val="002D7E9F"/>
    <w:rsid w:val="002E6533"/>
    <w:rsid w:val="003100E1"/>
    <w:rsid w:val="0033608E"/>
    <w:rsid w:val="0041149F"/>
    <w:rsid w:val="00472813"/>
    <w:rsid w:val="004F7063"/>
    <w:rsid w:val="00550EC8"/>
    <w:rsid w:val="005511E9"/>
    <w:rsid w:val="00565615"/>
    <w:rsid w:val="00571DEE"/>
    <w:rsid w:val="006D0B14"/>
    <w:rsid w:val="006D101D"/>
    <w:rsid w:val="00716126"/>
    <w:rsid w:val="00741334"/>
    <w:rsid w:val="007B0243"/>
    <w:rsid w:val="0081527E"/>
    <w:rsid w:val="008161A4"/>
    <w:rsid w:val="0084536C"/>
    <w:rsid w:val="008E5612"/>
    <w:rsid w:val="009548D3"/>
    <w:rsid w:val="00957CC3"/>
    <w:rsid w:val="00990380"/>
    <w:rsid w:val="00A05FC7"/>
    <w:rsid w:val="00A346F7"/>
    <w:rsid w:val="00A570A2"/>
    <w:rsid w:val="00A92F2F"/>
    <w:rsid w:val="00B27825"/>
    <w:rsid w:val="00BE6377"/>
    <w:rsid w:val="00C12542"/>
    <w:rsid w:val="00C32FCA"/>
    <w:rsid w:val="00C462A3"/>
    <w:rsid w:val="00CA16BC"/>
    <w:rsid w:val="00DA76AB"/>
    <w:rsid w:val="00DE41E3"/>
    <w:rsid w:val="00E339E6"/>
    <w:rsid w:val="00E61108"/>
    <w:rsid w:val="00ED309B"/>
    <w:rsid w:val="00EF6C18"/>
    <w:rsid w:val="00F306FD"/>
    <w:rsid w:val="00F6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9001C"/>
  <w15:docId w15:val="{6D1EC526-8D2D-4BF4-8142-A9DFE7F4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lang w:val="en-US"/>
    </w:rPr>
  </w:style>
  <w:style w:type="paragraph" w:styleId="FootnoteText">
    <w:name w:val="footnote text"/>
    <w:rPr>
      <w:rFonts w:ascii="Calibri" w:eastAsia="Calibri" w:hAnsi="Calibri" w:cs="Calibri"/>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663399"/>
      <w:sz w:val="22"/>
      <w:szCs w:val="22"/>
      <w:u w:val="single" w:color="663399"/>
      <w:shd w:val="clear" w:color="auto" w:fill="FFFFFF"/>
    </w:rPr>
  </w:style>
  <w:style w:type="character" w:styleId="FootnoteReference">
    <w:name w:val="footnote reference"/>
    <w:basedOn w:val="DefaultParagraphFont"/>
    <w:uiPriority w:val="99"/>
    <w:semiHidden/>
    <w:unhideWhenUsed/>
    <w:rsid w:val="001E6A0D"/>
    <w:rPr>
      <w:vertAlign w:val="superscript"/>
    </w:rPr>
  </w:style>
  <w:style w:type="character" w:styleId="CommentReference">
    <w:name w:val="annotation reference"/>
    <w:basedOn w:val="DefaultParagraphFont"/>
    <w:uiPriority w:val="99"/>
    <w:semiHidden/>
    <w:unhideWhenUsed/>
    <w:rsid w:val="0041149F"/>
    <w:rPr>
      <w:sz w:val="16"/>
      <w:szCs w:val="16"/>
    </w:rPr>
  </w:style>
  <w:style w:type="paragraph" w:styleId="CommentText">
    <w:name w:val="annotation text"/>
    <w:basedOn w:val="Normal"/>
    <w:link w:val="CommentTextChar"/>
    <w:uiPriority w:val="99"/>
    <w:semiHidden/>
    <w:unhideWhenUsed/>
    <w:rsid w:val="0041149F"/>
    <w:rPr>
      <w:sz w:val="20"/>
      <w:szCs w:val="20"/>
    </w:rPr>
  </w:style>
  <w:style w:type="character" w:customStyle="1" w:styleId="CommentTextChar">
    <w:name w:val="Comment Text Char"/>
    <w:basedOn w:val="DefaultParagraphFont"/>
    <w:link w:val="CommentText"/>
    <w:uiPriority w:val="99"/>
    <w:semiHidden/>
    <w:rsid w:val="0041149F"/>
    <w:rPr>
      <w:lang w:val="en-US" w:eastAsia="en-US"/>
    </w:rPr>
  </w:style>
  <w:style w:type="paragraph" w:styleId="CommentSubject">
    <w:name w:val="annotation subject"/>
    <w:basedOn w:val="CommentText"/>
    <w:next w:val="CommentText"/>
    <w:link w:val="CommentSubjectChar"/>
    <w:uiPriority w:val="99"/>
    <w:semiHidden/>
    <w:unhideWhenUsed/>
    <w:rsid w:val="0041149F"/>
    <w:rPr>
      <w:b/>
      <w:bCs/>
    </w:rPr>
  </w:style>
  <w:style w:type="character" w:customStyle="1" w:styleId="CommentSubjectChar">
    <w:name w:val="Comment Subject Char"/>
    <w:basedOn w:val="CommentTextChar"/>
    <w:link w:val="CommentSubject"/>
    <w:uiPriority w:val="99"/>
    <w:semiHidden/>
    <w:rsid w:val="0041149F"/>
    <w:rPr>
      <w:b/>
      <w:bCs/>
      <w:lang w:val="en-US" w:eastAsia="en-US"/>
    </w:rPr>
  </w:style>
  <w:style w:type="paragraph" w:styleId="BalloonText">
    <w:name w:val="Balloon Text"/>
    <w:basedOn w:val="Normal"/>
    <w:link w:val="BalloonTextChar"/>
    <w:uiPriority w:val="99"/>
    <w:semiHidden/>
    <w:unhideWhenUsed/>
    <w:rsid w:val="00411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49F"/>
    <w:rPr>
      <w:rFonts w:ascii="Segoe UI" w:hAnsi="Segoe UI" w:cs="Segoe UI"/>
      <w:sz w:val="18"/>
      <w:szCs w:val="18"/>
      <w:lang w:val="en-US" w:eastAsia="en-US"/>
    </w:rPr>
  </w:style>
  <w:style w:type="character" w:styleId="Emphasis">
    <w:name w:val="Emphasis"/>
    <w:basedOn w:val="DefaultParagraphFont"/>
    <w:uiPriority w:val="20"/>
    <w:qFormat/>
    <w:rsid w:val="001D297A"/>
    <w:rPr>
      <w:i/>
      <w:iCs/>
    </w:rPr>
  </w:style>
  <w:style w:type="character" w:styleId="Strong">
    <w:name w:val="Strong"/>
    <w:basedOn w:val="DefaultParagraphFont"/>
    <w:uiPriority w:val="22"/>
    <w:qFormat/>
    <w:rsid w:val="00DA76AB"/>
    <w:rPr>
      <w:b/>
      <w:bCs/>
    </w:rPr>
  </w:style>
  <w:style w:type="paragraph" w:styleId="Header">
    <w:name w:val="header"/>
    <w:basedOn w:val="Normal"/>
    <w:link w:val="HeaderChar"/>
    <w:uiPriority w:val="99"/>
    <w:unhideWhenUsed/>
    <w:rsid w:val="005511E9"/>
    <w:pPr>
      <w:tabs>
        <w:tab w:val="center" w:pos="4513"/>
        <w:tab w:val="right" w:pos="9026"/>
      </w:tabs>
    </w:pPr>
  </w:style>
  <w:style w:type="character" w:customStyle="1" w:styleId="HeaderChar">
    <w:name w:val="Header Char"/>
    <w:basedOn w:val="DefaultParagraphFont"/>
    <w:link w:val="Header"/>
    <w:uiPriority w:val="99"/>
    <w:rsid w:val="005511E9"/>
    <w:rPr>
      <w:sz w:val="24"/>
      <w:szCs w:val="24"/>
      <w:lang w:val="en-US" w:eastAsia="en-US"/>
    </w:rPr>
  </w:style>
  <w:style w:type="paragraph" w:styleId="Footer">
    <w:name w:val="footer"/>
    <w:basedOn w:val="Normal"/>
    <w:link w:val="FooterChar"/>
    <w:uiPriority w:val="99"/>
    <w:unhideWhenUsed/>
    <w:rsid w:val="005511E9"/>
    <w:pPr>
      <w:tabs>
        <w:tab w:val="center" w:pos="4513"/>
        <w:tab w:val="right" w:pos="9026"/>
      </w:tabs>
    </w:pPr>
  </w:style>
  <w:style w:type="character" w:customStyle="1" w:styleId="FooterChar">
    <w:name w:val="Footer Char"/>
    <w:basedOn w:val="DefaultParagraphFont"/>
    <w:link w:val="Footer"/>
    <w:uiPriority w:val="99"/>
    <w:rsid w:val="005511E9"/>
    <w:rPr>
      <w:sz w:val="24"/>
      <w:szCs w:val="24"/>
      <w:lang w:val="en-US" w:eastAsia="en-US"/>
    </w:rPr>
  </w:style>
  <w:style w:type="paragraph" w:styleId="Revision">
    <w:name w:val="Revision"/>
    <w:hidden/>
    <w:uiPriority w:val="99"/>
    <w:semiHidden/>
    <w:rsid w:val="00034D5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8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NewsEvents/Pages/DisplayNews.aspx?NewsID=24380&amp;LangID=E" TargetMode="External"/><Relationship Id="rId3" Type="http://schemas.openxmlformats.org/officeDocument/2006/relationships/hyperlink" Target="https://www.ohchr.org/en/issues/women/wgwomen/pages/wgwomenindex.aspx" TargetMode="External"/><Relationship Id="rId7" Type="http://schemas.openxmlformats.org/officeDocument/2006/relationships/hyperlink" Target="http://www.oas.org/en/mesecvi/about.asp" TargetMode="External"/><Relationship Id="rId2" Type="http://schemas.openxmlformats.org/officeDocument/2006/relationships/hyperlink" Target="https://www.ohchr.org/en/hrbodies/cedaw/pages/cedawindex.aspx" TargetMode="External"/><Relationship Id="rId1" Type="http://schemas.openxmlformats.org/officeDocument/2006/relationships/hyperlink" Target="https://www.ohchr.org/EN/Issues/Women/SRWomen/Pages/SRWomenIndex.aspx" TargetMode="External"/><Relationship Id="rId6" Type="http://schemas.openxmlformats.org/officeDocument/2006/relationships/hyperlink" Target="http://www.achpr.org/mechanisms/rights-of-women/" TargetMode="External"/><Relationship Id="rId5" Type="http://schemas.openxmlformats.org/officeDocument/2006/relationships/hyperlink" Target="http://www.oas.org/en/iachr/women/mandate/composition.asp" TargetMode="External"/><Relationship Id="rId4" Type="http://schemas.openxmlformats.org/officeDocument/2006/relationships/hyperlink" Target="https://www.coe.int/en/web/istanbul-convention/grevi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55F030-33A6-4EDA-BAB2-56B3058F6B8E}">
  <ds:schemaRefs>
    <ds:schemaRef ds:uri="http://schemas.openxmlformats.org/officeDocument/2006/bibliography"/>
  </ds:schemaRefs>
</ds:datastoreItem>
</file>

<file path=customXml/itemProps2.xml><?xml version="1.0" encoding="utf-8"?>
<ds:datastoreItem xmlns:ds="http://schemas.openxmlformats.org/officeDocument/2006/customXml" ds:itemID="{725FE1DD-BA48-4F08-B123-DF17CB5FF179}"/>
</file>

<file path=customXml/itemProps3.xml><?xml version="1.0" encoding="utf-8"?>
<ds:datastoreItem xmlns:ds="http://schemas.openxmlformats.org/officeDocument/2006/customXml" ds:itemID="{669867F0-8658-44F5-8C41-9DD18957037E}"/>
</file>

<file path=customXml/itemProps4.xml><?xml version="1.0" encoding="utf-8"?>
<ds:datastoreItem xmlns:ds="http://schemas.openxmlformats.org/officeDocument/2006/customXml" ds:itemID="{9D1A2E5B-246C-4882-B05B-D4A0CDC4258B}"/>
</file>

<file path=docProps/app.xml><?xml version="1.0" encoding="utf-8"?>
<Properties xmlns="http://schemas.openxmlformats.org/officeDocument/2006/extended-properties" xmlns:vt="http://schemas.openxmlformats.org/officeDocument/2006/docPropsVTypes">
  <Template>Normal.dotm</Template>
  <TotalTime>152</TotalTime>
  <Pages>2</Pages>
  <Words>887</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OHCHR</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SERRENTINO Maria Roberta</dc:creator>
  <cp:lastModifiedBy>SERRENTINO Maria Roberta</cp:lastModifiedBy>
  <cp:revision>5</cp:revision>
  <cp:lastPrinted>2019-05-27T12:57:00Z</cp:lastPrinted>
  <dcterms:created xsi:type="dcterms:W3CDTF">2019-05-29T08:04:00Z</dcterms:created>
  <dcterms:modified xsi:type="dcterms:W3CDTF">2019-05-31T09:04:00Z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