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A2" w:rsidRDefault="00D32B77">
      <w:r>
        <w:t xml:space="preserve">                    CINQUANTIEME ANNIVERSAIRE DE LA CONVENTION INTERNATIONALE</w:t>
      </w:r>
    </w:p>
    <w:p w:rsidR="00D32B77" w:rsidRDefault="00D32B77">
      <w:r>
        <w:t xml:space="preserve">                SUR L’ELIMINATION DE TOUTES LES FORMES DE DISCRIMINATION RACIALE</w:t>
      </w:r>
    </w:p>
    <w:p w:rsidR="00D32B77" w:rsidRDefault="00D32B77">
      <w:r>
        <w:t xml:space="preserve">                                           -  PALAIS DES NATIONS A GENEVE  -</w:t>
      </w:r>
    </w:p>
    <w:p w:rsidR="00D32B77" w:rsidRDefault="00D32B77">
      <w:r>
        <w:t xml:space="preserve">                                                    </w:t>
      </w:r>
      <w:r w:rsidR="00171E7B">
        <w:t xml:space="preserve"> </w:t>
      </w:r>
      <w:r>
        <w:t xml:space="preserve"> 26 NOVEMBRE 2015</w:t>
      </w:r>
    </w:p>
    <w:p w:rsidR="00D32B77" w:rsidRDefault="00D32B77"/>
    <w:p w:rsidR="00171E7B" w:rsidRDefault="00D32B77">
      <w:r>
        <w:t xml:space="preserve">                     </w:t>
      </w:r>
      <w:r w:rsidR="00171E7B">
        <w:t>«  Le Comité pour l’élimination de la discrimination raciale (</w:t>
      </w:r>
      <w:r w:rsidR="00184768">
        <w:t xml:space="preserve">le </w:t>
      </w:r>
      <w:r w:rsidR="00171E7B">
        <w:t xml:space="preserve">CERD) </w:t>
      </w:r>
    </w:p>
    <w:p w:rsidR="00171E7B" w:rsidRDefault="00171E7B">
      <w:r>
        <w:t xml:space="preserve">                         </w:t>
      </w:r>
      <w:r w:rsidR="00184768">
        <w:t xml:space="preserve">  </w:t>
      </w:r>
      <w:r w:rsidR="005F51BB">
        <w:t xml:space="preserve"> </w:t>
      </w:r>
      <w:r>
        <w:t>face aux nouveaux défis et les pistes pour aller de l’avant »</w:t>
      </w:r>
    </w:p>
    <w:p w:rsidR="00171E7B" w:rsidRDefault="00171E7B"/>
    <w:p w:rsidR="00171E7B" w:rsidRDefault="00171E7B">
      <w:r>
        <w:t xml:space="preserve">                                        </w:t>
      </w:r>
      <w:r w:rsidR="00184768">
        <w:t xml:space="preserve"> </w:t>
      </w:r>
      <w:r w:rsidR="005F51BB">
        <w:t xml:space="preserve"> </w:t>
      </w:r>
      <w:r>
        <w:t>Intervention de M. Régis de Gouttes</w:t>
      </w:r>
    </w:p>
    <w:p w:rsidR="00D32B77" w:rsidRDefault="00171E7B">
      <w:r>
        <w:t xml:space="preserve">                                   </w:t>
      </w:r>
      <w:r w:rsidR="005F51BB">
        <w:t xml:space="preserve"> </w:t>
      </w:r>
      <w:r>
        <w:t>Ancien membre et ancien Président du CERD </w:t>
      </w:r>
    </w:p>
    <w:p w:rsidR="00171E7B" w:rsidRDefault="00171E7B"/>
    <w:p w:rsidR="00171E7B" w:rsidRDefault="00EC5632">
      <w:r>
        <w:t xml:space="preserve"> C’est e</w:t>
      </w:r>
      <w:r w:rsidR="00171E7B">
        <w:t>n ma qualité d’ancien membre du CERD de 1990 à 2014 et d’ancien Président de ce Comité</w:t>
      </w:r>
      <w:r w:rsidR="00017961">
        <w:t xml:space="preserve"> de 20</w:t>
      </w:r>
      <w:r w:rsidR="000A7430">
        <w:t>06 à</w:t>
      </w:r>
      <w:r>
        <w:t xml:space="preserve"> 2008</w:t>
      </w:r>
      <w:r w:rsidR="000A7430">
        <w:t xml:space="preserve"> </w:t>
      </w:r>
      <w:r>
        <w:t>qu’</w:t>
      </w:r>
      <w:r w:rsidR="00017961">
        <w:t xml:space="preserve">il m’a été demandé de </w:t>
      </w:r>
      <w:r w:rsidR="000A7430">
        <w:t xml:space="preserve">vous </w:t>
      </w:r>
      <w:r w:rsidR="00017961">
        <w:t>dire quelques mots à l’occasion de notre commémoration du cinquantième anniversaire de la Convention</w:t>
      </w:r>
      <w:r w:rsidR="000A7430">
        <w:t xml:space="preserve"> sur l’élimination de toutes les formes de discrimination raciale</w:t>
      </w:r>
      <w:r w:rsidR="00017961">
        <w:t xml:space="preserve"> du 21 décembre 1965.</w:t>
      </w:r>
    </w:p>
    <w:p w:rsidR="00017961" w:rsidRDefault="00017961">
      <w:r>
        <w:t>Pour parler du CERD face aux nouv</w:t>
      </w:r>
      <w:r w:rsidR="000A7430">
        <w:t>eaux défis et aux perspectives d’</w:t>
      </w:r>
      <w:r>
        <w:t xml:space="preserve">avenir, je commencerai par un premier constat : au cours des 24 années que j’ai passées au CERD, j’ai pu mesurer combien ce Comité a progressivement renforcé l’application de la Convention </w:t>
      </w:r>
      <w:r w:rsidR="000A7430">
        <w:t>du 21 décembre 1965</w:t>
      </w:r>
      <w:r w:rsidR="00706A22">
        <w:t>, en réussissant à se dégager de l’interprétation par trop littérale et légaliste de ses premiers temps</w:t>
      </w:r>
      <w:r w:rsidR="00031878">
        <w:t>, encore marqués par le contexte de la guerre froide,</w:t>
      </w:r>
      <w:r w:rsidR="00706A22">
        <w:t xml:space="preserve"> et en interprétant de façon constructive et vivante cette Convention.</w:t>
      </w:r>
    </w:p>
    <w:p w:rsidR="00706A22" w:rsidRDefault="00EC5632">
      <w:r>
        <w:t>En effet, g</w:t>
      </w:r>
      <w:r w:rsidR="00706A22">
        <w:t xml:space="preserve">râce à cette </w:t>
      </w:r>
      <w:r>
        <w:t xml:space="preserve">interprétation constructive, </w:t>
      </w:r>
      <w:r w:rsidR="00706A22">
        <w:t>le CERD, véritable « observatoire mondial du racisme », a pu donner</w:t>
      </w:r>
      <w:r w:rsidR="00CA5555">
        <w:t xml:space="preserve"> plus de force</w:t>
      </w:r>
      <w:r w:rsidR="00706A22">
        <w:t xml:space="preserve"> aux obligations des Etats inscrites dans la Convention et aux procédures conventionnelles mises à sa disposition.</w:t>
      </w:r>
    </w:p>
    <w:p w:rsidR="00706A22" w:rsidRDefault="004E1FAB">
      <w:r>
        <w:t xml:space="preserve">C’est aussi son </w:t>
      </w:r>
      <w:r w:rsidR="00706A22">
        <w:t>interprétation constructive qui lui a permis d’élargir ses sources d’informations</w:t>
      </w:r>
      <w:r w:rsidR="003A50D3">
        <w:t xml:space="preserve">, en précisant davantage ses demandes concernant les informations attendues des gouvernements et en s’ouvrant </w:t>
      </w:r>
      <w:r w:rsidR="00ED04CE">
        <w:t xml:space="preserve">progressivement </w:t>
      </w:r>
      <w:r w:rsidR="003A50D3">
        <w:t xml:space="preserve">aux informations venant de la société civile (Institutions nationales des droits de l’homme et organisations non gouvernementales), </w:t>
      </w:r>
      <w:r w:rsidR="00ED04CE">
        <w:t>qui n’avaient pas été prévues par la Convention</w:t>
      </w:r>
      <w:r w:rsidR="00EC5632">
        <w:t xml:space="preserve">, </w:t>
      </w:r>
      <w:r w:rsidR="00ED04CE">
        <w:t xml:space="preserve">mais </w:t>
      </w:r>
      <w:r w:rsidR="003A50D3">
        <w:t xml:space="preserve">dont </w:t>
      </w:r>
      <w:r w:rsidR="00ED04CE">
        <w:t>on reconnait désormais le rôle très important.</w:t>
      </w:r>
    </w:p>
    <w:p w:rsidR="003A50D3" w:rsidRDefault="00ED04CE">
      <w:r>
        <w:t>A</w:t>
      </w:r>
      <w:r w:rsidR="003A50D3">
        <w:t>ujourd’hui</w:t>
      </w:r>
      <w:r>
        <w:t xml:space="preserve"> cependant</w:t>
      </w:r>
      <w:r w:rsidR="003A50D3">
        <w:t>, de nouveaux efforts doivent être accomplis par le CERD pour répondre aux défis de nos sociétés contempor</w:t>
      </w:r>
      <w:r w:rsidR="00EC5632">
        <w:t>aines. Parmi ces défis, je citerai</w:t>
      </w:r>
      <w:r w:rsidR="003A50D3">
        <w:t xml:space="preserve"> notamment l’aggravation des conflits interethniques e</w:t>
      </w:r>
      <w:r w:rsidR="00316152">
        <w:t xml:space="preserve">t religieux qui peuvent aller jusqu’à des conflits de type génocidaire, la multiplication des politiques « sécuritaires » prises en réaction au terrorisme et leurs incidences sur les libertés individuelles, la montée des migrations et des déplacements massifs de populations, les nouvelles </w:t>
      </w:r>
      <w:r w:rsidR="00031878">
        <w:lastRenderedPageBreak/>
        <w:t xml:space="preserve">formes de propagation </w:t>
      </w:r>
      <w:r w:rsidR="00316152">
        <w:t>des idées raci</w:t>
      </w:r>
      <w:r w:rsidR="00E00E73">
        <w:t>stes par l’internet, les médias ou</w:t>
      </w:r>
      <w:r w:rsidR="00EC5632">
        <w:t xml:space="preserve"> les milieux</w:t>
      </w:r>
      <w:r w:rsidR="00031878">
        <w:t xml:space="preserve"> politiques, la diffusion</w:t>
      </w:r>
      <w:r w:rsidR="00316152">
        <w:t xml:space="preserve"> des discours de haine raciale, ethnique et religieuse, etc…</w:t>
      </w:r>
    </w:p>
    <w:p w:rsidR="00F80F3D" w:rsidRDefault="00316152" w:rsidP="00F80F3D">
      <w:r>
        <w:t>Face à ces défis, il faut donc que le CERD utilise de façon plus effective les procédures mises à sa disposition par la Convention de 1965 et qu’il renforce son mode de</w:t>
      </w:r>
      <w:r w:rsidR="00F80F3D">
        <w:t xml:space="preserve"> fonctionnement, tout en tenant compte des prescriptions de la Résolution 68/268 de l’Assemblée Générale des Nations Unies sur le renforcement des organes conventionnels des droits de l’homme. Et ceci est nécessaire pour chacune de ses procédures conventionnelles :</w:t>
      </w:r>
    </w:p>
    <w:p w:rsidR="00251D2F" w:rsidRDefault="00251D2F" w:rsidP="00F80F3D"/>
    <w:p w:rsidR="0043711C" w:rsidRDefault="00F80F3D" w:rsidP="00F80F3D">
      <w:r>
        <w:t xml:space="preserve">          -I-</w:t>
      </w:r>
      <w:r w:rsidRPr="002C2E65">
        <w:rPr>
          <w:u w:val="single"/>
        </w:rPr>
        <w:t xml:space="preserve"> En ce qui concerne d’abord la procédure d’examen des rappo</w:t>
      </w:r>
      <w:r w:rsidR="0043711C" w:rsidRPr="002C2E65">
        <w:rPr>
          <w:u w:val="single"/>
        </w:rPr>
        <w:t>rts des Etats </w:t>
      </w:r>
      <w:r w:rsidR="0043711C">
        <w:t>:</w:t>
      </w:r>
    </w:p>
    <w:p w:rsidR="00F80F3D" w:rsidRDefault="0043711C" w:rsidP="00F80F3D">
      <w:r>
        <w:t xml:space="preserve">              L</w:t>
      </w:r>
      <w:r w:rsidR="00F80F3D">
        <w:t>es efforts doivent porter notamment sur les points suivants :</w:t>
      </w:r>
    </w:p>
    <w:p w:rsidR="00724D00" w:rsidRDefault="00724D00" w:rsidP="00F80F3D">
      <w:r>
        <w:t>1) Avant la séance d’examen des Etats, il convient de poursuivre et de généraliser :</w:t>
      </w:r>
    </w:p>
    <w:p w:rsidR="00724D00" w:rsidRDefault="00724D00" w:rsidP="00F80F3D">
      <w:r>
        <w:t xml:space="preserve">      .  la pratique de l’envoi préalable à l’Etat d’une liste de points ou de thèmes principaux qui seront abordés lors de la séance publique d’examen,</w:t>
      </w:r>
    </w:p>
    <w:p w:rsidR="00724D00" w:rsidRDefault="00724D00" w:rsidP="00F80F3D">
      <w:r>
        <w:t xml:space="preserve">      .  ainsi que la pratique de la procédure de « bilan » (Review procedure) à l’</w:t>
      </w:r>
      <w:r w:rsidR="00AB5934">
        <w:t>encontre</w:t>
      </w:r>
      <w:r>
        <w:t xml:space="preserve"> des Etats très en retard dans la présentation de leurs rapports, avec le mécanisme comprenant l’envoi de lettres de rappel</w:t>
      </w:r>
      <w:r w:rsidR="00AB5934">
        <w:t>, puis, en l’absence répétée de réponse, un examen d’office de la situation du pays sur la base de toutes les autres informations dis</w:t>
      </w:r>
      <w:r w:rsidR="0013014D">
        <w:t>ponibles (</w:t>
      </w:r>
      <w:r w:rsidR="00AB5934">
        <w:t>une procédure qui a montré son efficacité</w:t>
      </w:r>
      <w:r w:rsidR="0013014D">
        <w:t>, l</w:t>
      </w:r>
      <w:r w:rsidR="00AB5934">
        <w:t>es Etats</w:t>
      </w:r>
      <w:r w:rsidR="0013014D">
        <w:t xml:space="preserve">  préféra</w:t>
      </w:r>
      <w:r w:rsidR="00AB5934">
        <w:t xml:space="preserve">nt éviter </w:t>
      </w:r>
      <w:r w:rsidR="0013014D">
        <w:t>de voir</w:t>
      </w:r>
      <w:r w:rsidR="00AB5934">
        <w:t xml:space="preserve"> le Comité examine</w:t>
      </w:r>
      <w:r w:rsidR="0013014D">
        <w:t>r</w:t>
      </w:r>
      <w:r w:rsidR="00AB5934">
        <w:t xml:space="preserve"> leur situation sans leur présence</w:t>
      </w:r>
      <w:r w:rsidR="0013014D">
        <w:t>)</w:t>
      </w:r>
      <w:r w:rsidR="00AB5934">
        <w:t>.</w:t>
      </w:r>
    </w:p>
    <w:p w:rsidR="00A76256" w:rsidRDefault="000633AC" w:rsidP="00F80F3D">
      <w:r>
        <w:t xml:space="preserve">2) Pendant la séance publique d’examen des rapports, </w:t>
      </w:r>
      <w:r w:rsidR="00E45383">
        <w:t>il est important de renforcer encore le</w:t>
      </w:r>
      <w:r>
        <w:t xml:space="preserve"> dialogue interactif du Comité</w:t>
      </w:r>
      <w:r w:rsidR="00E45383">
        <w:t xml:space="preserve"> avec les Etats</w:t>
      </w:r>
      <w:r>
        <w:t xml:space="preserve">, en leur accordant un temps suffisant </w:t>
      </w:r>
      <w:r w:rsidR="00060692">
        <w:t xml:space="preserve">dont ils doivent être préalablement informés </w:t>
      </w:r>
      <w:r>
        <w:t>pour répondre aux questions. Le dialogue est à renforcer également en séance officielle avec les Institutions nationales des droits de l’</w:t>
      </w:r>
      <w:r w:rsidR="00A76256">
        <w:t>homme répondant aux critères des Principes de Paris et en séance officieuse avec les organisations non gouvernementales.</w:t>
      </w:r>
    </w:p>
    <w:p w:rsidR="00A76256" w:rsidRDefault="00A76256" w:rsidP="00F80F3D">
      <w:r>
        <w:t>3) Lors de l’adoption des observations finales du Comi</w:t>
      </w:r>
      <w:r w:rsidR="00C90FBE">
        <w:t>té, il convient de poursuivre une autre</w:t>
      </w:r>
      <w:r>
        <w:t xml:space="preserve"> pratique</w:t>
      </w:r>
      <w:r w:rsidR="000633AC">
        <w:t xml:space="preserve"> </w:t>
      </w:r>
      <w:r>
        <w:t>qui s’est révélée efficace</w:t>
      </w:r>
      <w:r w:rsidR="00C90FBE">
        <w:t> : celle consistant à identifier</w:t>
      </w:r>
      <w:r>
        <w:t> :</w:t>
      </w:r>
    </w:p>
    <w:p w:rsidR="00A76256" w:rsidRDefault="00A76256" w:rsidP="00F80F3D">
      <w:r>
        <w:t>. d’une part des « questions prioritaires » ou « très urgentes » pour lesquelles l’Etat concerné doit fournir des réponses dans le délai d’un an ;</w:t>
      </w:r>
    </w:p>
    <w:p w:rsidR="00C47F90" w:rsidRDefault="00A76256" w:rsidP="00F80F3D">
      <w:r>
        <w:t>. d’autre part des « questions d’une importance particulière » sur lesquelles une attention spéciale est demandée aux gouvernements dans les meilleurs délais et, à tout le moins, en vue d’informations complètes dans le prochain rapport périodique</w:t>
      </w:r>
      <w:r w:rsidR="00C47F90">
        <w:t xml:space="preserve"> ;                                                                                                  </w:t>
      </w:r>
    </w:p>
    <w:p w:rsidR="00C47F90" w:rsidRDefault="00C47F90" w:rsidP="00F80F3D">
      <w:r>
        <w:t xml:space="preserve"> Par ailleurs, l’effort déjà entrepris de simplification des observations finales et l’adoption de recomman</w:t>
      </w:r>
      <w:r w:rsidR="00062A1C">
        <w:t xml:space="preserve">dations </w:t>
      </w:r>
      <w:r w:rsidR="00BD3856">
        <w:t xml:space="preserve">mieux </w:t>
      </w:r>
      <w:r w:rsidR="00062A1C">
        <w:t>ciblées est à intensifier</w:t>
      </w:r>
      <w:r>
        <w:t>.</w:t>
      </w:r>
    </w:p>
    <w:p w:rsidR="000633AC" w:rsidRDefault="00C47F90" w:rsidP="00F80F3D">
      <w:r>
        <w:t>4) Aprè</w:t>
      </w:r>
      <w:r w:rsidR="00F442AB">
        <w:t>s</w:t>
      </w:r>
      <w:r>
        <w:t xml:space="preserve"> l’examen des rapports et l’adoption des </w:t>
      </w:r>
      <w:r w:rsidRPr="00D841D7">
        <w:rPr>
          <w:sz w:val="24"/>
        </w:rPr>
        <w:t>observations finales, il est très important que soit poursuivie et développée la procédure dite de « suivi »</w:t>
      </w:r>
      <w:r w:rsidR="00F442AB" w:rsidRPr="00D841D7">
        <w:rPr>
          <w:sz w:val="24"/>
        </w:rPr>
        <w:t xml:space="preserve"> (Follow up), qui constitue probablement l’une des innovations les plus déterminantes pour « l’effec</w:t>
      </w:r>
      <w:r w:rsidR="00F442AB">
        <w:t>tivité »</w:t>
      </w:r>
      <w:r w:rsidR="000633AC">
        <w:t xml:space="preserve"> </w:t>
      </w:r>
      <w:r w:rsidR="00F442AB">
        <w:t>de l’application de la Convention, car elle a permis d’instituer une véritable permanence dans le contrôle du respect de leurs obligations conventionnelles par les Etats parties pendant la période comprise entre les deux rapports périodiques de l’Etat.</w:t>
      </w:r>
    </w:p>
    <w:p w:rsidR="00F442AB" w:rsidRDefault="00F442AB" w:rsidP="00F80F3D">
      <w:r>
        <w:t xml:space="preserve">L’efficacité de cette procédure de « suivi » est encore accrue avec la mention </w:t>
      </w:r>
      <w:r w:rsidR="006C3765">
        <w:t xml:space="preserve">des observations du CERD et </w:t>
      </w:r>
      <w:r>
        <w:t>des réponses fournies par les Etats aux demandes de suivi</w:t>
      </w:r>
      <w:r w:rsidR="0059333F">
        <w:t xml:space="preserve"> </w:t>
      </w:r>
      <w:r>
        <w:t xml:space="preserve">qui figure désormais dans le rapport final annuel </w:t>
      </w:r>
      <w:r w:rsidR="00D841D7">
        <w:t>adressé</w:t>
      </w:r>
      <w:r w:rsidR="0059333F">
        <w:t xml:space="preserve"> par le Comité à</w:t>
      </w:r>
      <w:r w:rsidR="00D841D7">
        <w:t xml:space="preserve"> l’Assemblée Générale des Nations Unies.</w:t>
      </w:r>
    </w:p>
    <w:p w:rsidR="00D841D7" w:rsidRDefault="00D841D7" w:rsidP="00F80F3D">
      <w:r>
        <w:t>Par ailleurs, pour promouvoir encore le dialogue entre le Comité et les Etats, il conviendrait peut-être de relancer la pratique des visites d’experts du CERD d</w:t>
      </w:r>
      <w:r w:rsidR="0002779F">
        <w:t>ans les pays, pour</w:t>
      </w:r>
      <w:r>
        <w:t xml:space="preserve"> aider</w:t>
      </w:r>
      <w:r w:rsidR="0002779F">
        <w:t xml:space="preserve"> notamment les Etats</w:t>
      </w:r>
      <w:r>
        <w:t xml:space="preserve"> à mieux comprendre et appliquer la procédure de présentation des rapports, comme cela s’était fait dans le passé.</w:t>
      </w:r>
    </w:p>
    <w:p w:rsidR="00251D2F" w:rsidRDefault="00251D2F" w:rsidP="00F80F3D"/>
    <w:p w:rsidR="00251D2F" w:rsidRDefault="00251D2F" w:rsidP="00F80F3D">
      <w:r>
        <w:t xml:space="preserve">          -II- </w:t>
      </w:r>
      <w:r w:rsidRPr="002C2E65">
        <w:rPr>
          <w:u w:val="single"/>
        </w:rPr>
        <w:t>En</w:t>
      </w:r>
      <w:r w:rsidR="0043711C" w:rsidRPr="002C2E65">
        <w:rPr>
          <w:u w:val="single"/>
        </w:rPr>
        <w:t xml:space="preserve"> ce qui concerne la procédure des plaintes ou communications individuelles (procédure facultative de l’article 14 de la Convention de 1965)</w:t>
      </w:r>
      <w:r w:rsidR="0043711C">
        <w:t> :</w:t>
      </w:r>
    </w:p>
    <w:p w:rsidR="00785776" w:rsidRDefault="00785776" w:rsidP="00F80F3D">
      <w:r>
        <w:t xml:space="preserve">Cette procédure, faut-il le rappeler, revêt une grande importance pour les particuliers ou les victimes, puisqu’elle représente </w:t>
      </w:r>
      <w:r w:rsidR="007728FD">
        <w:t xml:space="preserve">pour eux </w:t>
      </w:r>
      <w:r>
        <w:t>un ultime recours et le moyen de faire entendre leur voix devant un organe conventionnel de contrôle après avoir épuisé toutes les voies de recours internes.</w:t>
      </w:r>
    </w:p>
    <w:p w:rsidR="00785776" w:rsidRDefault="00145E18" w:rsidP="00145E18">
      <w:r>
        <w:t xml:space="preserve">       1° </w:t>
      </w:r>
      <w:r w:rsidR="00785776">
        <w:t xml:space="preserve">A cet égard des progrès significatifs ont été accomplis : 57 Etats ont accepté à ce jour la procédure et près d’une cinquantaine de plaintes </w:t>
      </w:r>
      <w:r w:rsidR="00E15236">
        <w:t xml:space="preserve">ont été </w:t>
      </w:r>
      <w:r w:rsidR="00785776">
        <w:t>reçues</w:t>
      </w:r>
      <w:r w:rsidR="00E15236">
        <w:t xml:space="preserve"> par le CERD. Néanm</w:t>
      </w:r>
      <w:r w:rsidR="00ED667C">
        <w:t>oins, cela ne suffit pas au regard des</w:t>
      </w:r>
      <w:r w:rsidR="00E15236">
        <w:t xml:space="preserve"> 177 Etats </w:t>
      </w:r>
      <w:r w:rsidR="00ED667C">
        <w:t xml:space="preserve">qui </w:t>
      </w:r>
      <w:r w:rsidR="00E15236">
        <w:t>sont parties à la Convention.</w:t>
      </w:r>
    </w:p>
    <w:p w:rsidR="0040230C" w:rsidRDefault="006E6487" w:rsidP="0040230C">
      <w:r>
        <w:t xml:space="preserve">  </w:t>
      </w:r>
      <w:r w:rsidR="00990C54">
        <w:t xml:space="preserve">     </w:t>
      </w:r>
      <w:r w:rsidR="00E15236">
        <w:t>Par ailleurs, le processus d’examen des plaintes a été amélioré par le Comité :</w:t>
      </w:r>
    </w:p>
    <w:p w:rsidR="00E15236" w:rsidRDefault="0040230C" w:rsidP="0040230C">
      <w:r>
        <w:t xml:space="preserve">     -t</w:t>
      </w:r>
      <w:r w:rsidR="00E15236">
        <w:t>el a été le cas avec la désignation d’un rapporteur et d’un co-rapporteur qui ont une double mission : préparer les projets de décisions ou opinions en lien avec l’Unité du Haut Commissariat chargée des</w:t>
      </w:r>
      <w:r w:rsidR="0028538A">
        <w:t xml:space="preserve"> plaintes individuelles, et organiser ensuite </w:t>
      </w:r>
      <w:r>
        <w:t>le suivi (f</w:t>
      </w:r>
      <w:r w:rsidR="0028538A">
        <w:t>ollow up) de la mise en œuvre effective des décisions par les Etats.</w:t>
      </w:r>
    </w:p>
    <w:p w:rsidR="0028538A" w:rsidRDefault="00EF3370" w:rsidP="00E15236">
      <w:r>
        <w:t xml:space="preserve">     </w:t>
      </w:r>
      <w:r w:rsidR="0040230C">
        <w:t>-t</w:t>
      </w:r>
      <w:r w:rsidR="0028538A">
        <w:t>el a été aussi le cas avec la publication des résultats du suivi des décisions</w:t>
      </w:r>
      <w:r w:rsidR="006E6487">
        <w:t xml:space="preserve"> sur les plaintes individuelles dans le rapport annuel du Comité adressé à l’Assemblée Générale des Nations Unies.</w:t>
      </w:r>
    </w:p>
    <w:p w:rsidR="005F317F" w:rsidRDefault="00145E18" w:rsidP="00E15236">
      <w:r>
        <w:t xml:space="preserve">     2°</w:t>
      </w:r>
      <w:r w:rsidR="005F317F">
        <w:t xml:space="preserve"> Mais de nouv</w:t>
      </w:r>
      <w:r w:rsidR="0051074A">
        <w:t>eaux progrès doivent être</w:t>
      </w:r>
      <w:r w:rsidR="005F317F">
        <w:t xml:space="preserve"> accomplis</w:t>
      </w:r>
      <w:r w:rsidR="0051074A">
        <w:t xml:space="preserve"> encore</w:t>
      </w:r>
      <w:r w:rsidR="005F317F">
        <w:t xml:space="preserve"> pour améliorer cette procédure : </w:t>
      </w:r>
    </w:p>
    <w:p w:rsidR="00EF3370" w:rsidRDefault="006A08A3" w:rsidP="00E15236">
      <w:r>
        <w:t xml:space="preserve">          =</w:t>
      </w:r>
      <w:r w:rsidR="00EF3370">
        <w:t xml:space="preserve"> Tout d’abord, il faut appeler instamment les Etats qui ne l’ont pas encore fait à accepter la procédure prévue à l’article 14 de la Convention afin d’aboutir progressivement à l’universalisation de cette procédure</w:t>
      </w:r>
      <w:r w:rsidR="00443793">
        <w:t>, conformément aux recommandations de la Conférence mondiale contre le racisme et de l’Assemblée Générale des Nations Unies.</w:t>
      </w:r>
    </w:p>
    <w:p w:rsidR="00443793" w:rsidRDefault="006A08A3" w:rsidP="00E15236">
      <w:r>
        <w:t xml:space="preserve">         = </w:t>
      </w:r>
      <w:r w:rsidR="00443793">
        <w:t xml:space="preserve">S’agissant des Etats qui ont accepté la procédure, il faut les encourager notamment aux initiatives suivantes : </w:t>
      </w:r>
    </w:p>
    <w:p w:rsidR="00443793" w:rsidRDefault="00443793" w:rsidP="00E15236">
      <w:r>
        <w:t xml:space="preserve">   . mettre en œuvre plus effectivement les recommandations formulées par le Comité, en particulier pour la réparation adéquate des victimes, l’ouverture d’enquêtes efficaces, les changements à apporter à la législation et la règlementation ;</w:t>
      </w:r>
    </w:p>
    <w:p w:rsidR="00443793" w:rsidRDefault="00443793" w:rsidP="00E15236">
      <w:r>
        <w:t xml:space="preserve">   . coopérer plus étroitement avec les rapporteurs et avec l’unité des plaintes individuelles du Haut Commissariat aux droits de l’homme pour permettre aux</w:t>
      </w:r>
      <w:r w:rsidR="00754605">
        <w:t xml:space="preserve"> Etats d’élaborer des réponses plus adaptées aux recommandations du Comité ;</w:t>
      </w:r>
    </w:p>
    <w:p w:rsidR="00754605" w:rsidRDefault="00754605" w:rsidP="00754605">
      <w:r>
        <w:t xml:space="preserve">     . diffuser une meilleure information, au niveau national, sur l’existence de la procédure des plaintes individuelles du CERD, condition indispensable pour que cette procédure soit utilisée par les individus.</w:t>
      </w:r>
    </w:p>
    <w:p w:rsidR="00754605" w:rsidRDefault="006A08A3" w:rsidP="00754605">
      <w:r>
        <w:t xml:space="preserve">        = </w:t>
      </w:r>
      <w:r w:rsidR="00754605">
        <w:t>S’agissant du CERD lui-même, comme l’ensemble des Comités conventionnels des Nations Unies, les efforts doivent porter en particulier sur les points suivants :</w:t>
      </w:r>
    </w:p>
    <w:p w:rsidR="00754605" w:rsidRDefault="00754605" w:rsidP="00754605">
      <w:r>
        <w:t xml:space="preserve">     . renforcer le dialogue avec les Etats tout au long de la procédure, de manière à ce que l’on aboutisse, dans la concertation, à des réponses gouvernementales conformes aux demandes du Comité ;</w:t>
      </w:r>
    </w:p>
    <w:p w:rsidR="00754605" w:rsidRDefault="00754605" w:rsidP="00754605">
      <w:r>
        <w:t xml:space="preserve">     . garantir le caractère contradictoire et la loyauté de la procédure à l’égard de chacune des partis ;</w:t>
      </w:r>
    </w:p>
    <w:p w:rsidR="00754605" w:rsidRDefault="00D521AF" w:rsidP="00754605">
      <w:r>
        <w:t xml:space="preserve">     . s’ouvrir à de nouvelles pratiques appropriées, si nécessaire comme l’ont fait d’autre Comités : tels les accords amiables (friendly settlements), l’audition de tiers intervenants ou « d’amicus curiae », les mesures provisoires ou intérimaires exigées des Etats en cas de risques de dommages irréparables pour les victimes ;</w:t>
      </w:r>
    </w:p>
    <w:p w:rsidR="00C33AF8" w:rsidRDefault="00D521AF" w:rsidP="00C33AF8">
      <w:r>
        <w:t xml:space="preserve">     . développer les échanges de vues sur la procédure</w:t>
      </w:r>
      <w:r w:rsidR="00A3787E">
        <w:t xml:space="preserve"> des plaintes individuelles </w:t>
      </w:r>
      <w:r>
        <w:t>avec la société civile.</w:t>
      </w:r>
    </w:p>
    <w:p w:rsidR="00C33AF8" w:rsidRDefault="006A08A3" w:rsidP="00C33AF8">
      <w:r>
        <w:t xml:space="preserve">          =  </w:t>
      </w:r>
      <w:r w:rsidR="00C33AF8">
        <w:t>S’agissant enfin du Haut Commissariat aux droits de l’homme</w:t>
      </w:r>
      <w:r w:rsidR="00396428">
        <w:t xml:space="preserve"> (OHCHR)</w:t>
      </w:r>
      <w:r w:rsidR="00C33AF8">
        <w:t>, les mesures suivantes seraient entre autres souhaitables</w:t>
      </w:r>
      <w:r w:rsidR="00F52EFE">
        <w:t> :</w:t>
      </w:r>
    </w:p>
    <w:p w:rsidR="00396428" w:rsidRDefault="00396428" w:rsidP="00C33AF8">
      <w:r>
        <w:t xml:space="preserve">     . doter le Comité des moyens nécessaires pour lui permettre de traiter les dossiers de plaintes individuelles dans des délais raisonnables ;</w:t>
      </w:r>
    </w:p>
    <w:p w:rsidR="00396428" w:rsidRDefault="00396428" w:rsidP="00C33AF8">
      <w:r>
        <w:t xml:space="preserve">     . améliorer les bases de données et le site électronique du OHCHR afin d’assurer une meilleure publicité des décisions du Comité en la matière, leur large diffusion et leur accessibilité à toutes les parties prenantes ;</w:t>
      </w:r>
    </w:p>
    <w:p w:rsidR="00396428" w:rsidRDefault="00396428" w:rsidP="00C33AF8">
      <w:r>
        <w:t xml:space="preserve">     . poursuivre la publication des recueils des décisions ou opinions du Comité</w:t>
      </w:r>
      <w:r w:rsidR="00BE30B5">
        <w:t xml:space="preserve"> concernant les communications individuelles.</w:t>
      </w:r>
    </w:p>
    <w:p w:rsidR="005A67F8" w:rsidRDefault="005A67F8" w:rsidP="00C33AF8"/>
    <w:p w:rsidR="005A67F8" w:rsidRDefault="005A67F8" w:rsidP="00C33AF8">
      <w:r>
        <w:t xml:space="preserve">          -III- </w:t>
      </w:r>
      <w:r w:rsidRPr="002C2E65">
        <w:rPr>
          <w:u w:val="single"/>
        </w:rPr>
        <w:t>En ce qui concerne la procédure dite « d’alerte rapide et d’action urgente » (Early warning and urgent action)</w:t>
      </w:r>
      <w:r>
        <w:t> :</w:t>
      </w:r>
    </w:p>
    <w:p w:rsidR="005A67F8" w:rsidRDefault="005A67F8" w:rsidP="00C33AF8">
      <w:r>
        <w:t>Il est très important que soit maintenu et renforcé ce mécanisme qui n’avait pas été prévu expressément par la Convention de 1965, mais que le CERD a été le premier des comités d’experts des Nations Unies à instituer dès 1993 pour réagir aux situations de crise et à la menace de phénomènes racistes</w:t>
      </w:r>
      <w:r w:rsidR="00D115C0">
        <w:t xml:space="preserve"> graves et</w:t>
      </w:r>
      <w:r>
        <w:t xml:space="preserve"> imminents.</w:t>
      </w:r>
    </w:p>
    <w:p w:rsidR="00D115C0" w:rsidRDefault="00D115C0" w:rsidP="00C33AF8">
      <w:r>
        <w:t>A cet effet, le CERD a défini les indicateurs des situations de crise justifiant de recourir à cette procédure, en l’étendant ensuite aux risques de génocides et en adoptant des Directives ou « Guidelines » complètes en la matière.</w:t>
      </w:r>
    </w:p>
    <w:p w:rsidR="00D115C0" w:rsidRDefault="00D115C0" w:rsidP="00C33AF8">
      <w:r>
        <w:t>Cette procédure a montré son utilité puisqu’elle a été appliquée à de nombreux cas et à l’égard de pays divers, en dernier lieu, par exemple, à la Libye, à la Syrie, au Mali, à la République Centrafricaine et à l’Irak.</w:t>
      </w:r>
    </w:p>
    <w:p w:rsidR="00D115C0" w:rsidRDefault="00E02DAF" w:rsidP="00C33AF8">
      <w:r>
        <w:t>En outre, le Comité a été saisi</w:t>
      </w:r>
      <w:r w:rsidR="00D115C0">
        <w:t xml:space="preserve"> à ce titre</w:t>
      </w:r>
      <w:r w:rsidR="003C6EC4">
        <w:t xml:space="preserve"> aussi</w:t>
      </w:r>
      <w:r w:rsidR="00D115C0">
        <w:t xml:space="preserve"> par de nombreuses communautés autochtones ou indigènes se plaignant </w:t>
      </w:r>
      <w:r w:rsidR="00F90170">
        <w:t xml:space="preserve">de discriminations, </w:t>
      </w:r>
      <w:r w:rsidR="00D115C0">
        <w:t xml:space="preserve">notamment </w:t>
      </w:r>
      <w:r w:rsidR="00F90170">
        <w:t>dans leurs droits concernant les terres ancestrales de leurs peuples</w:t>
      </w:r>
      <w:r>
        <w:t xml:space="preserve"> </w:t>
      </w:r>
      <w:r w:rsidR="00F90170">
        <w:t>par l’effet des exploitations extractives, minières ou forestières menées par des sociétés nationales ou transnationales, ainsi que de discriminations dans leurs droits économiques, sociaux et culturels.</w:t>
      </w:r>
    </w:p>
    <w:p w:rsidR="00D32B77" w:rsidRDefault="00F90170">
      <w:r>
        <w:t>Il importe que soit poursuivie cette procédure, surtout dans la période que nous vivons de conflits violents</w:t>
      </w:r>
      <w:r w:rsidR="00F05E14">
        <w:t>, de menaces écologiques et climatiques et de situations de crise affectant divers pays.</w:t>
      </w:r>
    </w:p>
    <w:p w:rsidR="00F05E14" w:rsidRDefault="00F05E14"/>
    <w:p w:rsidR="00F05E14" w:rsidRDefault="00F05E14">
      <w:r>
        <w:t xml:space="preserve">          -IV- </w:t>
      </w:r>
      <w:r w:rsidRPr="002C2E65">
        <w:rPr>
          <w:u w:val="single"/>
        </w:rPr>
        <w:t>En ce qui concerne enfin les « Recommandations Générales » du CERD</w:t>
      </w:r>
      <w:r>
        <w:t> :</w:t>
      </w:r>
    </w:p>
    <w:p w:rsidR="00F05E14" w:rsidRDefault="00F05E14">
      <w:r>
        <w:t>Ces Recommandations Générales constituent un corpus juridique et un élément essentiel de la « doctrine » du Comité, même si elles participent de la « soft law » et non de la « hard law ».</w:t>
      </w:r>
    </w:p>
    <w:p w:rsidR="005F6001" w:rsidRDefault="00F05E14" w:rsidP="005F6001">
      <w:r>
        <w:t>Depuis sa création, le CERD a adopté ainsi 35 Recommandations Générales</w:t>
      </w:r>
      <w:r w:rsidR="005467F9">
        <w:t xml:space="preserve">, </w:t>
      </w:r>
      <w:r>
        <w:t>les unes de caractère procédural</w:t>
      </w:r>
      <w:r w:rsidR="005467F9">
        <w:t xml:space="preserve">, les autres de caractère interprétatif des articles de la Convention, d’autres enfin de nature « thématique », traitant de problèmes contemporains d’une importance ou d’une actualité particulière </w:t>
      </w:r>
      <w:r w:rsidR="00CD3755">
        <w:t>pour la lutte contre le racisme : t</w:t>
      </w:r>
      <w:r w:rsidR="005467F9">
        <w:t>el a été le cas, par exemple, pour les Recommandations Générales sur les réfugiés et les personnes déplacées</w:t>
      </w:r>
      <w:r w:rsidR="00CD3755">
        <w:t xml:space="preserve"> </w:t>
      </w:r>
      <w:r w:rsidR="005467F9">
        <w:t>(N°22/196), sur les populations autochtones (N°23/1997), sur la dimension sexiste de la discrimination raciale (N°25/2000), sur les roms et tziganes (N°27/2000), sur la discrimination fondée sur l’ascendance et les castes (N°29/2002), sur</w:t>
      </w:r>
      <w:r w:rsidR="00395841">
        <w:t xml:space="preserve"> les non-ressortissants (N°30/2004), sur la discrimination raciale  dans le fonctionnement de la justice pénale (N°31/2005), sur les mesures spéciales ou actions positives (N°32/2009), sur les peuples d’ascendance africaine (N°34/2011), sur la lutte contre les discours de haine raciale (N°</w:t>
      </w:r>
      <w:r w:rsidR="005F6001">
        <w:t>35/2013).</w:t>
      </w:r>
    </w:p>
    <w:p w:rsidR="005F6001" w:rsidRDefault="005F6001" w:rsidP="005F6001">
      <w:r>
        <w:t xml:space="preserve">                                                                              - / -</w:t>
      </w:r>
    </w:p>
    <w:p w:rsidR="00E037B9" w:rsidRDefault="00E037B9" w:rsidP="00F05E14">
      <w:r>
        <w:t xml:space="preserve">                        A travers tous ces exemples des avancées </w:t>
      </w:r>
      <w:r w:rsidR="000728AA">
        <w:t>déjà réalisées par le CERD et des propositions d’initiatives à envisager pour</w:t>
      </w:r>
      <w:r>
        <w:t xml:space="preserve"> l’avenir</w:t>
      </w:r>
      <w:r w:rsidR="000728AA">
        <w:t xml:space="preserve">, se dessinent, me semble-t-il, quelques unes des « pistes pour aller de l’avant face aux nouveaux défis auxquels </w:t>
      </w:r>
      <w:r w:rsidR="00FD31CB">
        <w:t xml:space="preserve">est confronté </w:t>
      </w:r>
      <w:r w:rsidR="000728AA">
        <w:t>le CERD »…</w:t>
      </w:r>
    </w:p>
    <w:sectPr w:rsidR="00E037B9" w:rsidSect="000349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CEF" w:rsidRDefault="00A52CEF" w:rsidP="00407897">
      <w:pPr>
        <w:spacing w:after="0" w:line="240" w:lineRule="auto"/>
      </w:pPr>
      <w:r>
        <w:separator/>
      </w:r>
    </w:p>
  </w:endnote>
  <w:endnote w:type="continuationSeparator" w:id="1">
    <w:p w:rsidR="00A52CEF" w:rsidRDefault="00A52CEF" w:rsidP="0040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CEF" w:rsidRDefault="00A52CEF" w:rsidP="00407897">
      <w:pPr>
        <w:spacing w:after="0" w:line="240" w:lineRule="auto"/>
      </w:pPr>
      <w:r>
        <w:separator/>
      </w:r>
    </w:p>
  </w:footnote>
  <w:footnote w:type="continuationSeparator" w:id="1">
    <w:p w:rsidR="00A52CEF" w:rsidRDefault="00A52CEF" w:rsidP="00407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25424"/>
      <w:docPartObj>
        <w:docPartGallery w:val="Page Numbers (Top of Page)"/>
        <w:docPartUnique/>
      </w:docPartObj>
    </w:sdtPr>
    <w:sdtContent>
      <w:p w:rsidR="003476EB" w:rsidRDefault="00C43F5F">
        <w:pPr>
          <w:pStyle w:val="En-tte"/>
        </w:pPr>
        <w:fldSimple w:instr=" PAGE   \* MERGEFORMAT ">
          <w:r w:rsidR="00A52CEF">
            <w:rPr>
              <w:noProof/>
            </w:rPr>
            <w:t>1</w:t>
          </w:r>
        </w:fldSimple>
      </w:p>
    </w:sdtContent>
  </w:sdt>
  <w:p w:rsidR="00407897" w:rsidRPr="003476EB" w:rsidRDefault="00407897">
    <w:pPr>
      <w:pStyle w:val="En-tte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700C"/>
    <w:multiLevelType w:val="hybridMultilevel"/>
    <w:tmpl w:val="826CC872"/>
    <w:lvl w:ilvl="0" w:tplc="EB7EED5C">
      <w:start w:val="26"/>
      <w:numFmt w:val="bullet"/>
      <w:lvlText w:val="-"/>
      <w:lvlJc w:val="left"/>
      <w:pPr>
        <w:ind w:left="6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0EC417FE"/>
    <w:multiLevelType w:val="hybridMultilevel"/>
    <w:tmpl w:val="0210842C"/>
    <w:lvl w:ilvl="0" w:tplc="08BEAD68">
      <w:start w:val="3"/>
      <w:numFmt w:val="bullet"/>
      <w:lvlText w:val="-"/>
      <w:lvlJc w:val="left"/>
      <w:pPr>
        <w:ind w:left="6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17E67BFD"/>
    <w:multiLevelType w:val="hybridMultilevel"/>
    <w:tmpl w:val="1C4A9E0E"/>
    <w:lvl w:ilvl="0" w:tplc="5D3405F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AF30444"/>
    <w:multiLevelType w:val="hybridMultilevel"/>
    <w:tmpl w:val="24B47D0A"/>
    <w:lvl w:ilvl="0" w:tplc="0A502252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36F219F"/>
    <w:multiLevelType w:val="hybridMultilevel"/>
    <w:tmpl w:val="9C444E3A"/>
    <w:lvl w:ilvl="0" w:tplc="0AC6928C">
      <w:start w:val="26"/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28050D24"/>
    <w:multiLevelType w:val="hybridMultilevel"/>
    <w:tmpl w:val="F50A3B5C"/>
    <w:lvl w:ilvl="0" w:tplc="00D8BD54">
      <w:start w:val="3"/>
      <w:numFmt w:val="bullet"/>
      <w:lvlText w:val="-"/>
      <w:lvlJc w:val="left"/>
      <w:pPr>
        <w:ind w:left="6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>
    <w:nsid w:val="438E6D05"/>
    <w:multiLevelType w:val="hybridMultilevel"/>
    <w:tmpl w:val="8C5060F2"/>
    <w:lvl w:ilvl="0" w:tplc="2A72D40C">
      <w:numFmt w:val="bullet"/>
      <w:lvlText w:val="-"/>
      <w:lvlJc w:val="left"/>
      <w:pPr>
        <w:ind w:left="38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</w:abstractNum>
  <w:abstractNum w:abstractNumId="7">
    <w:nsid w:val="4ACC3FF1"/>
    <w:multiLevelType w:val="hybridMultilevel"/>
    <w:tmpl w:val="361E80F8"/>
    <w:lvl w:ilvl="0" w:tplc="BD68D0FE">
      <w:start w:val="1"/>
      <w:numFmt w:val="bullet"/>
      <w:lvlText w:val="-"/>
      <w:lvlJc w:val="left"/>
      <w:pPr>
        <w:ind w:left="6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>
    <w:nsid w:val="4FBD3ABA"/>
    <w:multiLevelType w:val="hybridMultilevel"/>
    <w:tmpl w:val="C6FC5196"/>
    <w:lvl w:ilvl="0" w:tplc="CA26B1A6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6" w:hanging="360"/>
      </w:pPr>
    </w:lvl>
    <w:lvl w:ilvl="2" w:tplc="040C001B" w:tentative="1">
      <w:start w:val="1"/>
      <w:numFmt w:val="lowerRoman"/>
      <w:lvlText w:val="%3."/>
      <w:lvlJc w:val="right"/>
      <w:pPr>
        <w:ind w:left="2136" w:hanging="180"/>
      </w:pPr>
    </w:lvl>
    <w:lvl w:ilvl="3" w:tplc="040C000F" w:tentative="1">
      <w:start w:val="1"/>
      <w:numFmt w:val="decimal"/>
      <w:lvlText w:val="%4."/>
      <w:lvlJc w:val="left"/>
      <w:pPr>
        <w:ind w:left="2856" w:hanging="360"/>
      </w:pPr>
    </w:lvl>
    <w:lvl w:ilvl="4" w:tplc="040C0019" w:tentative="1">
      <w:start w:val="1"/>
      <w:numFmt w:val="lowerLetter"/>
      <w:lvlText w:val="%5."/>
      <w:lvlJc w:val="left"/>
      <w:pPr>
        <w:ind w:left="3576" w:hanging="360"/>
      </w:pPr>
    </w:lvl>
    <w:lvl w:ilvl="5" w:tplc="040C001B" w:tentative="1">
      <w:start w:val="1"/>
      <w:numFmt w:val="lowerRoman"/>
      <w:lvlText w:val="%6."/>
      <w:lvlJc w:val="right"/>
      <w:pPr>
        <w:ind w:left="4296" w:hanging="180"/>
      </w:pPr>
    </w:lvl>
    <w:lvl w:ilvl="6" w:tplc="040C000F" w:tentative="1">
      <w:start w:val="1"/>
      <w:numFmt w:val="decimal"/>
      <w:lvlText w:val="%7."/>
      <w:lvlJc w:val="left"/>
      <w:pPr>
        <w:ind w:left="5016" w:hanging="360"/>
      </w:pPr>
    </w:lvl>
    <w:lvl w:ilvl="7" w:tplc="040C0019" w:tentative="1">
      <w:start w:val="1"/>
      <w:numFmt w:val="lowerLetter"/>
      <w:lvlText w:val="%8."/>
      <w:lvlJc w:val="left"/>
      <w:pPr>
        <w:ind w:left="5736" w:hanging="360"/>
      </w:pPr>
    </w:lvl>
    <w:lvl w:ilvl="8" w:tplc="04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9">
    <w:nsid w:val="55765E3D"/>
    <w:multiLevelType w:val="hybridMultilevel"/>
    <w:tmpl w:val="3D3460FE"/>
    <w:lvl w:ilvl="0" w:tplc="22847F2C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6" w:hanging="360"/>
      </w:pPr>
    </w:lvl>
    <w:lvl w:ilvl="2" w:tplc="040C001B" w:tentative="1">
      <w:start w:val="1"/>
      <w:numFmt w:val="lowerRoman"/>
      <w:lvlText w:val="%3."/>
      <w:lvlJc w:val="right"/>
      <w:pPr>
        <w:ind w:left="2136" w:hanging="180"/>
      </w:pPr>
    </w:lvl>
    <w:lvl w:ilvl="3" w:tplc="040C000F" w:tentative="1">
      <w:start w:val="1"/>
      <w:numFmt w:val="decimal"/>
      <w:lvlText w:val="%4."/>
      <w:lvlJc w:val="left"/>
      <w:pPr>
        <w:ind w:left="2856" w:hanging="360"/>
      </w:pPr>
    </w:lvl>
    <w:lvl w:ilvl="4" w:tplc="040C0019" w:tentative="1">
      <w:start w:val="1"/>
      <w:numFmt w:val="lowerLetter"/>
      <w:lvlText w:val="%5."/>
      <w:lvlJc w:val="left"/>
      <w:pPr>
        <w:ind w:left="3576" w:hanging="360"/>
      </w:pPr>
    </w:lvl>
    <w:lvl w:ilvl="5" w:tplc="040C001B" w:tentative="1">
      <w:start w:val="1"/>
      <w:numFmt w:val="lowerRoman"/>
      <w:lvlText w:val="%6."/>
      <w:lvlJc w:val="right"/>
      <w:pPr>
        <w:ind w:left="4296" w:hanging="180"/>
      </w:pPr>
    </w:lvl>
    <w:lvl w:ilvl="6" w:tplc="040C000F" w:tentative="1">
      <w:start w:val="1"/>
      <w:numFmt w:val="decimal"/>
      <w:lvlText w:val="%7."/>
      <w:lvlJc w:val="left"/>
      <w:pPr>
        <w:ind w:left="5016" w:hanging="360"/>
      </w:pPr>
    </w:lvl>
    <w:lvl w:ilvl="7" w:tplc="040C0019" w:tentative="1">
      <w:start w:val="1"/>
      <w:numFmt w:val="lowerLetter"/>
      <w:lvlText w:val="%8."/>
      <w:lvlJc w:val="left"/>
      <w:pPr>
        <w:ind w:left="5736" w:hanging="360"/>
      </w:pPr>
    </w:lvl>
    <w:lvl w:ilvl="8" w:tplc="04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">
    <w:nsid w:val="66813597"/>
    <w:multiLevelType w:val="hybridMultilevel"/>
    <w:tmpl w:val="DF30D432"/>
    <w:lvl w:ilvl="0" w:tplc="F35813EE">
      <w:start w:val="2"/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6A4E135D"/>
    <w:multiLevelType w:val="hybridMultilevel"/>
    <w:tmpl w:val="F58CA81A"/>
    <w:lvl w:ilvl="0" w:tplc="03F406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8" w:hanging="360"/>
      </w:pPr>
    </w:lvl>
    <w:lvl w:ilvl="2" w:tplc="040C001B" w:tentative="1">
      <w:start w:val="1"/>
      <w:numFmt w:val="lowerRoman"/>
      <w:lvlText w:val="%3."/>
      <w:lvlJc w:val="right"/>
      <w:pPr>
        <w:ind w:left="2088" w:hanging="180"/>
      </w:pPr>
    </w:lvl>
    <w:lvl w:ilvl="3" w:tplc="040C000F" w:tentative="1">
      <w:start w:val="1"/>
      <w:numFmt w:val="decimal"/>
      <w:lvlText w:val="%4."/>
      <w:lvlJc w:val="left"/>
      <w:pPr>
        <w:ind w:left="2808" w:hanging="360"/>
      </w:pPr>
    </w:lvl>
    <w:lvl w:ilvl="4" w:tplc="040C0019" w:tentative="1">
      <w:start w:val="1"/>
      <w:numFmt w:val="lowerLetter"/>
      <w:lvlText w:val="%5."/>
      <w:lvlJc w:val="left"/>
      <w:pPr>
        <w:ind w:left="3528" w:hanging="360"/>
      </w:pPr>
    </w:lvl>
    <w:lvl w:ilvl="5" w:tplc="040C001B" w:tentative="1">
      <w:start w:val="1"/>
      <w:numFmt w:val="lowerRoman"/>
      <w:lvlText w:val="%6."/>
      <w:lvlJc w:val="right"/>
      <w:pPr>
        <w:ind w:left="4248" w:hanging="180"/>
      </w:pPr>
    </w:lvl>
    <w:lvl w:ilvl="6" w:tplc="040C000F" w:tentative="1">
      <w:start w:val="1"/>
      <w:numFmt w:val="decimal"/>
      <w:lvlText w:val="%7."/>
      <w:lvlJc w:val="left"/>
      <w:pPr>
        <w:ind w:left="4968" w:hanging="360"/>
      </w:pPr>
    </w:lvl>
    <w:lvl w:ilvl="7" w:tplc="040C0019" w:tentative="1">
      <w:start w:val="1"/>
      <w:numFmt w:val="lowerLetter"/>
      <w:lvlText w:val="%8."/>
      <w:lvlJc w:val="left"/>
      <w:pPr>
        <w:ind w:left="5688" w:hanging="360"/>
      </w:pPr>
    </w:lvl>
    <w:lvl w:ilvl="8" w:tplc="04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7290424F"/>
    <w:multiLevelType w:val="hybridMultilevel"/>
    <w:tmpl w:val="5B16D12E"/>
    <w:lvl w:ilvl="0" w:tplc="EB8AA20E">
      <w:start w:val="2"/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73097F2A"/>
    <w:multiLevelType w:val="hybridMultilevel"/>
    <w:tmpl w:val="A476F05A"/>
    <w:lvl w:ilvl="0" w:tplc="8776407E">
      <w:start w:val="2"/>
      <w:numFmt w:val="bullet"/>
      <w:lvlText w:val="-"/>
      <w:lvlJc w:val="left"/>
      <w:pPr>
        <w:ind w:left="55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10"/>
  </w:num>
  <w:num w:numId="8">
    <w:abstractNumId w:val="12"/>
  </w:num>
  <w:num w:numId="9">
    <w:abstractNumId w:val="8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32B77"/>
    <w:rsid w:val="00017961"/>
    <w:rsid w:val="0002779F"/>
    <w:rsid w:val="00031878"/>
    <w:rsid w:val="000349A2"/>
    <w:rsid w:val="00035DB4"/>
    <w:rsid w:val="00060692"/>
    <w:rsid w:val="00062A1C"/>
    <w:rsid w:val="000633AC"/>
    <w:rsid w:val="000728AA"/>
    <w:rsid w:val="000A7430"/>
    <w:rsid w:val="0013014D"/>
    <w:rsid w:val="00145E18"/>
    <w:rsid w:val="0014798A"/>
    <w:rsid w:val="00171E7B"/>
    <w:rsid w:val="00184768"/>
    <w:rsid w:val="00251D2F"/>
    <w:rsid w:val="0028538A"/>
    <w:rsid w:val="002C2E65"/>
    <w:rsid w:val="00316152"/>
    <w:rsid w:val="003476EB"/>
    <w:rsid w:val="00395841"/>
    <w:rsid w:val="00396428"/>
    <w:rsid w:val="003A50D3"/>
    <w:rsid w:val="003C6EC4"/>
    <w:rsid w:val="0040230C"/>
    <w:rsid w:val="00407897"/>
    <w:rsid w:val="0043711C"/>
    <w:rsid w:val="00443793"/>
    <w:rsid w:val="00471B08"/>
    <w:rsid w:val="004E1FAB"/>
    <w:rsid w:val="0051074A"/>
    <w:rsid w:val="005467F9"/>
    <w:rsid w:val="0059333F"/>
    <w:rsid w:val="005A67F8"/>
    <w:rsid w:val="005F317F"/>
    <w:rsid w:val="005F51BB"/>
    <w:rsid w:val="005F6001"/>
    <w:rsid w:val="006A08A3"/>
    <w:rsid w:val="006C3765"/>
    <w:rsid w:val="006E6487"/>
    <w:rsid w:val="00706A22"/>
    <w:rsid w:val="00724D00"/>
    <w:rsid w:val="00754605"/>
    <w:rsid w:val="007728FD"/>
    <w:rsid w:val="00785776"/>
    <w:rsid w:val="007E654C"/>
    <w:rsid w:val="0090006F"/>
    <w:rsid w:val="00990C54"/>
    <w:rsid w:val="0099793C"/>
    <w:rsid w:val="00A3787E"/>
    <w:rsid w:val="00A52CEF"/>
    <w:rsid w:val="00A76256"/>
    <w:rsid w:val="00A82519"/>
    <w:rsid w:val="00AB5934"/>
    <w:rsid w:val="00B5669E"/>
    <w:rsid w:val="00BD3856"/>
    <w:rsid w:val="00BE30B5"/>
    <w:rsid w:val="00C33AF8"/>
    <w:rsid w:val="00C43F5F"/>
    <w:rsid w:val="00C47F90"/>
    <w:rsid w:val="00C90FBE"/>
    <w:rsid w:val="00CA5555"/>
    <w:rsid w:val="00CD3755"/>
    <w:rsid w:val="00D115C0"/>
    <w:rsid w:val="00D32B77"/>
    <w:rsid w:val="00D521AF"/>
    <w:rsid w:val="00D841D7"/>
    <w:rsid w:val="00DB4325"/>
    <w:rsid w:val="00E00E73"/>
    <w:rsid w:val="00E02DAF"/>
    <w:rsid w:val="00E037B9"/>
    <w:rsid w:val="00E15236"/>
    <w:rsid w:val="00E45383"/>
    <w:rsid w:val="00E80AAC"/>
    <w:rsid w:val="00EC5632"/>
    <w:rsid w:val="00ED04CE"/>
    <w:rsid w:val="00ED667C"/>
    <w:rsid w:val="00EF3370"/>
    <w:rsid w:val="00F05E14"/>
    <w:rsid w:val="00F442AB"/>
    <w:rsid w:val="00F52EFE"/>
    <w:rsid w:val="00F80F3D"/>
    <w:rsid w:val="00F90170"/>
    <w:rsid w:val="00FD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0F3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47F9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07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897"/>
  </w:style>
  <w:style w:type="paragraph" w:styleId="Pieddepage">
    <w:name w:val="footer"/>
    <w:basedOn w:val="Normal"/>
    <w:link w:val="PieddepageCar"/>
    <w:uiPriority w:val="99"/>
    <w:semiHidden/>
    <w:unhideWhenUsed/>
    <w:rsid w:val="00407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078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234E54-DAB3-428B-AB7C-9134626FD6F0}"/>
</file>

<file path=customXml/itemProps2.xml><?xml version="1.0" encoding="utf-8"?>
<ds:datastoreItem xmlns:ds="http://schemas.openxmlformats.org/officeDocument/2006/customXml" ds:itemID="{DB340C62-FDCF-4A52-AE7B-1F7509DB4405}"/>
</file>

<file path=customXml/itemProps3.xml><?xml version="1.0" encoding="utf-8"?>
<ds:datastoreItem xmlns:ds="http://schemas.openxmlformats.org/officeDocument/2006/customXml" ds:itemID="{CDAE80D4-3E17-4909-9930-255BFBCD0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2138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Régis de Gouttes in Word</dc:title>
  <dc:creator>régis de gouttes</dc:creator>
  <cp:lastModifiedBy>régis de gouttes</cp:lastModifiedBy>
  <cp:revision>3</cp:revision>
  <dcterms:created xsi:type="dcterms:W3CDTF">2015-12-22T17:26:00Z</dcterms:created>
  <dcterms:modified xsi:type="dcterms:W3CDTF">2015-12-22T17:28:00Z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3292100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