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8B" w:rsidRPr="00987829" w:rsidRDefault="00766D8B" w:rsidP="00D37FB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7B9C" w:rsidRPr="00987829" w:rsidRDefault="00877B9C" w:rsidP="00D37FB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1778578</wp:posOffset>
            </wp:positionH>
            <wp:positionV relativeFrom="paragraph">
              <wp:posOffset>-900762</wp:posOffset>
            </wp:positionV>
            <wp:extent cx="1666389" cy="128736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d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389" cy="128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2237" w:rsidRPr="00987829" w:rsidRDefault="009C0049" w:rsidP="009C0049">
      <w:pPr>
        <w:spacing w:line="360" w:lineRule="auto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987829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CONTRIBUCIONES PERFILAMIENTO RACIAL</w:t>
      </w:r>
    </w:p>
    <w:p w:rsidR="00420379" w:rsidRPr="00987829" w:rsidRDefault="00420379" w:rsidP="00D37F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Una vez analizado el documento e</w:t>
      </w:r>
      <w:r w:rsidR="001F632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Estado de Honduras 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 pertinente realizar las siguientes contribuciones, las cuales se espera que apoyen al </w:t>
      </w:r>
      <w:r w:rsidR="00882AE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omité </w:t>
      </w:r>
      <w:r w:rsidR="00A26327" w:rsidRPr="00A26327">
        <w:rPr>
          <w:rFonts w:ascii="Times New Roman" w:hAnsi="Times New Roman" w:cs="Times New Roman"/>
          <w:color w:val="000000" w:themeColor="text1"/>
          <w:sz w:val="24"/>
          <w:szCs w:val="24"/>
        </w:rPr>
        <w:t>para la Eliminación de la Discriminación Racial (CERD</w:t>
      </w:r>
      <w:r w:rsidR="00F41F4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en su labor, dichas recomendaciones se dividirán en 2 partes, abordando algunas cuestiones generales, y otra realizando sugerencias puntuales a algunos apartados del borrador remitido.</w:t>
      </w:r>
    </w:p>
    <w:p w:rsidR="00420379" w:rsidRPr="00987829" w:rsidRDefault="00733C2A" w:rsidP="00D37FB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Contribuciones Generales</w:t>
      </w:r>
    </w:p>
    <w:p w:rsidR="00733C2A" w:rsidRPr="00987829" w:rsidRDefault="00733C2A" w:rsidP="00D37F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Debe destacarse que la CERD es un instrumento vivo, que requiere una </w:t>
      </w:r>
      <w:r w:rsidR="00F7183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interpretación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evolutiva, lo que se evidencia en el apartado de sesgos raciales</w:t>
      </w:r>
      <w:r w:rsidR="00F7183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en relación a la </w:t>
      </w:r>
      <w:r w:rsidR="00F7183F" w:rsidRPr="00987829">
        <w:rPr>
          <w:rStyle w:val="Subtl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inteligencia artificial, la toma de decisiones automatizadas, análisis de datos predictivos y el uso de algoritmos </w:t>
      </w:r>
      <w:r w:rsidR="003B0E60" w:rsidRPr="00987829">
        <w:rPr>
          <w:rStyle w:val="Subtl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e incorporación de otras tecnologías </w:t>
      </w:r>
      <w:r w:rsidR="00F7183F" w:rsidRPr="00987829">
        <w:rPr>
          <w:rStyle w:val="Subtl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para predecir y combatir el crimen</w:t>
      </w:r>
      <w:r w:rsidR="00DB6AA2" w:rsidRPr="00987829">
        <w:rPr>
          <w:rStyle w:val="Subtl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, los cuales pueden acarrear sesgos, prejuicios y limitantes en el ejercicio de derechos por lo que</w:t>
      </w:r>
      <w:r w:rsidR="00F7183F" w:rsidRPr="00987829">
        <w:rPr>
          <w:rStyle w:val="Subtl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3B0E60" w:rsidRPr="00987829">
        <w:rPr>
          <w:rStyle w:val="Subtl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se debe realizar con apego al respeto de los derechos humanos</w:t>
      </w:r>
      <w:r w:rsidR="00082031" w:rsidRPr="00987829">
        <w:rPr>
          <w:rStyle w:val="Subtl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en las incorporación de software en los sistema</w:t>
      </w:r>
      <w:r w:rsidR="00677F95">
        <w:rPr>
          <w:rStyle w:val="Subtl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s</w:t>
      </w:r>
      <w:r w:rsidR="00082031" w:rsidRPr="00987829">
        <w:rPr>
          <w:rStyle w:val="Subtle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de seguridad y migración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, por lo que se recomienda incluir dentro del enfoque adoptado que la C</w:t>
      </w:r>
      <w:r w:rsidR="003B0E60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onvención para la Eliminación de Todas las Formas de Discriminación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 un instrumento </w:t>
      </w:r>
      <w:r w:rsidR="003B0E60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dinámico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3C2A" w:rsidRPr="00987829" w:rsidRDefault="00733C2A" w:rsidP="00D37F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Detallar </w:t>
      </w:r>
      <w:r w:rsidR="00DB6AA2" w:rsidRPr="0051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51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el </w:t>
      </w:r>
      <w:r w:rsidR="00DB6AA2" w:rsidRPr="00515C49">
        <w:rPr>
          <w:rFonts w:ascii="Times New Roman" w:hAnsi="Times New Roman" w:cs="Times New Roman"/>
          <w:color w:val="000000" w:themeColor="text1"/>
          <w:sz w:val="24"/>
          <w:szCs w:val="24"/>
        </w:rPr>
        <w:t>capítulo</w:t>
      </w:r>
      <w:r w:rsidRPr="0051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enfoque</w:t>
      </w:r>
      <w:r w:rsidR="00DB6AA2" w:rsidRPr="00515C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1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evolución histórica de la interpretación </w:t>
      </w:r>
      <w:r w:rsidR="00DB6AA2" w:rsidRPr="00515C49">
        <w:rPr>
          <w:rFonts w:ascii="Times New Roman" w:hAnsi="Times New Roman" w:cs="Times New Roman"/>
          <w:color w:val="000000" w:themeColor="text1"/>
          <w:sz w:val="24"/>
          <w:szCs w:val="24"/>
        </w:rPr>
        <w:t>de la Convención</w:t>
      </w:r>
      <w:r w:rsidRPr="0051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otros instrumentos vinculantes en relación al perfilamiento racial</w:t>
      </w:r>
      <w:r w:rsidR="00DB6AA2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incluyen como antecedente la </w:t>
      </w:r>
      <w:r w:rsidR="00515C49" w:rsidRPr="00124DCA">
        <w:rPr>
          <w:rFonts w:ascii="Times New Roman" w:hAnsi="Times New Roman" w:cs="Times New Roman"/>
          <w:sz w:val="24"/>
          <w:szCs w:val="24"/>
        </w:rPr>
        <w:t>Declaración y el Programa de Acción de Durban</w:t>
      </w:r>
      <w:r w:rsidR="00515C49">
        <w:rPr>
          <w:rFonts w:ascii="Times New Roman" w:hAnsi="Times New Roman" w:cs="Times New Roman"/>
          <w:sz w:val="24"/>
          <w:szCs w:val="24"/>
        </w:rPr>
        <w:t xml:space="preserve"> de 2001;</w:t>
      </w:r>
      <w:r w:rsidR="0051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C49" w:rsidRPr="00124DCA">
        <w:rPr>
          <w:rFonts w:ascii="Times New Roman" w:hAnsi="Times New Roman" w:cs="Times New Roman"/>
          <w:sz w:val="24"/>
          <w:szCs w:val="24"/>
        </w:rPr>
        <w:t xml:space="preserve">la </w:t>
      </w:r>
      <w:r w:rsidR="0051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Resolución </w:t>
      </w:r>
      <w:r w:rsidR="00045143">
        <w:rPr>
          <w:rFonts w:ascii="Times New Roman" w:hAnsi="Times New Roman" w:cs="Times New Roman"/>
          <w:sz w:val="24"/>
          <w:szCs w:val="24"/>
        </w:rPr>
        <w:t xml:space="preserve">por parte de Comité de Derechos Humanos de ONU (CCPR) </w:t>
      </w:r>
      <w:r w:rsidR="00045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51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caso </w:t>
      </w:r>
      <w:r w:rsidR="00515C49">
        <w:rPr>
          <w:rFonts w:ascii="Times New Roman" w:hAnsi="Times New Roman" w:cs="Times New Roman"/>
          <w:sz w:val="24"/>
          <w:szCs w:val="24"/>
        </w:rPr>
        <w:t>Willians Lecraft v. Spain,</w:t>
      </w:r>
      <w:r w:rsidR="00531116">
        <w:rPr>
          <w:rFonts w:ascii="Times New Roman" w:hAnsi="Times New Roman" w:cs="Times New Roman"/>
          <w:sz w:val="24"/>
          <w:szCs w:val="24"/>
        </w:rPr>
        <w:t xml:space="preserve"> de 2009</w:t>
      </w:r>
      <w:r w:rsidR="00515C49">
        <w:rPr>
          <w:rFonts w:ascii="Times New Roman" w:hAnsi="Times New Roman" w:cs="Times New Roman"/>
          <w:sz w:val="24"/>
          <w:szCs w:val="24"/>
        </w:rPr>
        <w:t>;  el informe d</w:t>
      </w:r>
      <w:r w:rsidR="00515C49" w:rsidRPr="00860AFC">
        <w:rPr>
          <w:rFonts w:ascii="Times New Roman" w:hAnsi="Times New Roman" w:cs="Times New Roman"/>
          <w:sz w:val="24"/>
          <w:szCs w:val="24"/>
        </w:rPr>
        <w:t>el anterior Relator Especial sobre la promoción y protección de los derechos humanos y las libertades fundamentales en su lucha contra el terrorismo</w:t>
      </w:r>
      <w:r w:rsidR="00045143">
        <w:rPr>
          <w:rFonts w:ascii="Times New Roman" w:hAnsi="Times New Roman" w:cs="Times New Roman"/>
          <w:sz w:val="24"/>
          <w:szCs w:val="24"/>
        </w:rPr>
        <w:t xml:space="preserve"> del año 2015</w:t>
      </w:r>
      <w:r w:rsidR="00515C49">
        <w:rPr>
          <w:rFonts w:ascii="Times New Roman" w:hAnsi="Times New Roman" w:cs="Times New Roman"/>
          <w:sz w:val="24"/>
          <w:szCs w:val="24"/>
        </w:rPr>
        <w:t>;</w:t>
      </w:r>
      <w:r w:rsidR="00045143">
        <w:rPr>
          <w:rFonts w:ascii="Times New Roman" w:hAnsi="Times New Roman" w:cs="Times New Roman"/>
          <w:sz w:val="24"/>
          <w:szCs w:val="24"/>
        </w:rPr>
        <w:t xml:space="preserve"> y,</w:t>
      </w:r>
      <w:r w:rsidR="00515C49">
        <w:rPr>
          <w:rFonts w:ascii="Times New Roman" w:hAnsi="Times New Roman" w:cs="Times New Roman"/>
          <w:sz w:val="24"/>
          <w:szCs w:val="24"/>
        </w:rPr>
        <w:t xml:space="preserve"> </w:t>
      </w:r>
      <w:r w:rsidR="00A93C8E" w:rsidRPr="00860AFC">
        <w:rPr>
          <w:rFonts w:ascii="Times New Roman" w:hAnsi="Times New Roman" w:cs="Times New Roman"/>
          <w:sz w:val="24"/>
          <w:szCs w:val="24"/>
        </w:rPr>
        <w:t>la publicación "Prevención y lucha contra el perfil racial de las per</w:t>
      </w:r>
      <w:r w:rsidR="00A93C8E">
        <w:rPr>
          <w:rFonts w:ascii="Times New Roman" w:hAnsi="Times New Roman" w:cs="Times New Roman"/>
          <w:sz w:val="24"/>
          <w:szCs w:val="24"/>
        </w:rPr>
        <w:t>sonas de ascendencia africana: B</w:t>
      </w:r>
      <w:r w:rsidR="00A93C8E" w:rsidRPr="00860AFC">
        <w:rPr>
          <w:rFonts w:ascii="Times New Roman" w:hAnsi="Times New Roman" w:cs="Times New Roman"/>
          <w:sz w:val="24"/>
          <w:szCs w:val="24"/>
        </w:rPr>
        <w:t>uenas prácticas y desafíos"</w:t>
      </w:r>
      <w:r w:rsidR="00BA6014">
        <w:rPr>
          <w:rFonts w:ascii="Times New Roman" w:hAnsi="Times New Roman" w:cs="Times New Roman"/>
          <w:sz w:val="24"/>
          <w:szCs w:val="24"/>
        </w:rPr>
        <w:t xml:space="preserve"> del Alto Comisionado</w:t>
      </w:r>
      <w:r w:rsidR="00A93C8E">
        <w:rPr>
          <w:rFonts w:ascii="Times New Roman" w:hAnsi="Times New Roman" w:cs="Times New Roman"/>
          <w:sz w:val="24"/>
          <w:szCs w:val="24"/>
        </w:rPr>
        <w:t xml:space="preserve"> pa</w:t>
      </w:r>
      <w:r w:rsidR="005008DA">
        <w:rPr>
          <w:rFonts w:ascii="Times New Roman" w:hAnsi="Times New Roman" w:cs="Times New Roman"/>
          <w:sz w:val="24"/>
          <w:szCs w:val="24"/>
        </w:rPr>
        <w:t>ra los Derechos Humanos de 2019, marcan un línea a seguir para la adopción de medidas preventivas del perfilamiento racial.</w:t>
      </w:r>
    </w:p>
    <w:p w:rsidR="00733C2A" w:rsidRPr="00987829" w:rsidRDefault="00A93C8E" w:rsidP="00D37F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base a estos antecedentes, c</w:t>
      </w:r>
      <w:r w:rsidR="00733C2A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ompartimos la preocupación del </w:t>
      </w:r>
      <w:r w:rsidR="00706E2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733C2A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omité en relación a los perjuicios que causa el perfilamiento racial ya que la misma es una </w:t>
      </w:r>
      <w:r w:rsidR="00706E2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práctica</w:t>
      </w:r>
      <w:r w:rsidR="00733C2A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contraria a los </w:t>
      </w:r>
      <w:r w:rsidR="00706E2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derechos humanos</w:t>
      </w:r>
      <w:r w:rsidR="00733C2A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 mismo tiempo aprovechamos la oportunidad para manifestar al </w:t>
      </w:r>
      <w:r w:rsidR="00706E2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733C2A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omité que ante esta situación, Honduras ha realizado </w:t>
      </w:r>
      <w:r w:rsidR="00706E2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múltiples</w:t>
      </w:r>
      <w:r w:rsidR="00733C2A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4D54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esfuerzo</w:t>
      </w:r>
      <w:r w:rsidR="00A91B86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s por</w:t>
      </w:r>
      <w:r w:rsidR="008E4D54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combatir el </w:t>
      </w:r>
      <w:r w:rsidR="008A1A5A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perfilamiento</w:t>
      </w:r>
      <w:r w:rsidR="00B37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racial</w:t>
      </w:r>
      <w:r w:rsidR="00790053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F632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para lo cual</w:t>
      </w:r>
      <w:r w:rsidR="00733C2A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 diseñado e </w:t>
      </w:r>
      <w:r w:rsidR="001256F3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implementado </w:t>
      </w:r>
      <w:r w:rsidR="00790053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medidas </w:t>
      </w:r>
      <w:r w:rsidR="001256F3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legislativas, judiciales y administrativa</w:t>
      </w:r>
      <w:r w:rsidR="00790053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1E1071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basadas en los principios de igualdad y la no discriminación</w:t>
      </w:r>
      <w:r w:rsidR="001F632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1071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orientadas a la </w:t>
      </w:r>
      <w:r w:rsidR="008E4D54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prevención de la </w:t>
      </w:r>
      <w:r w:rsidR="00BD6AEC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discriminación</w:t>
      </w:r>
      <w:r w:rsidR="003A5E42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, asimismo incluir estas otras medidas constituye un abordaje más integral al ODS 10, particularmente las metas 10.3 y 10.7</w:t>
      </w:r>
    </w:p>
    <w:p w:rsidR="009A2D06" w:rsidRPr="00987829" w:rsidRDefault="00733C2A" w:rsidP="00D37FB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 relación a las medidas legislativas </w:t>
      </w:r>
      <w:r w:rsidR="00E22FB9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desc</w:t>
      </w:r>
      <w:r w:rsidR="00D61E1C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ritas en el párrafo 26 del borrador de la Recomendación número 36 sobre la prevención del Perfilamiento Racial,</w:t>
      </w:r>
      <w:r w:rsidR="00E22FB9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1E1C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E22FB9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 Estado de Honduras apoya al </w:t>
      </w:r>
      <w:r w:rsidR="00D61E1C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E22FB9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omité en la necesidad de contar con legislación que prevenga y castigue el perfilamiento racial, tal es el caso que </w:t>
      </w:r>
      <w:r w:rsidR="00260B23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 Constitución de la República de Honduras</w:t>
      </w:r>
      <w:r w:rsidR="00E22FB9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 su</w:t>
      </w:r>
      <w:r w:rsidR="00260B23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artículo 60 </w:t>
      </w:r>
      <w:r w:rsidR="00E22FB9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garantiza el </w:t>
      </w:r>
      <w:r w:rsidR="00260B23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derecho a la igualdad estableciendo: </w:t>
      </w:r>
      <w:r w:rsidR="00E22FB9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260B23" w:rsidRPr="0098782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Todos los hombres nacen libres e iguales en derechos. En Honduras no hay clases privilegiadas. Todos los hombres son iguales ante la Ley</w:t>
      </w:r>
      <w:r w:rsidR="00E22FB9" w:rsidRPr="0098782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”</w:t>
      </w:r>
      <w:r w:rsidR="00260B23" w:rsidRPr="0098782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956265" w:rsidRPr="00987829" w:rsidRDefault="00F834A6" w:rsidP="00E22FB9">
      <w:pPr>
        <w:spacing w:before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Aunado a esto, </w:t>
      </w:r>
      <w:r w:rsidRPr="00987829">
        <w:rPr>
          <w:rFonts w:ascii="Times New Roman" w:hAnsi="Times New Roman" w:cs="Times New Roman"/>
          <w:sz w:val="24"/>
          <w:szCs w:val="24"/>
        </w:rPr>
        <w:t>Honduras condena toda forma de discriminación</w:t>
      </w:r>
      <w:r w:rsidR="005562BD" w:rsidRPr="00987829">
        <w:rPr>
          <w:rFonts w:ascii="Times New Roman" w:hAnsi="Times New Roman" w:cs="Times New Roman"/>
          <w:sz w:val="24"/>
          <w:szCs w:val="24"/>
        </w:rPr>
        <w:t xml:space="preserve">, al tipificar el delito de Discriminación en </w:t>
      </w:r>
      <w:r w:rsidR="00E22FB9" w:rsidRPr="00987829">
        <w:rPr>
          <w:rFonts w:ascii="Times New Roman" w:hAnsi="Times New Roman" w:cs="Times New Roman"/>
          <w:sz w:val="24"/>
          <w:szCs w:val="24"/>
        </w:rPr>
        <w:t xml:space="preserve">los </w:t>
      </w:r>
      <w:r w:rsidR="005562BD" w:rsidRPr="00987829">
        <w:rPr>
          <w:rFonts w:ascii="Times New Roman" w:hAnsi="Times New Roman" w:cs="Times New Roman"/>
          <w:sz w:val="24"/>
          <w:szCs w:val="24"/>
        </w:rPr>
        <w:t>artículo</w:t>
      </w:r>
      <w:r w:rsidR="00E22FB9" w:rsidRPr="00987829">
        <w:rPr>
          <w:rFonts w:ascii="Times New Roman" w:hAnsi="Times New Roman" w:cs="Times New Roman"/>
          <w:sz w:val="24"/>
          <w:szCs w:val="24"/>
        </w:rPr>
        <w:t>s</w:t>
      </w:r>
      <w:r w:rsidR="005562BD" w:rsidRPr="00987829">
        <w:rPr>
          <w:rFonts w:ascii="Times New Roman" w:hAnsi="Times New Roman" w:cs="Times New Roman"/>
          <w:sz w:val="24"/>
          <w:szCs w:val="24"/>
        </w:rPr>
        <w:t xml:space="preserve"> 321</w:t>
      </w:r>
      <w:r w:rsidR="00E22FB9" w:rsidRPr="00987829">
        <w:rPr>
          <w:rFonts w:ascii="Times New Roman" w:hAnsi="Times New Roman" w:cs="Times New Roman"/>
          <w:sz w:val="24"/>
          <w:szCs w:val="24"/>
        </w:rPr>
        <w:t xml:space="preserve"> y 321-A</w:t>
      </w:r>
      <w:r w:rsidR="005562BD" w:rsidRPr="00987829">
        <w:rPr>
          <w:rFonts w:ascii="Times New Roman" w:hAnsi="Times New Roman" w:cs="Times New Roman"/>
          <w:sz w:val="24"/>
          <w:szCs w:val="24"/>
        </w:rPr>
        <w:t xml:space="preserve"> del Código Penal vigente</w:t>
      </w:r>
      <w:r w:rsidR="00CD4CDE" w:rsidRPr="00987829">
        <w:rPr>
          <w:rFonts w:ascii="Times New Roman" w:hAnsi="Times New Roman" w:cs="Times New Roman"/>
          <w:i/>
          <w:sz w:val="24"/>
          <w:szCs w:val="24"/>
        </w:rPr>
        <w:t>.</w:t>
      </w:r>
      <w:r w:rsidR="00CB57AA" w:rsidRPr="0098782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956265" w:rsidRPr="00987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5EB" w:rsidRPr="00673829" w:rsidRDefault="00E22FB9" w:rsidP="00673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HN"/>
        </w:rPr>
      </w:pPr>
      <w:r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Consiente de la necesidad de mejorar el combate contra la discriminación Honduras en su nuevo </w:t>
      </w:r>
      <w:r w:rsidR="00956265"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>Código Penal, el cual</w:t>
      </w:r>
      <w:r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entrar</w:t>
      </w:r>
      <w:r w:rsidR="009F6DEC">
        <w:rPr>
          <w:rFonts w:ascii="Times New Roman" w:eastAsia="Times New Roman" w:hAnsi="Times New Roman" w:cs="Times New Roman"/>
          <w:sz w:val="24"/>
          <w:szCs w:val="24"/>
          <w:lang w:eastAsia="es-HN"/>
        </w:rPr>
        <w:t>á</w:t>
      </w:r>
      <w:r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 vigencia en nov</w:t>
      </w:r>
      <w:r w:rsidR="000B2696">
        <w:rPr>
          <w:rFonts w:ascii="Times New Roman" w:eastAsia="Times New Roman" w:hAnsi="Times New Roman" w:cs="Times New Roman"/>
          <w:sz w:val="24"/>
          <w:szCs w:val="24"/>
          <w:lang w:eastAsia="es-HN"/>
        </w:rPr>
        <w:t>iembre de</w:t>
      </w:r>
      <w:r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2019</w:t>
      </w:r>
      <w:r w:rsidR="00956265"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</w:t>
      </w:r>
      <w:r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>ha definido diversos tipos penales como: “</w:t>
      </w:r>
      <w:r w:rsidR="006F0C97" w:rsidRPr="00673829">
        <w:rPr>
          <w:rFonts w:ascii="Times New Roman" w:hAnsi="Times New Roman" w:cs="Times New Roman"/>
          <w:b/>
          <w:i/>
          <w:sz w:val="24"/>
          <w:szCs w:val="24"/>
        </w:rPr>
        <w:t>Denegación de prestación de un servicio público</w:t>
      </w:r>
      <w:r w:rsidR="006F0C97" w:rsidRPr="006738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0C97" w:rsidRPr="00673829">
        <w:rPr>
          <w:rFonts w:ascii="Times New Roman" w:hAnsi="Times New Roman" w:cs="Times New Roman"/>
          <w:b/>
          <w:i/>
          <w:sz w:val="24"/>
          <w:szCs w:val="24"/>
        </w:rPr>
        <w:t>por discriminación, articulo 211</w:t>
      </w:r>
      <w:r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>”</w:t>
      </w:r>
      <w:r w:rsidR="006F0C97"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>;</w:t>
      </w:r>
      <w:r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“</w:t>
      </w:r>
      <w:r w:rsidR="006F0C97" w:rsidRPr="00673829">
        <w:rPr>
          <w:rFonts w:ascii="Times New Roman" w:hAnsi="Times New Roman" w:cs="Times New Roman"/>
          <w:b/>
          <w:i/>
          <w:sz w:val="24"/>
          <w:szCs w:val="24"/>
        </w:rPr>
        <w:t>Denegación de prestación en el ejercicio de actividades profesionales o empresariales por razones de discriminación</w:t>
      </w:r>
      <w:r w:rsidR="006F0C97" w:rsidRPr="006738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HN"/>
        </w:rPr>
        <w:t>. Artículo 212</w:t>
      </w:r>
      <w:r w:rsidR="006F0C97" w:rsidRPr="00673829">
        <w:rPr>
          <w:rFonts w:ascii="Times New Roman" w:eastAsia="Times New Roman" w:hAnsi="Times New Roman" w:cs="Times New Roman"/>
          <w:i/>
          <w:sz w:val="24"/>
          <w:szCs w:val="24"/>
          <w:lang w:eastAsia="es-HN"/>
        </w:rPr>
        <w:t>”; “</w:t>
      </w:r>
      <w:r w:rsidR="00956265" w:rsidRPr="006738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HN"/>
        </w:rPr>
        <w:t>Incitación a la discriminación. Artículo 213</w:t>
      </w:r>
      <w:r w:rsidR="006F0C97" w:rsidRPr="006738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HN"/>
        </w:rPr>
        <w:t>”</w:t>
      </w:r>
      <w:r w:rsidR="006F0C97" w:rsidRPr="00673829">
        <w:rPr>
          <w:rFonts w:ascii="Times New Roman" w:eastAsia="Times New Roman" w:hAnsi="Times New Roman" w:cs="Times New Roman"/>
          <w:i/>
          <w:sz w:val="24"/>
          <w:szCs w:val="24"/>
          <w:lang w:eastAsia="es-HN"/>
        </w:rPr>
        <w:t xml:space="preserve">; </w:t>
      </w:r>
      <w:r w:rsidR="006F0C97" w:rsidRPr="00673829">
        <w:rPr>
          <w:rFonts w:ascii="Times New Roman" w:eastAsia="Times New Roman" w:hAnsi="Times New Roman" w:cs="Times New Roman"/>
          <w:sz w:val="24"/>
          <w:szCs w:val="24"/>
          <w:lang w:eastAsia="es-HN"/>
        </w:rPr>
        <w:t>y,</w:t>
      </w:r>
      <w:r w:rsidR="006F0C97" w:rsidRPr="00673829">
        <w:rPr>
          <w:rFonts w:ascii="Times New Roman" w:eastAsia="Times New Roman" w:hAnsi="Times New Roman" w:cs="Times New Roman"/>
          <w:i/>
          <w:sz w:val="24"/>
          <w:szCs w:val="24"/>
          <w:lang w:eastAsia="es-HN"/>
        </w:rPr>
        <w:t xml:space="preserve"> “</w:t>
      </w:r>
      <w:r w:rsidR="009215EB" w:rsidRPr="006738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HN"/>
        </w:rPr>
        <w:t>Delito de discriminación laboral, artículo 295</w:t>
      </w:r>
      <w:r w:rsidR="006F0C97" w:rsidRPr="006738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HN"/>
        </w:rPr>
        <w:t>”</w:t>
      </w:r>
      <w:r w:rsidRPr="00673829">
        <w:rPr>
          <w:rFonts w:ascii="Times New Roman" w:eastAsia="Times New Roman" w:hAnsi="Times New Roman" w:cs="Times New Roman"/>
          <w:bCs/>
          <w:i/>
          <w:sz w:val="24"/>
          <w:szCs w:val="24"/>
          <w:lang w:eastAsia="es-HN"/>
        </w:rPr>
        <w:t>.</w:t>
      </w:r>
      <w:r w:rsidR="009215EB" w:rsidRPr="00987829">
        <w:rPr>
          <w:rStyle w:val="FootnoteReference"/>
          <w:rFonts w:ascii="Times New Roman" w:eastAsia="Times New Roman" w:hAnsi="Times New Roman" w:cs="Times New Roman"/>
          <w:i/>
          <w:sz w:val="24"/>
          <w:szCs w:val="24"/>
          <w:lang w:eastAsia="es-HN"/>
        </w:rPr>
        <w:footnoteReference w:id="2"/>
      </w:r>
    </w:p>
    <w:p w:rsidR="00E22FB9" w:rsidRPr="00987829" w:rsidRDefault="00E22FB9" w:rsidP="00E2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HN"/>
        </w:rPr>
      </w:pP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Respecto a las medidas judiciales Honduras observa la necesidad de incluir </w:t>
      </w:r>
      <w:r w:rsidR="00CA4D38"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con mayor énfasis 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en el </w:t>
      </w:r>
      <w:r w:rsidR="00CA4D38"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comentario general la obligación de los </w:t>
      </w:r>
      <w:r w:rsidR="00D8475F">
        <w:rPr>
          <w:rFonts w:ascii="Times New Roman" w:hAnsi="Times New Roman" w:cs="Times New Roman"/>
          <w:sz w:val="24"/>
          <w:szCs w:val="24"/>
          <w:lang w:eastAsia="es-HN"/>
        </w:rPr>
        <w:t>E</w:t>
      </w:r>
      <w:r w:rsidR="00CA4D38"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stados de adoptar medidas judiciales que </w:t>
      </w:r>
      <w:r w:rsidR="005537EC" w:rsidRPr="00987829">
        <w:rPr>
          <w:rFonts w:ascii="Times New Roman" w:hAnsi="Times New Roman" w:cs="Times New Roman"/>
          <w:sz w:val="24"/>
          <w:szCs w:val="24"/>
          <w:lang w:eastAsia="es-HN"/>
        </w:rPr>
        <w:t>protejan</w:t>
      </w:r>
      <w:r w:rsidR="00CA4D38"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 a las personas del perfilamiento racial, lo que </w:t>
      </w:r>
      <w:r w:rsidR="005537EC" w:rsidRPr="00987829">
        <w:rPr>
          <w:rFonts w:ascii="Times New Roman" w:hAnsi="Times New Roman" w:cs="Times New Roman"/>
          <w:sz w:val="24"/>
          <w:szCs w:val="24"/>
          <w:lang w:eastAsia="es-HN"/>
        </w:rPr>
        <w:t>significaría</w:t>
      </w:r>
      <w:r w:rsidR="00CA4D38"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 garantizar el derecho al debido proceso, lo cual fue mencionado por el </w:t>
      </w:r>
      <w:r w:rsidR="00004014" w:rsidRPr="00987829">
        <w:rPr>
          <w:rFonts w:ascii="Times New Roman" w:hAnsi="Times New Roman" w:cs="Times New Roman"/>
          <w:sz w:val="24"/>
          <w:szCs w:val="24"/>
          <w:lang w:eastAsia="es-HN"/>
        </w:rPr>
        <w:t>C</w:t>
      </w:r>
      <w:r w:rsidR="00CA4D38" w:rsidRPr="00987829">
        <w:rPr>
          <w:rFonts w:ascii="Times New Roman" w:hAnsi="Times New Roman" w:cs="Times New Roman"/>
          <w:sz w:val="24"/>
          <w:szCs w:val="24"/>
          <w:lang w:eastAsia="es-HN"/>
        </w:rPr>
        <w:t>omité en el párrafo 12, pero no fue abordado con mayor detenimiento.</w:t>
      </w:r>
    </w:p>
    <w:p w:rsidR="00CA4D38" w:rsidRPr="00987829" w:rsidRDefault="00CA4D38" w:rsidP="002E27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Consientes </w:t>
      </w:r>
      <w:r w:rsidR="00004014" w:rsidRPr="00987829">
        <w:rPr>
          <w:rFonts w:ascii="Times New Roman" w:hAnsi="Times New Roman" w:cs="Times New Roman"/>
          <w:sz w:val="24"/>
          <w:szCs w:val="24"/>
          <w:lang w:eastAsia="es-HN"/>
        </w:rPr>
        <w:t>que una persona a quien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 se le han a</w:t>
      </w:r>
      <w:r w:rsidR="00004014" w:rsidRPr="00987829">
        <w:rPr>
          <w:rFonts w:ascii="Times New Roman" w:hAnsi="Times New Roman" w:cs="Times New Roman"/>
          <w:sz w:val="24"/>
          <w:szCs w:val="24"/>
          <w:lang w:eastAsia="es-HN"/>
        </w:rPr>
        <w:t>fectado sus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 </w:t>
      </w:r>
      <w:r w:rsidR="00004014"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derechos humanos 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tiene </w:t>
      </w:r>
      <w:r w:rsidR="00004014" w:rsidRPr="00987829">
        <w:rPr>
          <w:rFonts w:ascii="Times New Roman" w:hAnsi="Times New Roman" w:cs="Times New Roman"/>
          <w:sz w:val="24"/>
          <w:szCs w:val="24"/>
          <w:lang w:eastAsia="es-HN"/>
        </w:rPr>
        <w:t>el derecho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 de acudir ante un juez independiente e imparcial frente a una decisión que implique la limitación </w:t>
      </w:r>
      <w:r w:rsidR="00004014" w:rsidRPr="00987829">
        <w:rPr>
          <w:rFonts w:ascii="Times New Roman" w:hAnsi="Times New Roman" w:cs="Times New Roman"/>
          <w:sz w:val="24"/>
          <w:szCs w:val="24"/>
          <w:lang w:eastAsia="es-HN"/>
        </w:rPr>
        <w:t>a uno de sus derechos, en ese sentido, el E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>stado ha adoptado medidas pa</w:t>
      </w:r>
      <w:r w:rsidR="002E277D"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ra reparar dichas vulneraciones, 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entre 2017 y 2018 se han judicializado 5 casos de discriminación racial.</w:t>
      </w:r>
      <w:r w:rsidRPr="00987829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</w:p>
    <w:p w:rsidR="002E277D" w:rsidRPr="00987829" w:rsidRDefault="002E277D" w:rsidP="00E2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HN"/>
        </w:rPr>
      </w:pPr>
    </w:p>
    <w:p w:rsidR="00CA4D38" w:rsidRPr="00987829" w:rsidRDefault="00CA4D38" w:rsidP="00E22F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HN"/>
        </w:rPr>
      </w:pPr>
      <w:r w:rsidRPr="00987829">
        <w:rPr>
          <w:rFonts w:ascii="Times New Roman" w:hAnsi="Times New Roman" w:cs="Times New Roman"/>
          <w:sz w:val="24"/>
          <w:szCs w:val="24"/>
          <w:lang w:eastAsia="es-HN"/>
        </w:rPr>
        <w:t>En cuanto a la adopción de medi</w:t>
      </w:r>
      <w:r w:rsidR="002E277D" w:rsidRPr="00987829">
        <w:rPr>
          <w:rFonts w:ascii="Times New Roman" w:hAnsi="Times New Roman" w:cs="Times New Roman"/>
          <w:sz w:val="24"/>
          <w:szCs w:val="24"/>
          <w:lang w:eastAsia="es-HN"/>
        </w:rPr>
        <w:t>d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>as administrativas</w:t>
      </w:r>
      <w:r w:rsidR="002E277D" w:rsidRPr="00987829">
        <w:rPr>
          <w:rFonts w:ascii="Times New Roman" w:hAnsi="Times New Roman" w:cs="Times New Roman"/>
          <w:sz w:val="24"/>
          <w:szCs w:val="24"/>
          <w:lang w:eastAsia="es-HN"/>
        </w:rPr>
        <w:t>, H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onduras cuenta con un robusto conjunto de </w:t>
      </w:r>
      <w:r w:rsidR="002E277D" w:rsidRPr="00987829">
        <w:rPr>
          <w:rFonts w:ascii="Times New Roman" w:hAnsi="Times New Roman" w:cs="Times New Roman"/>
          <w:sz w:val="24"/>
          <w:szCs w:val="24"/>
          <w:lang w:eastAsia="es-HN"/>
        </w:rPr>
        <w:t>P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olíticas </w:t>
      </w:r>
      <w:r w:rsidR="002E277D" w:rsidRPr="00987829">
        <w:rPr>
          <w:rFonts w:ascii="Times New Roman" w:hAnsi="Times New Roman" w:cs="Times New Roman"/>
          <w:sz w:val="24"/>
          <w:szCs w:val="24"/>
          <w:lang w:eastAsia="es-HN"/>
        </w:rPr>
        <w:t>Públicas</w:t>
      </w:r>
      <w:r w:rsidR="006F1F52"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 y P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lanes de </w:t>
      </w:r>
      <w:r w:rsidR="006F1F52" w:rsidRPr="00987829">
        <w:rPr>
          <w:rFonts w:ascii="Times New Roman" w:hAnsi="Times New Roman" w:cs="Times New Roman"/>
          <w:sz w:val="24"/>
          <w:szCs w:val="24"/>
          <w:lang w:eastAsia="es-HN"/>
        </w:rPr>
        <w:t>A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cción en la materia, siendo los </w:t>
      </w:r>
      <w:r w:rsidR="006F1F52" w:rsidRPr="00987829">
        <w:rPr>
          <w:rFonts w:ascii="Times New Roman" w:hAnsi="Times New Roman" w:cs="Times New Roman"/>
          <w:sz w:val="24"/>
          <w:szCs w:val="24"/>
          <w:lang w:eastAsia="es-HN"/>
        </w:rPr>
        <w:t>más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 importantes P</w:t>
      </w:r>
      <w:r w:rsidR="006F1F52" w:rsidRPr="00987829">
        <w:rPr>
          <w:rFonts w:ascii="Times New Roman" w:hAnsi="Times New Roman" w:cs="Times New Roman"/>
          <w:sz w:val="24"/>
          <w:szCs w:val="24"/>
          <w:lang w:eastAsia="es-HN"/>
        </w:rPr>
        <w:t>olítica Pública (PP) y Plan Nacional de Acción en Derechos Humanos (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>PNADH</w:t>
      </w:r>
      <w:r w:rsidR="006F1F52" w:rsidRPr="00987829">
        <w:rPr>
          <w:rFonts w:ascii="Times New Roman" w:hAnsi="Times New Roman" w:cs="Times New Roman"/>
          <w:sz w:val="24"/>
          <w:szCs w:val="24"/>
          <w:lang w:eastAsia="es-HN"/>
        </w:rPr>
        <w:t>)</w:t>
      </w:r>
      <w:r w:rsidR="00C47875"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, el cual </w:t>
      </w:r>
      <w:r w:rsidR="00C47875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incluye un componente sobre Pueblos Indígenas y Afrohondureños (PIAH), </w:t>
      </w:r>
      <w:r w:rsidR="00C47875" w:rsidRPr="00987829">
        <w:rPr>
          <w:rFonts w:ascii="Times New Roman" w:hAnsi="Times New Roman" w:cs="Times New Roman"/>
          <w:sz w:val="24"/>
          <w:szCs w:val="24"/>
          <w:lang w:eastAsia="es-HN"/>
        </w:rPr>
        <w:t>a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dicionalmente se </w:t>
      </w:r>
      <w:r w:rsidR="006F1F52" w:rsidRPr="00987829">
        <w:rPr>
          <w:rFonts w:ascii="Times New Roman" w:hAnsi="Times New Roman" w:cs="Times New Roman"/>
          <w:sz w:val="24"/>
          <w:szCs w:val="24"/>
          <w:lang w:eastAsia="es-HN"/>
        </w:rPr>
        <w:t>está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 trabajando en la agenda nacional ODS</w:t>
      </w:r>
      <w:r w:rsidR="00C47875" w:rsidRPr="00987829">
        <w:rPr>
          <w:rFonts w:ascii="Times New Roman" w:hAnsi="Times New Roman" w:cs="Times New Roman"/>
          <w:sz w:val="24"/>
          <w:szCs w:val="24"/>
          <w:lang w:eastAsia="es-HN"/>
        </w:rPr>
        <w:t>.</w:t>
      </w:r>
    </w:p>
    <w:p w:rsidR="00C47875" w:rsidRPr="00987829" w:rsidRDefault="00C47875" w:rsidP="00C47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Así mismo, La Política Pública Contra el Racismo y la Discriminación Racial para el desarrollo integral de los pueblos indígenas y afrohondureños (P-PIAH) 2016-2026,</w:t>
      </w:r>
      <w:r w:rsidRPr="00987829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contiene principios fundamentales de derechos humanos como la igualdad de género, interculturalidad, igualdad y no Discriminación, e identifica acciones que ofrecen respuesta a las necesidades individuales y colectivas de los PIAH</w:t>
      </w:r>
      <w:r w:rsidRPr="00987829">
        <w:rPr>
          <w:rFonts w:ascii="Times New Roman" w:hAnsi="Times New Roman" w:cs="Times New Roman"/>
          <w:sz w:val="24"/>
          <w:szCs w:val="24"/>
        </w:rPr>
        <w:t>.</w:t>
      </w:r>
    </w:p>
    <w:p w:rsidR="00987829" w:rsidRPr="00987829" w:rsidRDefault="00C47875" w:rsidP="0098782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HN"/>
        </w:rPr>
      </w:pPr>
      <w:r w:rsidRPr="00987829">
        <w:rPr>
          <w:rFonts w:ascii="Times New Roman" w:hAnsi="Times New Roman" w:cs="Times New Roman"/>
          <w:sz w:val="24"/>
          <w:szCs w:val="24"/>
          <w:lang w:eastAsia="es-HN"/>
        </w:rPr>
        <w:t>Dichos instrumentos contienen acciones respecto a la prevención de la discriminación, p</w:t>
      </w:r>
      <w:r w:rsidR="00987829" w:rsidRPr="00987829">
        <w:rPr>
          <w:rFonts w:ascii="Times New Roman" w:hAnsi="Times New Roman" w:cs="Times New Roman"/>
          <w:sz w:val="24"/>
          <w:szCs w:val="24"/>
          <w:lang w:eastAsia="es-HN"/>
        </w:rPr>
        <w:t>or tal motivo el Estado alien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ta al </w:t>
      </w:r>
      <w:r w:rsidR="00987829" w:rsidRPr="00987829">
        <w:rPr>
          <w:rFonts w:ascii="Times New Roman" w:hAnsi="Times New Roman" w:cs="Times New Roman"/>
          <w:sz w:val="24"/>
          <w:szCs w:val="24"/>
          <w:lang w:eastAsia="es-HN"/>
        </w:rPr>
        <w:t>C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>omité a que incluya como un eje importante de su observación general la adopción de política</w:t>
      </w:r>
      <w:r w:rsidR="00987829" w:rsidRPr="00987829">
        <w:rPr>
          <w:rFonts w:ascii="Times New Roman" w:hAnsi="Times New Roman" w:cs="Times New Roman"/>
          <w:sz w:val="24"/>
          <w:szCs w:val="24"/>
          <w:lang w:eastAsia="es-HN"/>
        </w:rPr>
        <w:t>s públicas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 o planes que combatan la discriminación racial y los perfilamiento</w:t>
      </w:r>
      <w:r w:rsidR="00987829" w:rsidRPr="00987829">
        <w:rPr>
          <w:rFonts w:ascii="Times New Roman" w:hAnsi="Times New Roman" w:cs="Times New Roman"/>
          <w:sz w:val="24"/>
          <w:szCs w:val="24"/>
          <w:lang w:eastAsia="es-HN"/>
        </w:rPr>
        <w:t>s raciales y cualquier forma de intolerancia.</w:t>
      </w:r>
    </w:p>
    <w:p w:rsidR="00D94372" w:rsidRPr="00987829" w:rsidRDefault="00C47875" w:rsidP="00987829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El Estado reconoce la importancia de continuar los esfuerzos en materia de educación en </w:t>
      </w:r>
      <w:r w:rsidR="00987829" w:rsidRPr="00987829">
        <w:rPr>
          <w:rFonts w:ascii="Times New Roman" w:hAnsi="Times New Roman" w:cs="Times New Roman"/>
          <w:sz w:val="24"/>
          <w:szCs w:val="24"/>
          <w:lang w:eastAsia="es-HN"/>
        </w:rPr>
        <w:t>derechos humanos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, por lo cual alienta al comité y los demás </w:t>
      </w:r>
      <w:r w:rsidR="00D8475F">
        <w:rPr>
          <w:rFonts w:ascii="Times New Roman" w:hAnsi="Times New Roman" w:cs="Times New Roman"/>
          <w:sz w:val="24"/>
          <w:szCs w:val="24"/>
          <w:lang w:eastAsia="es-HN"/>
        </w:rPr>
        <w:t>E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stados parte de la </w:t>
      </w:r>
      <w:r w:rsidR="00987829" w:rsidRPr="00987829">
        <w:rPr>
          <w:rFonts w:ascii="Times New Roman" w:hAnsi="Times New Roman" w:cs="Times New Roman"/>
          <w:sz w:val="24"/>
          <w:szCs w:val="24"/>
          <w:lang w:eastAsia="es-HN"/>
        </w:rPr>
        <w:t>Convención</w:t>
      </w:r>
      <w:r w:rsidRPr="00987829">
        <w:rPr>
          <w:rFonts w:ascii="Times New Roman" w:hAnsi="Times New Roman" w:cs="Times New Roman"/>
          <w:sz w:val="24"/>
          <w:szCs w:val="24"/>
          <w:lang w:eastAsia="es-HN"/>
        </w:rPr>
        <w:t xml:space="preserve"> que incluyan dentro de sus políticas programas de capacitación, en ese sentido debemos destacar que en Honduras </w:t>
      </w:r>
      <w:r w:rsidR="00D94372" w:rsidRPr="009878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través de la Secretaría de Derechos Humanos </w:t>
      </w:r>
      <w:r w:rsidR="00D94372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(SEDH) 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2018 </w:t>
      </w:r>
      <w:r w:rsidR="00D94372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capacitó en </w:t>
      </w:r>
      <w:r w:rsidR="00987829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temática de </w:t>
      </w:r>
      <w:r w:rsidR="00D94372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derechos humanos, prevención de tortura y uso de la fuerza a 7,827 miembros de cuerpos del orden (policías y militares). Cabe mencionar que estas capacitación, incluyen el tema de prevención de la Discriminación en todas formas, fomentando así una cultura de respeto y promoción de los derechos humanos.</w:t>
      </w:r>
    </w:p>
    <w:p w:rsidR="00987829" w:rsidRPr="00987829" w:rsidRDefault="002C5E5F" w:rsidP="0098782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829">
        <w:rPr>
          <w:rFonts w:ascii="Times New Roman" w:hAnsi="Times New Roman" w:cs="Times New Roman"/>
          <w:sz w:val="24"/>
          <w:szCs w:val="24"/>
        </w:rPr>
        <w:t xml:space="preserve">En relación a la </w:t>
      </w:r>
      <w:r w:rsidRPr="00987829">
        <w:rPr>
          <w:rFonts w:ascii="Times New Roman" w:hAnsi="Times New Roman" w:cs="Times New Roman"/>
          <w:i/>
          <w:sz w:val="24"/>
          <w:szCs w:val="24"/>
        </w:rPr>
        <w:t>Política de Protección Social (PPS)</w:t>
      </w:r>
      <w:r w:rsidRPr="00987829">
        <w:rPr>
          <w:rFonts w:ascii="Times New Roman" w:hAnsi="Times New Roman" w:cs="Times New Roman"/>
          <w:sz w:val="24"/>
          <w:szCs w:val="24"/>
        </w:rPr>
        <w:t xml:space="preserve">, </w:t>
      </w:r>
      <w:r w:rsidR="00FE1057" w:rsidRPr="00987829">
        <w:rPr>
          <w:rFonts w:ascii="Times New Roman" w:hAnsi="Times New Roman" w:cs="Times New Roman"/>
          <w:sz w:val="24"/>
          <w:szCs w:val="24"/>
        </w:rPr>
        <w:t xml:space="preserve">se </w:t>
      </w:r>
      <w:r w:rsidRPr="00987829">
        <w:rPr>
          <w:rFonts w:ascii="Times New Roman" w:hAnsi="Times New Roman" w:cs="Times New Roman"/>
          <w:sz w:val="24"/>
          <w:szCs w:val="24"/>
        </w:rPr>
        <w:t>garantiza el bienestar y la vida digna de las personas, las familias y las comunidades sujetos de atención de esta política</w:t>
      </w:r>
      <w:r w:rsidR="00FE1057" w:rsidRPr="00987829">
        <w:rPr>
          <w:rFonts w:ascii="Times New Roman" w:hAnsi="Times New Roman" w:cs="Times New Roman"/>
          <w:sz w:val="24"/>
          <w:szCs w:val="24"/>
        </w:rPr>
        <w:t>, propiciando condiciones sociales que contribuyan al bienestar personal y colectivo, reduciendo las desigualdades y generando fortalecimiento institucional con apego al respeto de los derechos humanos</w:t>
      </w:r>
      <w:r w:rsidRPr="00987829">
        <w:rPr>
          <w:rFonts w:ascii="Times New Roman" w:hAnsi="Times New Roman" w:cs="Times New Roman"/>
          <w:sz w:val="24"/>
          <w:szCs w:val="24"/>
        </w:rPr>
        <w:t>.</w:t>
      </w:r>
      <w:r w:rsidR="00FE1057" w:rsidRPr="00987829">
        <w:rPr>
          <w:rFonts w:ascii="Times New Roman" w:hAnsi="Times New Roman" w:cs="Times New Roman"/>
          <w:sz w:val="24"/>
          <w:szCs w:val="24"/>
        </w:rPr>
        <w:t xml:space="preserve"> </w:t>
      </w:r>
      <w:r w:rsidRPr="00987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AC6" w:rsidRPr="00987829" w:rsidRDefault="00C47875" w:rsidP="00987829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de las medidas </w:t>
      </w:r>
      <w:r w:rsidR="009C19C5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más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importantes que adopt</w:t>
      </w:r>
      <w:r w:rsidR="005D5F98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Honduras en materia migratoria ha sido el </w:t>
      </w:r>
      <w:r w:rsidR="00127AC6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fortalecimiento institucional el Instituto Nacional de Migración</w:t>
      </w:r>
      <w:r w:rsidR="0052409C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(INM) 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mediante la creación de </w:t>
      </w:r>
      <w:r w:rsidR="00127AC6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la Gerencia de Derechos Humanos y Atención al Migrante (GDHAM), para diseñar procesos de atención de personas migrantes con base en el derecho interno e internacional humanitario,</w:t>
      </w:r>
      <w:r w:rsidR="00127AC6" w:rsidRPr="0098782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127AC6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a fin de salvaguardar la dignidad de las personas migrantes, promover y proteger los derechos humanos de las personas migrantes</w:t>
      </w:r>
      <w:r w:rsidR="000947CB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 ninguna distinción y con apego al respeto de los derechos humanos</w:t>
      </w:r>
      <w:r w:rsidR="00127AC6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, a través de una atención inmediata</w:t>
      </w:r>
      <w:r w:rsidR="000947CB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27AC6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eficaz, eficiente y digna, </w:t>
      </w:r>
      <w:r w:rsidR="000947CB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que incluye capacitación</w:t>
      </w:r>
      <w:r w:rsidR="00127AC6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 personal en materia de derechos humanos y protocolos de atención inmediata</w:t>
      </w:r>
      <w:r w:rsidR="000947CB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enfoque de derechos humanos</w:t>
      </w:r>
      <w:r w:rsidR="00127AC6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19C5" w:rsidRPr="00987829" w:rsidRDefault="009C19C5" w:rsidP="00127AC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ese sentido Honduras realiza esfuerzo a fin de alcanzar la meta 10.7 </w:t>
      </w:r>
      <w:r w:rsidR="00901F77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16.6 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los ODS </w:t>
      </w:r>
    </w:p>
    <w:p w:rsidR="00835725" w:rsidRPr="00987829" w:rsidRDefault="007C70DE" w:rsidP="00F32D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Honduras </w:t>
      </w:r>
      <w:r w:rsidR="00706E2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recomienda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el doc</w:t>
      </w:r>
      <w:r w:rsidR="00706E2F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umento</w:t>
      </w:r>
      <w:r w:rsidR="0049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solo adopte el ODS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10, sino también el </w:t>
      </w:r>
      <w:r w:rsidR="0049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 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16, sobre</w:t>
      </w:r>
      <w:r w:rsidR="00496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Paz, justicia e instituciones sólidas, y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que el mismo guarda una relación </w:t>
      </w:r>
      <w:r w:rsidR="00496619"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intrínseca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el acceso a la justica y el fortalecimiento al estado de derecho.</w:t>
      </w:r>
    </w:p>
    <w:p w:rsidR="00706E2F" w:rsidRPr="00987829" w:rsidRDefault="00706E2F" w:rsidP="00496619">
      <w:pPr>
        <w:spacing w:before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CONTRIBUCIONES ESPECÍFICAS</w:t>
      </w:r>
    </w:p>
    <w:p w:rsidR="00706E2F" w:rsidRPr="00987829" w:rsidRDefault="00706E2F" w:rsidP="00706E2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De manera específica se recomienda trasladar el párrafo 9 al párrafo 7, con el fin de hacer un resumen  histórico y evolutivo del combate al perfilamiento racial.</w:t>
      </w:r>
    </w:p>
    <w:p w:rsidR="00706E2F" w:rsidRPr="00987829" w:rsidRDefault="00706E2F" w:rsidP="00706E2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Respecto al párrafo 13 se sugiere que el </w:t>
      </w:r>
      <w:r w:rsidR="005D5F9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omité también indique que el presente comentario general incluye algunos aspectos mínimos que los Estados deben adoptar a fin de prevenir el perfilamiento racial.</w:t>
      </w:r>
    </w:p>
    <w:p w:rsidR="00706E2F" w:rsidRPr="00987829" w:rsidRDefault="00706E2F" w:rsidP="00706E2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Respecto al capítulo de las Recomendaciones, </w:t>
      </w:r>
      <w:r w:rsidR="00F474EC">
        <w:rPr>
          <w:rFonts w:ascii="Times New Roman" w:hAnsi="Times New Roman" w:cs="Times New Roman"/>
          <w:color w:val="000000" w:themeColor="text1"/>
          <w:sz w:val="24"/>
          <w:szCs w:val="24"/>
        </w:rPr>
        <w:t>Honduras alienta al Comité a que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la redacción final de las recomendaciones se</w:t>
      </w:r>
      <w:r w:rsidR="00F47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incluya de manera expresa a qué</w:t>
      </w:r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4EC">
        <w:rPr>
          <w:rFonts w:ascii="Times New Roman" w:hAnsi="Times New Roman" w:cs="Times New Roman"/>
          <w:color w:val="000000" w:themeColor="text1"/>
          <w:sz w:val="24"/>
          <w:szCs w:val="24"/>
        </w:rPr>
        <w:t>o cuá</w:t>
      </w:r>
      <w:bookmarkStart w:id="0" w:name="_GoBack"/>
      <w:bookmarkEnd w:id="0"/>
      <w:r w:rsidRPr="00987829">
        <w:rPr>
          <w:rFonts w:ascii="Times New Roman" w:hAnsi="Times New Roman" w:cs="Times New Roman"/>
          <w:color w:val="000000" w:themeColor="text1"/>
          <w:sz w:val="24"/>
          <w:szCs w:val="24"/>
        </w:rPr>
        <w:t>les artículos de la Convención se está dando cumplimiento mediante la adopción de dichas recomendaciones.</w:t>
      </w:r>
    </w:p>
    <w:p w:rsidR="00706E2F" w:rsidRPr="00987829" w:rsidRDefault="00706E2F" w:rsidP="00F32D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06E2F" w:rsidRPr="00987829" w:rsidSect="001C34A1">
      <w:pgSz w:w="11906" w:h="16838"/>
      <w:pgMar w:top="1417" w:right="1701" w:bottom="1417" w:left="1701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292" w:rsidRDefault="00CA3292" w:rsidP="001A7D0B">
      <w:pPr>
        <w:spacing w:after="0" w:line="240" w:lineRule="auto"/>
      </w:pPr>
      <w:r>
        <w:separator/>
      </w:r>
    </w:p>
  </w:endnote>
  <w:endnote w:type="continuationSeparator" w:id="0">
    <w:p w:rsidR="00CA3292" w:rsidRDefault="00CA3292" w:rsidP="001A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swiss"/>
    <w:pitch w:val="variable"/>
    <w:sig w:usb0="00008003" w:usb1="00000000" w:usb2="00000000" w:usb3="00000000" w:csb0="00000001" w:csb1="00000000"/>
  </w:font>
  <w:font w:name="Lucida Grande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292" w:rsidRDefault="00CA3292" w:rsidP="001A7D0B">
      <w:pPr>
        <w:spacing w:after="0" w:line="240" w:lineRule="auto"/>
      </w:pPr>
      <w:r>
        <w:separator/>
      </w:r>
    </w:p>
  </w:footnote>
  <w:footnote w:type="continuationSeparator" w:id="0">
    <w:p w:rsidR="00CA3292" w:rsidRDefault="00CA3292" w:rsidP="001A7D0B">
      <w:pPr>
        <w:spacing w:after="0" w:line="240" w:lineRule="auto"/>
      </w:pPr>
      <w:r>
        <w:continuationSeparator/>
      </w:r>
    </w:p>
  </w:footnote>
  <w:footnote w:id="1">
    <w:p w:rsidR="00CB57AA" w:rsidRPr="00567E46" w:rsidRDefault="00CB57AA" w:rsidP="00567E4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987829">
        <w:rPr>
          <w:rStyle w:val="FootnoteReference"/>
        </w:rPr>
        <w:footnoteRef/>
      </w:r>
      <w:r w:rsidRPr="00987829">
        <w:t xml:space="preserve"> </w:t>
      </w:r>
      <w:r w:rsidRPr="00567E46">
        <w:rPr>
          <w:rFonts w:ascii="Times New Roman" w:hAnsi="Times New Roman" w:cs="Times New Roman"/>
          <w:sz w:val="20"/>
          <w:szCs w:val="20"/>
        </w:rPr>
        <w:t>Decreto Legislativo No. 23-2013, de fecha 25 de febrero de 2013, publicado en el Diario Oficial La Gaceta No. 33,092, de fecha el 6 de abril de 2013, con la reforma a los artículos 27 y 321 del Código Penal.</w:t>
      </w:r>
    </w:p>
  </w:footnote>
  <w:footnote w:id="2">
    <w:p w:rsidR="009215EB" w:rsidRDefault="009215EB" w:rsidP="00567E46">
      <w:pPr>
        <w:spacing w:after="0" w:line="240" w:lineRule="auto"/>
        <w:jc w:val="both"/>
      </w:pPr>
      <w:r w:rsidRPr="00567E4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7E46">
        <w:rPr>
          <w:rFonts w:ascii="Times New Roman" w:hAnsi="Times New Roman" w:cs="Times New Roman"/>
          <w:sz w:val="20"/>
          <w:szCs w:val="20"/>
        </w:rPr>
        <w:t xml:space="preserve"> </w:t>
      </w:r>
      <w:r w:rsidRPr="00567E46">
        <w:rPr>
          <w:rFonts w:ascii="Times New Roman" w:eastAsia="Times New Roman" w:hAnsi="Times New Roman" w:cs="Times New Roman"/>
          <w:sz w:val="20"/>
          <w:szCs w:val="20"/>
          <w:lang w:eastAsia="es-HN"/>
        </w:rPr>
        <w:t>Decreto No. 130-2017, Código Penal, publicado en Diario oficial La Gaceta número 34,940, de fecha 10 de mayo de 2019.</w:t>
      </w:r>
    </w:p>
  </w:footnote>
  <w:footnote w:id="3">
    <w:p w:rsidR="00CA4D38" w:rsidRPr="00567E46" w:rsidRDefault="00CA4D38" w:rsidP="00567E46">
      <w:pPr>
        <w:pStyle w:val="FootnoteText"/>
        <w:jc w:val="both"/>
        <w:rPr>
          <w:rFonts w:ascii="Times New Roman" w:hAnsi="Times New Roman" w:cs="Times New Roman"/>
        </w:rPr>
      </w:pPr>
      <w:r w:rsidRPr="00567E46">
        <w:rPr>
          <w:rStyle w:val="FootnoteReference"/>
          <w:rFonts w:ascii="Times New Roman" w:hAnsi="Times New Roman" w:cs="Times New Roman"/>
        </w:rPr>
        <w:footnoteRef/>
      </w:r>
      <w:r w:rsidRPr="00567E46">
        <w:rPr>
          <w:rFonts w:ascii="Times New Roman" w:hAnsi="Times New Roman" w:cs="Times New Roman"/>
        </w:rPr>
        <w:t xml:space="preserve"> Informe Sobre la Situación  de los Derechos Humanos en Honduras 2018. Pág 28 </w:t>
      </w:r>
    </w:p>
  </w:footnote>
  <w:footnote w:id="4">
    <w:p w:rsidR="00C47875" w:rsidRDefault="00C47875" w:rsidP="00567E46">
      <w:pPr>
        <w:pStyle w:val="FootnoteText"/>
        <w:jc w:val="both"/>
      </w:pPr>
      <w:r w:rsidRPr="00567E46">
        <w:rPr>
          <w:rStyle w:val="FootnoteReference"/>
          <w:rFonts w:ascii="Times New Roman" w:hAnsi="Times New Roman" w:cs="Times New Roman"/>
        </w:rPr>
        <w:footnoteRef/>
      </w:r>
      <w:r w:rsidRPr="00567E46">
        <w:rPr>
          <w:rFonts w:ascii="Times New Roman" w:hAnsi="Times New Roman" w:cs="Times New Roman"/>
        </w:rPr>
        <w:t xml:space="preserve"> Decreto Ejecutivo N° PCM-027-2016, publicado el 12 de mayo de 2016, en Diario Oficial la Gaceta número 34,031.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02F"/>
    <w:multiLevelType w:val="hybridMultilevel"/>
    <w:tmpl w:val="900A5AE4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44B6D"/>
    <w:multiLevelType w:val="hybridMultilevel"/>
    <w:tmpl w:val="9A042E9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F28B9"/>
    <w:multiLevelType w:val="hybridMultilevel"/>
    <w:tmpl w:val="E73EED2E"/>
    <w:lvl w:ilvl="0" w:tplc="8BB401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A11E4"/>
    <w:multiLevelType w:val="hybridMultilevel"/>
    <w:tmpl w:val="26BE947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66632"/>
    <w:multiLevelType w:val="hybridMultilevel"/>
    <w:tmpl w:val="14405672"/>
    <w:lvl w:ilvl="0" w:tplc="08168D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C0CB6"/>
    <w:multiLevelType w:val="hybridMultilevel"/>
    <w:tmpl w:val="8DD6DDA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F1278"/>
    <w:multiLevelType w:val="hybridMultilevel"/>
    <w:tmpl w:val="3CA4D602"/>
    <w:lvl w:ilvl="0" w:tplc="AA10AC8C">
      <w:start w:val="1"/>
      <w:numFmt w:val="lowerLetter"/>
      <w:lvlText w:val="%1)"/>
      <w:lvlJc w:val="left"/>
      <w:pPr>
        <w:ind w:left="720" w:hanging="360"/>
      </w:pPr>
      <w:rPr>
        <w:rFonts w:ascii="Aparajita" w:eastAsiaTheme="minorHAnsi" w:hAnsi="Aparajita" w:cs="Times New Roman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77B9C"/>
    <w:rsid w:val="00004014"/>
    <w:rsid w:val="00045143"/>
    <w:rsid w:val="00082031"/>
    <w:rsid w:val="000947CB"/>
    <w:rsid w:val="000B2696"/>
    <w:rsid w:val="000D4C91"/>
    <w:rsid w:val="000E2CEE"/>
    <w:rsid w:val="000E72FA"/>
    <w:rsid w:val="00110695"/>
    <w:rsid w:val="001256F3"/>
    <w:rsid w:val="00127AC6"/>
    <w:rsid w:val="0013445D"/>
    <w:rsid w:val="00163A55"/>
    <w:rsid w:val="00185075"/>
    <w:rsid w:val="001A5854"/>
    <w:rsid w:val="001A7D0B"/>
    <w:rsid w:val="001A7F43"/>
    <w:rsid w:val="001C34A1"/>
    <w:rsid w:val="001C5394"/>
    <w:rsid w:val="001C7705"/>
    <w:rsid w:val="001D13A3"/>
    <w:rsid w:val="001E1071"/>
    <w:rsid w:val="001F632F"/>
    <w:rsid w:val="001F74DA"/>
    <w:rsid w:val="002375BE"/>
    <w:rsid w:val="00245F44"/>
    <w:rsid w:val="00260B23"/>
    <w:rsid w:val="002858FD"/>
    <w:rsid w:val="002A5005"/>
    <w:rsid w:val="002C5E5F"/>
    <w:rsid w:val="002D24A9"/>
    <w:rsid w:val="002D5D85"/>
    <w:rsid w:val="002E277D"/>
    <w:rsid w:val="00303E93"/>
    <w:rsid w:val="0032301F"/>
    <w:rsid w:val="0032768B"/>
    <w:rsid w:val="00330CD3"/>
    <w:rsid w:val="00350F2C"/>
    <w:rsid w:val="003747D9"/>
    <w:rsid w:val="00377C60"/>
    <w:rsid w:val="003A5E42"/>
    <w:rsid w:val="003B0E60"/>
    <w:rsid w:val="003C0BEC"/>
    <w:rsid w:val="003D6FEB"/>
    <w:rsid w:val="00407D11"/>
    <w:rsid w:val="00420379"/>
    <w:rsid w:val="00465A5C"/>
    <w:rsid w:val="00472972"/>
    <w:rsid w:val="00496619"/>
    <w:rsid w:val="004A6F51"/>
    <w:rsid w:val="004B759D"/>
    <w:rsid w:val="004D7097"/>
    <w:rsid w:val="004F1447"/>
    <w:rsid w:val="005008DA"/>
    <w:rsid w:val="005015D8"/>
    <w:rsid w:val="00515C49"/>
    <w:rsid w:val="0052204E"/>
    <w:rsid w:val="0052409C"/>
    <w:rsid w:val="00526272"/>
    <w:rsid w:val="00531116"/>
    <w:rsid w:val="00536A39"/>
    <w:rsid w:val="005537EC"/>
    <w:rsid w:val="005562BD"/>
    <w:rsid w:val="00567E46"/>
    <w:rsid w:val="00576F70"/>
    <w:rsid w:val="00585838"/>
    <w:rsid w:val="005868E9"/>
    <w:rsid w:val="005959A3"/>
    <w:rsid w:val="005A16AB"/>
    <w:rsid w:val="005C4F89"/>
    <w:rsid w:val="005D5F98"/>
    <w:rsid w:val="005E1DD1"/>
    <w:rsid w:val="005E7FAA"/>
    <w:rsid w:val="00620F40"/>
    <w:rsid w:val="00673829"/>
    <w:rsid w:val="00677F95"/>
    <w:rsid w:val="006F0A2B"/>
    <w:rsid w:val="006F0C97"/>
    <w:rsid w:val="006F1F52"/>
    <w:rsid w:val="006F6B25"/>
    <w:rsid w:val="007043A7"/>
    <w:rsid w:val="00706BFE"/>
    <w:rsid w:val="00706E2F"/>
    <w:rsid w:val="00707C63"/>
    <w:rsid w:val="00714C1F"/>
    <w:rsid w:val="00733C2A"/>
    <w:rsid w:val="0074133B"/>
    <w:rsid w:val="00752406"/>
    <w:rsid w:val="00757491"/>
    <w:rsid w:val="00766D8B"/>
    <w:rsid w:val="00790053"/>
    <w:rsid w:val="007C70DE"/>
    <w:rsid w:val="007D3457"/>
    <w:rsid w:val="007D42D8"/>
    <w:rsid w:val="007E1D42"/>
    <w:rsid w:val="007F2237"/>
    <w:rsid w:val="007F3B20"/>
    <w:rsid w:val="00835725"/>
    <w:rsid w:val="00877B9C"/>
    <w:rsid w:val="00877E60"/>
    <w:rsid w:val="00880821"/>
    <w:rsid w:val="00882AEE"/>
    <w:rsid w:val="008A1A5A"/>
    <w:rsid w:val="008B0C75"/>
    <w:rsid w:val="008B45A6"/>
    <w:rsid w:val="008C783F"/>
    <w:rsid w:val="008E0DC5"/>
    <w:rsid w:val="008E2E72"/>
    <w:rsid w:val="008E4D54"/>
    <w:rsid w:val="008F3A5A"/>
    <w:rsid w:val="00901F77"/>
    <w:rsid w:val="00902229"/>
    <w:rsid w:val="009215EB"/>
    <w:rsid w:val="009271CF"/>
    <w:rsid w:val="00931E75"/>
    <w:rsid w:val="00933342"/>
    <w:rsid w:val="009554F2"/>
    <w:rsid w:val="00955F42"/>
    <w:rsid w:val="00956265"/>
    <w:rsid w:val="00987829"/>
    <w:rsid w:val="009A2D06"/>
    <w:rsid w:val="009B41D3"/>
    <w:rsid w:val="009C0049"/>
    <w:rsid w:val="009C19C5"/>
    <w:rsid w:val="009C61DC"/>
    <w:rsid w:val="009F2B4C"/>
    <w:rsid w:val="009F6DEC"/>
    <w:rsid w:val="00A10ECA"/>
    <w:rsid w:val="00A206B4"/>
    <w:rsid w:val="00A222A2"/>
    <w:rsid w:val="00A26327"/>
    <w:rsid w:val="00A27755"/>
    <w:rsid w:val="00A304F9"/>
    <w:rsid w:val="00A85089"/>
    <w:rsid w:val="00A91B86"/>
    <w:rsid w:val="00A93C8E"/>
    <w:rsid w:val="00AA2FDF"/>
    <w:rsid w:val="00AA5173"/>
    <w:rsid w:val="00AD78A2"/>
    <w:rsid w:val="00AE355B"/>
    <w:rsid w:val="00B04BAE"/>
    <w:rsid w:val="00B37283"/>
    <w:rsid w:val="00B40B48"/>
    <w:rsid w:val="00B41004"/>
    <w:rsid w:val="00B50862"/>
    <w:rsid w:val="00B604C1"/>
    <w:rsid w:val="00B663AC"/>
    <w:rsid w:val="00BA4745"/>
    <w:rsid w:val="00BA5931"/>
    <w:rsid w:val="00BA6014"/>
    <w:rsid w:val="00BD6AEC"/>
    <w:rsid w:val="00BE3DDD"/>
    <w:rsid w:val="00C11C8B"/>
    <w:rsid w:val="00C14FFD"/>
    <w:rsid w:val="00C17319"/>
    <w:rsid w:val="00C47875"/>
    <w:rsid w:val="00C739C4"/>
    <w:rsid w:val="00C76C7E"/>
    <w:rsid w:val="00CA3292"/>
    <w:rsid w:val="00CA4D38"/>
    <w:rsid w:val="00CA4E71"/>
    <w:rsid w:val="00CB57AA"/>
    <w:rsid w:val="00CC523E"/>
    <w:rsid w:val="00CD4CDE"/>
    <w:rsid w:val="00CE651B"/>
    <w:rsid w:val="00CF71C4"/>
    <w:rsid w:val="00D03A6F"/>
    <w:rsid w:val="00D37FB5"/>
    <w:rsid w:val="00D43741"/>
    <w:rsid w:val="00D61E1C"/>
    <w:rsid w:val="00D80CBD"/>
    <w:rsid w:val="00D8475F"/>
    <w:rsid w:val="00D94372"/>
    <w:rsid w:val="00DB1D0E"/>
    <w:rsid w:val="00DB6241"/>
    <w:rsid w:val="00DB6AA2"/>
    <w:rsid w:val="00DF70B9"/>
    <w:rsid w:val="00E22FB9"/>
    <w:rsid w:val="00E53778"/>
    <w:rsid w:val="00EC66F8"/>
    <w:rsid w:val="00ED4691"/>
    <w:rsid w:val="00EE53B1"/>
    <w:rsid w:val="00F10950"/>
    <w:rsid w:val="00F179A0"/>
    <w:rsid w:val="00F3046E"/>
    <w:rsid w:val="00F32D5E"/>
    <w:rsid w:val="00F379EC"/>
    <w:rsid w:val="00F41F4C"/>
    <w:rsid w:val="00F474EC"/>
    <w:rsid w:val="00F568B5"/>
    <w:rsid w:val="00F7021E"/>
    <w:rsid w:val="00F7183F"/>
    <w:rsid w:val="00F737AA"/>
    <w:rsid w:val="00F834A6"/>
    <w:rsid w:val="00F96273"/>
    <w:rsid w:val="00FA2DBB"/>
    <w:rsid w:val="00FC0CC6"/>
    <w:rsid w:val="00FC21DB"/>
    <w:rsid w:val="00FC539E"/>
    <w:rsid w:val="00FE1057"/>
    <w:rsid w:val="00FF1ECD"/>
  </w:rsids>
  <m:mathPr>
    <m:mathFont m:val="Candar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A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A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BC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A7D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7D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D0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C76C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B57AA"/>
  </w:style>
  <w:style w:type="character" w:styleId="SubtleEmphasis">
    <w:name w:val="Subtle Emphasis"/>
    <w:basedOn w:val="DefaultParagraphFont"/>
    <w:uiPriority w:val="19"/>
    <w:qFormat/>
    <w:rsid w:val="00F7183F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923B24-4BC0-854C-8B82-65D56E222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7F163-6159-4435-88D6-1A504FAF7625}"/>
</file>

<file path=customXml/itemProps3.xml><?xml version="1.0" encoding="utf-8"?>
<ds:datastoreItem xmlns:ds="http://schemas.openxmlformats.org/officeDocument/2006/customXml" ds:itemID="{DAB1FCEA-50AD-475C-BF70-B54B5951A57A}"/>
</file>

<file path=customXml/itemProps4.xml><?xml version="1.0" encoding="utf-8"?>
<ds:datastoreItem xmlns:ds="http://schemas.openxmlformats.org/officeDocument/2006/customXml" ds:itemID="{38DF62E7-31ED-4CEB-AC7F-EF4AE9F6D3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1257</Words>
  <Characters>7167</Characters>
  <Application>Microsoft Macintosh Word</Application>
  <DocSecurity>0</DocSecurity>
  <Lines>59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Mision de Honduras Mision de Honduras</cp:lastModifiedBy>
  <cp:revision>2</cp:revision>
  <dcterms:created xsi:type="dcterms:W3CDTF">2019-07-01T07:15:00Z</dcterms:created>
  <dcterms:modified xsi:type="dcterms:W3CDTF">2019-07-01T07:15:00Z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