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C1B9D" w14:textId="77777777" w:rsidR="0064418F" w:rsidRPr="0046703B" w:rsidRDefault="0051747E" w:rsidP="0046703B">
      <w:pPr>
        <w:ind w:left="360"/>
        <w:jc w:val="center"/>
        <w:rPr>
          <w:rFonts w:ascii="Palatino Linotype" w:hAnsi="Palatino Linotype"/>
          <w:b/>
          <w:bCs/>
          <w:sz w:val="24"/>
          <w:szCs w:val="24"/>
          <w:u w:val="single"/>
        </w:rPr>
      </w:pPr>
      <w:bookmarkStart w:id="0" w:name="_GoBack"/>
      <w:bookmarkEnd w:id="0"/>
      <w:r>
        <w:rPr>
          <w:rFonts w:ascii="Palatino Linotype" w:hAnsi="Palatino Linotype"/>
          <w:b/>
          <w:bCs/>
          <w:sz w:val="24"/>
          <w:szCs w:val="24"/>
          <w:u w:val="single"/>
        </w:rPr>
        <w:t>Draft General Recommendation No.36</w:t>
      </w:r>
      <w:r w:rsidR="00985048" w:rsidRPr="0046703B">
        <w:rPr>
          <w:rFonts w:ascii="Palatino Linotype" w:hAnsi="Palatino Linotype"/>
          <w:b/>
          <w:bCs/>
          <w:sz w:val="24"/>
          <w:szCs w:val="24"/>
          <w:u w:val="single"/>
        </w:rPr>
        <w:t>:</w:t>
      </w:r>
      <w:r>
        <w:rPr>
          <w:rFonts w:ascii="Palatino Linotype" w:hAnsi="Palatino Linotype"/>
          <w:b/>
          <w:bCs/>
          <w:sz w:val="24"/>
          <w:szCs w:val="24"/>
          <w:u w:val="single"/>
        </w:rPr>
        <w:t xml:space="preserve"> Prevent</w:t>
      </w:r>
      <w:r w:rsidR="001A7EDF">
        <w:rPr>
          <w:rFonts w:ascii="Palatino Linotype" w:hAnsi="Palatino Linotype"/>
          <w:b/>
          <w:bCs/>
          <w:sz w:val="24"/>
          <w:szCs w:val="24"/>
          <w:u w:val="single"/>
        </w:rPr>
        <w:t>ing and Combating Racial Profiling</w:t>
      </w:r>
      <w:r>
        <w:rPr>
          <w:rFonts w:ascii="Palatino Linotype" w:hAnsi="Palatino Linotype"/>
          <w:b/>
          <w:bCs/>
          <w:sz w:val="24"/>
          <w:szCs w:val="24"/>
          <w:u w:val="single"/>
        </w:rPr>
        <w:t xml:space="preserve"> </w:t>
      </w:r>
    </w:p>
    <w:p w14:paraId="49FC1B9E" w14:textId="77777777" w:rsidR="00F2251C" w:rsidRDefault="00F2251C" w:rsidP="001A7EDF">
      <w:pPr>
        <w:spacing w:line="256" w:lineRule="auto"/>
        <w:ind w:left="-90"/>
        <w:jc w:val="both"/>
        <w:rPr>
          <w:rFonts w:ascii="Palatino Linotype" w:hAnsi="Palatino Linotype"/>
          <w:sz w:val="24"/>
          <w:szCs w:val="24"/>
        </w:rPr>
      </w:pPr>
    </w:p>
    <w:p w14:paraId="49FC1B9F" w14:textId="77777777" w:rsidR="0051747E" w:rsidRDefault="007A6796" w:rsidP="001A7EDF">
      <w:pPr>
        <w:spacing w:line="256" w:lineRule="auto"/>
        <w:ind w:left="-90"/>
        <w:jc w:val="both"/>
        <w:rPr>
          <w:rFonts w:ascii="Palatino Linotype" w:hAnsi="Palatino Linotype"/>
          <w:sz w:val="24"/>
          <w:szCs w:val="24"/>
        </w:rPr>
      </w:pPr>
      <w:r w:rsidRPr="007A6796">
        <w:rPr>
          <w:rFonts w:ascii="Palatino Linotype" w:hAnsi="Palatino Linotype"/>
          <w:sz w:val="24"/>
          <w:szCs w:val="24"/>
        </w:rPr>
        <w:t xml:space="preserve">The State of Palestine </w:t>
      </w:r>
      <w:r w:rsidR="0051747E">
        <w:rPr>
          <w:rFonts w:ascii="Palatino Linotype" w:hAnsi="Palatino Linotype"/>
          <w:sz w:val="24"/>
          <w:szCs w:val="24"/>
        </w:rPr>
        <w:t>appreciates the efforts of the Committee of the Convention on the Elimination of All Forms of Racial Discrimination</w:t>
      </w:r>
      <w:r w:rsidR="00C75C30">
        <w:rPr>
          <w:rFonts w:ascii="Palatino Linotype" w:hAnsi="Palatino Linotype"/>
          <w:sz w:val="24"/>
          <w:szCs w:val="24"/>
        </w:rPr>
        <w:t xml:space="preserve"> (CERD)</w:t>
      </w:r>
      <w:r w:rsidR="0051747E">
        <w:rPr>
          <w:rFonts w:ascii="Palatino Linotype" w:hAnsi="Palatino Linotype"/>
          <w:sz w:val="24"/>
          <w:szCs w:val="24"/>
        </w:rPr>
        <w:t xml:space="preserve"> in drafting a General Recommendation </w:t>
      </w:r>
      <w:r w:rsidR="00F2251C">
        <w:rPr>
          <w:rFonts w:ascii="Palatino Linotype" w:hAnsi="Palatino Linotype"/>
          <w:sz w:val="24"/>
          <w:szCs w:val="24"/>
        </w:rPr>
        <w:t xml:space="preserve">to provide guidance on preventing and combating racial profiling in order to assist State parties in discharging their obligations. Following discussion with the team, the State of Palestine would like to add: </w:t>
      </w:r>
    </w:p>
    <w:p w14:paraId="49FC1BA0" w14:textId="77777777" w:rsidR="00F2251C" w:rsidRDefault="00F2251C" w:rsidP="001A7EDF">
      <w:pPr>
        <w:pStyle w:val="ListParagraph"/>
        <w:numPr>
          <w:ilvl w:val="0"/>
          <w:numId w:val="8"/>
        </w:numPr>
        <w:spacing w:line="256" w:lineRule="auto"/>
        <w:jc w:val="both"/>
        <w:rPr>
          <w:rFonts w:ascii="Palatino Linotype" w:hAnsi="Palatino Linotype"/>
          <w:sz w:val="24"/>
          <w:szCs w:val="24"/>
        </w:rPr>
      </w:pPr>
      <w:r>
        <w:rPr>
          <w:rFonts w:ascii="Palatino Linotype" w:hAnsi="Palatino Linotype"/>
          <w:sz w:val="24"/>
          <w:szCs w:val="24"/>
        </w:rPr>
        <w:t>Racial profiling within the cont</w:t>
      </w:r>
      <w:r w:rsidR="00C75C30">
        <w:rPr>
          <w:rFonts w:ascii="Palatino Linotype" w:hAnsi="Palatino Linotype"/>
          <w:sz w:val="24"/>
          <w:szCs w:val="24"/>
        </w:rPr>
        <w:t>ext</w:t>
      </w:r>
      <w:r>
        <w:rPr>
          <w:rFonts w:ascii="Palatino Linotype" w:hAnsi="Palatino Linotype"/>
          <w:sz w:val="24"/>
          <w:szCs w:val="24"/>
        </w:rPr>
        <w:t xml:space="preserve"> of racial segregation, apartheid, and foreign occupations</w:t>
      </w:r>
    </w:p>
    <w:p w14:paraId="49FC1BA1" w14:textId="77777777" w:rsidR="00BD022B" w:rsidRDefault="00C75C30" w:rsidP="001A7EDF">
      <w:pPr>
        <w:spacing w:line="256" w:lineRule="auto"/>
        <w:jc w:val="both"/>
        <w:rPr>
          <w:rFonts w:ascii="Palatino Linotype" w:hAnsi="Palatino Linotype"/>
          <w:sz w:val="24"/>
          <w:szCs w:val="24"/>
        </w:rPr>
      </w:pPr>
      <w:r>
        <w:rPr>
          <w:rFonts w:ascii="Palatino Linotype" w:hAnsi="Palatino Linotype"/>
          <w:sz w:val="24"/>
          <w:szCs w:val="24"/>
        </w:rPr>
        <w:t xml:space="preserve">While the State of Palestine recognizes that racial segregation, apartheid, and foreign occupations are inherently discriminatory and violate the basic tenants of human rights and the </w:t>
      </w:r>
      <w:r w:rsidR="00BD022B">
        <w:rPr>
          <w:rFonts w:ascii="Palatino Linotype" w:hAnsi="Palatino Linotype"/>
          <w:sz w:val="24"/>
          <w:szCs w:val="24"/>
        </w:rPr>
        <w:t xml:space="preserve">provisions of </w:t>
      </w:r>
      <w:r>
        <w:rPr>
          <w:rFonts w:ascii="Palatino Linotype" w:hAnsi="Palatino Linotype"/>
          <w:sz w:val="24"/>
          <w:szCs w:val="24"/>
        </w:rPr>
        <w:t>CERD</w:t>
      </w:r>
      <w:r w:rsidR="00F2734D">
        <w:rPr>
          <w:rFonts w:ascii="Palatino Linotype" w:hAnsi="Palatino Linotype"/>
          <w:sz w:val="24"/>
          <w:szCs w:val="24"/>
        </w:rPr>
        <w:t xml:space="preserve">, some sets of recommendations must be concocted in order to regulate the </w:t>
      </w:r>
      <w:r w:rsidR="00BD022B">
        <w:rPr>
          <w:rFonts w:ascii="Palatino Linotype" w:hAnsi="Palatino Linotype"/>
          <w:sz w:val="24"/>
          <w:szCs w:val="24"/>
        </w:rPr>
        <w:t xml:space="preserve">use of force especially in context of prolonged occupation with no political solutions in sight. </w:t>
      </w:r>
    </w:p>
    <w:p w14:paraId="49FC1BA2" w14:textId="77777777" w:rsidR="00BD022B" w:rsidRDefault="00BD022B" w:rsidP="001A7EDF">
      <w:pPr>
        <w:pStyle w:val="ListParagraph"/>
        <w:numPr>
          <w:ilvl w:val="0"/>
          <w:numId w:val="8"/>
        </w:numPr>
        <w:jc w:val="both"/>
        <w:rPr>
          <w:rFonts w:ascii="Palatino Linotype" w:hAnsi="Palatino Linotype"/>
          <w:sz w:val="24"/>
          <w:szCs w:val="24"/>
        </w:rPr>
      </w:pPr>
      <w:r w:rsidRPr="00BD022B">
        <w:rPr>
          <w:rFonts w:ascii="Palatino Linotype" w:hAnsi="Palatino Linotype"/>
          <w:sz w:val="24"/>
          <w:szCs w:val="24"/>
        </w:rPr>
        <w:t xml:space="preserve">Racial profiling </w:t>
      </w:r>
      <w:r>
        <w:rPr>
          <w:rFonts w:ascii="Palatino Linotype" w:hAnsi="Palatino Linotype"/>
          <w:sz w:val="24"/>
          <w:szCs w:val="24"/>
        </w:rPr>
        <w:t>targeting indigenous and native people</w:t>
      </w:r>
    </w:p>
    <w:p w14:paraId="49FC1BA3" w14:textId="77777777" w:rsidR="001A7EDF" w:rsidRDefault="00BD022B" w:rsidP="001A7EDF">
      <w:pPr>
        <w:jc w:val="both"/>
        <w:rPr>
          <w:rFonts w:ascii="Palatino Linotype" w:hAnsi="Palatino Linotype"/>
          <w:sz w:val="24"/>
          <w:szCs w:val="24"/>
        </w:rPr>
      </w:pPr>
      <w:r>
        <w:rPr>
          <w:rFonts w:ascii="Palatino Linotype" w:hAnsi="Palatino Linotype"/>
          <w:sz w:val="24"/>
          <w:szCs w:val="24"/>
        </w:rPr>
        <w:t xml:space="preserve">The State of Palestine recognizes that indigenous communities and native populations are the most affected of racial profiling </w:t>
      </w:r>
      <w:r w:rsidR="00AC67E0">
        <w:rPr>
          <w:rFonts w:ascii="Palatino Linotype" w:hAnsi="Palatino Linotype"/>
          <w:sz w:val="24"/>
          <w:szCs w:val="24"/>
        </w:rPr>
        <w:t>by law enforcement</w:t>
      </w:r>
      <w:r>
        <w:rPr>
          <w:rFonts w:ascii="Palatino Linotype" w:hAnsi="Palatino Linotype"/>
          <w:sz w:val="24"/>
          <w:szCs w:val="24"/>
        </w:rPr>
        <w:t xml:space="preserve">. As such, </w:t>
      </w:r>
      <w:r w:rsidR="00AC67E0">
        <w:rPr>
          <w:rFonts w:ascii="Palatino Linotype" w:hAnsi="Palatino Linotype"/>
          <w:sz w:val="24"/>
          <w:szCs w:val="24"/>
        </w:rPr>
        <w:t>incorporating the</w:t>
      </w:r>
      <w:r>
        <w:rPr>
          <w:rFonts w:ascii="Palatino Linotype" w:hAnsi="Palatino Linotype"/>
          <w:sz w:val="24"/>
          <w:szCs w:val="24"/>
        </w:rPr>
        <w:t xml:space="preserve"> </w:t>
      </w:r>
      <w:r w:rsidR="00AC67E0">
        <w:rPr>
          <w:rFonts w:ascii="Palatino Linotype" w:hAnsi="Palatino Linotype"/>
          <w:sz w:val="24"/>
          <w:szCs w:val="24"/>
        </w:rPr>
        <w:t xml:space="preserve">rights of indigenous and native peoples and ensure their protection against racial profiling is highly important. </w:t>
      </w:r>
    </w:p>
    <w:p w14:paraId="49FC1BA4" w14:textId="77777777" w:rsidR="001A7EDF" w:rsidRDefault="001A7EDF" w:rsidP="001A7EDF">
      <w:pPr>
        <w:pStyle w:val="ListParagraph"/>
        <w:numPr>
          <w:ilvl w:val="0"/>
          <w:numId w:val="8"/>
        </w:numPr>
        <w:jc w:val="both"/>
        <w:rPr>
          <w:rFonts w:ascii="Palatino Linotype" w:hAnsi="Palatino Linotype"/>
          <w:sz w:val="24"/>
          <w:szCs w:val="24"/>
        </w:rPr>
      </w:pPr>
      <w:r>
        <w:rPr>
          <w:rFonts w:ascii="Palatino Linotype" w:hAnsi="Palatino Linotype"/>
          <w:sz w:val="24"/>
          <w:szCs w:val="24"/>
        </w:rPr>
        <w:t>Racial profiling targeting foreigner visitors and refugees</w:t>
      </w:r>
    </w:p>
    <w:p w14:paraId="49FC1BA5" w14:textId="77777777" w:rsidR="00AC67E0" w:rsidRPr="001A7EDF" w:rsidRDefault="001A7EDF" w:rsidP="001A7EDF">
      <w:pPr>
        <w:jc w:val="both"/>
        <w:rPr>
          <w:rFonts w:ascii="Palatino Linotype" w:hAnsi="Palatino Linotype"/>
          <w:sz w:val="24"/>
          <w:szCs w:val="24"/>
        </w:rPr>
      </w:pPr>
      <w:r>
        <w:rPr>
          <w:rFonts w:ascii="Palatino Linotype" w:hAnsi="Palatino Linotype"/>
          <w:sz w:val="24"/>
          <w:szCs w:val="24"/>
        </w:rPr>
        <w:t>The State of Palestine also believes that</w:t>
      </w:r>
      <w:r w:rsidRPr="001A7EDF">
        <w:rPr>
          <w:rFonts w:ascii="Palatino Linotype" w:hAnsi="Palatino Linotype"/>
          <w:sz w:val="24"/>
          <w:szCs w:val="24"/>
        </w:rPr>
        <w:t xml:space="preserve"> </w:t>
      </w:r>
      <w:r>
        <w:rPr>
          <w:rFonts w:ascii="Palatino Linotype" w:hAnsi="Palatino Linotype"/>
          <w:sz w:val="24"/>
          <w:szCs w:val="24"/>
        </w:rPr>
        <w:t xml:space="preserve">racial profiling against foreign visitors and refugees has been prevalent leading causing pernicious effects on the mundane lives of individuals and their families. </w:t>
      </w:r>
    </w:p>
    <w:p w14:paraId="49FC1BA6" w14:textId="77777777" w:rsidR="00AC67E0" w:rsidRDefault="00AC67E0" w:rsidP="001A7EDF">
      <w:pPr>
        <w:jc w:val="both"/>
        <w:rPr>
          <w:rFonts w:ascii="Palatino Linotype" w:hAnsi="Palatino Linotype"/>
          <w:sz w:val="24"/>
          <w:szCs w:val="24"/>
        </w:rPr>
      </w:pPr>
      <w:r>
        <w:rPr>
          <w:rFonts w:ascii="Palatino Linotype" w:hAnsi="Palatino Linotype"/>
          <w:sz w:val="24"/>
          <w:szCs w:val="24"/>
        </w:rPr>
        <w:t xml:space="preserve">The State of Palestine would like to reaffirm that a General Recommendation </w:t>
      </w:r>
      <w:r w:rsidR="001A7EDF">
        <w:rPr>
          <w:rFonts w:ascii="Palatino Linotype" w:hAnsi="Palatino Linotype"/>
          <w:sz w:val="24"/>
          <w:szCs w:val="24"/>
        </w:rPr>
        <w:t>on ethnic</w:t>
      </w:r>
      <w:r>
        <w:rPr>
          <w:rFonts w:ascii="Palatino Linotype" w:hAnsi="Palatino Linotype"/>
          <w:sz w:val="24"/>
          <w:szCs w:val="24"/>
        </w:rPr>
        <w:t xml:space="preserve"> cleansing and the work of the Committee to strengthen and protect people from any </w:t>
      </w:r>
      <w:r>
        <w:rPr>
          <w:rFonts w:ascii="Palatino Linotype" w:hAnsi="Palatino Linotype"/>
          <w:sz w:val="24"/>
          <w:szCs w:val="24"/>
        </w:rPr>
        <w:lastRenderedPageBreak/>
        <w:t>forms of racial discrimination, including ethnic cleansing, is not just timely but highly relevant to the practices and laws that target marginalized communities.</w:t>
      </w:r>
    </w:p>
    <w:p w14:paraId="49FC1BA7" w14:textId="77777777" w:rsidR="001A7EDF" w:rsidRDefault="001A7EDF" w:rsidP="001A7EDF">
      <w:pPr>
        <w:jc w:val="both"/>
        <w:rPr>
          <w:rFonts w:ascii="Palatino Linotype" w:hAnsi="Palatino Linotype"/>
          <w:sz w:val="24"/>
          <w:szCs w:val="24"/>
        </w:rPr>
      </w:pPr>
    </w:p>
    <w:p w14:paraId="49FC1BA8" w14:textId="77777777" w:rsidR="001A7EDF" w:rsidRPr="00AC67E0" w:rsidRDefault="001A7EDF" w:rsidP="001A7EDF">
      <w:pPr>
        <w:jc w:val="center"/>
        <w:rPr>
          <w:rFonts w:ascii="Palatino Linotype" w:hAnsi="Palatino Linotype"/>
          <w:sz w:val="24"/>
          <w:szCs w:val="24"/>
        </w:rPr>
      </w:pPr>
      <w:r>
        <w:rPr>
          <w:rFonts w:ascii="Palatino Linotype" w:hAnsi="Palatino Linotype"/>
          <w:sz w:val="24"/>
          <w:szCs w:val="24"/>
        </w:rPr>
        <w:t>The end</w:t>
      </w:r>
    </w:p>
    <w:p w14:paraId="49FC1BA9" w14:textId="77777777" w:rsidR="00BD022B" w:rsidRPr="00BD022B" w:rsidRDefault="00BD022B" w:rsidP="00BD022B">
      <w:pPr>
        <w:spacing w:line="256" w:lineRule="auto"/>
        <w:jc w:val="both"/>
        <w:rPr>
          <w:rFonts w:ascii="Palatino Linotype" w:hAnsi="Palatino Linotype"/>
          <w:sz w:val="24"/>
          <w:szCs w:val="24"/>
        </w:rPr>
      </w:pPr>
    </w:p>
    <w:p w14:paraId="49FC1BAA" w14:textId="77777777" w:rsidR="00F2251C" w:rsidRPr="00F2251C" w:rsidRDefault="00F2251C" w:rsidP="00F2251C">
      <w:pPr>
        <w:spacing w:line="256" w:lineRule="auto"/>
        <w:ind w:left="360"/>
        <w:jc w:val="both"/>
        <w:rPr>
          <w:rFonts w:ascii="Palatino Linotype" w:hAnsi="Palatino Linotype"/>
          <w:sz w:val="24"/>
          <w:szCs w:val="24"/>
        </w:rPr>
      </w:pPr>
    </w:p>
    <w:p w14:paraId="49FC1BAB" w14:textId="77777777" w:rsidR="0051747E" w:rsidRDefault="0051747E" w:rsidP="00DE3B23">
      <w:pPr>
        <w:spacing w:line="256" w:lineRule="auto"/>
        <w:ind w:left="-90"/>
        <w:jc w:val="both"/>
        <w:rPr>
          <w:rFonts w:ascii="Palatino Linotype" w:hAnsi="Palatino Linotype"/>
          <w:sz w:val="24"/>
          <w:szCs w:val="24"/>
        </w:rPr>
      </w:pPr>
    </w:p>
    <w:p w14:paraId="49FC1BAC" w14:textId="77777777" w:rsidR="0051747E" w:rsidRDefault="0051747E" w:rsidP="00DE3B23">
      <w:pPr>
        <w:spacing w:line="256" w:lineRule="auto"/>
        <w:ind w:left="-90"/>
        <w:jc w:val="both"/>
        <w:rPr>
          <w:rFonts w:ascii="Palatino Linotype" w:hAnsi="Palatino Linotype"/>
          <w:sz w:val="24"/>
          <w:szCs w:val="24"/>
        </w:rPr>
      </w:pPr>
    </w:p>
    <w:p w14:paraId="49FC1BAD" w14:textId="77777777" w:rsidR="00AD61CF" w:rsidRPr="006569F1" w:rsidRDefault="00AD61CF" w:rsidP="00E95DEA">
      <w:pPr>
        <w:jc w:val="center"/>
        <w:rPr>
          <w:rFonts w:ascii="Palatino Linotype" w:hAnsi="Palatino Linotype"/>
          <w:sz w:val="24"/>
          <w:szCs w:val="24"/>
        </w:rPr>
      </w:pPr>
    </w:p>
    <w:sectPr w:rsidR="00AD61CF" w:rsidRPr="006569F1" w:rsidSect="006B1B0B">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C1BB0" w14:textId="77777777" w:rsidR="00581FE2" w:rsidRDefault="00581FE2" w:rsidP="0064418F">
      <w:pPr>
        <w:spacing w:after="0" w:line="240" w:lineRule="auto"/>
      </w:pPr>
      <w:r>
        <w:separator/>
      </w:r>
    </w:p>
  </w:endnote>
  <w:endnote w:type="continuationSeparator" w:id="0">
    <w:p w14:paraId="49FC1BB1" w14:textId="77777777" w:rsidR="00581FE2" w:rsidRDefault="00581FE2" w:rsidP="00644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akkal Majalla">
    <w:altName w:val="Times New Roman"/>
    <w:charset w:val="00"/>
    <w:family w:val="auto"/>
    <w:pitch w:val="variable"/>
    <w:sig w:usb0="00000000" w:usb1="80000000" w:usb2="00000008" w:usb3="00000000" w:csb0="000000D3" w:csb1="00000000"/>
  </w:font>
  <w:font w:name="Simplified Arabic">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882221"/>
      <w:docPartObj>
        <w:docPartGallery w:val="Page Numbers (Bottom of Page)"/>
        <w:docPartUnique/>
      </w:docPartObj>
    </w:sdtPr>
    <w:sdtEndPr>
      <w:rPr>
        <w:noProof/>
      </w:rPr>
    </w:sdtEndPr>
    <w:sdtContent>
      <w:p w14:paraId="49FC1BB7" w14:textId="0141E007" w:rsidR="001A7EDF" w:rsidRDefault="006B1B0B">
        <w:pPr>
          <w:pStyle w:val="Footer"/>
          <w:jc w:val="center"/>
        </w:pPr>
        <w:r>
          <w:fldChar w:fldCharType="begin"/>
        </w:r>
        <w:r w:rsidR="001A7EDF">
          <w:instrText xml:space="preserve"> PAGE   \* MERGEFORMAT </w:instrText>
        </w:r>
        <w:r>
          <w:fldChar w:fldCharType="separate"/>
        </w:r>
        <w:r w:rsidR="00A5068C">
          <w:rPr>
            <w:noProof/>
          </w:rPr>
          <w:t>1</w:t>
        </w:r>
        <w:r>
          <w:rPr>
            <w:noProof/>
          </w:rPr>
          <w:fldChar w:fldCharType="end"/>
        </w:r>
      </w:p>
    </w:sdtContent>
  </w:sdt>
  <w:p w14:paraId="49FC1BB8" w14:textId="77777777" w:rsidR="0084128B" w:rsidRDefault="00841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C1BAE" w14:textId="77777777" w:rsidR="00581FE2" w:rsidRDefault="00581FE2" w:rsidP="0064418F">
      <w:pPr>
        <w:spacing w:after="0" w:line="240" w:lineRule="auto"/>
      </w:pPr>
      <w:r>
        <w:separator/>
      </w:r>
    </w:p>
  </w:footnote>
  <w:footnote w:type="continuationSeparator" w:id="0">
    <w:p w14:paraId="49FC1BAF" w14:textId="77777777" w:rsidR="00581FE2" w:rsidRDefault="00581FE2" w:rsidP="006441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jc w:val="center"/>
      <w:tblBorders>
        <w:bottom w:val="single" w:sz="4" w:space="0" w:color="auto"/>
        <w:insideV w:val="single" w:sz="4" w:space="0" w:color="auto"/>
      </w:tblBorders>
      <w:tblLook w:val="01E0" w:firstRow="1" w:lastRow="1" w:firstColumn="1" w:lastColumn="1" w:noHBand="0" w:noVBand="0"/>
    </w:tblPr>
    <w:tblGrid>
      <w:gridCol w:w="8017"/>
    </w:tblGrid>
    <w:tr w:rsidR="0051747E" w:rsidRPr="0051747E" w14:paraId="49FC1BB4" w14:textId="77777777" w:rsidTr="008F1EC3">
      <w:trPr>
        <w:trHeight w:val="2092"/>
        <w:jc w:val="center"/>
      </w:trPr>
      <w:tc>
        <w:tcPr>
          <w:tcW w:w="8017" w:type="dxa"/>
        </w:tcPr>
        <w:p w14:paraId="49FC1BB2" w14:textId="77777777" w:rsidR="0051747E" w:rsidRPr="0051747E" w:rsidRDefault="0051747E" w:rsidP="0051747E">
          <w:pPr>
            <w:bidi/>
            <w:spacing w:after="0" w:line="240" w:lineRule="auto"/>
            <w:jc w:val="center"/>
            <w:rPr>
              <w:rFonts w:ascii="Sakkal Majalla" w:eastAsia="Calibri" w:hAnsi="Sakkal Majalla" w:cs="Sakkal Majalla"/>
              <w:b/>
              <w:bCs/>
              <w:color w:val="000000"/>
              <w:sz w:val="26"/>
              <w:szCs w:val="26"/>
              <w:rtl/>
              <w:lang w:bidi="ar-JO"/>
            </w:rPr>
          </w:pPr>
          <w:r w:rsidRPr="0051747E">
            <w:rPr>
              <w:rFonts w:ascii="Sakkal Majalla" w:eastAsia="Calibri" w:hAnsi="Sakkal Majalla" w:cs="Sakkal Majalla"/>
              <w:b/>
              <w:bCs/>
              <w:noProof/>
              <w:color w:val="000000"/>
              <w:sz w:val="26"/>
              <w:szCs w:val="26"/>
              <w:lang w:val="en-GB" w:eastAsia="en-GB"/>
            </w:rPr>
            <w:drawing>
              <wp:inline distT="0" distB="0" distL="0" distR="0" wp14:anchorId="49FC1BB9" wp14:editId="49FC1BBA">
                <wp:extent cx="800100" cy="1123950"/>
                <wp:effectExtent l="0" t="0" r="0" b="0"/>
                <wp:docPr id="2" name="Picture 2" descr="PL cmy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 cmyk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1123950"/>
                        </a:xfrm>
                        <a:prstGeom prst="rect">
                          <a:avLst/>
                        </a:prstGeom>
                        <a:noFill/>
                        <a:ln>
                          <a:noFill/>
                        </a:ln>
                      </pic:spPr>
                    </pic:pic>
                  </a:graphicData>
                </a:graphic>
              </wp:inline>
            </w:drawing>
          </w:r>
        </w:p>
        <w:p w14:paraId="49FC1BB3" w14:textId="77777777" w:rsidR="0051747E" w:rsidRPr="0051747E" w:rsidRDefault="0051747E" w:rsidP="0051747E">
          <w:pPr>
            <w:tabs>
              <w:tab w:val="left" w:pos="2192"/>
              <w:tab w:val="center" w:pos="3893"/>
            </w:tabs>
            <w:bidi/>
            <w:spacing w:after="0" w:line="240" w:lineRule="auto"/>
            <w:jc w:val="center"/>
            <w:rPr>
              <w:rFonts w:ascii="Sakkal Majalla" w:eastAsia="Calibri" w:hAnsi="Sakkal Majalla" w:cs="Sakkal Majalla"/>
              <w:b/>
              <w:bCs/>
              <w:color w:val="000000"/>
              <w:sz w:val="26"/>
              <w:szCs w:val="26"/>
            </w:rPr>
          </w:pPr>
          <w:r>
            <w:rPr>
              <w:rFonts w:ascii="Sakkal Majalla" w:eastAsia="Calibri" w:hAnsi="Sakkal Majalla" w:cs="Sakkal Majalla"/>
              <w:b/>
              <w:bCs/>
              <w:color w:val="000000"/>
              <w:sz w:val="26"/>
              <w:szCs w:val="26"/>
            </w:rPr>
            <w:t>State of Palestine</w:t>
          </w:r>
          <w:r>
            <w:rPr>
              <w:rFonts w:ascii="Sakkal Majalla" w:eastAsia="Calibri" w:hAnsi="Sakkal Majalla" w:cs="Sakkal Majalla"/>
              <w:b/>
              <w:bCs/>
              <w:color w:val="000000"/>
              <w:sz w:val="26"/>
              <w:szCs w:val="26"/>
            </w:rPr>
            <w:br/>
            <w:t>Ministry of Foreign Affairs and Expatriates</w:t>
          </w:r>
        </w:p>
      </w:tc>
    </w:tr>
  </w:tbl>
  <w:p w14:paraId="49FC1BB5" w14:textId="77777777" w:rsidR="0051747E" w:rsidRPr="0051747E" w:rsidRDefault="0051747E" w:rsidP="0051747E">
    <w:pPr>
      <w:tabs>
        <w:tab w:val="left" w:pos="3420"/>
        <w:tab w:val="center" w:pos="4590"/>
      </w:tabs>
      <w:bidi/>
      <w:spacing w:after="0" w:line="240" w:lineRule="auto"/>
      <w:jc w:val="center"/>
      <w:rPr>
        <w:rFonts w:ascii="Sakkal Majalla" w:eastAsia="Calibri" w:hAnsi="Sakkal Majalla" w:cs="Sakkal Majalla"/>
        <w:b/>
        <w:bCs/>
        <w:sz w:val="26"/>
        <w:szCs w:val="26"/>
        <w:rtl/>
        <w:lang w:bidi="ar-JO"/>
      </w:rPr>
    </w:pPr>
    <w:r w:rsidRPr="0051747E">
      <w:rPr>
        <w:rFonts w:ascii="Times New Roman" w:eastAsia="Calibri" w:hAnsi="Times New Roman" w:cs="Simplified Arabic"/>
        <w:noProof/>
        <w:sz w:val="26"/>
        <w:szCs w:val="26"/>
        <w:lang w:val="en-GB" w:eastAsia="en-GB"/>
      </w:rPr>
      <w:drawing>
        <wp:anchor distT="0" distB="0" distL="114300" distR="114300" simplePos="0" relativeHeight="251659264" behindDoc="1" locked="0" layoutInCell="0" allowOverlap="1" wp14:anchorId="49FC1BBB" wp14:editId="49FC1BBC">
          <wp:simplePos x="0" y="0"/>
          <wp:positionH relativeFrom="margin">
            <wp:posOffset>-425450</wp:posOffset>
          </wp:positionH>
          <wp:positionV relativeFrom="margin">
            <wp:posOffset>-1409065</wp:posOffset>
          </wp:positionV>
          <wp:extent cx="903605" cy="1102995"/>
          <wp:effectExtent l="0" t="0" r="0" b="1905"/>
          <wp:wrapNone/>
          <wp:docPr id="4" name="Picture 4" descr="finnnnnnnnn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nnnnnnnn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3605" cy="1102995"/>
                  </a:xfrm>
                  <a:prstGeom prst="rect">
                    <a:avLst/>
                  </a:prstGeom>
                  <a:noFill/>
                  <a:ln>
                    <a:noFill/>
                  </a:ln>
                </pic:spPr>
              </pic:pic>
            </a:graphicData>
          </a:graphic>
        </wp:anchor>
      </w:drawing>
    </w:r>
    <w:r>
      <w:rPr>
        <w:rFonts w:ascii="Sakkal Majalla" w:eastAsia="Calibri" w:hAnsi="Sakkal Majalla" w:cs="Sakkal Majalla"/>
        <w:b/>
        <w:bCs/>
        <w:sz w:val="26"/>
        <w:szCs w:val="26"/>
        <w:lang w:bidi="ar-JO"/>
      </w:rPr>
      <w:t xml:space="preserve">Multilateral Affairs Sector </w:t>
    </w:r>
    <w:r w:rsidRPr="0051747E">
      <w:rPr>
        <w:rFonts w:ascii="Sakkal Majalla" w:eastAsia="Calibri" w:hAnsi="Sakkal Majalla" w:cs="Sakkal Majalla"/>
        <w:b/>
        <w:bCs/>
        <w:sz w:val="26"/>
        <w:szCs w:val="26"/>
        <w:rtl/>
        <w:lang w:bidi="ar-JO"/>
      </w:rPr>
      <w:t xml:space="preserve"> </w:t>
    </w:r>
  </w:p>
  <w:p w14:paraId="49FC1BB6" w14:textId="77777777" w:rsidR="0064418F" w:rsidRPr="0051747E" w:rsidRDefault="0064418F" w:rsidP="0051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7990"/>
    <w:multiLevelType w:val="hybridMultilevel"/>
    <w:tmpl w:val="C72A20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8290C"/>
    <w:multiLevelType w:val="hybridMultilevel"/>
    <w:tmpl w:val="1A129EE0"/>
    <w:lvl w:ilvl="0" w:tplc="97948168">
      <w:start w:val="2"/>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F1752F"/>
    <w:multiLevelType w:val="hybridMultilevel"/>
    <w:tmpl w:val="B45E0C54"/>
    <w:lvl w:ilvl="0" w:tplc="D2580CDE">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503BC0"/>
    <w:multiLevelType w:val="hybridMultilevel"/>
    <w:tmpl w:val="829E8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870920"/>
    <w:multiLevelType w:val="hybridMultilevel"/>
    <w:tmpl w:val="73B6B27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62974"/>
    <w:multiLevelType w:val="hybridMultilevel"/>
    <w:tmpl w:val="F27889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F940FA"/>
    <w:multiLevelType w:val="hybridMultilevel"/>
    <w:tmpl w:val="1310C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9F73C1"/>
    <w:multiLevelType w:val="hybridMultilevel"/>
    <w:tmpl w:val="F41427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3"/>
  </w:num>
  <w:num w:numId="5">
    <w:abstractNumId w:val="1"/>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18F"/>
    <w:rsid w:val="000B3B35"/>
    <w:rsid w:val="001A7EDF"/>
    <w:rsid w:val="00203FF6"/>
    <w:rsid w:val="00206035"/>
    <w:rsid w:val="002B10CB"/>
    <w:rsid w:val="002B13C6"/>
    <w:rsid w:val="00387E25"/>
    <w:rsid w:val="003F37CA"/>
    <w:rsid w:val="00450329"/>
    <w:rsid w:val="0046703B"/>
    <w:rsid w:val="004A1063"/>
    <w:rsid w:val="004F33C9"/>
    <w:rsid w:val="004F7A9C"/>
    <w:rsid w:val="00507BA5"/>
    <w:rsid w:val="0051747E"/>
    <w:rsid w:val="005219D5"/>
    <w:rsid w:val="00553967"/>
    <w:rsid w:val="00553B25"/>
    <w:rsid w:val="00581FE2"/>
    <w:rsid w:val="005844D5"/>
    <w:rsid w:val="00584EAA"/>
    <w:rsid w:val="00585E2B"/>
    <w:rsid w:val="00591196"/>
    <w:rsid w:val="0064418F"/>
    <w:rsid w:val="00656045"/>
    <w:rsid w:val="006569F1"/>
    <w:rsid w:val="00662C20"/>
    <w:rsid w:val="006B1B0B"/>
    <w:rsid w:val="006B1F54"/>
    <w:rsid w:val="00754C6C"/>
    <w:rsid w:val="007A6796"/>
    <w:rsid w:val="007E167B"/>
    <w:rsid w:val="00812600"/>
    <w:rsid w:val="008332BC"/>
    <w:rsid w:val="008402E0"/>
    <w:rsid w:val="0084128B"/>
    <w:rsid w:val="00863DF4"/>
    <w:rsid w:val="00880B61"/>
    <w:rsid w:val="00924B5A"/>
    <w:rsid w:val="0092670A"/>
    <w:rsid w:val="00934234"/>
    <w:rsid w:val="009403E4"/>
    <w:rsid w:val="00985048"/>
    <w:rsid w:val="00A0651F"/>
    <w:rsid w:val="00A2592D"/>
    <w:rsid w:val="00A5068C"/>
    <w:rsid w:val="00A53C14"/>
    <w:rsid w:val="00A72A91"/>
    <w:rsid w:val="00A9356A"/>
    <w:rsid w:val="00AC67E0"/>
    <w:rsid w:val="00AD477F"/>
    <w:rsid w:val="00AD61CF"/>
    <w:rsid w:val="00B62D19"/>
    <w:rsid w:val="00BD022B"/>
    <w:rsid w:val="00C67F39"/>
    <w:rsid w:val="00C75C30"/>
    <w:rsid w:val="00D164CC"/>
    <w:rsid w:val="00D27F02"/>
    <w:rsid w:val="00DE3B23"/>
    <w:rsid w:val="00E249A3"/>
    <w:rsid w:val="00E95DEA"/>
    <w:rsid w:val="00EC66AE"/>
    <w:rsid w:val="00F2251C"/>
    <w:rsid w:val="00F2734D"/>
    <w:rsid w:val="00F755E4"/>
    <w:rsid w:val="00F82F5E"/>
    <w:rsid w:val="00FB3086"/>
    <w:rsid w:val="00FD735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49FC1B9D"/>
  <w15:docId w15:val="{67A9E2DD-68E2-4016-8662-24AD16CD5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B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4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18F"/>
  </w:style>
  <w:style w:type="paragraph" w:styleId="Footer">
    <w:name w:val="footer"/>
    <w:basedOn w:val="Normal"/>
    <w:link w:val="FooterChar"/>
    <w:uiPriority w:val="99"/>
    <w:unhideWhenUsed/>
    <w:rsid w:val="00644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18F"/>
  </w:style>
  <w:style w:type="paragraph" w:styleId="ListParagraph">
    <w:name w:val="List Paragraph"/>
    <w:basedOn w:val="Normal"/>
    <w:uiPriority w:val="34"/>
    <w:qFormat/>
    <w:rsid w:val="0064418F"/>
    <w:pPr>
      <w:ind w:left="720"/>
      <w:contextualSpacing/>
    </w:pPr>
  </w:style>
  <w:style w:type="paragraph" w:styleId="BalloonText">
    <w:name w:val="Balloon Text"/>
    <w:basedOn w:val="Normal"/>
    <w:link w:val="BalloonTextChar"/>
    <w:uiPriority w:val="99"/>
    <w:semiHidden/>
    <w:unhideWhenUsed/>
    <w:rsid w:val="00A259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9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A7876-EE74-47FE-86E9-D597810D1BB4}"/>
</file>

<file path=customXml/itemProps2.xml><?xml version="1.0" encoding="utf-8"?>
<ds:datastoreItem xmlns:ds="http://schemas.openxmlformats.org/officeDocument/2006/customXml" ds:itemID="{DF481753-EBE9-448D-803F-DD85F9FF05CF}">
  <ds:schemaRefs>
    <ds:schemaRef ds:uri="http://schemas.microsoft.com/sharepoint/v3/contenttype/forms"/>
  </ds:schemaRefs>
</ds:datastoreItem>
</file>

<file path=customXml/itemProps3.xml><?xml version="1.0" encoding="utf-8"?>
<ds:datastoreItem xmlns:ds="http://schemas.openxmlformats.org/officeDocument/2006/customXml" ds:itemID="{720C0FB0-69E2-4BEA-96DC-1B67A8C08501}">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630B257B-00B1-4919-8E20-1C5BBDE2C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283</Words>
  <Characters>1616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State_of_Palestine</dc:title>
  <dc:creator>Miral Hammoudeh</dc:creator>
  <cp:lastModifiedBy>SINGH Kalpana</cp:lastModifiedBy>
  <cp:revision>2</cp:revision>
  <cp:lastPrinted>2019-06-25T10:57:00Z</cp:lastPrinted>
  <dcterms:created xsi:type="dcterms:W3CDTF">2019-06-25T14:48:00Z</dcterms:created>
  <dcterms:modified xsi:type="dcterms:W3CDTF">2019-06-25T14:48:00Z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