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5E0" w:rsidRPr="00D35393" w:rsidRDefault="003955E0">
      <w:pPr>
        <w:jc w:val="center"/>
        <w:rPr>
          <w:b/>
          <w:sz w:val="48"/>
          <w:szCs w:val="48"/>
          <w:lang w:val="en-AU"/>
        </w:rPr>
      </w:pPr>
    </w:p>
    <w:p w:rsidR="003955E0" w:rsidRPr="00D35393" w:rsidRDefault="003955E0">
      <w:pPr>
        <w:jc w:val="center"/>
        <w:rPr>
          <w:b/>
          <w:sz w:val="48"/>
          <w:szCs w:val="48"/>
          <w:lang w:val="en-AU"/>
        </w:rPr>
      </w:pPr>
    </w:p>
    <w:p w:rsidR="003955E0" w:rsidRPr="00D35393" w:rsidRDefault="001F3FD6">
      <w:pPr>
        <w:jc w:val="center"/>
        <w:rPr>
          <w:b/>
          <w:sz w:val="48"/>
          <w:szCs w:val="48"/>
          <w:lang w:val="en-AU"/>
        </w:rPr>
      </w:pPr>
      <w:r w:rsidRPr="00D35393">
        <w:rPr>
          <w:b/>
          <w:sz w:val="48"/>
          <w:szCs w:val="48"/>
          <w:lang w:val="en-AU"/>
        </w:rPr>
        <w:t>Submission on Draft General Comment on State Obligations under the International Covenant on Economic, Social and</w:t>
      </w:r>
      <w:bookmarkStart w:id="0" w:name="_GoBack"/>
      <w:bookmarkEnd w:id="0"/>
      <w:r w:rsidRPr="00D35393">
        <w:rPr>
          <w:b/>
          <w:sz w:val="48"/>
          <w:szCs w:val="48"/>
          <w:lang w:val="en-AU"/>
        </w:rPr>
        <w:t xml:space="preserve"> Cultural Rights in the Context of Business Activities</w:t>
      </w:r>
    </w:p>
    <w:p w:rsidR="003955E0" w:rsidRPr="00D35393" w:rsidRDefault="003955E0">
      <w:pPr>
        <w:jc w:val="center"/>
        <w:rPr>
          <w:szCs w:val="28"/>
          <w:lang w:val="en-AU"/>
        </w:rPr>
      </w:pPr>
    </w:p>
    <w:p w:rsidR="003955E0" w:rsidRPr="00D35393" w:rsidRDefault="003955E0">
      <w:pPr>
        <w:jc w:val="center"/>
        <w:rPr>
          <w:b/>
          <w:sz w:val="32"/>
          <w:szCs w:val="32"/>
          <w:lang w:val="en-AU"/>
        </w:rPr>
      </w:pPr>
    </w:p>
    <w:p w:rsidR="003955E0" w:rsidRPr="00D35393" w:rsidRDefault="003955E0">
      <w:pPr>
        <w:jc w:val="center"/>
        <w:rPr>
          <w:b/>
          <w:sz w:val="32"/>
          <w:szCs w:val="32"/>
          <w:lang w:val="en-AU"/>
        </w:rPr>
      </w:pPr>
    </w:p>
    <w:p w:rsidR="001F3FD6" w:rsidRPr="00D35393" w:rsidRDefault="001F3FD6">
      <w:pPr>
        <w:jc w:val="center"/>
        <w:rPr>
          <w:b/>
          <w:sz w:val="32"/>
          <w:szCs w:val="32"/>
          <w:lang w:val="en-AU"/>
        </w:rPr>
      </w:pPr>
    </w:p>
    <w:p w:rsidR="003955E0" w:rsidRPr="00D35393" w:rsidRDefault="003955E0">
      <w:pPr>
        <w:jc w:val="center"/>
        <w:rPr>
          <w:szCs w:val="28"/>
          <w:lang w:val="en-AU"/>
        </w:rPr>
      </w:pPr>
    </w:p>
    <w:p w:rsidR="003955E0" w:rsidRPr="00D35393" w:rsidRDefault="003955E0">
      <w:pPr>
        <w:jc w:val="center"/>
        <w:rPr>
          <w:b/>
          <w:sz w:val="32"/>
          <w:szCs w:val="32"/>
          <w:lang w:val="en-AU"/>
        </w:rPr>
      </w:pPr>
      <w:r w:rsidRPr="00D35393">
        <w:rPr>
          <w:b/>
          <w:sz w:val="32"/>
          <w:szCs w:val="32"/>
          <w:lang w:val="en-AU"/>
        </w:rPr>
        <w:t>Compiled by the Kaleidoscope Human Rights Foundation</w:t>
      </w:r>
    </w:p>
    <w:p w:rsidR="003955E0" w:rsidRPr="00D35393" w:rsidRDefault="003955E0">
      <w:pPr>
        <w:jc w:val="center"/>
        <w:rPr>
          <w:b/>
          <w:sz w:val="32"/>
          <w:szCs w:val="32"/>
          <w:lang w:val="en-AU"/>
        </w:rPr>
      </w:pPr>
    </w:p>
    <w:p w:rsidR="003955E0" w:rsidRPr="00D35393" w:rsidRDefault="003955E0">
      <w:pPr>
        <w:jc w:val="center"/>
        <w:rPr>
          <w:szCs w:val="28"/>
          <w:lang w:val="en-AU"/>
        </w:rPr>
      </w:pPr>
      <w:r w:rsidRPr="00D35393">
        <w:rPr>
          <w:b/>
          <w:sz w:val="32"/>
          <w:szCs w:val="32"/>
          <w:lang w:val="en-AU"/>
        </w:rPr>
        <w:t>January 201</w:t>
      </w:r>
      <w:r w:rsidR="001F3FD6" w:rsidRPr="00D35393">
        <w:rPr>
          <w:b/>
          <w:sz w:val="32"/>
          <w:szCs w:val="32"/>
          <w:lang w:val="en-AU"/>
        </w:rPr>
        <w:t>7</w:t>
      </w:r>
      <w:r w:rsidRPr="00D35393">
        <w:rPr>
          <w:sz w:val="36"/>
          <w:szCs w:val="36"/>
          <w:lang w:val="en-AU"/>
        </w:rPr>
        <w:br/>
      </w:r>
    </w:p>
    <w:p w:rsidR="001F3FD6" w:rsidRPr="00D35393" w:rsidRDefault="001F3FD6">
      <w:pPr>
        <w:jc w:val="center"/>
        <w:rPr>
          <w:szCs w:val="28"/>
          <w:lang w:val="en-AU"/>
        </w:rPr>
      </w:pPr>
    </w:p>
    <w:p w:rsidR="001F3FD6" w:rsidRPr="00D35393" w:rsidRDefault="001F3FD6">
      <w:pPr>
        <w:jc w:val="center"/>
        <w:rPr>
          <w:szCs w:val="28"/>
          <w:lang w:val="en-AU"/>
        </w:rPr>
      </w:pPr>
    </w:p>
    <w:p w:rsidR="001F3FD6" w:rsidRPr="00D35393" w:rsidRDefault="001F3FD6">
      <w:pPr>
        <w:jc w:val="center"/>
        <w:rPr>
          <w:szCs w:val="28"/>
          <w:lang w:val="en-AU"/>
        </w:rPr>
      </w:pPr>
    </w:p>
    <w:p w:rsidR="003955E0" w:rsidRPr="00D35393" w:rsidRDefault="003955E0">
      <w:pPr>
        <w:jc w:val="center"/>
        <w:rPr>
          <w:szCs w:val="28"/>
          <w:lang w:val="en-AU"/>
        </w:rPr>
      </w:pPr>
    </w:p>
    <w:p w:rsidR="003955E0" w:rsidRPr="00D35393" w:rsidRDefault="003955E0">
      <w:pPr>
        <w:rPr>
          <w:lang w:val="en-AU"/>
        </w:rPr>
      </w:pPr>
    </w:p>
    <w:p w:rsidR="003955E0" w:rsidRPr="00D35393" w:rsidRDefault="006468ED">
      <w:pPr>
        <w:jc w:val="center"/>
        <w:rPr>
          <w:noProof/>
          <w:lang w:val="en-AU" w:eastAsia="en-AU"/>
        </w:rPr>
      </w:pPr>
      <w:r>
        <w:rPr>
          <w:noProof/>
          <w:lang w:eastAsia="ko-KR"/>
        </w:rPr>
        <w:drawing>
          <wp:inline distT="0" distB="0" distL="0" distR="0">
            <wp:extent cx="2059305" cy="1717675"/>
            <wp:effectExtent l="0" t="0" r="0" b="0"/>
            <wp:docPr id="1" name="image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9305" cy="1717675"/>
                    </a:xfrm>
                    <a:prstGeom prst="rect">
                      <a:avLst/>
                    </a:prstGeom>
                    <a:noFill/>
                    <a:ln>
                      <a:noFill/>
                    </a:ln>
                  </pic:spPr>
                </pic:pic>
              </a:graphicData>
            </a:graphic>
          </wp:inline>
        </w:drawing>
      </w:r>
    </w:p>
    <w:p w:rsidR="003955E0" w:rsidRPr="00D35393" w:rsidRDefault="003955E0">
      <w:pPr>
        <w:rPr>
          <w:noProof/>
          <w:lang w:val="en-AU" w:eastAsia="en-AU"/>
        </w:rPr>
      </w:pPr>
    </w:p>
    <w:p w:rsidR="003955E0" w:rsidRPr="00D35393" w:rsidRDefault="003955E0">
      <w:pPr>
        <w:rPr>
          <w:noProof/>
          <w:lang w:val="en-AU" w:eastAsia="en-AU"/>
        </w:rPr>
      </w:pPr>
    </w:p>
    <w:p w:rsidR="003955E0" w:rsidRPr="00D35393" w:rsidRDefault="003955E0">
      <w:pPr>
        <w:rPr>
          <w:noProof/>
          <w:lang w:val="en-AU" w:eastAsia="en-AU"/>
        </w:rPr>
      </w:pPr>
    </w:p>
    <w:p w:rsidR="001F3FD6" w:rsidRPr="00D35393" w:rsidRDefault="001F3FD6">
      <w:pPr>
        <w:rPr>
          <w:noProof/>
          <w:lang w:val="en-AU" w:eastAsia="en-AU"/>
        </w:rPr>
      </w:pPr>
    </w:p>
    <w:p w:rsidR="001F3FD6" w:rsidRPr="00D35393" w:rsidRDefault="001F3FD6">
      <w:pPr>
        <w:rPr>
          <w:noProof/>
          <w:lang w:val="en-AU" w:eastAsia="en-AU"/>
        </w:rPr>
      </w:pPr>
    </w:p>
    <w:p w:rsidR="001F3FD6" w:rsidRPr="00D35393" w:rsidRDefault="001F3FD6">
      <w:pPr>
        <w:rPr>
          <w:noProof/>
          <w:lang w:val="en-AU" w:eastAsia="en-AU"/>
        </w:rPr>
      </w:pPr>
    </w:p>
    <w:p w:rsidR="001F3FD6" w:rsidRPr="00D35393" w:rsidRDefault="001F3FD6">
      <w:pPr>
        <w:rPr>
          <w:noProof/>
          <w:lang w:val="en-AU" w:eastAsia="en-AU"/>
        </w:rPr>
      </w:pPr>
    </w:p>
    <w:p w:rsidR="001F3FD6" w:rsidRPr="00D35393" w:rsidRDefault="001F3FD6">
      <w:pPr>
        <w:rPr>
          <w:noProof/>
          <w:lang w:val="en-AU" w:eastAsia="en-AU"/>
        </w:rPr>
      </w:pPr>
    </w:p>
    <w:p w:rsidR="001F3FD6" w:rsidRPr="00D35393" w:rsidRDefault="001F3FD6">
      <w:pPr>
        <w:rPr>
          <w:noProof/>
          <w:lang w:val="en-AU" w:eastAsia="en-AU"/>
        </w:rPr>
      </w:pPr>
    </w:p>
    <w:p w:rsidR="003955E0" w:rsidRPr="00D35393" w:rsidRDefault="003955E0">
      <w:pPr>
        <w:rPr>
          <w:noProof/>
          <w:lang w:val="en-AU" w:eastAsia="en-AU"/>
        </w:rPr>
      </w:pPr>
    </w:p>
    <w:p w:rsidR="003955E0" w:rsidRPr="00D35393" w:rsidRDefault="003955E0">
      <w:pPr>
        <w:rPr>
          <w:noProof/>
          <w:sz w:val="24"/>
          <w:szCs w:val="24"/>
          <w:lang w:val="en-AU" w:eastAsia="en-AU"/>
        </w:rPr>
      </w:pPr>
      <w:r w:rsidRPr="00D35393">
        <w:rPr>
          <w:b/>
          <w:noProof/>
          <w:sz w:val="24"/>
          <w:szCs w:val="24"/>
          <w:lang w:val="en-AU" w:eastAsia="en-AU"/>
        </w:rPr>
        <w:t>Contact:</w:t>
      </w:r>
      <w:r w:rsidRPr="00D35393">
        <w:rPr>
          <w:b/>
          <w:noProof/>
          <w:sz w:val="24"/>
          <w:szCs w:val="24"/>
          <w:lang w:val="en-AU" w:eastAsia="en-AU"/>
        </w:rPr>
        <w:tab/>
      </w:r>
      <w:r w:rsidRPr="00D35393">
        <w:rPr>
          <w:b/>
          <w:noProof/>
          <w:sz w:val="24"/>
          <w:szCs w:val="24"/>
          <w:lang w:val="en-AU" w:eastAsia="en-AU"/>
        </w:rPr>
        <w:tab/>
      </w:r>
      <w:r w:rsidRPr="00D35393">
        <w:rPr>
          <w:noProof/>
          <w:sz w:val="24"/>
          <w:szCs w:val="24"/>
          <w:lang w:val="en-AU" w:eastAsia="en-AU"/>
        </w:rPr>
        <w:t>Raymond Roca</w:t>
      </w:r>
      <w:r w:rsidRPr="00D35393">
        <w:rPr>
          <w:noProof/>
          <w:sz w:val="24"/>
          <w:szCs w:val="24"/>
          <w:lang w:val="en-AU" w:eastAsia="en-AU"/>
        </w:rPr>
        <w:br/>
      </w:r>
      <w:r w:rsidRPr="00D35393">
        <w:rPr>
          <w:noProof/>
          <w:sz w:val="24"/>
          <w:szCs w:val="24"/>
          <w:lang w:val="en-AU" w:eastAsia="en-AU"/>
        </w:rPr>
        <w:tab/>
      </w:r>
      <w:r w:rsidRPr="00D35393">
        <w:rPr>
          <w:noProof/>
          <w:sz w:val="24"/>
          <w:szCs w:val="24"/>
          <w:lang w:val="en-AU" w:eastAsia="en-AU"/>
        </w:rPr>
        <w:tab/>
      </w:r>
      <w:r w:rsidRPr="00D35393">
        <w:rPr>
          <w:noProof/>
          <w:sz w:val="24"/>
          <w:szCs w:val="24"/>
          <w:lang w:val="en-AU" w:eastAsia="en-AU"/>
        </w:rPr>
        <w:tab/>
      </w:r>
      <w:r w:rsidR="001F3FD6" w:rsidRPr="00D35393">
        <w:rPr>
          <w:noProof/>
          <w:sz w:val="24"/>
          <w:szCs w:val="24"/>
          <w:lang w:val="en-AU" w:eastAsia="en-AU"/>
        </w:rPr>
        <w:t>Vice-President</w:t>
      </w:r>
      <w:r w:rsidRPr="00D35393">
        <w:rPr>
          <w:noProof/>
          <w:sz w:val="24"/>
          <w:szCs w:val="24"/>
          <w:lang w:val="en-AU" w:eastAsia="en-AU"/>
        </w:rPr>
        <w:t xml:space="preserve">, Kaleidoscope </w:t>
      </w:r>
      <w:r w:rsidR="0004235A" w:rsidRPr="00D35393">
        <w:rPr>
          <w:noProof/>
          <w:sz w:val="24"/>
          <w:szCs w:val="24"/>
          <w:lang w:val="en-AU" w:eastAsia="en-AU"/>
        </w:rPr>
        <w:t>Human Rights Foundation</w:t>
      </w:r>
      <w:r w:rsidRPr="00D35393">
        <w:rPr>
          <w:noProof/>
          <w:sz w:val="24"/>
          <w:szCs w:val="24"/>
          <w:lang w:val="en-AU" w:eastAsia="en-AU"/>
        </w:rPr>
        <w:br/>
      </w:r>
      <w:r w:rsidRPr="00D35393">
        <w:rPr>
          <w:noProof/>
          <w:sz w:val="24"/>
          <w:szCs w:val="24"/>
          <w:lang w:val="en-AU" w:eastAsia="en-AU"/>
        </w:rPr>
        <w:tab/>
      </w:r>
      <w:r w:rsidRPr="00D35393">
        <w:rPr>
          <w:noProof/>
          <w:sz w:val="24"/>
          <w:szCs w:val="24"/>
          <w:lang w:val="en-AU" w:eastAsia="en-AU"/>
        </w:rPr>
        <w:tab/>
      </w:r>
      <w:r w:rsidRPr="00D35393">
        <w:rPr>
          <w:noProof/>
          <w:sz w:val="24"/>
          <w:szCs w:val="24"/>
          <w:lang w:val="en-AU" w:eastAsia="en-AU"/>
        </w:rPr>
        <w:tab/>
      </w:r>
      <w:hyperlink r:id="rId10" w:history="1">
        <w:r w:rsidRPr="00D35393">
          <w:rPr>
            <w:rStyle w:val="Hyperlink"/>
            <w:noProof/>
            <w:sz w:val="24"/>
            <w:szCs w:val="24"/>
            <w:lang w:val="en-AU" w:eastAsia="en-AU"/>
          </w:rPr>
          <w:t>raymond@kaleidoscopeaustralia.com</w:t>
        </w:r>
      </w:hyperlink>
    </w:p>
    <w:p w:rsidR="003955E0" w:rsidRPr="00D35393" w:rsidRDefault="003955E0">
      <w:pPr>
        <w:pStyle w:val="GeneralHeading2"/>
        <w:jc w:val="center"/>
        <w:rPr>
          <w:lang w:val="en-AU"/>
        </w:rPr>
      </w:pPr>
    </w:p>
    <w:p w:rsidR="003955E0" w:rsidRPr="00D35393" w:rsidRDefault="003955E0">
      <w:pPr>
        <w:pStyle w:val="Generallevel1"/>
        <w:rPr>
          <w:b/>
          <w:lang w:val="en-AU"/>
        </w:rPr>
      </w:pPr>
      <w:r w:rsidRPr="00D35393">
        <w:rPr>
          <w:b/>
          <w:lang w:val="en-AU"/>
        </w:rPr>
        <w:br w:type="page"/>
      </w:r>
      <w:r w:rsidR="00C6098D">
        <w:rPr>
          <w:b/>
          <w:lang w:val="en-AU"/>
        </w:rPr>
        <w:lastRenderedPageBreak/>
        <w:t>BACKGROUND</w:t>
      </w:r>
      <w:r w:rsidRPr="00D35393">
        <w:rPr>
          <w:b/>
          <w:lang w:val="en-AU"/>
        </w:rPr>
        <w:t xml:space="preserve"> </w:t>
      </w:r>
    </w:p>
    <w:p w:rsidR="003955E0" w:rsidRPr="00D35393" w:rsidRDefault="003955E0" w:rsidP="0091520C">
      <w:pPr>
        <w:pStyle w:val="Level2Paragraph"/>
        <w:rPr>
          <w:lang w:val="en-AU"/>
        </w:rPr>
      </w:pPr>
      <w:r w:rsidRPr="00D35393">
        <w:rPr>
          <w:lang w:val="en-AU"/>
        </w:rPr>
        <w:t>Kaleidoscope Human Rights Foundation</w:t>
      </w:r>
      <w:r w:rsidRPr="00D35393">
        <w:rPr>
          <w:b/>
          <w:lang w:val="en-AU"/>
        </w:rPr>
        <w:t xml:space="preserve"> </w:t>
      </w:r>
      <w:r w:rsidR="001F3FD6" w:rsidRPr="00D35393">
        <w:rPr>
          <w:lang w:val="en-AU"/>
        </w:rPr>
        <w:t>(</w:t>
      </w:r>
      <w:r w:rsidR="001F3FD6" w:rsidRPr="00D35393">
        <w:rPr>
          <w:b/>
          <w:lang w:val="en-AU"/>
        </w:rPr>
        <w:t>Kaleidoscope</w:t>
      </w:r>
      <w:r w:rsidR="001F3FD6" w:rsidRPr="00D35393">
        <w:rPr>
          <w:lang w:val="en-AU"/>
        </w:rPr>
        <w:t>)</w:t>
      </w:r>
      <w:r w:rsidR="001F3FD6" w:rsidRPr="00D35393">
        <w:rPr>
          <w:b/>
          <w:lang w:val="en-AU"/>
        </w:rPr>
        <w:t xml:space="preserve"> </w:t>
      </w:r>
      <w:r w:rsidRPr="00D35393">
        <w:rPr>
          <w:lang w:val="en-AU"/>
        </w:rPr>
        <w:t>is an NGO that works with local activists to protect the rights of lesbian, gay, bisexual, transgender and intersex (</w:t>
      </w:r>
      <w:r w:rsidRPr="00D35393">
        <w:rPr>
          <w:b/>
          <w:lang w:val="en-AU"/>
        </w:rPr>
        <w:t>LGBTI</w:t>
      </w:r>
      <w:r w:rsidRPr="00D35393">
        <w:rPr>
          <w:lang w:val="en-AU"/>
        </w:rPr>
        <w:t>) persons</w:t>
      </w:r>
      <w:r w:rsidRPr="00D35393">
        <w:rPr>
          <w:b/>
          <w:lang w:val="en-AU"/>
        </w:rPr>
        <w:t xml:space="preserve"> </w:t>
      </w:r>
      <w:r w:rsidR="001F3FD6" w:rsidRPr="00D35393">
        <w:rPr>
          <w:lang w:val="en-AU"/>
        </w:rPr>
        <w:t>in the Asia-Pacific r</w:t>
      </w:r>
      <w:r w:rsidRPr="00D35393">
        <w:rPr>
          <w:lang w:val="en-AU"/>
        </w:rPr>
        <w:t>egion.</w:t>
      </w:r>
      <w:r w:rsidR="00A362A2">
        <w:rPr>
          <w:lang w:val="en-AU"/>
        </w:rPr>
        <w:t xml:space="preserve"> More information can be found at our website: </w:t>
      </w:r>
      <w:hyperlink r:id="rId11" w:history="1">
        <w:r w:rsidR="00A362A2" w:rsidRPr="001D4096">
          <w:rPr>
            <w:rStyle w:val="Hyperlink"/>
            <w:lang w:val="en-AU"/>
          </w:rPr>
          <w:t>www.kaleidoscopeaustralia.com</w:t>
        </w:r>
      </w:hyperlink>
      <w:r w:rsidR="00A362A2">
        <w:rPr>
          <w:lang w:val="en-AU"/>
        </w:rPr>
        <w:t xml:space="preserve">. </w:t>
      </w:r>
    </w:p>
    <w:p w:rsidR="003955E0" w:rsidRPr="00D35393" w:rsidRDefault="001F3FD6">
      <w:pPr>
        <w:pStyle w:val="Generallevel1"/>
        <w:rPr>
          <w:b/>
          <w:caps/>
          <w:lang w:val="en-AU"/>
        </w:rPr>
      </w:pPr>
      <w:r w:rsidRPr="00D35393">
        <w:rPr>
          <w:b/>
          <w:bCs/>
          <w:caps/>
          <w:lang w:val="en-AU"/>
        </w:rPr>
        <w:t>GENERAL REMARKS</w:t>
      </w:r>
    </w:p>
    <w:p w:rsidR="003955E0" w:rsidRPr="00CC484C" w:rsidRDefault="001F3FD6" w:rsidP="001F3FD6">
      <w:pPr>
        <w:pStyle w:val="Level2Paragraph"/>
        <w:rPr>
          <w:b/>
          <w:lang w:val="en-AU"/>
        </w:rPr>
      </w:pPr>
      <w:r w:rsidRPr="00CC484C">
        <w:rPr>
          <w:lang w:val="en-AU"/>
        </w:rPr>
        <w:t xml:space="preserve">Kaleidoscope welcomes the release of the </w:t>
      </w:r>
      <w:r w:rsidRPr="00CC484C">
        <w:rPr>
          <w:i/>
          <w:lang w:val="en-AU"/>
        </w:rPr>
        <w:t>Draft General Comment on State Obligations under the International Covenant on Economic, Social and Cultural Rights in the Context of Business Activities</w:t>
      </w:r>
      <w:r w:rsidRPr="00CC484C">
        <w:rPr>
          <w:lang w:val="en-AU"/>
        </w:rPr>
        <w:t xml:space="preserve"> (</w:t>
      </w:r>
      <w:r w:rsidRPr="00CC484C">
        <w:rPr>
          <w:b/>
          <w:lang w:val="en-AU"/>
        </w:rPr>
        <w:t>Draft General Comment</w:t>
      </w:r>
      <w:r w:rsidRPr="00CC484C">
        <w:rPr>
          <w:lang w:val="en-AU"/>
        </w:rPr>
        <w:t>) by the Committee on Economic, Social and Cultural Rights (</w:t>
      </w:r>
      <w:r w:rsidR="00A540A6" w:rsidRPr="00CC484C">
        <w:rPr>
          <w:b/>
          <w:lang w:val="en-AU"/>
        </w:rPr>
        <w:t>ESCR Committee</w:t>
      </w:r>
      <w:r w:rsidRPr="00CC484C">
        <w:rPr>
          <w:lang w:val="en-AU"/>
        </w:rPr>
        <w:t>).</w:t>
      </w:r>
    </w:p>
    <w:p w:rsidR="004260F8" w:rsidRPr="004260F8" w:rsidRDefault="00C276A7" w:rsidP="001F3FD6">
      <w:pPr>
        <w:pStyle w:val="Level2Paragraph"/>
        <w:rPr>
          <w:b/>
          <w:lang w:val="en-AU"/>
        </w:rPr>
      </w:pPr>
      <w:r w:rsidRPr="00CC484C">
        <w:rPr>
          <w:lang w:val="en-AU"/>
        </w:rPr>
        <w:t xml:space="preserve">However, </w:t>
      </w:r>
      <w:r w:rsidR="003C62AE" w:rsidRPr="00CC484C">
        <w:rPr>
          <w:lang w:val="en-AU"/>
        </w:rPr>
        <w:t>Kaleidoscope notes that the Draft General Comment does not make any references to sexual orientation, gender identity and intersex status, or to lesbian, gay, bisexual, transgender and intersex (</w:t>
      </w:r>
      <w:r w:rsidR="003C62AE" w:rsidRPr="00CC484C">
        <w:rPr>
          <w:b/>
          <w:lang w:val="en-AU"/>
        </w:rPr>
        <w:t>LGBTI</w:t>
      </w:r>
      <w:r w:rsidR="003C62AE" w:rsidRPr="00CC484C">
        <w:rPr>
          <w:lang w:val="en-AU"/>
        </w:rPr>
        <w:t>) persons.</w:t>
      </w:r>
      <w:r w:rsidR="00CC484C" w:rsidRPr="00CC484C">
        <w:rPr>
          <w:lang w:val="en-AU"/>
        </w:rPr>
        <w:t xml:space="preserve"> </w:t>
      </w:r>
      <w:r w:rsidR="00CC484C">
        <w:rPr>
          <w:lang w:val="en-AU"/>
        </w:rPr>
        <w:t>As will be explained in this submi</w:t>
      </w:r>
      <w:r w:rsidR="00A025D4">
        <w:rPr>
          <w:lang w:val="en-AU"/>
        </w:rPr>
        <w:t xml:space="preserve">ssion, this is inconsistent with </w:t>
      </w:r>
      <w:r w:rsidR="00D9726C">
        <w:rPr>
          <w:lang w:val="en-AU"/>
        </w:rPr>
        <w:t>General Comments issued by the ESCR Committee in previous years, which have</w:t>
      </w:r>
      <w:r w:rsidR="001B29CD">
        <w:rPr>
          <w:lang w:val="en-AU"/>
        </w:rPr>
        <w:t xml:space="preserve"> explicitly recognised sexual orientation, gender identity and intersex status as prohibited grounds of discrimination</w:t>
      </w:r>
      <w:r w:rsidR="009717A8">
        <w:rPr>
          <w:lang w:val="en-AU"/>
        </w:rPr>
        <w:t xml:space="preserve"> under Article 2(2) of the Covenant</w:t>
      </w:r>
      <w:r w:rsidR="001B29CD">
        <w:rPr>
          <w:lang w:val="en-AU"/>
        </w:rPr>
        <w:t>, and have noted the specific challenges faced by LGBTI people in exercising their Covenant rights.</w:t>
      </w:r>
    </w:p>
    <w:p w:rsidR="007C6FA4" w:rsidRPr="007C6FA4" w:rsidRDefault="005271E5" w:rsidP="002E206C">
      <w:pPr>
        <w:pStyle w:val="Level2Paragraph"/>
        <w:rPr>
          <w:b/>
          <w:lang w:val="en-AU"/>
        </w:rPr>
      </w:pPr>
      <w:r w:rsidRPr="00160B2D">
        <w:rPr>
          <w:lang w:val="en-AU"/>
        </w:rPr>
        <w:t xml:space="preserve">LGBTI people </w:t>
      </w:r>
      <w:r w:rsidR="00990EB6" w:rsidRPr="00160B2D">
        <w:rPr>
          <w:lang w:val="en-AU"/>
        </w:rPr>
        <w:t xml:space="preserve">globally face a disproportionate level of violation of their Covenant rights, including in the context of business activities. </w:t>
      </w:r>
      <w:r w:rsidR="004260F8" w:rsidRPr="00160B2D">
        <w:rPr>
          <w:lang w:val="en-AU"/>
        </w:rPr>
        <w:t xml:space="preserve">Accordingly, </w:t>
      </w:r>
      <w:r w:rsidR="00DD3AB5" w:rsidRPr="00160B2D">
        <w:rPr>
          <w:lang w:val="en-AU"/>
        </w:rPr>
        <w:t xml:space="preserve">Kaleidoscope considers that the </w:t>
      </w:r>
      <w:r w:rsidR="00AE330D" w:rsidRPr="00160B2D">
        <w:rPr>
          <w:lang w:val="en-AU"/>
        </w:rPr>
        <w:t>General Comment should be amended to specifically recognise LGBTI people, alongside groups that are already mentioned (e.g. women, indigenous people and ethnic or religious minorities).</w:t>
      </w:r>
    </w:p>
    <w:p w:rsidR="00351B83" w:rsidRPr="00160B2D" w:rsidRDefault="00990EB6" w:rsidP="002E206C">
      <w:pPr>
        <w:pStyle w:val="Level2Paragraph"/>
        <w:rPr>
          <w:b/>
          <w:lang w:val="en-AU"/>
        </w:rPr>
      </w:pPr>
      <w:r w:rsidRPr="00160B2D">
        <w:rPr>
          <w:lang w:val="en-AU"/>
        </w:rPr>
        <w:t xml:space="preserve">The </w:t>
      </w:r>
      <w:r w:rsidRPr="00160B2D">
        <w:rPr>
          <w:b/>
          <w:lang w:val="en-AU"/>
        </w:rPr>
        <w:t>recommendations</w:t>
      </w:r>
      <w:r w:rsidRPr="00160B2D">
        <w:rPr>
          <w:lang w:val="en-AU"/>
        </w:rPr>
        <w:t xml:space="preserve"> set out in </w:t>
      </w:r>
      <w:r w:rsidR="00160B2D">
        <w:rPr>
          <w:lang w:val="en-AU"/>
        </w:rPr>
        <w:t>grey boxes in this</w:t>
      </w:r>
      <w:r w:rsidRPr="00160B2D">
        <w:rPr>
          <w:lang w:val="en-AU"/>
        </w:rPr>
        <w:t xml:space="preserve"> submission </w:t>
      </w:r>
      <w:r w:rsidR="00160B2D">
        <w:rPr>
          <w:lang w:val="en-AU"/>
        </w:rPr>
        <w:t>provide suggestions for amending the General Comment</w:t>
      </w:r>
      <w:r w:rsidR="007E1D2F">
        <w:rPr>
          <w:lang w:val="en-AU"/>
        </w:rPr>
        <w:t>.</w:t>
      </w:r>
    </w:p>
    <w:p w:rsidR="003955E0" w:rsidRPr="00CC484C" w:rsidRDefault="001F3FD6">
      <w:pPr>
        <w:pStyle w:val="Generallevel1"/>
        <w:rPr>
          <w:b/>
          <w:caps/>
          <w:lang w:val="en-AU"/>
        </w:rPr>
      </w:pPr>
      <w:r w:rsidRPr="00CC484C">
        <w:rPr>
          <w:b/>
          <w:bCs/>
          <w:caps/>
          <w:lang w:val="en-AU"/>
        </w:rPr>
        <w:t>Non-Discrimination</w:t>
      </w:r>
    </w:p>
    <w:p w:rsidR="003955E0" w:rsidRPr="00D35393" w:rsidRDefault="001F3FD6" w:rsidP="0091520C">
      <w:pPr>
        <w:pStyle w:val="Level2Paragraph"/>
        <w:rPr>
          <w:lang w:val="en-AU"/>
        </w:rPr>
      </w:pPr>
      <w:r w:rsidRPr="00CC484C">
        <w:rPr>
          <w:lang w:val="en-AU"/>
        </w:rPr>
        <w:t>Kaleidoscope considers that the non-discrimination section of the Draft General Comment (paras. 9–11) should be amende</w:t>
      </w:r>
      <w:r w:rsidR="00E37FBF" w:rsidRPr="00CC484C">
        <w:rPr>
          <w:lang w:val="en-AU"/>
        </w:rPr>
        <w:t>d to make</w:t>
      </w:r>
      <w:r w:rsidRPr="00CC484C">
        <w:rPr>
          <w:lang w:val="en-AU"/>
        </w:rPr>
        <w:t xml:space="preserve"> reference to the </w:t>
      </w:r>
      <w:r w:rsidR="00E37FBF" w:rsidRPr="00CC484C">
        <w:rPr>
          <w:lang w:val="en-AU"/>
        </w:rPr>
        <w:t xml:space="preserve">specific </w:t>
      </w:r>
      <w:r w:rsidRPr="00CC484C">
        <w:rPr>
          <w:lang w:val="en-AU"/>
        </w:rPr>
        <w:t xml:space="preserve">protected grounds of discrimination </w:t>
      </w:r>
      <w:r w:rsidR="00E37FBF" w:rsidRPr="00CC484C">
        <w:rPr>
          <w:lang w:val="en-AU"/>
        </w:rPr>
        <w:t xml:space="preserve">recognised </w:t>
      </w:r>
      <w:r w:rsidR="00A540A6" w:rsidRPr="00CC484C">
        <w:rPr>
          <w:lang w:val="en-AU"/>
        </w:rPr>
        <w:t>under Article</w:t>
      </w:r>
      <w:r w:rsidRPr="00CC484C">
        <w:rPr>
          <w:lang w:val="en-AU"/>
        </w:rPr>
        <w:t xml:space="preserve"> 2</w:t>
      </w:r>
      <w:r w:rsidR="00E37FBF" w:rsidRPr="00CC484C">
        <w:rPr>
          <w:lang w:val="en-AU"/>
        </w:rPr>
        <w:t xml:space="preserve">(2) </w:t>
      </w:r>
      <w:r w:rsidRPr="00CC484C">
        <w:rPr>
          <w:lang w:val="en-AU"/>
        </w:rPr>
        <w:t xml:space="preserve">of the </w:t>
      </w:r>
      <w:r w:rsidR="00E37FBF" w:rsidRPr="00CC484C">
        <w:rPr>
          <w:lang w:val="en-AU"/>
        </w:rPr>
        <w:t>Covenant</w:t>
      </w:r>
      <w:r w:rsidRPr="00CC484C">
        <w:rPr>
          <w:lang w:val="en-AU"/>
        </w:rPr>
        <w:t xml:space="preserve">. This is important given that the </w:t>
      </w:r>
      <w:r w:rsidR="00A540A6" w:rsidRPr="00CC484C">
        <w:rPr>
          <w:lang w:val="en-AU"/>
        </w:rPr>
        <w:t>ESCR Committee</w:t>
      </w:r>
      <w:r w:rsidRPr="00CC484C">
        <w:rPr>
          <w:lang w:val="en-AU"/>
        </w:rPr>
        <w:t xml:space="preserve"> has recognised additional protected grounds since it issued </w:t>
      </w:r>
      <w:r w:rsidRPr="00CC484C">
        <w:rPr>
          <w:i/>
          <w:lang w:val="en-AU"/>
        </w:rPr>
        <w:t>General Comment No. 20 on Non-Discrimination in Economic, Social and Cultural Rights</w:t>
      </w:r>
      <w:r w:rsidRPr="00CC484C">
        <w:rPr>
          <w:lang w:val="en-AU"/>
        </w:rPr>
        <w:t xml:space="preserve"> (2009). Accordingly, </w:t>
      </w:r>
      <w:r w:rsidR="00E37FBF" w:rsidRPr="00CC484C">
        <w:rPr>
          <w:lang w:val="en-AU"/>
        </w:rPr>
        <w:t xml:space="preserve">the </w:t>
      </w:r>
      <w:r w:rsidRPr="00CC484C">
        <w:rPr>
          <w:lang w:val="en-AU"/>
        </w:rPr>
        <w:t xml:space="preserve">failure to </w:t>
      </w:r>
      <w:r w:rsidR="00E37FBF" w:rsidRPr="00CC484C">
        <w:rPr>
          <w:lang w:val="en-AU"/>
        </w:rPr>
        <w:t>incl</w:t>
      </w:r>
      <w:r w:rsidR="00E37FBF" w:rsidRPr="00D35393">
        <w:rPr>
          <w:lang w:val="en-AU"/>
        </w:rPr>
        <w:t>ude an updated</w:t>
      </w:r>
      <w:r w:rsidR="00A540A6" w:rsidRPr="00D35393">
        <w:rPr>
          <w:lang w:val="en-AU"/>
        </w:rPr>
        <w:t xml:space="preserve"> and clear</w:t>
      </w:r>
      <w:r w:rsidR="00E37FBF" w:rsidRPr="00D35393">
        <w:rPr>
          <w:lang w:val="en-AU"/>
        </w:rPr>
        <w:t xml:space="preserve"> list of</w:t>
      </w:r>
      <w:r w:rsidRPr="00D35393">
        <w:rPr>
          <w:lang w:val="en-AU"/>
        </w:rPr>
        <w:t xml:space="preserve"> protected grounds could create ambiguity about the scope of States Parties’ obligation to guarantee the enjoyment of Covenant rights without discrimination.</w:t>
      </w:r>
    </w:p>
    <w:p w:rsidR="001F3FD6" w:rsidRPr="00D35393" w:rsidRDefault="001F3FD6" w:rsidP="0091520C">
      <w:pPr>
        <w:pStyle w:val="Level2Paragraph"/>
        <w:rPr>
          <w:lang w:val="en-AU"/>
        </w:rPr>
      </w:pPr>
      <w:r w:rsidRPr="00D35393">
        <w:rPr>
          <w:lang w:val="en-AU"/>
        </w:rPr>
        <w:t xml:space="preserve">In particular, the Draft General Comment should make it clear that the protected grounds </w:t>
      </w:r>
      <w:r w:rsidR="00E37FBF" w:rsidRPr="00D35393">
        <w:rPr>
          <w:lang w:val="en-AU"/>
        </w:rPr>
        <w:t xml:space="preserve">under Article 2(2) of the Covenant </w:t>
      </w:r>
      <w:r w:rsidRPr="00D35393">
        <w:rPr>
          <w:lang w:val="en-AU"/>
        </w:rPr>
        <w:t xml:space="preserve">include </w:t>
      </w:r>
      <w:r w:rsidRPr="00D35393">
        <w:rPr>
          <w:b/>
          <w:lang w:val="en-AU"/>
        </w:rPr>
        <w:t>sexual orientation</w:t>
      </w:r>
      <w:r w:rsidRPr="00D35393">
        <w:rPr>
          <w:lang w:val="en-AU"/>
        </w:rPr>
        <w:t xml:space="preserve">, </w:t>
      </w:r>
      <w:r w:rsidRPr="00D35393">
        <w:rPr>
          <w:b/>
          <w:lang w:val="en-AU"/>
        </w:rPr>
        <w:t>gender identity</w:t>
      </w:r>
      <w:r w:rsidRPr="00D35393">
        <w:rPr>
          <w:lang w:val="en-AU"/>
        </w:rPr>
        <w:t xml:space="preserve"> and </w:t>
      </w:r>
      <w:r w:rsidRPr="00D35393">
        <w:rPr>
          <w:b/>
          <w:lang w:val="en-AU"/>
        </w:rPr>
        <w:t>intersex status</w:t>
      </w:r>
      <w:r w:rsidRPr="00D35393">
        <w:rPr>
          <w:lang w:val="en-AU"/>
        </w:rPr>
        <w:t xml:space="preserve">. </w:t>
      </w:r>
      <w:r w:rsidR="000002C7" w:rsidRPr="00D35393">
        <w:rPr>
          <w:lang w:val="en-AU"/>
        </w:rPr>
        <w:t>These grounds have been recognised as fallin</w:t>
      </w:r>
      <w:r w:rsidR="00E37FBF" w:rsidRPr="00D35393">
        <w:rPr>
          <w:lang w:val="en-AU"/>
        </w:rPr>
        <w:t xml:space="preserve">g within the scope of Article 2(2) </w:t>
      </w:r>
      <w:r w:rsidR="000002C7" w:rsidRPr="00D35393">
        <w:rPr>
          <w:lang w:val="en-AU"/>
        </w:rPr>
        <w:t>in previous General Comments:</w:t>
      </w:r>
    </w:p>
    <w:p w:rsidR="000002C7" w:rsidRPr="00D35393" w:rsidRDefault="000002C7" w:rsidP="00BE1150">
      <w:pPr>
        <w:pStyle w:val="Generallevel3"/>
        <w:tabs>
          <w:tab w:val="clear" w:pos="2880"/>
        </w:tabs>
        <w:ind w:left="1418" w:hanging="709"/>
        <w:rPr>
          <w:lang w:val="en-AU"/>
        </w:rPr>
      </w:pPr>
      <w:r w:rsidRPr="00D35393">
        <w:rPr>
          <w:i/>
          <w:lang w:val="en-AU"/>
        </w:rPr>
        <w:t>General Comment No. 20</w:t>
      </w:r>
      <w:r w:rsidR="00E37FBF" w:rsidRPr="00D35393">
        <w:rPr>
          <w:lang w:val="en-AU"/>
        </w:rPr>
        <w:t xml:space="preserve"> recognised that the words “other status” in Article 2(2) include “sexual orientation” and “gender identity”.</w:t>
      </w:r>
      <w:r w:rsidR="00E37FBF" w:rsidRPr="00D35393">
        <w:rPr>
          <w:rStyle w:val="FootnoteReference"/>
          <w:lang w:val="en-AU"/>
        </w:rPr>
        <w:footnoteReference w:id="2"/>
      </w:r>
      <w:r w:rsidR="00E37FBF" w:rsidRPr="00D35393">
        <w:rPr>
          <w:lang w:val="en-AU"/>
        </w:rPr>
        <w:t xml:space="preserve"> </w:t>
      </w:r>
    </w:p>
    <w:p w:rsidR="000002C7" w:rsidRPr="00D35393" w:rsidRDefault="00BE1150" w:rsidP="00BE1150">
      <w:pPr>
        <w:pStyle w:val="Generallevel3"/>
        <w:tabs>
          <w:tab w:val="clear" w:pos="2880"/>
        </w:tabs>
        <w:ind w:left="1418" w:hanging="709"/>
        <w:rPr>
          <w:lang w:val="en-AU"/>
        </w:rPr>
      </w:pPr>
      <w:r w:rsidRPr="00D35393">
        <w:rPr>
          <w:i/>
          <w:lang w:val="en-AU"/>
        </w:rPr>
        <w:lastRenderedPageBreak/>
        <w:t>General Comment No. 22 on the Right to Sexual and Reproductive Health</w:t>
      </w:r>
      <w:r w:rsidRPr="00D35393">
        <w:rPr>
          <w:lang w:val="en-AU"/>
        </w:rPr>
        <w:t xml:space="preserve"> (2016) </w:t>
      </w:r>
      <w:r w:rsidR="006E7369" w:rsidRPr="00D35393">
        <w:rPr>
          <w:lang w:val="en-AU"/>
        </w:rPr>
        <w:t>recog</w:t>
      </w:r>
      <w:r w:rsidRPr="00D35393">
        <w:rPr>
          <w:lang w:val="en-AU"/>
        </w:rPr>
        <w:t xml:space="preserve">nised </w:t>
      </w:r>
      <w:r w:rsidR="006D1FE2" w:rsidRPr="00D35393">
        <w:rPr>
          <w:lang w:val="en-AU"/>
        </w:rPr>
        <w:t>that non-discrimination, in the context of the right to sexual and reproductive health, encompassed the right of all persons to be fully respected “for their sexual orientation, gender identity and intersex status”.</w:t>
      </w:r>
      <w:r w:rsidR="006D1FE2" w:rsidRPr="00D35393">
        <w:rPr>
          <w:rStyle w:val="FootnoteReference"/>
          <w:lang w:val="en-AU"/>
        </w:rPr>
        <w:footnoteReference w:id="3"/>
      </w:r>
      <w:r w:rsidR="00BC78F1" w:rsidRPr="00D35393">
        <w:rPr>
          <w:lang w:val="en-AU"/>
        </w:rPr>
        <w:t xml:space="preserve"> Footnote 26 of </w:t>
      </w:r>
      <w:r w:rsidR="00BC78F1" w:rsidRPr="00D35393">
        <w:rPr>
          <w:i/>
          <w:lang w:val="en-AU"/>
        </w:rPr>
        <w:t>General Comment No. 22</w:t>
      </w:r>
      <w:r w:rsidR="00BC78F1" w:rsidRPr="00D35393">
        <w:rPr>
          <w:lang w:val="en-AU"/>
        </w:rPr>
        <w:t xml:space="preserve"> also </w:t>
      </w:r>
      <w:r w:rsidR="00923070">
        <w:rPr>
          <w:lang w:val="en-AU"/>
        </w:rPr>
        <w:t>sets out</w:t>
      </w:r>
      <w:r w:rsidR="00BC78F1" w:rsidRPr="00D35393">
        <w:rPr>
          <w:lang w:val="en-AU"/>
        </w:rPr>
        <w:t xml:space="preserve"> a very extensive list of the protected grounds recognised under Article 2(2) of the Covenant</w:t>
      </w:r>
      <w:r w:rsidR="00923070">
        <w:rPr>
          <w:lang w:val="en-AU"/>
        </w:rPr>
        <w:t>, which include sexual orientation, gender identity and intersex status</w:t>
      </w:r>
      <w:r w:rsidR="00BC78F1" w:rsidRPr="00D35393">
        <w:rPr>
          <w:lang w:val="en-AU"/>
        </w:rPr>
        <w:t>.</w:t>
      </w:r>
      <w:r w:rsidR="00BC78F1" w:rsidRPr="00D35393">
        <w:rPr>
          <w:rStyle w:val="FootnoteReference"/>
          <w:lang w:val="en-AU"/>
        </w:rPr>
        <w:footnoteReference w:id="4"/>
      </w:r>
    </w:p>
    <w:p w:rsidR="006D1FE2" w:rsidRPr="00D35393" w:rsidRDefault="006D1FE2" w:rsidP="00BE1150">
      <w:pPr>
        <w:pStyle w:val="Generallevel3"/>
        <w:tabs>
          <w:tab w:val="clear" w:pos="2880"/>
        </w:tabs>
        <w:ind w:left="1418" w:hanging="709"/>
        <w:rPr>
          <w:lang w:val="en-AU"/>
        </w:rPr>
      </w:pPr>
      <w:r w:rsidRPr="00D35393">
        <w:rPr>
          <w:i/>
          <w:lang w:val="en-AU"/>
        </w:rPr>
        <w:t xml:space="preserve">General Comment No. 23 on the Right to Just and Favourable Conditions of Work </w:t>
      </w:r>
      <w:r w:rsidRPr="00D35393">
        <w:rPr>
          <w:lang w:val="en-AU"/>
        </w:rPr>
        <w:t xml:space="preserve">(2016) recognised that </w:t>
      </w:r>
      <w:r w:rsidR="00802822" w:rsidRPr="00D35393">
        <w:rPr>
          <w:lang w:val="en-AU"/>
        </w:rPr>
        <w:t>States Parties have a core obligation to guarantee through law the exercise of Covenant rights without discrimination of any kind as to “sexual orientation, gender identity, intersex status” and other grounds.</w:t>
      </w:r>
      <w:r w:rsidR="00802822" w:rsidRPr="00D35393">
        <w:rPr>
          <w:rStyle w:val="FootnoteReference"/>
          <w:lang w:val="en-AU"/>
        </w:rPr>
        <w:footnoteReference w:id="5"/>
      </w:r>
    </w:p>
    <w:p w:rsidR="00827F42" w:rsidRDefault="009D3FBE" w:rsidP="0091520C">
      <w:pPr>
        <w:pStyle w:val="Level2Paragraph"/>
        <w:rPr>
          <w:lang w:val="en-AU"/>
        </w:rPr>
      </w:pPr>
      <w:r w:rsidRPr="00D35393">
        <w:rPr>
          <w:lang w:val="en-AU"/>
        </w:rPr>
        <w:t>Given that previous General Comments have made explicit reference to sexual orientation, gender identity and intersex status, Kaleidoscope recommends that the same be done for the current Draft General Comment.</w:t>
      </w:r>
      <w:r w:rsidR="00BC78F1" w:rsidRPr="00D35393">
        <w:rPr>
          <w:lang w:val="en-AU"/>
        </w:rPr>
        <w:t xml:space="preserve">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6"/>
      </w:tblGrid>
      <w:tr w:rsidR="00827F42" w:rsidRPr="002E206C" w:rsidTr="002E206C">
        <w:tc>
          <w:tcPr>
            <w:tcW w:w="8536" w:type="dxa"/>
            <w:shd w:val="clear" w:color="auto" w:fill="F2F2F2"/>
          </w:tcPr>
          <w:p w:rsidR="00827F42" w:rsidRPr="002E206C" w:rsidRDefault="00827F42" w:rsidP="002E206C">
            <w:pPr>
              <w:pStyle w:val="Level2Paragraph"/>
              <w:numPr>
                <w:ilvl w:val="0"/>
                <w:numId w:val="0"/>
              </w:numPr>
              <w:overflowPunct w:val="0"/>
              <w:autoSpaceDE w:val="0"/>
              <w:autoSpaceDN w:val="0"/>
              <w:textAlignment w:val="baseline"/>
              <w:rPr>
                <w:b/>
                <w:lang w:val="en-AU"/>
              </w:rPr>
            </w:pPr>
            <w:r w:rsidRPr="002E206C">
              <w:rPr>
                <w:b/>
                <w:lang w:val="en-AU"/>
              </w:rPr>
              <w:t>Recommendation 1</w:t>
            </w:r>
          </w:p>
          <w:p w:rsidR="00827F42" w:rsidRPr="002E206C" w:rsidRDefault="00827F42" w:rsidP="002E206C">
            <w:pPr>
              <w:pStyle w:val="Level2Paragraph"/>
              <w:numPr>
                <w:ilvl w:val="0"/>
                <w:numId w:val="0"/>
              </w:numPr>
              <w:overflowPunct w:val="0"/>
              <w:autoSpaceDE w:val="0"/>
              <w:autoSpaceDN w:val="0"/>
              <w:ind w:left="4" w:hanging="4"/>
              <w:textAlignment w:val="baseline"/>
              <w:rPr>
                <w:lang w:val="en-AU"/>
              </w:rPr>
            </w:pPr>
            <w:r w:rsidRPr="002E206C">
              <w:rPr>
                <w:lang w:val="en-AU"/>
              </w:rPr>
              <w:t>Kaleidoscope recommends that the first sentence of para. 9 of the Draft General Comment be amended to read:</w:t>
            </w:r>
          </w:p>
          <w:p w:rsidR="00827F42" w:rsidRPr="002E206C" w:rsidRDefault="00827F42" w:rsidP="002E206C">
            <w:pPr>
              <w:pStyle w:val="Generallevel1"/>
              <w:numPr>
                <w:ilvl w:val="0"/>
                <w:numId w:val="0"/>
              </w:numPr>
              <w:overflowPunct w:val="0"/>
              <w:autoSpaceDE w:val="0"/>
              <w:autoSpaceDN w:val="0"/>
              <w:ind w:left="571"/>
              <w:textAlignment w:val="baseline"/>
              <w:rPr>
                <w:lang w:val="en-AU"/>
              </w:rPr>
            </w:pPr>
            <w:r w:rsidRPr="002E206C">
              <w:rPr>
                <w:lang w:val="en-AU"/>
              </w:rPr>
              <w:t>“</w:t>
            </w:r>
            <w:r w:rsidR="00B75B9D" w:rsidRPr="002E206C">
              <w:rPr>
                <w:lang w:val="en-AU"/>
              </w:rPr>
              <w:t xml:space="preserve">Under articles 2 and 3 of the Covenant, States Parties have the obligation to guarantee the enjoyment of Covenant rights to all without discrimination </w:t>
            </w:r>
            <w:r w:rsidR="00B75B9D" w:rsidRPr="002E206C">
              <w:rPr>
                <w:u w:val="single"/>
                <w:lang w:val="en-AU"/>
              </w:rPr>
              <w:t>of any kind as to race, colour, sex, language, religion, political or other opinion, national or social origin, property, birth or other status, including ethnicity, age, nationality, marital and family status, disability, sexual orientation, gender identity, intersex status, health status, place of residence, and economic and social situation.</w:t>
            </w:r>
            <w:r w:rsidR="00B75B9D" w:rsidRPr="002E206C">
              <w:rPr>
                <w:lang w:val="en-AU"/>
              </w:rPr>
              <w:t>”</w:t>
            </w:r>
          </w:p>
        </w:tc>
      </w:tr>
    </w:tbl>
    <w:p w:rsidR="00827F42" w:rsidRPr="00D35393" w:rsidRDefault="00827F42" w:rsidP="00C52155">
      <w:pPr>
        <w:pStyle w:val="Level2Paragraph"/>
        <w:numPr>
          <w:ilvl w:val="0"/>
          <w:numId w:val="0"/>
        </w:numPr>
        <w:spacing w:after="0"/>
        <w:ind w:left="709"/>
        <w:rPr>
          <w:lang w:val="en-AU"/>
        </w:rPr>
      </w:pPr>
    </w:p>
    <w:p w:rsidR="00485FF5" w:rsidRPr="00D35393" w:rsidRDefault="00723380" w:rsidP="0091520C">
      <w:pPr>
        <w:pStyle w:val="Level2Paragraph"/>
        <w:rPr>
          <w:lang w:val="en-AU"/>
        </w:rPr>
      </w:pPr>
      <w:r w:rsidRPr="00D35393">
        <w:rPr>
          <w:lang w:val="en-AU"/>
        </w:rPr>
        <w:t xml:space="preserve">In addition, </w:t>
      </w:r>
      <w:r w:rsidR="006B5732" w:rsidRPr="00D35393">
        <w:rPr>
          <w:lang w:val="en-AU"/>
        </w:rPr>
        <w:t xml:space="preserve">the Draft General Comment includes several examples of groups who are disproportionately </w:t>
      </w:r>
      <w:r w:rsidR="00CA2E4E" w:rsidRPr="00D35393">
        <w:rPr>
          <w:lang w:val="en-AU"/>
        </w:rPr>
        <w:t xml:space="preserve">affected by business activities </w:t>
      </w:r>
      <w:r w:rsidR="00732FDB" w:rsidRPr="00D35393">
        <w:rPr>
          <w:lang w:val="en-AU"/>
        </w:rPr>
        <w:t xml:space="preserve">(para. 9) and who face a greater risk of suffering intersectional and multiple discrimination (para. 11). </w:t>
      </w:r>
    </w:p>
    <w:p w:rsidR="0053442C" w:rsidRPr="00923070" w:rsidRDefault="00B91118" w:rsidP="00AC7AB6">
      <w:pPr>
        <w:pStyle w:val="Level2Paragraph"/>
        <w:rPr>
          <w:lang w:val="en-AU"/>
        </w:rPr>
      </w:pPr>
      <w:r w:rsidRPr="00923070">
        <w:rPr>
          <w:lang w:val="en-AU"/>
        </w:rPr>
        <w:t>However</w:t>
      </w:r>
      <w:r w:rsidR="00732FDB" w:rsidRPr="00923070">
        <w:rPr>
          <w:lang w:val="en-AU"/>
        </w:rPr>
        <w:t xml:space="preserve">, no reference is made to </w:t>
      </w:r>
      <w:r w:rsidR="00E65D06" w:rsidRPr="00923070">
        <w:rPr>
          <w:lang w:val="en-AU"/>
        </w:rPr>
        <w:t>LGBTI</w:t>
      </w:r>
      <w:r w:rsidR="00732FDB" w:rsidRPr="00923070">
        <w:rPr>
          <w:lang w:val="en-AU"/>
        </w:rPr>
        <w:t xml:space="preserve"> people</w:t>
      </w:r>
      <w:r w:rsidR="00251B15" w:rsidRPr="00923070">
        <w:rPr>
          <w:lang w:val="en-AU"/>
        </w:rPr>
        <w:t xml:space="preserve"> in either para. 9 or para. 11. </w:t>
      </w:r>
      <w:r w:rsidR="00923070" w:rsidRPr="00923070">
        <w:rPr>
          <w:lang w:val="en-AU"/>
        </w:rPr>
        <w:t>This is despite the fact that i</w:t>
      </w:r>
      <w:r w:rsidR="00CE022F" w:rsidRPr="00923070">
        <w:rPr>
          <w:lang w:val="en-AU"/>
        </w:rPr>
        <w:t xml:space="preserve">ntersectional </w:t>
      </w:r>
      <w:r w:rsidR="00351B83" w:rsidRPr="00923070">
        <w:rPr>
          <w:lang w:val="en-AU"/>
        </w:rPr>
        <w:t xml:space="preserve">and multiple </w:t>
      </w:r>
      <w:r w:rsidR="00CE022F" w:rsidRPr="00923070">
        <w:rPr>
          <w:lang w:val="en-AU"/>
        </w:rPr>
        <w:t xml:space="preserve">discrimination is a particular concern for LGBTI people from </w:t>
      </w:r>
      <w:r w:rsidR="0080257D" w:rsidRPr="00923070">
        <w:rPr>
          <w:lang w:val="en-AU"/>
        </w:rPr>
        <w:t xml:space="preserve">ethnic or religious </w:t>
      </w:r>
      <w:r w:rsidR="00FE69AE" w:rsidRPr="00923070">
        <w:rPr>
          <w:lang w:val="en-AU"/>
        </w:rPr>
        <w:t xml:space="preserve">minorities, who tend to face distinct </w:t>
      </w:r>
      <w:r w:rsidR="00923070">
        <w:rPr>
          <w:lang w:val="en-AU"/>
        </w:rPr>
        <w:t>barriers in realising their Covenant rights</w:t>
      </w:r>
      <w:r w:rsidR="00FE69AE" w:rsidRPr="00923070">
        <w:rPr>
          <w:lang w:val="en-AU"/>
        </w:rPr>
        <w:t xml:space="preserve"> that are </w:t>
      </w:r>
      <w:r w:rsidR="00507263" w:rsidRPr="00923070">
        <w:rPr>
          <w:lang w:val="en-AU"/>
        </w:rPr>
        <w:t xml:space="preserve">cannot be </w:t>
      </w:r>
      <w:r w:rsidR="0017195D" w:rsidRPr="00923070">
        <w:rPr>
          <w:lang w:val="en-AU"/>
        </w:rPr>
        <w:t xml:space="preserve">singularly attributed to their sexual orientation, gender identity or intersex status. </w:t>
      </w:r>
      <w:r w:rsidR="00BB108F" w:rsidRPr="00923070">
        <w:rPr>
          <w:lang w:val="en-AU"/>
        </w:rPr>
        <w:t>For example, in the United States,</w:t>
      </w:r>
      <w:r w:rsidR="00B20B5A">
        <w:rPr>
          <w:rStyle w:val="FootnoteReference"/>
          <w:lang w:val="en-AU"/>
        </w:rPr>
        <w:footnoteReference w:id="6"/>
      </w:r>
      <w:r w:rsidR="00BB108F" w:rsidRPr="00923070">
        <w:rPr>
          <w:lang w:val="en-AU"/>
        </w:rPr>
        <w:t xml:space="preserve"> lesbian, gay, bisexual and transgender </w:t>
      </w:r>
      <w:r w:rsidR="0014292D" w:rsidRPr="00923070">
        <w:rPr>
          <w:lang w:val="en-AU"/>
        </w:rPr>
        <w:t>(</w:t>
      </w:r>
      <w:r w:rsidR="0014292D" w:rsidRPr="00923070">
        <w:rPr>
          <w:b/>
          <w:lang w:val="en-AU"/>
        </w:rPr>
        <w:t>LGBT</w:t>
      </w:r>
      <w:r w:rsidR="0014292D" w:rsidRPr="00923070">
        <w:rPr>
          <w:lang w:val="en-AU"/>
        </w:rPr>
        <w:t xml:space="preserve">) </w:t>
      </w:r>
      <w:r w:rsidR="00BB108F" w:rsidRPr="00923070">
        <w:rPr>
          <w:lang w:val="en-AU"/>
        </w:rPr>
        <w:t>workers of colour fac</w:t>
      </w:r>
      <w:r w:rsidR="0014292D" w:rsidRPr="00923070">
        <w:rPr>
          <w:lang w:val="en-AU"/>
        </w:rPr>
        <w:t xml:space="preserve">e higher unemployment rates </w:t>
      </w:r>
      <w:r w:rsidR="00CE0495" w:rsidRPr="00923070">
        <w:rPr>
          <w:lang w:val="en-AU"/>
        </w:rPr>
        <w:t xml:space="preserve">and greater wage discrimination </w:t>
      </w:r>
      <w:r w:rsidR="0014292D" w:rsidRPr="00923070">
        <w:rPr>
          <w:lang w:val="en-AU"/>
        </w:rPr>
        <w:t>than both white LGBT people and non-LGBT people of colour.</w:t>
      </w:r>
      <w:r w:rsidR="0053442C">
        <w:rPr>
          <w:rStyle w:val="FootnoteReference"/>
          <w:lang w:val="en-AU"/>
        </w:rPr>
        <w:footnoteReference w:id="7"/>
      </w:r>
      <w:r w:rsidR="0041445C" w:rsidRPr="00923070">
        <w:rPr>
          <w:lang w:val="en-AU"/>
        </w:rPr>
        <w:t xml:space="preserve"> In the </w:t>
      </w:r>
      <w:r w:rsidR="0041445C" w:rsidRPr="00923070">
        <w:rPr>
          <w:lang w:val="en-AU"/>
        </w:rPr>
        <w:lastRenderedPageBreak/>
        <w:t>Netherlands</w:t>
      </w:r>
      <w:r w:rsidR="005621F8" w:rsidRPr="00923070">
        <w:rPr>
          <w:lang w:val="en-AU"/>
        </w:rPr>
        <w:t xml:space="preserve">, lesbian, gay and bisexual children from ethnic and religious minorities </w:t>
      </w:r>
      <w:r w:rsidR="00495F59" w:rsidRPr="00923070">
        <w:rPr>
          <w:lang w:val="en-AU"/>
        </w:rPr>
        <w:t>face particular challenges.</w:t>
      </w:r>
      <w:r w:rsidR="00D26F9A">
        <w:rPr>
          <w:rStyle w:val="FootnoteReference"/>
          <w:lang w:val="en-AU"/>
        </w:rPr>
        <w:footnoteReference w:id="8"/>
      </w:r>
    </w:p>
    <w:p w:rsidR="00CE022F" w:rsidRDefault="0053442C" w:rsidP="0053442C">
      <w:pPr>
        <w:pStyle w:val="Level2Paragraph"/>
        <w:rPr>
          <w:lang w:val="en-AU"/>
        </w:rPr>
      </w:pPr>
      <w:r>
        <w:rPr>
          <w:lang w:val="en-AU"/>
        </w:rPr>
        <w:t xml:space="preserve">A statement made by a group of UN and independent human rights experts, including the Committee on the Rights of the Child and several Special Rapporteurs, on 17 May 2015, recognised that States </w:t>
      </w:r>
      <w:r w:rsidR="005226C9">
        <w:rPr>
          <w:lang w:val="en-AU"/>
        </w:rPr>
        <w:t>should</w:t>
      </w:r>
      <w:r>
        <w:rPr>
          <w:lang w:val="en-AU"/>
        </w:rPr>
        <w:t xml:space="preserve"> “</w:t>
      </w:r>
      <w:r w:rsidRPr="0053442C">
        <w:rPr>
          <w:lang w:val="en-AU"/>
        </w:rPr>
        <w:t>address intersectional discrimination and violence against LGBT and intersex youth on the basis of race and ethnicity</w:t>
      </w:r>
      <w:r>
        <w:rPr>
          <w:lang w:val="en-AU"/>
        </w:rPr>
        <w:t>”.</w:t>
      </w:r>
      <w:r>
        <w:rPr>
          <w:rStyle w:val="FootnoteReference"/>
          <w:lang w:val="en-AU"/>
        </w:rPr>
        <w:footnoteReference w:id="9"/>
      </w:r>
    </w:p>
    <w:p w:rsidR="009668B6" w:rsidRPr="009668B6" w:rsidRDefault="009668B6" w:rsidP="009668B6">
      <w:pPr>
        <w:pStyle w:val="Level2Paragraph"/>
        <w:rPr>
          <w:lang w:val="en-AU"/>
        </w:rPr>
      </w:pPr>
      <w:r>
        <w:rPr>
          <w:lang w:val="en-AU"/>
        </w:rPr>
        <w:t>Kaleidoscope therefore considers that the Draft General Comment should be amended to recognise that LGBTI people face a particular risk of intersectional and multiple discrimination.</w:t>
      </w:r>
      <w:bookmarkStart w:id="1" w:name="bmDistList"/>
      <w:bookmarkEnd w:id="1"/>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6"/>
      </w:tblGrid>
      <w:tr w:rsidR="009668B6" w:rsidRPr="002E206C" w:rsidTr="002E206C">
        <w:tc>
          <w:tcPr>
            <w:tcW w:w="8536" w:type="dxa"/>
            <w:shd w:val="clear" w:color="auto" w:fill="F2F2F2"/>
          </w:tcPr>
          <w:p w:rsidR="009668B6" w:rsidRPr="002E206C" w:rsidRDefault="009668B6" w:rsidP="002E206C">
            <w:pPr>
              <w:pStyle w:val="Level2Paragraph"/>
              <w:numPr>
                <w:ilvl w:val="0"/>
                <w:numId w:val="0"/>
              </w:numPr>
              <w:overflowPunct w:val="0"/>
              <w:autoSpaceDE w:val="0"/>
              <w:autoSpaceDN w:val="0"/>
              <w:textAlignment w:val="baseline"/>
              <w:rPr>
                <w:b/>
                <w:lang w:val="en-AU"/>
              </w:rPr>
            </w:pPr>
            <w:r w:rsidRPr="002E206C">
              <w:rPr>
                <w:b/>
                <w:lang w:val="en-AU"/>
              </w:rPr>
              <w:t>Recommendation 2</w:t>
            </w:r>
          </w:p>
          <w:p w:rsidR="009668B6" w:rsidRPr="002E206C" w:rsidRDefault="009668B6" w:rsidP="002E206C">
            <w:pPr>
              <w:pStyle w:val="Level2Paragraph"/>
              <w:numPr>
                <w:ilvl w:val="0"/>
                <w:numId w:val="0"/>
              </w:numPr>
              <w:overflowPunct w:val="0"/>
              <w:autoSpaceDE w:val="0"/>
              <w:autoSpaceDN w:val="0"/>
              <w:ind w:left="4" w:hanging="4"/>
              <w:textAlignment w:val="baseline"/>
              <w:rPr>
                <w:lang w:val="en-AU"/>
              </w:rPr>
            </w:pPr>
            <w:r w:rsidRPr="002E206C">
              <w:rPr>
                <w:lang w:val="en-AU"/>
              </w:rPr>
              <w:t xml:space="preserve">Kaleidoscope recommends that the </w:t>
            </w:r>
            <w:r w:rsidR="000016AA" w:rsidRPr="002E206C">
              <w:rPr>
                <w:lang w:val="en-AU"/>
              </w:rPr>
              <w:t>para. 11</w:t>
            </w:r>
            <w:r w:rsidRPr="002E206C">
              <w:rPr>
                <w:lang w:val="en-AU"/>
              </w:rPr>
              <w:t xml:space="preserve"> of the Draft General Comment be amended to read:</w:t>
            </w:r>
          </w:p>
          <w:p w:rsidR="009668B6" w:rsidRPr="002E206C" w:rsidRDefault="009668B6" w:rsidP="002E206C">
            <w:pPr>
              <w:pStyle w:val="Generallevel1"/>
              <w:numPr>
                <w:ilvl w:val="0"/>
                <w:numId w:val="0"/>
              </w:numPr>
              <w:overflowPunct w:val="0"/>
              <w:autoSpaceDE w:val="0"/>
              <w:autoSpaceDN w:val="0"/>
              <w:ind w:left="571"/>
              <w:textAlignment w:val="baseline"/>
              <w:rPr>
                <w:lang w:val="en-AU"/>
              </w:rPr>
            </w:pPr>
            <w:r w:rsidRPr="002E206C">
              <w:rPr>
                <w:lang w:val="en-AU"/>
              </w:rPr>
              <w:t>“</w:t>
            </w:r>
            <w:r w:rsidR="000016AA" w:rsidRPr="002E206C">
              <w:rPr>
                <w:lang w:val="en-AU"/>
              </w:rPr>
              <w:t>Committee reiterates its grave concern that certain segments of population face a greater risk of suffering intersectio</w:t>
            </w:r>
            <w:r w:rsidR="00C20CB2" w:rsidRPr="002E206C">
              <w:rPr>
                <w:lang w:val="en-AU"/>
              </w:rPr>
              <w:t>nal and multiple discrimination</w:t>
            </w:r>
            <w:r w:rsidR="000016AA" w:rsidRPr="002E206C">
              <w:rPr>
                <w:lang w:val="en-AU"/>
              </w:rPr>
              <w:t>. For instance, investment-linked evictions and displacements often result in physical and sexual violence against, and inadequate compensation and additional burden related to re</w:t>
            </w:r>
            <w:r w:rsidR="00C20CB2" w:rsidRPr="002E206C">
              <w:rPr>
                <w:lang w:val="en-AU"/>
              </w:rPr>
              <w:t>settlement for, women and girls</w:t>
            </w:r>
            <w:r w:rsidR="000016AA" w:rsidRPr="002E206C">
              <w:rPr>
                <w:lang w:val="en-AU"/>
              </w:rPr>
              <w:t xml:space="preserve">. </w:t>
            </w:r>
            <w:r w:rsidR="00C20CB2" w:rsidRPr="002E206C">
              <w:rPr>
                <w:u w:val="single"/>
                <w:lang w:val="en-AU"/>
              </w:rPr>
              <w:t>Lesbian, gay, bisexual, transgender and intersex (LGBTI) people who are members of ethnic and religious minorities</w:t>
            </w:r>
            <w:r w:rsidR="00BC3CF7" w:rsidRPr="002E206C">
              <w:rPr>
                <w:u w:val="single"/>
                <w:lang w:val="en-AU"/>
              </w:rPr>
              <w:t xml:space="preserve"> face particular challenges in exercising their </w:t>
            </w:r>
            <w:r w:rsidR="00F013C1" w:rsidRPr="002E206C">
              <w:rPr>
                <w:u w:val="single"/>
                <w:lang w:val="en-AU"/>
              </w:rPr>
              <w:t>Covenant rights, including their right</w:t>
            </w:r>
            <w:r w:rsidR="00D26F9A" w:rsidRPr="002E206C">
              <w:rPr>
                <w:u w:val="single"/>
                <w:lang w:val="en-AU"/>
              </w:rPr>
              <w:t>s</w:t>
            </w:r>
            <w:r w:rsidR="00F013C1" w:rsidRPr="002E206C">
              <w:rPr>
                <w:u w:val="single"/>
                <w:lang w:val="en-AU"/>
              </w:rPr>
              <w:t xml:space="preserve"> to work</w:t>
            </w:r>
            <w:r w:rsidR="00D26F9A" w:rsidRPr="002E206C">
              <w:rPr>
                <w:u w:val="single"/>
                <w:lang w:val="en-AU"/>
              </w:rPr>
              <w:t xml:space="preserve"> and education</w:t>
            </w:r>
            <w:r w:rsidR="00C20CB2" w:rsidRPr="002E206C">
              <w:rPr>
                <w:u w:val="single"/>
                <w:lang w:val="en-AU"/>
              </w:rPr>
              <w:t>.</w:t>
            </w:r>
            <w:r w:rsidR="00C20CB2" w:rsidRPr="002E206C">
              <w:rPr>
                <w:lang w:val="en-AU"/>
              </w:rPr>
              <w:t xml:space="preserve"> </w:t>
            </w:r>
            <w:r w:rsidR="000016AA" w:rsidRPr="002E206C">
              <w:rPr>
                <w:lang w:val="en-AU"/>
              </w:rPr>
              <w:t xml:space="preserve">In addition, women are overrepresented in the informal economy and are less likely to enjoy labor-related </w:t>
            </w:r>
            <w:r w:rsidR="00C20CB2" w:rsidRPr="002E206C">
              <w:rPr>
                <w:lang w:val="en-AU"/>
              </w:rPr>
              <w:t xml:space="preserve">and social security protections. </w:t>
            </w:r>
            <w:r w:rsidR="000016AA" w:rsidRPr="002E206C">
              <w:rPr>
                <w:lang w:val="en-AU"/>
              </w:rPr>
              <w:t>Furthermore, despite some improvement, women continue to be underrepresented in business deci</w:t>
            </w:r>
            <w:r w:rsidR="00C20CB2" w:rsidRPr="002E206C">
              <w:rPr>
                <w:lang w:val="en-AU"/>
              </w:rPr>
              <w:t>sion-making processes worldwide</w:t>
            </w:r>
            <w:r w:rsidR="000016AA" w:rsidRPr="002E206C">
              <w:rPr>
                <w:lang w:val="en-AU"/>
              </w:rPr>
              <w:t>. The Committee therefore recommends States Parties to address this issue of specific impacts of business activities on women and girls and to incorporate a gender perspective into all measures to regulate business activities that may adversely affect economic, social and cultural rights, including by consulting the Guidance on National Actions Pla</w:t>
            </w:r>
            <w:r w:rsidR="00C20CB2" w:rsidRPr="002E206C">
              <w:rPr>
                <w:lang w:val="en-AU"/>
              </w:rPr>
              <w:t>ns on Business and Human Rights</w:t>
            </w:r>
            <w:r w:rsidR="000016AA" w:rsidRPr="002E206C">
              <w:rPr>
                <w:lang w:val="en-AU"/>
              </w:rPr>
              <w:t>. States Parties should also take appropriate steps, including through temporary special measures, to improve women’s representation in the labour market, including at the upper echelons of the business hierarchy.</w:t>
            </w:r>
            <w:r w:rsidR="00C20CB2" w:rsidRPr="002E206C">
              <w:rPr>
                <w:lang w:val="en-AU"/>
              </w:rPr>
              <w:t>”</w:t>
            </w:r>
          </w:p>
        </w:tc>
      </w:tr>
    </w:tbl>
    <w:p w:rsidR="009668B6" w:rsidRPr="00D35393" w:rsidRDefault="009668B6" w:rsidP="009668B6">
      <w:pPr>
        <w:pStyle w:val="Level2Paragraph"/>
        <w:numPr>
          <w:ilvl w:val="0"/>
          <w:numId w:val="0"/>
        </w:numPr>
        <w:spacing w:after="0"/>
        <w:ind w:left="709"/>
        <w:rPr>
          <w:lang w:val="en-AU"/>
        </w:rPr>
      </w:pPr>
    </w:p>
    <w:p w:rsidR="00A540A6" w:rsidRPr="00D35393" w:rsidRDefault="00A540A6" w:rsidP="00F74FED">
      <w:pPr>
        <w:pStyle w:val="Generallevel1"/>
        <w:rPr>
          <w:b/>
          <w:bCs/>
          <w:caps/>
          <w:lang w:val="en-AU"/>
        </w:rPr>
      </w:pPr>
      <w:r w:rsidRPr="00D35393">
        <w:rPr>
          <w:b/>
          <w:bCs/>
          <w:caps/>
          <w:lang w:val="en-AU"/>
        </w:rPr>
        <w:t>DUTY TO PROTECT</w:t>
      </w:r>
    </w:p>
    <w:p w:rsidR="00C716A7" w:rsidRPr="00D35393" w:rsidRDefault="00A540A6" w:rsidP="0091520C">
      <w:pPr>
        <w:pStyle w:val="Level2Paragraph"/>
        <w:rPr>
          <w:lang w:val="en-AU"/>
        </w:rPr>
      </w:pPr>
      <w:r w:rsidRPr="00D35393">
        <w:rPr>
          <w:lang w:val="en-AU"/>
        </w:rPr>
        <w:t xml:space="preserve">At para. 19, the Draft General Comment mentions that the </w:t>
      </w:r>
      <w:r w:rsidR="00EE5FD2">
        <w:rPr>
          <w:lang w:val="en-AU"/>
        </w:rPr>
        <w:t>“</w:t>
      </w:r>
      <w:r w:rsidRPr="00D35393">
        <w:rPr>
          <w:lang w:val="en-AU"/>
        </w:rPr>
        <w:t>obligation to protect</w:t>
      </w:r>
      <w:r w:rsidR="00EE5FD2">
        <w:rPr>
          <w:lang w:val="en-AU"/>
        </w:rPr>
        <w:t>”</w:t>
      </w:r>
      <w:r w:rsidRPr="00D35393">
        <w:rPr>
          <w:lang w:val="en-AU"/>
        </w:rPr>
        <w:t xml:space="preserve"> </w:t>
      </w:r>
      <w:r w:rsidR="00C716A7" w:rsidRPr="00D35393">
        <w:rPr>
          <w:lang w:val="en-AU"/>
        </w:rPr>
        <w:t xml:space="preserve">requires States Parties to </w:t>
      </w:r>
      <w:r w:rsidR="00C716A7" w:rsidRPr="00EE5FD2">
        <w:rPr>
          <w:lang w:val="en-AU"/>
        </w:rPr>
        <w:t>regulate “</w:t>
      </w:r>
      <w:r w:rsidR="00C716A7" w:rsidRPr="00EE5FD2">
        <w:rPr>
          <w:rFonts w:eastAsia="Verdana"/>
          <w:color w:val="000000"/>
          <w:bdr w:val="none" w:sz="0" w:space="0" w:color="auto" w:frame="1"/>
          <w:shd w:val="clear" w:color="auto" w:fill="FEFEFE"/>
          <w:lang w:val="en-AU" w:eastAsia="fr-CH"/>
        </w:rPr>
        <w:t xml:space="preserve">business activities concerning the Covenant rights to education, employment, and reproductive health, in order to effectively combat </w:t>
      </w:r>
      <w:r w:rsidR="00C716A7" w:rsidRPr="00EE5FD2">
        <w:rPr>
          <w:rFonts w:eastAsia="Verdana"/>
          <w:b/>
          <w:color w:val="000000"/>
          <w:bdr w:val="none" w:sz="0" w:space="0" w:color="auto" w:frame="1"/>
          <w:shd w:val="clear" w:color="auto" w:fill="FEFEFE"/>
          <w:lang w:val="en-AU" w:eastAsia="fr-CH"/>
        </w:rPr>
        <w:t>gender discrimination</w:t>
      </w:r>
      <w:r w:rsidR="00C716A7" w:rsidRPr="00EE5FD2">
        <w:rPr>
          <w:rFonts w:eastAsia="Verdana"/>
          <w:color w:val="000000"/>
          <w:bdr w:val="none" w:sz="0" w:space="0" w:color="auto" w:frame="1"/>
          <w:shd w:val="clear" w:color="auto" w:fill="FEFEFE"/>
          <w:lang w:val="en-AU" w:eastAsia="fr-CH"/>
        </w:rPr>
        <w:t>”</w:t>
      </w:r>
      <w:r w:rsidR="00EE5FD2">
        <w:rPr>
          <w:lang w:val="en-AU"/>
        </w:rPr>
        <w:t xml:space="preserve"> (emphasis added).</w:t>
      </w:r>
    </w:p>
    <w:p w:rsidR="007D70DD" w:rsidRPr="00D35393" w:rsidRDefault="00C716A7" w:rsidP="0091520C">
      <w:pPr>
        <w:pStyle w:val="Level2Paragraph"/>
        <w:rPr>
          <w:lang w:val="en-AU"/>
        </w:rPr>
      </w:pPr>
      <w:r w:rsidRPr="00D35393">
        <w:rPr>
          <w:lang w:val="en-AU"/>
        </w:rPr>
        <w:t>Kaleidoscope considers that this reference should be amended to refer to discrimination more broadly</w:t>
      </w:r>
      <w:r w:rsidR="00FD298E" w:rsidRPr="00D35393">
        <w:rPr>
          <w:lang w:val="en-AU"/>
        </w:rPr>
        <w:t>, on all protected grounds</w:t>
      </w:r>
      <w:r w:rsidR="00165952" w:rsidRPr="00D35393">
        <w:rPr>
          <w:lang w:val="en-AU"/>
        </w:rPr>
        <w:t xml:space="preserve">, including </w:t>
      </w:r>
      <w:r w:rsidR="00165952" w:rsidRPr="00D35393">
        <w:rPr>
          <w:b/>
          <w:lang w:val="en-AU"/>
        </w:rPr>
        <w:t>sexual orientation</w:t>
      </w:r>
      <w:r w:rsidR="00165952" w:rsidRPr="00D35393">
        <w:rPr>
          <w:lang w:val="en-AU"/>
        </w:rPr>
        <w:t xml:space="preserve">, </w:t>
      </w:r>
      <w:r w:rsidR="00165952" w:rsidRPr="00D35393">
        <w:rPr>
          <w:b/>
          <w:lang w:val="en-AU"/>
        </w:rPr>
        <w:t>gender identity</w:t>
      </w:r>
      <w:r w:rsidR="00165952" w:rsidRPr="00D35393">
        <w:rPr>
          <w:lang w:val="en-AU"/>
        </w:rPr>
        <w:t xml:space="preserve"> and </w:t>
      </w:r>
      <w:r w:rsidR="00165952" w:rsidRPr="00D35393">
        <w:rPr>
          <w:b/>
          <w:lang w:val="en-AU"/>
        </w:rPr>
        <w:t>intersex status</w:t>
      </w:r>
      <w:r w:rsidRPr="00D35393">
        <w:rPr>
          <w:lang w:val="en-AU"/>
        </w:rPr>
        <w:t xml:space="preserve">. </w:t>
      </w:r>
      <w:r w:rsidR="00CF3708" w:rsidRPr="00D35393">
        <w:rPr>
          <w:lang w:val="en-AU"/>
        </w:rPr>
        <w:t xml:space="preserve">Private business activities </w:t>
      </w:r>
      <w:r w:rsidR="00442E38" w:rsidRPr="00D35393">
        <w:rPr>
          <w:lang w:val="en-AU"/>
        </w:rPr>
        <w:t xml:space="preserve">can </w:t>
      </w:r>
      <w:r w:rsidR="00CF3708" w:rsidRPr="00D35393">
        <w:rPr>
          <w:lang w:val="en-AU"/>
        </w:rPr>
        <w:t xml:space="preserve">have a significant impact on </w:t>
      </w:r>
      <w:r w:rsidR="004414DC" w:rsidRPr="00D35393">
        <w:rPr>
          <w:lang w:val="en-AU"/>
        </w:rPr>
        <w:t>the</w:t>
      </w:r>
      <w:r w:rsidR="00CF3708" w:rsidRPr="00D35393">
        <w:rPr>
          <w:lang w:val="en-AU"/>
        </w:rPr>
        <w:t xml:space="preserve"> rights to education, </w:t>
      </w:r>
      <w:r w:rsidR="00CF3708" w:rsidRPr="00D35393">
        <w:rPr>
          <w:lang w:val="en-AU"/>
        </w:rPr>
        <w:lastRenderedPageBreak/>
        <w:t xml:space="preserve">work and </w:t>
      </w:r>
      <w:r w:rsidR="00442E38" w:rsidRPr="00D35393">
        <w:rPr>
          <w:lang w:val="en-AU"/>
        </w:rPr>
        <w:t>health</w:t>
      </w:r>
      <w:r w:rsidR="00B67397" w:rsidRPr="00D35393">
        <w:rPr>
          <w:lang w:val="en-AU"/>
        </w:rPr>
        <w:t xml:space="preserve"> of all groups protected under Article 2(2</w:t>
      </w:r>
      <w:r w:rsidR="003F537C" w:rsidRPr="00D35393">
        <w:rPr>
          <w:lang w:val="en-AU"/>
        </w:rPr>
        <w:t xml:space="preserve">) of the Covenant, including LGBTI people. </w:t>
      </w:r>
      <w:r w:rsidR="00B907A7" w:rsidRPr="00D35393">
        <w:rPr>
          <w:lang w:val="en-AU"/>
        </w:rPr>
        <w:t>For exa</w:t>
      </w:r>
      <w:r w:rsidR="007D70DD" w:rsidRPr="00D35393">
        <w:rPr>
          <w:lang w:val="en-AU"/>
        </w:rPr>
        <w:t>mple:</w:t>
      </w:r>
    </w:p>
    <w:p w:rsidR="007D70DD" w:rsidRPr="00D35393" w:rsidRDefault="00165952" w:rsidP="007D70DD">
      <w:pPr>
        <w:pStyle w:val="Generallevel3"/>
        <w:tabs>
          <w:tab w:val="clear" w:pos="2880"/>
        </w:tabs>
        <w:ind w:left="1418" w:hanging="709"/>
        <w:rPr>
          <w:lang w:val="en-AU"/>
        </w:rPr>
      </w:pPr>
      <w:r w:rsidRPr="00D35393">
        <w:rPr>
          <w:lang w:val="en-AU"/>
        </w:rPr>
        <w:t>LGBTI people’s</w:t>
      </w:r>
      <w:r w:rsidR="00B907A7" w:rsidRPr="00D35393">
        <w:rPr>
          <w:lang w:val="en-AU"/>
        </w:rPr>
        <w:t xml:space="preserve"> right to education </w:t>
      </w:r>
      <w:r w:rsidR="00CE23C9" w:rsidRPr="00D35393">
        <w:rPr>
          <w:lang w:val="en-AU"/>
        </w:rPr>
        <w:t xml:space="preserve">(Article </w:t>
      </w:r>
      <w:r w:rsidR="007D70DD" w:rsidRPr="00D35393">
        <w:rPr>
          <w:lang w:val="en-AU"/>
        </w:rPr>
        <w:t xml:space="preserve">13 of the Covenant) </w:t>
      </w:r>
      <w:r w:rsidR="00BA6AA2" w:rsidRPr="00D35393">
        <w:rPr>
          <w:lang w:val="en-AU"/>
        </w:rPr>
        <w:t>is</w:t>
      </w:r>
      <w:r w:rsidR="00B907A7" w:rsidRPr="00D35393">
        <w:rPr>
          <w:lang w:val="en-AU"/>
        </w:rPr>
        <w:t xml:space="preserve"> infringed</w:t>
      </w:r>
      <w:r w:rsidR="00DA279C" w:rsidRPr="00D35393">
        <w:rPr>
          <w:lang w:val="en-AU"/>
        </w:rPr>
        <w:t xml:space="preserve"> where </w:t>
      </w:r>
      <w:r w:rsidR="00020FE8" w:rsidRPr="00D35393">
        <w:rPr>
          <w:lang w:val="en-AU"/>
        </w:rPr>
        <w:t xml:space="preserve">private schools </w:t>
      </w:r>
      <w:r w:rsidR="00EB72CC" w:rsidRPr="00D35393">
        <w:rPr>
          <w:lang w:val="en-AU"/>
        </w:rPr>
        <w:t xml:space="preserve">expel students </w:t>
      </w:r>
      <w:r w:rsidR="0034085F" w:rsidRPr="00D35393">
        <w:rPr>
          <w:lang w:val="en-AU"/>
        </w:rPr>
        <w:t>on the bas</w:t>
      </w:r>
      <w:r w:rsidR="00923D02" w:rsidRPr="00D35393">
        <w:rPr>
          <w:lang w:val="en-AU"/>
        </w:rPr>
        <w:t>is of their sexual orientation</w:t>
      </w:r>
      <w:r w:rsidRPr="00D35393">
        <w:rPr>
          <w:lang w:val="en-AU"/>
        </w:rPr>
        <w:t>, gender identity or intersex status</w:t>
      </w:r>
      <w:r w:rsidR="00486C41" w:rsidRPr="00D35393">
        <w:rPr>
          <w:lang w:val="en-AU"/>
        </w:rPr>
        <w:t xml:space="preserve"> or allow bullying </w:t>
      </w:r>
      <w:r w:rsidR="00923D02" w:rsidRPr="00D35393">
        <w:rPr>
          <w:lang w:val="en-AU"/>
        </w:rPr>
        <w:t xml:space="preserve">to take place on </w:t>
      </w:r>
      <w:r w:rsidRPr="00D35393">
        <w:rPr>
          <w:lang w:val="en-AU"/>
        </w:rPr>
        <w:t>these grounds</w:t>
      </w:r>
      <w:r w:rsidR="007D70DD" w:rsidRPr="00D35393">
        <w:rPr>
          <w:lang w:val="en-AU"/>
        </w:rPr>
        <w:t>.</w:t>
      </w:r>
      <w:r w:rsidR="00850C68" w:rsidRPr="00D35393">
        <w:rPr>
          <w:lang w:val="en-AU"/>
        </w:rPr>
        <w:t xml:space="preserve"> According to </w:t>
      </w:r>
      <w:r w:rsidR="00850C68" w:rsidRPr="00D35393">
        <w:rPr>
          <w:rFonts w:cs="Arial"/>
          <w:i/>
          <w:lang w:val="en-AU"/>
        </w:rPr>
        <w:t xml:space="preserve">General Comment No. 13 on the Right to Education, </w:t>
      </w:r>
      <w:r w:rsidR="00850C68" w:rsidRPr="00D35393">
        <w:rPr>
          <w:rFonts w:cs="Arial"/>
          <w:lang w:val="en-AU"/>
        </w:rPr>
        <w:t xml:space="preserve">States Parties must ensure that primary, secondary and higher education is accessible to all, especially the </w:t>
      </w:r>
      <w:r w:rsidR="00850C68" w:rsidRPr="00D35393">
        <w:rPr>
          <w:rFonts w:cs="Arial"/>
          <w:i/>
          <w:lang w:val="en-AU"/>
        </w:rPr>
        <w:t>“most vulnerable groups”</w:t>
      </w:r>
      <w:r w:rsidR="00850C68" w:rsidRPr="00D35393">
        <w:rPr>
          <w:rFonts w:cs="Arial"/>
          <w:lang w:val="en-AU"/>
        </w:rPr>
        <w:t>, without discrimination.</w:t>
      </w:r>
      <w:r w:rsidR="00BA6AA2" w:rsidRPr="00D35393">
        <w:rPr>
          <w:rStyle w:val="FootnoteReference"/>
          <w:lang w:val="en-AU"/>
        </w:rPr>
        <w:footnoteReference w:id="10"/>
      </w:r>
    </w:p>
    <w:p w:rsidR="00A540A6" w:rsidRPr="00D35393" w:rsidRDefault="007D70DD" w:rsidP="007D70DD">
      <w:pPr>
        <w:pStyle w:val="Generallevel3"/>
        <w:tabs>
          <w:tab w:val="clear" w:pos="2880"/>
        </w:tabs>
        <w:ind w:left="1418" w:hanging="709"/>
        <w:rPr>
          <w:lang w:val="en-AU"/>
        </w:rPr>
      </w:pPr>
      <w:r w:rsidRPr="00D35393">
        <w:rPr>
          <w:lang w:val="en-AU"/>
        </w:rPr>
        <w:t>The</w:t>
      </w:r>
      <w:r w:rsidR="00486C41" w:rsidRPr="00D35393">
        <w:rPr>
          <w:lang w:val="en-AU"/>
        </w:rPr>
        <w:t xml:space="preserve"> right to work</w:t>
      </w:r>
      <w:r w:rsidR="00C23599" w:rsidRPr="00D35393">
        <w:rPr>
          <w:lang w:val="en-AU"/>
        </w:rPr>
        <w:t xml:space="preserve"> of </w:t>
      </w:r>
      <w:r w:rsidR="00165952" w:rsidRPr="00D35393">
        <w:rPr>
          <w:lang w:val="en-AU"/>
        </w:rPr>
        <w:t>LGBTI</w:t>
      </w:r>
      <w:r w:rsidR="00C23599" w:rsidRPr="00D35393">
        <w:rPr>
          <w:lang w:val="en-AU"/>
        </w:rPr>
        <w:t xml:space="preserve"> people</w:t>
      </w:r>
      <w:r w:rsidR="00486C41" w:rsidRPr="00D35393">
        <w:rPr>
          <w:lang w:val="en-AU"/>
        </w:rPr>
        <w:t xml:space="preserve"> </w:t>
      </w:r>
      <w:r w:rsidRPr="00D35393">
        <w:rPr>
          <w:lang w:val="en-AU"/>
        </w:rPr>
        <w:t xml:space="preserve">(Articles 6 and 7 of the Covenant) </w:t>
      </w:r>
      <w:r w:rsidR="00496481" w:rsidRPr="00D35393">
        <w:rPr>
          <w:lang w:val="en-AU"/>
        </w:rPr>
        <w:t>is</w:t>
      </w:r>
      <w:r w:rsidRPr="00D35393">
        <w:rPr>
          <w:lang w:val="en-AU"/>
        </w:rPr>
        <w:t xml:space="preserve"> infringed where private businesses</w:t>
      </w:r>
      <w:r w:rsidR="00B53CD3" w:rsidRPr="00D35393">
        <w:rPr>
          <w:lang w:val="en-AU"/>
        </w:rPr>
        <w:t xml:space="preserve"> </w:t>
      </w:r>
      <w:r w:rsidR="00E85F96" w:rsidRPr="00D35393">
        <w:rPr>
          <w:lang w:val="en-AU"/>
        </w:rPr>
        <w:t xml:space="preserve">fail to hire or dismiss employees on the basis of their </w:t>
      </w:r>
      <w:r w:rsidR="003070F2" w:rsidRPr="00D35393">
        <w:rPr>
          <w:lang w:val="en-AU"/>
        </w:rPr>
        <w:t>sexual orientation, gender identity or intersex status</w:t>
      </w:r>
      <w:r w:rsidR="00E85F96" w:rsidRPr="00D35393">
        <w:rPr>
          <w:lang w:val="en-AU"/>
        </w:rPr>
        <w:t>, or discriminate against them in respect of remuneration, promotion opportunities and working conditions.</w:t>
      </w:r>
      <w:r w:rsidR="003070F2" w:rsidRPr="00D35393">
        <w:rPr>
          <w:lang w:val="en-AU"/>
        </w:rPr>
        <w:t xml:space="preserve"> </w:t>
      </w:r>
      <w:r w:rsidR="000B20C2" w:rsidRPr="00D35393">
        <w:rPr>
          <w:lang w:val="en-AU"/>
        </w:rPr>
        <w:t xml:space="preserve">As mentioned above, </w:t>
      </w:r>
      <w:r w:rsidR="003070F2" w:rsidRPr="00D35393">
        <w:rPr>
          <w:i/>
          <w:lang w:val="en-AU"/>
        </w:rPr>
        <w:t xml:space="preserve">General Comment No. 23 on the Right to Just and Favourable Conditions of Work </w:t>
      </w:r>
      <w:r w:rsidR="003070F2" w:rsidRPr="00D35393">
        <w:rPr>
          <w:lang w:val="en-AU"/>
        </w:rPr>
        <w:t>(2016)</w:t>
      </w:r>
      <w:r w:rsidR="00EE5F4A" w:rsidRPr="00D35393">
        <w:rPr>
          <w:lang w:val="en-AU"/>
        </w:rPr>
        <w:t xml:space="preserve"> recognises </w:t>
      </w:r>
      <w:r w:rsidR="00AA42B0" w:rsidRPr="00D35393">
        <w:rPr>
          <w:lang w:val="en-AU"/>
        </w:rPr>
        <w:t>the “core obligation” of States Parties to “guarantee through law the exercise of the right to just and favourable conditions of work without discrimination of any kind as to … sexual orientation, gender identity [and] intersex status”.</w:t>
      </w:r>
      <w:r w:rsidR="007F6E36" w:rsidRPr="00D35393">
        <w:rPr>
          <w:rStyle w:val="FootnoteReference"/>
          <w:lang w:val="en-AU"/>
        </w:rPr>
        <w:footnoteReference w:id="11"/>
      </w:r>
      <w:r w:rsidR="00376378" w:rsidRPr="00D35393">
        <w:rPr>
          <w:lang w:val="en-AU"/>
        </w:rPr>
        <w:t xml:space="preserve"> This right applies as much in relation to private businesses as it does to state institutions.</w:t>
      </w:r>
    </w:p>
    <w:p w:rsidR="000800FC" w:rsidRPr="00D35393" w:rsidRDefault="000800FC" w:rsidP="007D70DD">
      <w:pPr>
        <w:pStyle w:val="Generallevel3"/>
        <w:tabs>
          <w:tab w:val="clear" w:pos="2880"/>
        </w:tabs>
        <w:ind w:left="1418" w:hanging="709"/>
        <w:rPr>
          <w:lang w:val="en-AU"/>
        </w:rPr>
      </w:pPr>
      <w:r w:rsidRPr="00D35393">
        <w:rPr>
          <w:lang w:val="en-AU"/>
        </w:rPr>
        <w:t>The right to sexual and reproductive health</w:t>
      </w:r>
      <w:r w:rsidR="000B10C9" w:rsidRPr="00D35393">
        <w:rPr>
          <w:lang w:val="en-AU"/>
        </w:rPr>
        <w:t xml:space="preserve"> of intersex people</w:t>
      </w:r>
      <w:r w:rsidR="00F55AD0" w:rsidRPr="00D35393">
        <w:rPr>
          <w:lang w:val="en-AU"/>
        </w:rPr>
        <w:t xml:space="preserve"> can </w:t>
      </w:r>
      <w:r w:rsidR="001C5FFB" w:rsidRPr="00D35393">
        <w:rPr>
          <w:lang w:val="en-AU"/>
        </w:rPr>
        <w:t>be violated by pr</w:t>
      </w:r>
      <w:r w:rsidR="00BF571C" w:rsidRPr="00D35393">
        <w:rPr>
          <w:lang w:val="en-AU"/>
        </w:rPr>
        <w:t xml:space="preserve">ivate hospitals who </w:t>
      </w:r>
      <w:r w:rsidR="000B7617" w:rsidRPr="00D35393">
        <w:rPr>
          <w:lang w:val="en-AU"/>
        </w:rPr>
        <w:t>carry out non-consensual “normalising” surgeries on intersex infants.</w:t>
      </w:r>
      <w:r w:rsidR="008F01F9" w:rsidRPr="00D35393">
        <w:rPr>
          <w:i/>
          <w:lang w:val="en-AU"/>
        </w:rPr>
        <w:t xml:space="preserve"> </w:t>
      </w:r>
      <w:r w:rsidR="00923070" w:rsidRPr="00D35393">
        <w:rPr>
          <w:i/>
          <w:lang w:val="en-AU"/>
        </w:rPr>
        <w:t>General Comment No. 22 on the Right to Sexual and Reproductive Health</w:t>
      </w:r>
      <w:r w:rsidR="00923070">
        <w:rPr>
          <w:lang w:val="en-AU"/>
        </w:rPr>
        <w:t xml:space="preserve"> (2016) </w:t>
      </w:r>
      <w:r w:rsidR="008F01F9" w:rsidRPr="00D35393">
        <w:rPr>
          <w:lang w:val="en-AU"/>
        </w:rPr>
        <w:t>specifically recognised that</w:t>
      </w:r>
      <w:r w:rsidR="008F01F9" w:rsidRPr="00D35393">
        <w:rPr>
          <w:i/>
          <w:lang w:val="en-AU"/>
        </w:rPr>
        <w:t xml:space="preserve"> </w:t>
      </w:r>
      <w:r w:rsidR="008F01F9" w:rsidRPr="00D35393">
        <w:rPr>
          <w:lang w:val="en-AU"/>
        </w:rPr>
        <w:t>“medically unnecessary, irreversible and involuntary surgery and treatment performed on intersex infants or children”</w:t>
      </w:r>
      <w:r w:rsidR="008819E4">
        <w:rPr>
          <w:lang w:val="en-AU"/>
        </w:rPr>
        <w:t xml:space="preserve"> constitute</w:t>
      </w:r>
      <w:r w:rsidR="008F01F9" w:rsidRPr="00D35393">
        <w:rPr>
          <w:lang w:val="en-AU"/>
        </w:rPr>
        <w:t xml:space="preserve"> a violation of their right to sexual and reproductive health.</w:t>
      </w:r>
      <w:r w:rsidR="00BB6A41" w:rsidRPr="00D35393">
        <w:rPr>
          <w:rStyle w:val="FootnoteReference"/>
          <w:lang w:val="en-AU"/>
        </w:rPr>
        <w:footnoteReference w:id="12"/>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6"/>
      </w:tblGrid>
      <w:tr w:rsidR="00EC14E5" w:rsidRPr="002E206C" w:rsidTr="002E206C">
        <w:tc>
          <w:tcPr>
            <w:tcW w:w="9245" w:type="dxa"/>
            <w:shd w:val="clear" w:color="auto" w:fill="F2F2F2"/>
          </w:tcPr>
          <w:p w:rsidR="00EC14E5" w:rsidRPr="002E206C" w:rsidRDefault="00094FD9" w:rsidP="002E206C">
            <w:pPr>
              <w:pStyle w:val="Level2Paragraph"/>
              <w:numPr>
                <w:ilvl w:val="0"/>
                <w:numId w:val="0"/>
              </w:numPr>
              <w:overflowPunct w:val="0"/>
              <w:autoSpaceDE w:val="0"/>
              <w:autoSpaceDN w:val="0"/>
              <w:textAlignment w:val="baseline"/>
              <w:rPr>
                <w:b/>
                <w:lang w:val="en-AU"/>
              </w:rPr>
            </w:pPr>
            <w:r w:rsidRPr="002E206C">
              <w:rPr>
                <w:b/>
                <w:lang w:val="en-AU"/>
              </w:rPr>
              <w:t>Recommendation</w:t>
            </w:r>
            <w:r w:rsidR="009668B6" w:rsidRPr="002E206C">
              <w:rPr>
                <w:b/>
                <w:lang w:val="en-AU"/>
              </w:rPr>
              <w:t xml:space="preserve"> 3</w:t>
            </w:r>
          </w:p>
          <w:p w:rsidR="00094FD9" w:rsidRPr="002E206C" w:rsidRDefault="00094FD9" w:rsidP="002E206C">
            <w:pPr>
              <w:pStyle w:val="Level2Paragraph"/>
              <w:numPr>
                <w:ilvl w:val="0"/>
                <w:numId w:val="0"/>
              </w:numPr>
              <w:overflowPunct w:val="0"/>
              <w:autoSpaceDE w:val="0"/>
              <w:autoSpaceDN w:val="0"/>
              <w:ind w:left="4" w:hanging="4"/>
              <w:textAlignment w:val="baseline"/>
              <w:rPr>
                <w:lang w:val="en-AU"/>
              </w:rPr>
            </w:pPr>
            <w:r w:rsidRPr="002E206C">
              <w:rPr>
                <w:lang w:val="en-AU"/>
              </w:rPr>
              <w:t>Kaleidoscope recommends that para. 19 of the Draft General Comment be amended to read:</w:t>
            </w:r>
          </w:p>
          <w:p w:rsidR="00094FD9" w:rsidRPr="002E206C" w:rsidRDefault="00094FD9" w:rsidP="002E206C">
            <w:pPr>
              <w:pStyle w:val="Generallevel1"/>
              <w:numPr>
                <w:ilvl w:val="0"/>
                <w:numId w:val="0"/>
              </w:numPr>
              <w:overflowPunct w:val="0"/>
              <w:autoSpaceDE w:val="0"/>
              <w:autoSpaceDN w:val="0"/>
              <w:ind w:left="571"/>
              <w:textAlignment w:val="baseline"/>
              <w:rPr>
                <w:lang w:val="en-AU"/>
              </w:rPr>
            </w:pPr>
            <w:r w:rsidRPr="002E206C">
              <w:rPr>
                <w:lang w:val="en-AU"/>
              </w:rPr>
              <w:t xml:space="preserve">“This obligation to protect at times necessitates more direct regulation and intervention. States Parties should consider measures such as, for instance: restricting marketing and advertising of certain goods and services in order to protect public health  or to combat stereotyping and discrimination; exercising rent control in the private housing market to as required for the protection of everyone’s right to adequate housing; establishing minimum wage and fair remuneration practices to ensure adequate working conditions; and regulating other business activities concerning the Covenant rights to education, employment, and reproductive health, in order to effectively combat gender discrimination </w:t>
            </w:r>
            <w:r w:rsidRPr="002E206C">
              <w:rPr>
                <w:u w:val="single"/>
                <w:lang w:val="en-AU"/>
              </w:rPr>
              <w:t>and other forms of discrimination on grounds prohibited under Article 2(2) of the Covenant</w:t>
            </w:r>
            <w:r w:rsidR="00152978" w:rsidRPr="002E206C">
              <w:rPr>
                <w:u w:val="single"/>
                <w:lang w:val="en-AU"/>
              </w:rPr>
              <w:t xml:space="preserve"> (see para. 9)</w:t>
            </w:r>
            <w:r w:rsidRPr="002E206C">
              <w:rPr>
                <w:lang w:val="en-AU"/>
              </w:rPr>
              <w:t>.”</w:t>
            </w:r>
          </w:p>
        </w:tc>
      </w:tr>
    </w:tbl>
    <w:p w:rsidR="00EC14E5" w:rsidRPr="00D35393" w:rsidRDefault="00EC14E5" w:rsidP="00827F42">
      <w:pPr>
        <w:pStyle w:val="Level2Paragraph"/>
        <w:numPr>
          <w:ilvl w:val="0"/>
          <w:numId w:val="0"/>
        </w:numPr>
        <w:spacing w:after="0"/>
        <w:ind w:left="709"/>
        <w:rPr>
          <w:lang w:val="en-AU"/>
        </w:rPr>
      </w:pPr>
    </w:p>
    <w:p w:rsidR="00622635" w:rsidRPr="00D35393" w:rsidRDefault="00622635" w:rsidP="0091520C">
      <w:pPr>
        <w:pStyle w:val="Level2Paragraph"/>
        <w:rPr>
          <w:lang w:val="en-AU"/>
        </w:rPr>
      </w:pPr>
      <w:r w:rsidRPr="00D35393">
        <w:rPr>
          <w:lang w:val="en-AU"/>
        </w:rPr>
        <w:t xml:space="preserve">Kaleidoscope welcomes the </w:t>
      </w:r>
      <w:r w:rsidR="00BB6A41" w:rsidRPr="00D35393">
        <w:rPr>
          <w:lang w:val="en-AU"/>
        </w:rPr>
        <w:t>recognition</w:t>
      </w:r>
      <w:r w:rsidRPr="00D35393">
        <w:rPr>
          <w:lang w:val="en-AU"/>
        </w:rPr>
        <w:t xml:space="preserve"> in para. 24 </w:t>
      </w:r>
      <w:r w:rsidR="00BB6A41" w:rsidRPr="00D35393">
        <w:rPr>
          <w:lang w:val="en-AU"/>
        </w:rPr>
        <w:t xml:space="preserve">of the Draft General Comment that States Parties violate the Covenant when they fail to adopt legislation aimed at preventing private health providers from “denying access </w:t>
      </w:r>
      <w:r w:rsidR="00BB6A41" w:rsidRPr="00D35393">
        <w:rPr>
          <w:bdr w:val="none" w:sz="0" w:space="0" w:color="auto" w:frame="1"/>
          <w:lang w:val="en-AU"/>
        </w:rPr>
        <w:t xml:space="preserve">to affordable and quality services, treatments or </w:t>
      </w:r>
      <w:r w:rsidR="00BB6A41" w:rsidRPr="00D35393">
        <w:rPr>
          <w:bdr w:val="none" w:sz="0" w:space="0" w:color="auto" w:frame="1"/>
          <w:lang w:val="en-AU"/>
        </w:rPr>
        <w:lastRenderedPageBreak/>
        <w:t>information”. The Draft General Comment mentions that this includes the provision of “inadequate protection against non-consensual medical treatment and experimentation”.</w:t>
      </w:r>
    </w:p>
    <w:p w:rsidR="00C80841" w:rsidRPr="00D35393" w:rsidRDefault="00BB6A41" w:rsidP="0091520C">
      <w:pPr>
        <w:pStyle w:val="Level2Paragraph"/>
        <w:rPr>
          <w:lang w:val="en-AU"/>
        </w:rPr>
      </w:pPr>
      <w:r w:rsidRPr="00D35393">
        <w:rPr>
          <w:bdr w:val="none" w:sz="0" w:space="0" w:color="auto" w:frame="1"/>
          <w:lang w:val="en-AU"/>
        </w:rPr>
        <w:t xml:space="preserve">However, Kaleidoscope considers that para. 24 should specifically make reference to the non-consensual medical treatment of intersex infants. </w:t>
      </w:r>
      <w:r w:rsidR="00EC14E5" w:rsidRPr="00D35393">
        <w:rPr>
          <w:bdr w:val="none" w:sz="0" w:space="0" w:color="auto" w:frame="1"/>
          <w:lang w:val="en-AU"/>
        </w:rPr>
        <w:t xml:space="preserve">As mentioned </w:t>
      </w:r>
      <w:r w:rsidR="00713635" w:rsidRPr="00D35393">
        <w:rPr>
          <w:bdr w:val="none" w:sz="0" w:space="0" w:color="auto" w:frame="1"/>
          <w:lang w:val="en-AU"/>
        </w:rPr>
        <w:t xml:space="preserve">in para. 4.2.3 </w:t>
      </w:r>
      <w:r w:rsidR="00EC14E5" w:rsidRPr="00D35393">
        <w:rPr>
          <w:bdr w:val="none" w:sz="0" w:space="0" w:color="auto" w:frame="1"/>
          <w:lang w:val="en-AU"/>
        </w:rPr>
        <w:t xml:space="preserve">above, the ESCR Committee </w:t>
      </w:r>
      <w:r w:rsidR="00713635" w:rsidRPr="00D35393">
        <w:rPr>
          <w:bdr w:val="none" w:sz="0" w:space="0" w:color="auto" w:frame="1"/>
          <w:lang w:val="en-AU"/>
        </w:rPr>
        <w:t>has</w:t>
      </w:r>
      <w:r w:rsidR="004866E5" w:rsidRPr="00D35393">
        <w:rPr>
          <w:bdr w:val="none" w:sz="0" w:space="0" w:color="auto" w:frame="1"/>
          <w:lang w:val="en-AU"/>
        </w:rPr>
        <w:t xml:space="preserve"> </w:t>
      </w:r>
      <w:r w:rsidR="00595217" w:rsidRPr="00D35393">
        <w:rPr>
          <w:bdr w:val="none" w:sz="0" w:space="0" w:color="auto" w:frame="1"/>
          <w:lang w:val="en-AU"/>
        </w:rPr>
        <w:t xml:space="preserve">previously </w:t>
      </w:r>
      <w:r w:rsidR="00D35393">
        <w:rPr>
          <w:bdr w:val="none" w:sz="0" w:space="0" w:color="auto" w:frame="1"/>
          <w:lang w:val="en-AU"/>
        </w:rPr>
        <w:t>recognis</w:t>
      </w:r>
      <w:r w:rsidR="00713635" w:rsidRPr="00D35393">
        <w:rPr>
          <w:bdr w:val="none" w:sz="0" w:space="0" w:color="auto" w:frame="1"/>
          <w:lang w:val="en-AU"/>
        </w:rPr>
        <w:t>ed</w:t>
      </w:r>
      <w:r w:rsidR="00286D35" w:rsidRPr="00D35393">
        <w:rPr>
          <w:bdr w:val="none" w:sz="0" w:space="0" w:color="auto" w:frame="1"/>
          <w:lang w:val="en-AU"/>
        </w:rPr>
        <w:t xml:space="preserve"> that</w:t>
      </w:r>
      <w:r w:rsidR="00713635" w:rsidRPr="00D35393">
        <w:rPr>
          <w:bdr w:val="none" w:sz="0" w:space="0" w:color="auto" w:frame="1"/>
          <w:lang w:val="en-AU"/>
        </w:rPr>
        <w:t xml:space="preserve"> non-consensual medical interventions on intersex infants </w:t>
      </w:r>
      <w:r w:rsidR="00765F67">
        <w:rPr>
          <w:bdr w:val="none" w:sz="0" w:space="0" w:color="auto" w:frame="1"/>
          <w:lang w:val="en-AU"/>
        </w:rPr>
        <w:t xml:space="preserve">and children </w:t>
      </w:r>
      <w:r w:rsidR="00286D35" w:rsidRPr="00D35393">
        <w:rPr>
          <w:bdr w:val="none" w:sz="0" w:space="0" w:color="auto" w:frame="1"/>
          <w:lang w:val="en-AU"/>
        </w:rPr>
        <w:t>are a</w:t>
      </w:r>
      <w:r w:rsidR="00EC14E5" w:rsidRPr="00D35393">
        <w:rPr>
          <w:bdr w:val="none" w:sz="0" w:space="0" w:color="auto" w:frame="1"/>
          <w:lang w:val="en-AU"/>
        </w:rPr>
        <w:t xml:space="preserve"> violation of the</w:t>
      </w:r>
      <w:r w:rsidR="00C21C83">
        <w:rPr>
          <w:bdr w:val="none" w:sz="0" w:space="0" w:color="auto" w:frame="1"/>
          <w:lang w:val="en-AU"/>
        </w:rPr>
        <w:t>ir</w:t>
      </w:r>
      <w:r w:rsidR="00EC14E5" w:rsidRPr="00D35393">
        <w:rPr>
          <w:bdr w:val="none" w:sz="0" w:space="0" w:color="auto" w:frame="1"/>
          <w:lang w:val="en-AU"/>
        </w:rPr>
        <w:t xml:space="preserve"> right to sexual and reproductive health.</w:t>
      </w:r>
      <w:r w:rsidR="00713635" w:rsidRPr="00D35393">
        <w:rPr>
          <w:rStyle w:val="FootnoteReference"/>
          <w:bdr w:val="none" w:sz="0" w:space="0" w:color="auto" w:frame="1"/>
          <w:lang w:val="en-AU"/>
        </w:rPr>
        <w:footnoteReference w:id="13"/>
      </w:r>
      <w:r w:rsidR="00713635" w:rsidRPr="00D35393">
        <w:rPr>
          <w:bdr w:val="none" w:sz="0" w:space="0" w:color="auto" w:frame="1"/>
          <w:lang w:val="en-AU"/>
        </w:rPr>
        <w:t xml:space="preserve"> </w:t>
      </w:r>
      <w:r w:rsidR="00C80841" w:rsidRPr="00D35393">
        <w:rPr>
          <w:bdr w:val="none" w:sz="0" w:space="0" w:color="auto" w:frame="1"/>
          <w:lang w:val="en-AU"/>
        </w:rPr>
        <w:t>Such interventions are also widespread globally, with Malta and Chile being the only States Parties to prohibit non-consensual medical interventions on intersex infants</w:t>
      </w:r>
      <w:r w:rsidR="00307C59" w:rsidRPr="00D35393">
        <w:rPr>
          <w:bdr w:val="none" w:sz="0" w:space="0" w:color="auto" w:frame="1"/>
          <w:lang w:val="en-AU"/>
        </w:rPr>
        <w:t xml:space="preserve"> as of January 2017</w:t>
      </w:r>
      <w:r w:rsidR="00C80841" w:rsidRPr="00D35393">
        <w:rPr>
          <w:bdr w:val="none" w:sz="0" w:space="0" w:color="auto" w:frame="1"/>
          <w:lang w:val="en-AU"/>
        </w:rPr>
        <w:t>.</w:t>
      </w:r>
      <w:r w:rsidR="008A7731" w:rsidRPr="00D35393">
        <w:rPr>
          <w:rStyle w:val="FootnoteReference"/>
          <w:bdr w:val="none" w:sz="0" w:space="0" w:color="auto" w:frame="1"/>
          <w:lang w:val="en-AU"/>
        </w:rPr>
        <w:footnoteReference w:id="14"/>
      </w:r>
    </w:p>
    <w:p w:rsidR="00BB6A41" w:rsidRPr="00D35393" w:rsidRDefault="005F3316" w:rsidP="0091520C">
      <w:pPr>
        <w:pStyle w:val="Level2Paragraph"/>
        <w:rPr>
          <w:lang w:val="en-AU"/>
        </w:rPr>
      </w:pPr>
      <w:r w:rsidRPr="00D35393">
        <w:rPr>
          <w:bdr w:val="none" w:sz="0" w:space="0" w:color="auto" w:frame="1"/>
          <w:lang w:val="en-AU"/>
        </w:rPr>
        <w:t xml:space="preserve">To provide </w:t>
      </w:r>
      <w:r w:rsidR="00E75FA4" w:rsidRPr="00D35393">
        <w:rPr>
          <w:bdr w:val="none" w:sz="0" w:space="0" w:color="auto" w:frame="1"/>
          <w:lang w:val="en-AU"/>
        </w:rPr>
        <w:t xml:space="preserve">greater clarity to States Parties’ obligation in this </w:t>
      </w:r>
      <w:r w:rsidR="000F1620" w:rsidRPr="00D35393">
        <w:rPr>
          <w:bdr w:val="none" w:sz="0" w:space="0" w:color="auto" w:frame="1"/>
          <w:lang w:val="en-AU"/>
        </w:rPr>
        <w:t>area</w:t>
      </w:r>
      <w:r w:rsidR="00E75FA4" w:rsidRPr="00D35393">
        <w:rPr>
          <w:bdr w:val="none" w:sz="0" w:space="0" w:color="auto" w:frame="1"/>
          <w:lang w:val="en-AU"/>
        </w:rPr>
        <w:t xml:space="preserve">, </w:t>
      </w:r>
      <w:r w:rsidR="003F7909" w:rsidRPr="00D35393">
        <w:rPr>
          <w:bdr w:val="none" w:sz="0" w:space="0" w:color="auto" w:frame="1"/>
          <w:lang w:val="en-AU"/>
        </w:rPr>
        <w:t xml:space="preserve">para. 24 should therefore be amended to </w:t>
      </w:r>
      <w:r w:rsidR="00A003B5" w:rsidRPr="00D35393">
        <w:rPr>
          <w:bdr w:val="none" w:sz="0" w:space="0" w:color="auto" w:frame="1"/>
          <w:lang w:val="en-AU"/>
        </w:rPr>
        <w:t xml:space="preserve">specifically </w:t>
      </w:r>
      <w:r w:rsidR="003B0ACF" w:rsidRPr="00D35393">
        <w:rPr>
          <w:bdr w:val="none" w:sz="0" w:space="0" w:color="auto" w:frame="1"/>
          <w:lang w:val="en-AU"/>
        </w:rPr>
        <w:t>mention</w:t>
      </w:r>
      <w:r w:rsidR="00A003B5" w:rsidRPr="00D35393">
        <w:rPr>
          <w:bdr w:val="none" w:sz="0" w:space="0" w:color="auto" w:frame="1"/>
          <w:lang w:val="en-AU"/>
        </w:rPr>
        <w:t xml:space="preserve"> </w:t>
      </w:r>
      <w:r w:rsidR="00B64EEF" w:rsidRPr="00D35393">
        <w:rPr>
          <w:bdr w:val="none" w:sz="0" w:space="0" w:color="auto" w:frame="1"/>
          <w:lang w:val="en-AU"/>
        </w:rPr>
        <w:t>this issue.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6"/>
      </w:tblGrid>
      <w:tr w:rsidR="00746B08" w:rsidRPr="002E206C" w:rsidTr="002E206C">
        <w:tc>
          <w:tcPr>
            <w:tcW w:w="8536" w:type="dxa"/>
            <w:shd w:val="clear" w:color="auto" w:fill="F2F2F2"/>
          </w:tcPr>
          <w:p w:rsidR="00746B08" w:rsidRPr="002E206C" w:rsidRDefault="00746B08" w:rsidP="002E206C">
            <w:pPr>
              <w:pStyle w:val="Level2Paragraph"/>
              <w:numPr>
                <w:ilvl w:val="0"/>
                <w:numId w:val="0"/>
              </w:numPr>
              <w:overflowPunct w:val="0"/>
              <w:autoSpaceDE w:val="0"/>
              <w:autoSpaceDN w:val="0"/>
              <w:textAlignment w:val="baseline"/>
              <w:rPr>
                <w:b/>
                <w:lang w:val="en-AU"/>
              </w:rPr>
            </w:pPr>
            <w:r w:rsidRPr="002E206C">
              <w:rPr>
                <w:b/>
                <w:lang w:val="en-AU"/>
              </w:rPr>
              <w:t>Recommendation</w:t>
            </w:r>
            <w:r w:rsidR="009668B6" w:rsidRPr="002E206C">
              <w:rPr>
                <w:b/>
                <w:lang w:val="en-AU"/>
              </w:rPr>
              <w:t xml:space="preserve"> 4</w:t>
            </w:r>
          </w:p>
          <w:p w:rsidR="00746B08" w:rsidRPr="002E206C" w:rsidRDefault="00746B08" w:rsidP="002E206C">
            <w:pPr>
              <w:pStyle w:val="Level2Paragraph"/>
              <w:numPr>
                <w:ilvl w:val="0"/>
                <w:numId w:val="0"/>
              </w:numPr>
              <w:overflowPunct w:val="0"/>
              <w:autoSpaceDE w:val="0"/>
              <w:autoSpaceDN w:val="0"/>
              <w:ind w:left="4" w:hanging="4"/>
              <w:textAlignment w:val="baseline"/>
              <w:rPr>
                <w:lang w:val="en-AU"/>
              </w:rPr>
            </w:pPr>
            <w:r w:rsidRPr="002E206C">
              <w:rPr>
                <w:lang w:val="en-AU"/>
              </w:rPr>
              <w:t>Kaleidoscope recommends that the first bullet point of para. 24 of the Draft General Comment be amended to read:</w:t>
            </w:r>
          </w:p>
          <w:p w:rsidR="00746B08" w:rsidRPr="002E206C" w:rsidRDefault="00746B08" w:rsidP="002E206C">
            <w:pPr>
              <w:pStyle w:val="Generallevel1"/>
              <w:numPr>
                <w:ilvl w:val="0"/>
                <w:numId w:val="0"/>
              </w:numPr>
              <w:overflowPunct w:val="0"/>
              <w:autoSpaceDE w:val="0"/>
              <w:autoSpaceDN w:val="0"/>
              <w:ind w:left="571"/>
              <w:textAlignment w:val="baseline"/>
              <w:rPr>
                <w:lang w:val="en-AU"/>
              </w:rPr>
            </w:pPr>
            <w:r w:rsidRPr="002E206C">
              <w:rPr>
                <w:lang w:val="en-AU"/>
              </w:rPr>
              <w:t xml:space="preserve">“States Parties’ failure to adopt and enforce necessary legislation aimed at preventing private health providers from denying access to affordable and quality services, treatments or information. This includes denial of services and care necessary for the realization of women’s sexual and reproductive rights and inadequate protection against non-consensual medical treatment and experimentation </w:t>
            </w:r>
            <w:r w:rsidRPr="002E206C">
              <w:rPr>
                <w:u w:val="single"/>
                <w:lang w:val="en-AU"/>
              </w:rPr>
              <w:t xml:space="preserve">(including non-consensual </w:t>
            </w:r>
            <w:r w:rsidR="0024038A" w:rsidRPr="002E206C">
              <w:rPr>
                <w:u w:val="single"/>
                <w:lang w:val="en-AU"/>
              </w:rPr>
              <w:t xml:space="preserve">surgeries and </w:t>
            </w:r>
            <w:r w:rsidR="00393C88" w:rsidRPr="002E206C">
              <w:rPr>
                <w:u w:val="single"/>
                <w:lang w:val="en-AU"/>
              </w:rPr>
              <w:t xml:space="preserve">other </w:t>
            </w:r>
            <w:r w:rsidRPr="002E206C">
              <w:rPr>
                <w:u w:val="single"/>
                <w:lang w:val="en-AU"/>
              </w:rPr>
              <w:t xml:space="preserve">medical interventions </w:t>
            </w:r>
            <w:r w:rsidR="000C0D95" w:rsidRPr="002E206C">
              <w:rPr>
                <w:u w:val="single"/>
                <w:lang w:val="en-AU"/>
              </w:rPr>
              <w:t xml:space="preserve">performed on intersex infants </w:t>
            </w:r>
            <w:r w:rsidR="0021392B" w:rsidRPr="002E206C">
              <w:rPr>
                <w:u w:val="single"/>
                <w:lang w:val="en-AU"/>
              </w:rPr>
              <w:t>or</w:t>
            </w:r>
            <w:r w:rsidR="000C0D95" w:rsidRPr="002E206C">
              <w:rPr>
                <w:u w:val="single"/>
                <w:lang w:val="en-AU"/>
              </w:rPr>
              <w:t xml:space="preserve"> children</w:t>
            </w:r>
            <w:r w:rsidRPr="002E206C">
              <w:rPr>
                <w:lang w:val="en-AU"/>
              </w:rPr>
              <w:t>).</w:t>
            </w:r>
            <w:r w:rsidR="00A003B5" w:rsidRPr="002E206C">
              <w:rPr>
                <w:lang w:val="en-AU"/>
              </w:rPr>
              <w:t>”</w:t>
            </w:r>
          </w:p>
        </w:tc>
      </w:tr>
    </w:tbl>
    <w:p w:rsidR="00746B08" w:rsidRPr="00D35393" w:rsidRDefault="00746B08" w:rsidP="00746B08">
      <w:pPr>
        <w:pStyle w:val="Level2Paragraph"/>
        <w:numPr>
          <w:ilvl w:val="0"/>
          <w:numId w:val="0"/>
        </w:numPr>
        <w:ind w:left="709"/>
        <w:rPr>
          <w:lang w:val="en-AU"/>
        </w:rPr>
      </w:pPr>
    </w:p>
    <w:p w:rsidR="00EF5D9C" w:rsidRPr="00D35393" w:rsidRDefault="00EF5D9C" w:rsidP="00EF5D9C">
      <w:pPr>
        <w:pStyle w:val="Level2Paragraph"/>
        <w:numPr>
          <w:ilvl w:val="0"/>
          <w:numId w:val="0"/>
        </w:numPr>
        <w:ind w:left="709" w:hanging="709"/>
        <w:rPr>
          <w:i/>
          <w:lang w:val="en-AU"/>
        </w:rPr>
      </w:pPr>
    </w:p>
    <w:sectPr w:rsidR="00EF5D9C" w:rsidRPr="00D35393">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9" w:h="16834" w:code="9"/>
      <w:pgMar w:top="1440" w:right="1440" w:bottom="1440" w:left="1440" w:header="720" w:footer="70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AB6" w:rsidRDefault="00AC7AB6">
      <w:pPr>
        <w:spacing w:line="20" w:lineRule="exact"/>
      </w:pPr>
    </w:p>
  </w:endnote>
  <w:endnote w:type="continuationSeparator" w:id="0">
    <w:p w:rsidR="00AC7AB6" w:rsidRDefault="00AC7AB6">
      <w:pPr>
        <w:spacing w:line="20" w:lineRule="exact"/>
      </w:pPr>
    </w:p>
  </w:endnote>
  <w:endnote w:type="continuationNotice" w:id="1">
    <w:p w:rsidR="00AC7AB6" w:rsidRDefault="00AC7AB6">
      <w:pPr>
        <w:spacing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STZhongsong">
    <w:altName w:val="MS Mincho"/>
    <w:charset w:val="86"/>
    <w:family w:val="auto"/>
    <w:pitch w:val="variable"/>
    <w:sig w:usb0="00000000"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5E0" w:rsidRDefault="003955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955E0" w:rsidRDefault="003955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5E0" w:rsidRDefault="003955E0">
    <w:pPr>
      <w:pStyle w:val="Footer"/>
      <w:pBdr>
        <w:top w:val="single" w:sz="6" w:space="1" w:color="auto"/>
      </w:pBdr>
      <w:tabs>
        <w:tab w:val="clear" w:pos="4153"/>
        <w:tab w:val="clear" w:pos="8306"/>
        <w:tab w:val="right" w:pos="9090"/>
      </w:tabs>
      <w:rPr>
        <w:rStyle w:val="PageNumber"/>
      </w:rPr>
    </w:pPr>
    <w:r>
      <w:rPr>
        <w:sz w:val="16"/>
        <w:szCs w:val="16"/>
      </w:rPr>
      <w:tab/>
    </w:r>
    <w:r>
      <w:rPr>
        <w:rStyle w:val="PageNumber"/>
      </w:rPr>
      <w:fldChar w:fldCharType="begin"/>
    </w:r>
    <w:r>
      <w:rPr>
        <w:rStyle w:val="PageNumber"/>
      </w:rPr>
      <w:instrText xml:space="preserve"> PAGE </w:instrText>
    </w:r>
    <w:r>
      <w:rPr>
        <w:rStyle w:val="PageNumber"/>
      </w:rPr>
      <w:fldChar w:fldCharType="separate"/>
    </w:r>
    <w:r w:rsidR="006468ED">
      <w:rPr>
        <w:rStyle w:val="PageNumber"/>
        <w:noProof/>
      </w:rPr>
      <w:t>2</w:t>
    </w:r>
    <w:r>
      <w:rPr>
        <w:rStyle w:val="PageNumber"/>
      </w:rPr>
      <w:fldChar w:fldCharType="end"/>
    </w:r>
  </w:p>
  <w:bookmarkStart w:id="2" w:name="bkmCurrentVersion"/>
  <w:p w:rsidR="003955E0" w:rsidRDefault="003955E0">
    <w:pPr>
      <w:pStyle w:val="Footer"/>
      <w:rPr>
        <w:i/>
        <w:iCs/>
        <w:vanish/>
        <w:sz w:val="16"/>
        <w:szCs w:val="16"/>
      </w:rPr>
    </w:pPr>
    <w:r>
      <w:fldChar w:fldCharType="begin"/>
    </w:r>
    <w:r>
      <w:rPr>
        <w:i/>
        <w:iCs/>
        <w:vanish/>
        <w:sz w:val="16"/>
        <w:szCs w:val="16"/>
      </w:rPr>
      <w:instrText xml:space="preserve"> DOCVARIABLE gemCurrentVersion \* MERGEFORMAT </w:instrText>
    </w:r>
    <w:r>
      <w:fldChar w:fldCharType="separate"/>
    </w:r>
    <w:r>
      <w:rPr>
        <w:i/>
        <w:iCs/>
        <w:vanish/>
        <w:sz w:val="16"/>
        <w:szCs w:val="16"/>
      </w:rPr>
      <w:t xml:space="preserve"> </w:t>
    </w:r>
    <w:r>
      <w:fldChar w:fldCharType="end"/>
    </w:r>
    <w:bookmarkEnd w:id="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5E0" w:rsidRDefault="003955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AB6" w:rsidRDefault="00AC7AB6">
      <w:r>
        <w:separator/>
      </w:r>
    </w:p>
  </w:footnote>
  <w:footnote w:type="continuationSeparator" w:id="0">
    <w:p w:rsidR="00AC7AB6" w:rsidRDefault="00AC7AB6">
      <w:r>
        <w:continuationSeparator/>
      </w:r>
    </w:p>
  </w:footnote>
  <w:footnote w:type="continuationNotice" w:id="1">
    <w:p w:rsidR="00AC7AB6" w:rsidRDefault="00AC7AB6"/>
  </w:footnote>
  <w:footnote w:id="2">
    <w:p w:rsidR="00E37FBF" w:rsidRPr="00E37FBF" w:rsidRDefault="00E37FBF" w:rsidP="00185E7C">
      <w:pPr>
        <w:pStyle w:val="FootnoteText"/>
        <w:ind w:left="142" w:hanging="142"/>
        <w:rPr>
          <w:lang w:val="en-AU"/>
        </w:rPr>
      </w:pPr>
      <w:r>
        <w:rPr>
          <w:rStyle w:val="FootnoteReference"/>
        </w:rPr>
        <w:footnoteRef/>
      </w:r>
      <w:r>
        <w:t xml:space="preserve"> </w:t>
      </w:r>
      <w:r w:rsidR="00C94A95">
        <w:t>ESCR Committee</w:t>
      </w:r>
      <w:r w:rsidR="005F3EDF">
        <w:t xml:space="preserve">, </w:t>
      </w:r>
      <w:r w:rsidR="00185E7C" w:rsidRPr="00185E7C">
        <w:rPr>
          <w:i/>
          <w:lang w:val="en-AU"/>
        </w:rPr>
        <w:t xml:space="preserve">General comment No. 20 on </w:t>
      </w:r>
      <w:r w:rsidR="00185E7C" w:rsidRPr="00185E7C">
        <w:rPr>
          <w:i/>
        </w:rPr>
        <w:t>Non-discrimination in economic, social and cultural rights (art. 2, para. 2, of the International Covenant on Economic, Social and Cultural Rights)</w:t>
      </w:r>
      <w:r w:rsidR="00185E7C">
        <w:rPr>
          <w:lang w:val="en-AU"/>
        </w:rPr>
        <w:t xml:space="preserve">, 2 July 2009, UN Doc E/C.12/GC/20, </w:t>
      </w:r>
      <w:r w:rsidR="005F3EDF">
        <w:rPr>
          <w:lang w:val="en-AU"/>
        </w:rPr>
        <w:t>para. 32</w:t>
      </w:r>
      <w:r>
        <w:rPr>
          <w:lang w:val="en-AU"/>
        </w:rPr>
        <w:t>.</w:t>
      </w:r>
    </w:p>
  </w:footnote>
  <w:footnote w:id="3">
    <w:p w:rsidR="006D1FE2" w:rsidRPr="006D1FE2" w:rsidRDefault="006D1FE2" w:rsidP="005F3EDF">
      <w:pPr>
        <w:pStyle w:val="FootnoteText"/>
        <w:ind w:left="142" w:hanging="142"/>
        <w:rPr>
          <w:lang w:val="en-AU"/>
        </w:rPr>
      </w:pPr>
      <w:r>
        <w:rPr>
          <w:rStyle w:val="FootnoteReference"/>
        </w:rPr>
        <w:footnoteRef/>
      </w:r>
      <w:r>
        <w:t xml:space="preserve"> </w:t>
      </w:r>
      <w:r w:rsidR="00C94A95">
        <w:rPr>
          <w:lang w:val="en-AU"/>
        </w:rPr>
        <w:t>ESCR Committee</w:t>
      </w:r>
      <w:r w:rsidR="005F3EDF">
        <w:rPr>
          <w:lang w:val="en-AU"/>
        </w:rPr>
        <w:t xml:space="preserve">, </w:t>
      </w:r>
      <w:r w:rsidR="005F3EDF" w:rsidRPr="005F3EDF">
        <w:rPr>
          <w:i/>
        </w:rPr>
        <w:t>General comment No. 22 (2016) on the right to sexual and reproductive health (article 12 of the International Covenant on Economic, Social and Cultural Rights)</w:t>
      </w:r>
      <w:r w:rsidR="005F3EDF">
        <w:t>, 2 May 2016, UN Doc E/C.12/GC/22,</w:t>
      </w:r>
      <w:r w:rsidR="005F3EDF">
        <w:rPr>
          <w:lang w:val="en-AU"/>
        </w:rPr>
        <w:t xml:space="preserve"> para. 23.</w:t>
      </w:r>
    </w:p>
  </w:footnote>
  <w:footnote w:id="4">
    <w:p w:rsidR="00BC78F1" w:rsidRPr="00BC78F1" w:rsidRDefault="00BC78F1" w:rsidP="00665DEF">
      <w:pPr>
        <w:pStyle w:val="FootnoteText"/>
        <w:ind w:left="142" w:hanging="142"/>
        <w:jc w:val="left"/>
        <w:rPr>
          <w:lang w:val="en-AU"/>
        </w:rPr>
      </w:pPr>
      <w:r>
        <w:rPr>
          <w:rStyle w:val="FootnoteReference"/>
        </w:rPr>
        <w:footnoteRef/>
      </w:r>
      <w:r>
        <w:t xml:space="preserve"> </w:t>
      </w:r>
      <w:r>
        <w:rPr>
          <w:lang w:val="en-AU"/>
        </w:rPr>
        <w:t>Footnote 26 states, in the context of intersectionality and multiple discrimination: “</w:t>
      </w:r>
      <w:r>
        <w:t>Including groups that are discriminated against on the grounds of race and colour, sex, language, religion, political or other opinion, national or social origin, property, birth or other status, including ethnicity, age, nationality, marital and family status, disability, sexual orientation and gender identity, intersex status, health status, place of residence, economic and social situation or other status, and those facing multiple forms of discrimination. See Committee on Economic, Social and Cultural Rights general comment No. 20”.</w:t>
      </w:r>
    </w:p>
  </w:footnote>
  <w:footnote w:id="5">
    <w:p w:rsidR="00802822" w:rsidRPr="00802822" w:rsidRDefault="00802822" w:rsidP="005F3EDF">
      <w:pPr>
        <w:pStyle w:val="FootnoteText"/>
        <w:ind w:left="142" w:hanging="142"/>
        <w:rPr>
          <w:lang w:val="en-AU"/>
        </w:rPr>
      </w:pPr>
      <w:r>
        <w:rPr>
          <w:rStyle w:val="FootnoteReference"/>
        </w:rPr>
        <w:footnoteRef/>
      </w:r>
      <w:r>
        <w:t xml:space="preserve"> </w:t>
      </w:r>
      <w:r w:rsidR="00C94A95">
        <w:rPr>
          <w:lang w:val="en-AU"/>
        </w:rPr>
        <w:t>ESCR Committee</w:t>
      </w:r>
      <w:r w:rsidR="005F3EDF">
        <w:rPr>
          <w:lang w:val="en-AU"/>
        </w:rPr>
        <w:t xml:space="preserve">, </w:t>
      </w:r>
      <w:r w:rsidR="005F3EDF" w:rsidRPr="005F3EDF">
        <w:rPr>
          <w:i/>
          <w:lang w:val="en-AU"/>
        </w:rPr>
        <w:t>General comment No. 23 (2016) on the right to just and favourable conditions of work (article 7 of the International Covenant on Economic, Social and Cultural Rights)</w:t>
      </w:r>
      <w:r w:rsidR="005F3EDF">
        <w:rPr>
          <w:lang w:val="en-AU"/>
        </w:rPr>
        <w:t>, 27 April 2016, UN Doc E/C.12/GC/23, para. 65(a).</w:t>
      </w:r>
    </w:p>
  </w:footnote>
  <w:footnote w:id="6">
    <w:p w:rsidR="00B20B5A" w:rsidRPr="00B20B5A" w:rsidRDefault="00B20B5A" w:rsidP="00717C97">
      <w:pPr>
        <w:pStyle w:val="FootnoteText"/>
        <w:ind w:left="142" w:hanging="142"/>
        <w:rPr>
          <w:lang w:val="en-AU"/>
        </w:rPr>
      </w:pPr>
      <w:r>
        <w:rPr>
          <w:rStyle w:val="FootnoteReference"/>
        </w:rPr>
        <w:footnoteRef/>
      </w:r>
      <w:r>
        <w:t xml:space="preserve"> </w:t>
      </w:r>
      <w:r>
        <w:rPr>
          <w:lang w:val="en-AU"/>
        </w:rPr>
        <w:t xml:space="preserve">Despite not being a State Party to the Covenant, the United States’ experience with intersectional discrimination of LGBT people </w:t>
      </w:r>
      <w:r w:rsidR="00717C97">
        <w:rPr>
          <w:lang w:val="en-AU"/>
        </w:rPr>
        <w:t>is not unique to that country</w:t>
      </w:r>
      <w:r w:rsidR="00E65D06">
        <w:rPr>
          <w:lang w:val="en-AU"/>
        </w:rPr>
        <w:t xml:space="preserve"> and is </w:t>
      </w:r>
      <w:r w:rsidR="00717C97">
        <w:rPr>
          <w:lang w:val="en-AU"/>
        </w:rPr>
        <w:t>included here for illustrative purposes.</w:t>
      </w:r>
    </w:p>
  </w:footnote>
  <w:footnote w:id="7">
    <w:p w:rsidR="0053442C" w:rsidRPr="0053442C" w:rsidRDefault="0053442C" w:rsidP="0053442C">
      <w:pPr>
        <w:pStyle w:val="FootnoteText"/>
        <w:ind w:left="142" w:hanging="142"/>
        <w:jc w:val="left"/>
        <w:rPr>
          <w:lang w:val="en-AU"/>
        </w:rPr>
      </w:pPr>
      <w:r>
        <w:rPr>
          <w:rStyle w:val="FootnoteReference"/>
        </w:rPr>
        <w:footnoteRef/>
      </w:r>
      <w:r>
        <w:t xml:space="preserve"> Ben Penn, ‘</w:t>
      </w:r>
      <w:r w:rsidRPr="0053442C">
        <w:t>LGBT Minorities Face High Unemployment, Job Discrimination, Low Wages, Study Finds</w:t>
      </w:r>
      <w:r>
        <w:t xml:space="preserve">’, 18 November 2013, </w:t>
      </w:r>
      <w:hyperlink r:id="rId1" w:history="1">
        <w:r w:rsidRPr="001D4096">
          <w:rPr>
            <w:rStyle w:val="Hyperlink"/>
          </w:rPr>
          <w:t>https://www.bna.com/lgbt-minorities-face-high-unemployment-job-discrimination-low-wages-study-finds/</w:t>
        </w:r>
      </w:hyperlink>
      <w:r w:rsidR="00621591">
        <w:t>; Al Jazeera, ‘</w:t>
      </w:r>
      <w:r w:rsidR="00621591" w:rsidRPr="00621591">
        <w:t>Report: LGBT people of color at high risk of poverty</w:t>
      </w:r>
      <w:r w:rsidR="00621591">
        <w:t xml:space="preserve">’, 23 April 2015, </w:t>
      </w:r>
      <w:hyperlink r:id="rId2" w:history="1">
        <w:r w:rsidR="00621591" w:rsidRPr="001D4096">
          <w:rPr>
            <w:rStyle w:val="Hyperlink"/>
          </w:rPr>
          <w:t>http://america.aljazeera.com/articles/2015/4/23/lgbt-people-of-color-more-likely-to-face-poverty.html</w:t>
        </w:r>
      </w:hyperlink>
      <w:r w:rsidR="00621591">
        <w:t xml:space="preserve"> </w:t>
      </w:r>
    </w:p>
  </w:footnote>
  <w:footnote w:id="8">
    <w:p w:rsidR="00D26F9A" w:rsidRPr="00D26F9A" w:rsidRDefault="00D26F9A" w:rsidP="0072027E">
      <w:pPr>
        <w:pStyle w:val="FootnoteText"/>
        <w:ind w:left="142" w:hanging="142"/>
        <w:jc w:val="left"/>
        <w:rPr>
          <w:lang w:val="en-AU"/>
        </w:rPr>
      </w:pPr>
      <w:r>
        <w:rPr>
          <w:rStyle w:val="FootnoteReference"/>
        </w:rPr>
        <w:footnoteRef/>
      </w:r>
      <w:r w:rsidR="0072027E">
        <w:t xml:space="preserve"> </w:t>
      </w:r>
      <w:r w:rsidR="0072027E" w:rsidRPr="0072027E">
        <w:rPr>
          <w:lang w:val="en-AU"/>
        </w:rPr>
        <w:t>COC</w:t>
      </w:r>
      <w:r w:rsidR="0072027E">
        <w:t xml:space="preserve"> Nederland, ‘The Rights of LGBTI Children in the Netherlands: A Shadow Report to the UN Committee on the Rights of the Child’, 4 August 2014, </w:t>
      </w:r>
      <w:hyperlink r:id="rId3" w:history="1">
        <w:r w:rsidR="0072027E" w:rsidRPr="001D4096">
          <w:rPr>
            <w:rStyle w:val="Hyperlink"/>
          </w:rPr>
          <w:t>http://tbinternet.ohchr.org/Treaties/CRC/Shared%20Documents/NLD/INT_CRC_NGO_NLD_20215_E.pdf</w:t>
        </w:r>
      </w:hyperlink>
      <w:r w:rsidR="0072027E">
        <w:t xml:space="preserve"> </w:t>
      </w:r>
    </w:p>
  </w:footnote>
  <w:footnote w:id="9">
    <w:p w:rsidR="0053442C" w:rsidRPr="0053442C" w:rsidRDefault="0053442C" w:rsidP="0053442C">
      <w:pPr>
        <w:pStyle w:val="FootnoteText"/>
        <w:ind w:left="142" w:hanging="142"/>
        <w:jc w:val="left"/>
        <w:rPr>
          <w:lang w:val="en-AU"/>
        </w:rPr>
      </w:pPr>
      <w:r>
        <w:rPr>
          <w:rStyle w:val="FootnoteReference"/>
        </w:rPr>
        <w:footnoteRef/>
      </w:r>
      <w:r>
        <w:t xml:space="preserve"> UN Office of the High Commissioner for Human Rights, ‘</w:t>
      </w:r>
      <w:r w:rsidRPr="0053442C">
        <w:t>Discriminated and made vulnerable: Young LGBT and intersex people need recognition and protection of their rights International Day against Homop</w:t>
      </w:r>
      <w:r>
        <w:t xml:space="preserve">hobia, Biphobia and Transphobia, 17 May 2015, </w:t>
      </w:r>
      <w:hyperlink r:id="rId4" w:history="1">
        <w:r w:rsidRPr="001D4096">
          <w:rPr>
            <w:rStyle w:val="Hyperlink"/>
          </w:rPr>
          <w:t>http://www.ohchr.org/EN/NewsEvents/Pages/DisplayNews.aspx?NewsID=15941&amp;LangID=E</w:t>
        </w:r>
      </w:hyperlink>
      <w:r>
        <w:t xml:space="preserve"> </w:t>
      </w:r>
    </w:p>
  </w:footnote>
  <w:footnote w:id="10">
    <w:p w:rsidR="00BA6AA2" w:rsidRPr="00BA6AA2" w:rsidRDefault="00BA6AA2" w:rsidP="00C9611D">
      <w:pPr>
        <w:pStyle w:val="FootnoteText"/>
        <w:ind w:left="142" w:hanging="142"/>
        <w:rPr>
          <w:lang w:val="en-AU"/>
        </w:rPr>
      </w:pPr>
      <w:r>
        <w:rPr>
          <w:rStyle w:val="FootnoteReference"/>
        </w:rPr>
        <w:footnoteRef/>
      </w:r>
      <w:r>
        <w:t xml:space="preserve"> </w:t>
      </w:r>
      <w:r w:rsidR="00C94A95">
        <w:rPr>
          <w:lang w:val="en-AU"/>
        </w:rPr>
        <w:t>ESCR Committee</w:t>
      </w:r>
      <w:r>
        <w:rPr>
          <w:lang w:val="en-AU"/>
        </w:rPr>
        <w:t xml:space="preserve">, </w:t>
      </w:r>
      <w:r w:rsidR="00C9611D" w:rsidRPr="00C9611D">
        <w:rPr>
          <w:i/>
          <w:lang w:val="en-AU"/>
        </w:rPr>
        <w:t>General comment No. 13 (1999) on the right to education (article 13 of the Covenant)</w:t>
      </w:r>
      <w:r w:rsidR="00C9611D">
        <w:rPr>
          <w:lang w:val="en-AU"/>
        </w:rPr>
        <w:t xml:space="preserve">, 8 December 1999, UN Doc E/C.12/1999/10, </w:t>
      </w:r>
      <w:r w:rsidR="00026225">
        <w:rPr>
          <w:lang w:val="en-AU"/>
        </w:rPr>
        <w:t>para. 6(b)(i).</w:t>
      </w:r>
    </w:p>
  </w:footnote>
  <w:footnote w:id="11">
    <w:p w:rsidR="007F6E36" w:rsidRPr="007F6E36" w:rsidRDefault="007F6E36" w:rsidP="007F6E36">
      <w:pPr>
        <w:pStyle w:val="FootnoteText"/>
        <w:ind w:left="142" w:hanging="142"/>
        <w:rPr>
          <w:lang w:val="en-AU"/>
        </w:rPr>
      </w:pPr>
      <w:r>
        <w:rPr>
          <w:rStyle w:val="FootnoteReference"/>
        </w:rPr>
        <w:footnoteRef/>
      </w:r>
      <w:r>
        <w:t xml:space="preserve"> </w:t>
      </w:r>
      <w:r w:rsidR="00C94A95">
        <w:rPr>
          <w:lang w:val="en-AU"/>
        </w:rPr>
        <w:t>ESCR Committee</w:t>
      </w:r>
      <w:r>
        <w:rPr>
          <w:lang w:val="en-AU"/>
        </w:rPr>
        <w:t xml:space="preserve">, </w:t>
      </w:r>
      <w:r w:rsidRPr="005F3EDF">
        <w:rPr>
          <w:i/>
          <w:lang w:val="en-AU"/>
        </w:rPr>
        <w:t>General comment No. 23 (2016) on the right to just and favourable conditions of work (article 7 of the International Covenant on Economic, Social and Cultural Rights)</w:t>
      </w:r>
      <w:r>
        <w:rPr>
          <w:lang w:val="en-AU"/>
        </w:rPr>
        <w:t>, 27 April 2016, UN Doc E/C.12/GC/23, para. 65(a).</w:t>
      </w:r>
    </w:p>
  </w:footnote>
  <w:footnote w:id="12">
    <w:p w:rsidR="00BB6A41" w:rsidRPr="00BB6A41" w:rsidRDefault="00BB6A41" w:rsidP="00BB6A41">
      <w:pPr>
        <w:pStyle w:val="FootnoteText"/>
        <w:ind w:left="142" w:hanging="142"/>
        <w:rPr>
          <w:lang w:val="en-AU"/>
        </w:rPr>
      </w:pPr>
      <w:r>
        <w:rPr>
          <w:rStyle w:val="FootnoteReference"/>
        </w:rPr>
        <w:footnoteRef/>
      </w:r>
      <w:r>
        <w:t xml:space="preserve"> </w:t>
      </w:r>
      <w:r w:rsidR="00C94A95">
        <w:rPr>
          <w:lang w:val="en-AU"/>
        </w:rPr>
        <w:t>ESCR Committee</w:t>
      </w:r>
      <w:r>
        <w:rPr>
          <w:lang w:val="en-AU"/>
        </w:rPr>
        <w:t xml:space="preserve">, </w:t>
      </w:r>
      <w:r w:rsidRPr="005F3EDF">
        <w:rPr>
          <w:i/>
        </w:rPr>
        <w:t>General comment No. 22 (2016) on the right to sexual and reproductive health (article 12 of the International Covenant on Economic, Social and Cultural Rights)</w:t>
      </w:r>
      <w:r>
        <w:t>, 2 May 2016, UN Doc E/C.12/GC/22,</w:t>
      </w:r>
      <w:r>
        <w:rPr>
          <w:lang w:val="en-AU"/>
        </w:rPr>
        <w:t xml:space="preserve"> para. 23.</w:t>
      </w:r>
    </w:p>
  </w:footnote>
  <w:footnote w:id="13">
    <w:p w:rsidR="00713635" w:rsidRPr="00713635" w:rsidRDefault="00713635" w:rsidP="00713635">
      <w:pPr>
        <w:pStyle w:val="FootnoteText"/>
        <w:ind w:left="142" w:hanging="142"/>
        <w:rPr>
          <w:lang w:val="en-AU"/>
        </w:rPr>
      </w:pPr>
      <w:r>
        <w:rPr>
          <w:rStyle w:val="FootnoteReference"/>
        </w:rPr>
        <w:footnoteRef/>
      </w:r>
      <w:r>
        <w:t xml:space="preserve"> </w:t>
      </w:r>
      <w:r w:rsidR="00C94A95">
        <w:rPr>
          <w:lang w:val="en-AU"/>
        </w:rPr>
        <w:t>ESCR Committee</w:t>
      </w:r>
      <w:r>
        <w:rPr>
          <w:lang w:val="en-AU"/>
        </w:rPr>
        <w:t xml:space="preserve">, </w:t>
      </w:r>
      <w:r w:rsidRPr="005F3EDF">
        <w:rPr>
          <w:i/>
        </w:rPr>
        <w:t>General comment No. 22 (2016) on the right to sexual and reproductive health (article 12 of the International Covenant on Economic, Social and Cultural Rights)</w:t>
      </w:r>
      <w:r>
        <w:t>, 2 May 2016, UN Doc E/C.12/GC/22,</w:t>
      </w:r>
      <w:r>
        <w:rPr>
          <w:lang w:val="en-AU"/>
        </w:rPr>
        <w:t xml:space="preserve"> para. 23.</w:t>
      </w:r>
    </w:p>
  </w:footnote>
  <w:footnote w:id="14">
    <w:p w:rsidR="008A7731" w:rsidRPr="008A7731" w:rsidRDefault="008A7731" w:rsidP="00665DEF">
      <w:pPr>
        <w:pStyle w:val="FootnoteText"/>
        <w:ind w:left="142" w:hanging="142"/>
        <w:jc w:val="left"/>
        <w:rPr>
          <w:lang w:val="en-AU"/>
        </w:rPr>
      </w:pPr>
      <w:r>
        <w:rPr>
          <w:rStyle w:val="FootnoteReference"/>
        </w:rPr>
        <w:footnoteRef/>
      </w:r>
      <w:r>
        <w:t xml:space="preserve"> </w:t>
      </w:r>
      <w:r w:rsidR="005A2271" w:rsidRPr="005A2271">
        <w:rPr>
          <w:i/>
        </w:rPr>
        <w:t>Gender Identity, Gender Expression and Sex Characteristics Act</w:t>
      </w:r>
      <w:r w:rsidR="005A2271">
        <w:t xml:space="preserve"> </w:t>
      </w:r>
      <w:r w:rsidR="005A2271" w:rsidRPr="005A2271">
        <w:rPr>
          <w:i/>
        </w:rPr>
        <w:t>2015</w:t>
      </w:r>
      <w:r w:rsidR="005A2271">
        <w:t xml:space="preserve"> (Malta), section 14</w:t>
      </w:r>
      <w:r w:rsidR="00B30CBC">
        <w:t>(1) (“</w:t>
      </w:r>
      <w:r w:rsidR="00B30CBC" w:rsidRPr="00B30CBC">
        <w:rPr>
          <w:i/>
        </w:rPr>
        <w:t>It shall be unlawful for medical practitioners or other professionals to conduct any sex assignment treatment and/or surgical intervention on the sex characteristics of a minor which treatment and/or intervention can be deferred until the person to be treated can provide informed consent: Provided that such sex assignment treatment and/or surgical intervention on the sex characteristics of the minor shall be conducted if the minor gives informed consent through the person exercising parental authority or the tutor of the minor</w:t>
      </w:r>
      <w:r w:rsidR="00B30CBC">
        <w:t>.”)</w:t>
      </w:r>
      <w:r w:rsidR="005A2271">
        <w:t xml:space="preserve">; </w:t>
      </w:r>
      <w:r>
        <w:t>OII Australia, ‘</w:t>
      </w:r>
      <w:r w:rsidRPr="008A7731">
        <w:t>Chilean Ministry of Health issues instructions stopping “normalising” interventions on intersex children</w:t>
      </w:r>
      <w:r>
        <w:t xml:space="preserve">’, 11 January 2016, </w:t>
      </w:r>
      <w:hyperlink r:id="rId5" w:history="1">
        <w:r w:rsidRPr="001D4096">
          <w:rPr>
            <w:rStyle w:val="Hyperlink"/>
          </w:rPr>
          <w:t>https://oii.org.au/30250/chilean-ministry-stops-normalising/</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5E0" w:rsidRDefault="003955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5E0" w:rsidRDefault="003955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5E0" w:rsidRDefault="003955E0">
    <w:pPr>
      <w:pStyle w:val="Header"/>
      <w:rPr>
        <w:sz w:val="6"/>
        <w:szCs w:val="6"/>
      </w:rPr>
    </w:pPr>
    <w:bookmarkStart w:id="3" w:name="bmFirmLogo"/>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7F4A8E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734847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0E8F65C"/>
    <w:lvl w:ilvl="0">
      <w:start w:val="1"/>
      <w:numFmt w:val="decimal"/>
      <w:pStyle w:val="ListNumber3"/>
      <w:lvlText w:val="%1."/>
      <w:lvlJc w:val="left"/>
      <w:pPr>
        <w:tabs>
          <w:tab w:val="num" w:pos="926"/>
        </w:tabs>
        <w:ind w:left="926" w:hanging="360"/>
      </w:pPr>
    </w:lvl>
  </w:abstractNum>
  <w:abstractNum w:abstractNumId="3">
    <w:nsid w:val="FFFFFF7F"/>
    <w:multiLevelType w:val="singleLevel"/>
    <w:tmpl w:val="D0829806"/>
    <w:lvl w:ilvl="0">
      <w:start w:val="1"/>
      <w:numFmt w:val="decimal"/>
      <w:pStyle w:val="ListNumber2"/>
      <w:lvlText w:val="%1."/>
      <w:lvlJc w:val="left"/>
      <w:pPr>
        <w:tabs>
          <w:tab w:val="num" w:pos="643"/>
        </w:tabs>
        <w:ind w:left="643" w:hanging="360"/>
      </w:pPr>
    </w:lvl>
  </w:abstractNum>
  <w:abstractNum w:abstractNumId="4">
    <w:nsid w:val="FFFFFF88"/>
    <w:multiLevelType w:val="singleLevel"/>
    <w:tmpl w:val="69DEDE52"/>
    <w:lvl w:ilvl="0">
      <w:start w:val="1"/>
      <w:numFmt w:val="decimal"/>
      <w:pStyle w:val="ListNumber"/>
      <w:lvlText w:val="%1."/>
      <w:lvlJc w:val="left"/>
      <w:pPr>
        <w:tabs>
          <w:tab w:val="num" w:pos="360"/>
        </w:tabs>
        <w:ind w:left="360" w:hanging="360"/>
      </w:pPr>
    </w:lvl>
  </w:abstractNum>
  <w:abstractNum w:abstractNumId="5">
    <w:nsid w:val="FFFFFF89"/>
    <w:multiLevelType w:val="singleLevel"/>
    <w:tmpl w:val="AD8EC032"/>
    <w:lvl w:ilvl="0">
      <w:start w:val="1"/>
      <w:numFmt w:val="bullet"/>
      <w:pStyle w:val="ListBullet"/>
      <w:lvlText w:val=""/>
      <w:lvlJc w:val="left"/>
      <w:pPr>
        <w:tabs>
          <w:tab w:val="num" w:pos="0"/>
        </w:tabs>
        <w:ind w:left="720" w:hanging="720"/>
      </w:pPr>
      <w:rPr>
        <w:rFonts w:ascii="Symbol" w:hAnsi="Symbol" w:hint="default"/>
      </w:rPr>
    </w:lvl>
  </w:abstractNum>
  <w:abstractNum w:abstractNumId="6">
    <w:nsid w:val="04723DB5"/>
    <w:multiLevelType w:val="multilevel"/>
    <w:tmpl w:val="4ADEB5CE"/>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nsid w:val="0B364C74"/>
    <w:multiLevelType w:val="multilevel"/>
    <w:tmpl w:val="940C3442"/>
    <w:lvl w:ilvl="0">
      <w:start w:val="1"/>
      <w:numFmt w:val="bullet"/>
      <w:lvlRestart w:val="0"/>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bullet"/>
      <w:lvlText w:val="·"/>
      <w:lvlJc w:val="left"/>
      <w:pPr>
        <w:tabs>
          <w:tab w:val="num" w:pos="1800"/>
        </w:tabs>
        <w:ind w:left="1800" w:hanging="1080"/>
      </w:pPr>
      <w:rPr>
        <w:rFonts w:ascii="Symbol" w:hAnsi="Symbol" w:hint="default"/>
      </w:rPr>
    </w:lvl>
    <w:lvl w:ilvl="3">
      <w:start w:val="1"/>
      <w:numFmt w:val="bullet"/>
      <w:lvlText w:val="·"/>
      <w:lvlJc w:val="left"/>
      <w:pPr>
        <w:tabs>
          <w:tab w:val="num" w:pos="2880"/>
        </w:tabs>
        <w:ind w:left="2880" w:hanging="108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040"/>
        </w:tabs>
        <w:ind w:left="5040" w:hanging="720"/>
      </w:pPr>
    </w:lvl>
    <w:lvl w:ilvl="8">
      <w:start w:val="1"/>
      <w:numFmt w:val="bullet"/>
      <w:lvlText w:val=""/>
      <w:lvlJc w:val="left"/>
      <w:pPr>
        <w:tabs>
          <w:tab w:val="num" w:pos="5040"/>
        </w:tabs>
        <w:ind w:left="5040" w:hanging="720"/>
      </w:pPr>
    </w:lvl>
  </w:abstractNum>
  <w:abstractNum w:abstractNumId="8">
    <w:nsid w:val="0C1F2667"/>
    <w:multiLevelType w:val="multilevel"/>
    <w:tmpl w:val="0B32EE46"/>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1A5255D"/>
    <w:multiLevelType w:val="multilevel"/>
    <w:tmpl w:val="D19CD546"/>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800"/>
        </w:tabs>
        <w:ind w:left="1800" w:hanging="1080"/>
      </w:pPr>
      <w:rPr>
        <w:rFonts w:ascii="Symbol" w:hAnsi="Symbol" w:hint="default"/>
        <w:caps w:val="0"/>
        <w:effect w:val="none"/>
      </w:rPr>
    </w:lvl>
    <w:lvl w:ilvl="3">
      <w:start w:val="1"/>
      <w:numFmt w:val="bullet"/>
      <w:pStyle w:val="ListBullet4"/>
      <w:lvlText w:val="·"/>
      <w:lvlJc w:val="left"/>
      <w:pPr>
        <w:tabs>
          <w:tab w:val="num" w:pos="2880"/>
        </w:tabs>
        <w:ind w:left="2880" w:hanging="108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bullet"/>
      <w:pStyle w:val="ListBullet6"/>
      <w:lvlText w:val="·"/>
      <w:lvlJc w:val="left"/>
      <w:pPr>
        <w:tabs>
          <w:tab w:val="num" w:pos="4320"/>
        </w:tabs>
        <w:ind w:left="4320" w:hanging="720"/>
      </w:pPr>
      <w:rPr>
        <w:rFonts w:ascii="Symbol" w:hAnsi="Symbol" w:hint="default"/>
        <w:caps w:val="0"/>
        <w:effect w:val="none"/>
      </w:rPr>
    </w:lvl>
    <w:lvl w:ilvl="6">
      <w:start w:val="1"/>
      <w:numFmt w:val="bullet"/>
      <w:pStyle w:val="ListBullet7"/>
      <w:lvlText w:val="·"/>
      <w:lvlJc w:val="left"/>
      <w:pPr>
        <w:tabs>
          <w:tab w:val="num" w:pos="5040"/>
        </w:tabs>
        <w:ind w:left="5040" w:hanging="720"/>
      </w:pPr>
      <w:rPr>
        <w:rFonts w:ascii="Symbol" w:hAnsi="Symbol" w:hint="default"/>
        <w:caps w:val="0"/>
        <w:effect w:val="none"/>
      </w:rPr>
    </w:lvl>
    <w:lvl w:ilvl="7">
      <w:start w:val="1"/>
      <w:numFmt w:val="bullet"/>
      <w:pStyle w:val="ListBullet8"/>
      <w:lvlText w:val=""/>
      <w:lvlJc w:val="left"/>
      <w:pPr>
        <w:tabs>
          <w:tab w:val="num" w:pos="5040"/>
        </w:tabs>
        <w:ind w:left="5040" w:hanging="720"/>
      </w:pPr>
      <w:rPr>
        <w:caps w:val="0"/>
        <w:effect w:val="none"/>
      </w:rPr>
    </w:lvl>
    <w:lvl w:ilvl="8">
      <w:start w:val="1"/>
      <w:numFmt w:val="bullet"/>
      <w:pStyle w:val="ListBullet9"/>
      <w:lvlText w:val=""/>
      <w:lvlJc w:val="left"/>
      <w:pPr>
        <w:tabs>
          <w:tab w:val="num" w:pos="5040"/>
        </w:tabs>
        <w:ind w:left="5040" w:hanging="720"/>
      </w:pPr>
      <w:rPr>
        <w:caps w:val="0"/>
        <w:effect w:val="none"/>
      </w:rPr>
    </w:lvl>
  </w:abstractNum>
  <w:abstractNum w:abstractNumId="10">
    <w:nsid w:val="1217235D"/>
    <w:multiLevelType w:val="multilevel"/>
    <w:tmpl w:val="36EEA6FA"/>
    <w:lvl w:ilvl="0">
      <w:start w:val="1"/>
      <w:numFmt w:val="decimal"/>
      <w:suff w:val="space"/>
      <w:lvlText w:val="APPENDIX %1: "/>
      <w:lvlJc w:val="left"/>
      <w:pPr>
        <w:tabs>
          <w:tab w:val="num" w:pos="0"/>
        </w:tabs>
        <w:ind w:left="0" w:firstLine="0"/>
      </w:pPr>
      <w:rPr>
        <w:caps w:val="0"/>
        <w:effect w:val="none"/>
      </w:rPr>
    </w:lvl>
    <w:lvl w:ilvl="1">
      <w:start w:val="1"/>
      <w:numFmt w:val="decimal"/>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11">
    <w:nsid w:val="15E64E0E"/>
    <w:multiLevelType w:val="multilevel"/>
    <w:tmpl w:val="E5E05E12"/>
    <w:lvl w:ilvl="0">
      <w:start w:val="1"/>
      <w:numFmt w:val="upperLetter"/>
      <w:lvlRestart w:val="0"/>
      <w:lvlText w:val="%1"/>
      <w:lvlJc w:val="left"/>
      <w:pPr>
        <w:tabs>
          <w:tab w:val="num" w:pos="720"/>
        </w:tabs>
        <w:ind w:left="720" w:hanging="720"/>
      </w:pPr>
      <w:rPr>
        <w:caps w:val="0"/>
        <w:effect w:val="none"/>
      </w:rPr>
    </w:lvl>
    <w:lvl w:ilvl="1">
      <w:start w:val="1"/>
      <w:numFmt w:val="lowerRoman"/>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2">
    <w:nsid w:val="1736219B"/>
    <w:multiLevelType w:val="multilevel"/>
    <w:tmpl w:val="B6DE1994"/>
    <w:name w:val="Plato General Heading List"/>
    <w:lvl w:ilvl="0">
      <w:start w:val="1"/>
      <w:numFmt w:val="decimal"/>
      <w:lvlText w:val="%1."/>
      <w:lvlJc w:val="left"/>
      <w:pPr>
        <w:tabs>
          <w:tab w:val="num" w:pos="720"/>
        </w:tabs>
        <w:ind w:left="720" w:hanging="720"/>
      </w:pPr>
      <w:rPr>
        <w:caps w:val="0"/>
        <w:effect w:val="none"/>
      </w:rPr>
    </w:lvl>
    <w:lvl w:ilvl="1">
      <w:start w:val="1"/>
      <w:numFmt w:val="decimal"/>
      <w:lvlText w:val="%1.%2"/>
      <w:lvlJc w:val="left"/>
      <w:pPr>
        <w:tabs>
          <w:tab w:val="num" w:pos="1440"/>
        </w:tabs>
        <w:ind w:left="1440" w:hanging="720"/>
      </w:pPr>
      <w:rPr>
        <w:caps w:val="0"/>
        <w:effect w:val="none"/>
      </w:rPr>
    </w:lvl>
    <w:lvl w:ilvl="2">
      <w:start w:val="1"/>
      <w:numFmt w:val="decimal"/>
      <w:lvlText w:val="%1.%2.%3"/>
      <w:lvlJc w:val="left"/>
      <w:pPr>
        <w:tabs>
          <w:tab w:val="num" w:pos="2520"/>
        </w:tabs>
        <w:ind w:left="2520" w:hanging="720"/>
      </w:pPr>
      <w:rPr>
        <w:caps w:val="0"/>
        <w:effect w:val="none"/>
      </w:rPr>
    </w:lvl>
    <w:lvl w:ilvl="3">
      <w:start w:val="1"/>
      <w:numFmt w:val="lowerLetter"/>
      <w:lvlText w:val="(%4)"/>
      <w:lvlJc w:val="left"/>
      <w:pPr>
        <w:tabs>
          <w:tab w:val="num" w:pos="3600"/>
        </w:tabs>
        <w:ind w:left="3600" w:hanging="720"/>
      </w:pPr>
      <w:rPr>
        <w:caps w:val="0"/>
        <w:effect w:val="none"/>
      </w:rPr>
    </w:lvl>
    <w:lvl w:ilvl="4">
      <w:start w:val="1"/>
      <w:numFmt w:val="lowerRoman"/>
      <w:lvlText w:val="(%5)"/>
      <w:lvlJc w:val="left"/>
      <w:pPr>
        <w:tabs>
          <w:tab w:val="num" w:pos="4320"/>
        </w:tabs>
        <w:ind w:left="4320" w:hanging="720"/>
      </w:pPr>
      <w:rPr>
        <w:caps w:val="0"/>
        <w:effect w:val="none"/>
      </w:rPr>
    </w:lvl>
    <w:lvl w:ilvl="5">
      <w:start w:val="1"/>
      <w:numFmt w:val="decimal"/>
      <w:lvlText w:val="(%6)"/>
      <w:lvlJc w:val="left"/>
      <w:pPr>
        <w:tabs>
          <w:tab w:val="num" w:pos="5040"/>
        </w:tabs>
        <w:ind w:left="5040" w:hanging="720"/>
      </w:pPr>
      <w:rPr>
        <w:caps w:val="0"/>
        <w:effect w:val="none"/>
      </w:rPr>
    </w:lvl>
    <w:lvl w:ilvl="6">
      <w:start w:val="1"/>
      <w:numFmt w:val="none"/>
      <w:lvlText w:val=""/>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3">
    <w:nsid w:val="1D9D4D27"/>
    <w:multiLevelType w:val="multilevel"/>
    <w:tmpl w:val="21E823C4"/>
    <w:name w:val="Definition Numbering List"/>
    <w:lvl w:ilvl="0">
      <w:start w:val="1"/>
      <w:numFmt w:val="lowerLetter"/>
      <w:pStyle w:val="DefinitionNumbering1"/>
      <w:lvlText w:val="(%1)"/>
      <w:lvlJc w:val="left"/>
      <w:pPr>
        <w:tabs>
          <w:tab w:val="num" w:pos="1800"/>
        </w:tabs>
        <w:ind w:left="1800" w:hanging="1080"/>
      </w:pPr>
      <w:rPr>
        <w:caps w:val="0"/>
        <w:effect w:val="none"/>
      </w:rPr>
    </w:lvl>
    <w:lvl w:ilvl="1">
      <w:start w:val="1"/>
      <w:numFmt w:val="lowerRoman"/>
      <w:pStyle w:val="DefinitionNumbering2"/>
      <w:lvlText w:val="(%2)"/>
      <w:lvlJc w:val="left"/>
      <w:pPr>
        <w:tabs>
          <w:tab w:val="num" w:pos="2880"/>
        </w:tabs>
        <w:ind w:left="2880" w:hanging="1080"/>
      </w:pPr>
      <w:rPr>
        <w:caps w:val="0"/>
        <w:effect w:val="none"/>
      </w:rPr>
    </w:lvl>
    <w:lvl w:ilvl="2">
      <w:start w:val="1"/>
      <w:numFmt w:val="upperLetter"/>
      <w:pStyle w:val="DefinitionNumbering3"/>
      <w:lvlText w:val="(%3)"/>
      <w:lvlJc w:val="left"/>
      <w:pPr>
        <w:tabs>
          <w:tab w:val="num" w:pos="3600"/>
        </w:tabs>
        <w:ind w:left="3600" w:hanging="720"/>
      </w:pPr>
      <w:rPr>
        <w:caps w:val="0"/>
        <w:effect w:val="none"/>
      </w:rPr>
    </w:lvl>
    <w:lvl w:ilvl="3">
      <w:start w:val="1"/>
      <w:numFmt w:val="none"/>
      <w:pStyle w:val="DefinitionNumbering4"/>
      <w:lvlText w:val=""/>
      <w:lvlJc w:val="left"/>
      <w:pPr>
        <w:tabs>
          <w:tab w:val="num" w:pos="2880"/>
        </w:tabs>
        <w:ind w:left="2880" w:hanging="1080"/>
      </w:pPr>
      <w:rPr>
        <w:caps w:val="0"/>
        <w:effect w:val="none"/>
      </w:rPr>
    </w:lvl>
    <w:lvl w:ilvl="4">
      <w:start w:val="1"/>
      <w:numFmt w:val="none"/>
      <w:pStyle w:val="DefinitionNumbering5"/>
      <w:lvlText w:val=""/>
      <w:lvlJc w:val="left"/>
      <w:pPr>
        <w:tabs>
          <w:tab w:val="num" w:pos="2880"/>
        </w:tabs>
        <w:ind w:left="2880" w:hanging="1080"/>
      </w:pPr>
      <w:rPr>
        <w:caps w:val="0"/>
        <w:effect w:val="none"/>
      </w:rPr>
    </w:lvl>
    <w:lvl w:ilvl="5">
      <w:start w:val="1"/>
      <w:numFmt w:val="none"/>
      <w:pStyle w:val="DefinitionNumbering6"/>
      <w:lvlText w:val=""/>
      <w:lvlJc w:val="left"/>
      <w:pPr>
        <w:tabs>
          <w:tab w:val="num" w:pos="2880"/>
        </w:tabs>
        <w:ind w:left="2880" w:hanging="1080"/>
      </w:pPr>
      <w:rPr>
        <w:caps w:val="0"/>
        <w:effect w:val="none"/>
      </w:rPr>
    </w:lvl>
    <w:lvl w:ilvl="6">
      <w:start w:val="1"/>
      <w:numFmt w:val="none"/>
      <w:pStyle w:val="DefinitionNumbering7"/>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4">
    <w:nsid w:val="3C7A5B25"/>
    <w:multiLevelType w:val="multilevel"/>
    <w:tmpl w:val="759A11E2"/>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7D4559A"/>
    <w:multiLevelType w:val="multilevel"/>
    <w:tmpl w:val="8D2E81A2"/>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6">
    <w:nsid w:val="52D9093C"/>
    <w:multiLevelType w:val="multilevel"/>
    <w:tmpl w:val="DB562898"/>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4F634C2"/>
    <w:multiLevelType w:val="multilevel"/>
    <w:tmpl w:val="CA4096A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E1F0785"/>
    <w:multiLevelType w:val="multilevel"/>
    <w:tmpl w:val="E6BAE9C4"/>
    <w:name w:val="Plato Heading List"/>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19">
    <w:nsid w:val="5E6643FC"/>
    <w:multiLevelType w:val="multilevel"/>
    <w:tmpl w:val="888CE7D8"/>
    <w:lvl w:ilvl="0">
      <w:start w:val="1"/>
      <w:numFmt w:val="upperLetter"/>
      <w:lvlRestart w:val="0"/>
      <w:lvlText w:val="%1"/>
      <w:lvlJc w:val="left"/>
      <w:pPr>
        <w:tabs>
          <w:tab w:val="num" w:pos="720"/>
        </w:tabs>
        <w:ind w:left="720" w:hanging="720"/>
      </w:pPr>
      <w:rPr>
        <w:caps w:val="0"/>
        <w:effect w:val="none"/>
      </w:rPr>
    </w:lvl>
    <w:lvl w:ilvl="1">
      <w:start w:val="1"/>
      <w:numFmt w:val="lowerRoman"/>
      <w:lvlRestart w:val="0"/>
      <w:lvlText w:val="(%2)"/>
      <w:lvlJc w:val="left"/>
      <w:pPr>
        <w:tabs>
          <w:tab w:val="num" w:pos="1800"/>
        </w:tabs>
        <w:ind w:left="1800" w:hanging="1080"/>
      </w:pPr>
      <w:rPr>
        <w:caps w:val="0"/>
        <w:effect w:val="none"/>
      </w:rPr>
    </w:lvl>
    <w:lvl w:ilvl="2">
      <w:start w:val="1"/>
      <w:numFmt w:val="lowerLetter"/>
      <w:lvlRestart w:val="0"/>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1">
    <w:nsid w:val="6C234CB7"/>
    <w:multiLevelType w:val="multilevel"/>
    <w:tmpl w:val="3B7454BE"/>
    <w:lvl w:ilvl="0">
      <w:start w:val="1"/>
      <w:numFmt w:val="decimal"/>
      <w:pStyle w:val="Generallevel1"/>
      <w:lvlText w:val="%1."/>
      <w:lvlJc w:val="left"/>
      <w:pPr>
        <w:tabs>
          <w:tab w:val="num" w:pos="720"/>
        </w:tabs>
        <w:ind w:left="720" w:hanging="720"/>
      </w:pPr>
      <w:rPr>
        <w:caps w:val="0"/>
        <w:effect w:val="none"/>
      </w:rPr>
    </w:lvl>
    <w:lvl w:ilvl="1">
      <w:start w:val="1"/>
      <w:numFmt w:val="decimal"/>
      <w:pStyle w:val="Generallevel2"/>
      <w:lvlText w:val="%1.%2"/>
      <w:lvlJc w:val="left"/>
      <w:pPr>
        <w:tabs>
          <w:tab w:val="num" w:pos="1800"/>
        </w:tabs>
        <w:ind w:left="1800" w:hanging="1080"/>
      </w:pPr>
      <w:rPr>
        <w:b w:val="0"/>
        <w:caps w:val="0"/>
        <w:effect w:val="none"/>
      </w:rPr>
    </w:lvl>
    <w:lvl w:ilvl="2">
      <w:start w:val="1"/>
      <w:numFmt w:val="decimal"/>
      <w:pStyle w:val="Generallevel3"/>
      <w:lvlText w:val="%1.%2.%3"/>
      <w:lvlJc w:val="left"/>
      <w:pPr>
        <w:tabs>
          <w:tab w:val="num" w:pos="2880"/>
        </w:tabs>
        <w:ind w:left="2880" w:hanging="1080"/>
      </w:pPr>
      <w:rPr>
        <w:caps w:val="0"/>
        <w:effect w:val="none"/>
      </w:rPr>
    </w:lvl>
    <w:lvl w:ilvl="3">
      <w:start w:val="1"/>
      <w:numFmt w:val="lowerLetter"/>
      <w:pStyle w:val="Generallevel4"/>
      <w:lvlText w:val="(%4)"/>
      <w:lvlJc w:val="left"/>
      <w:pPr>
        <w:tabs>
          <w:tab w:val="num" w:pos="3600"/>
        </w:tabs>
        <w:ind w:left="3600" w:hanging="720"/>
      </w:pPr>
      <w:rPr>
        <w:caps w:val="0"/>
        <w:effect w:val="none"/>
      </w:rPr>
    </w:lvl>
    <w:lvl w:ilvl="4">
      <w:start w:val="1"/>
      <w:numFmt w:val="lowerRoman"/>
      <w:pStyle w:val="Generallevel5"/>
      <w:lvlText w:val="(%5)"/>
      <w:lvlJc w:val="left"/>
      <w:pPr>
        <w:tabs>
          <w:tab w:val="num" w:pos="4320"/>
        </w:tabs>
        <w:ind w:left="4320" w:hanging="720"/>
      </w:pPr>
      <w:rPr>
        <w:caps w:val="0"/>
        <w:effect w:val="none"/>
      </w:rPr>
    </w:lvl>
    <w:lvl w:ilvl="5">
      <w:start w:val="1"/>
      <w:numFmt w:val="decimal"/>
      <w:pStyle w:val="Generallevel6"/>
      <w:lvlText w:val="(%6)"/>
      <w:lvlJc w:val="left"/>
      <w:pPr>
        <w:tabs>
          <w:tab w:val="num" w:pos="5040"/>
        </w:tabs>
        <w:ind w:left="5040" w:hanging="720"/>
      </w:pPr>
      <w:rPr>
        <w:caps w:val="0"/>
        <w:effect w:val="no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7E0731B9"/>
    <w:multiLevelType w:val="multilevel"/>
    <w:tmpl w:val="9FA4D26A"/>
    <w:lvl w:ilvl="0">
      <w:start w:val="1"/>
      <w:numFmt w:val="upperLetter"/>
      <w:lvlRestart w:val="0"/>
      <w:lvlText w:val="%1"/>
      <w:lvlJc w:val="left"/>
      <w:pPr>
        <w:tabs>
          <w:tab w:val="num" w:pos="720"/>
        </w:tabs>
        <w:ind w:left="720" w:hanging="720"/>
      </w:pPr>
      <w:rPr>
        <w:rFonts w:hint="default"/>
        <w:caps w:val="0"/>
        <w:effect w:val="none"/>
      </w:rPr>
    </w:lvl>
    <w:lvl w:ilvl="1">
      <w:start w:val="1"/>
      <w:numFmt w:val="lowerRoman"/>
      <w:lvlText w:val="%2)"/>
      <w:lvlJc w:val="left"/>
      <w:pPr>
        <w:tabs>
          <w:tab w:val="num" w:pos="1800"/>
        </w:tabs>
        <w:ind w:left="1800" w:hanging="1080"/>
      </w:pPr>
      <w:rPr>
        <w:rFonts w:hint="default"/>
      </w:rPr>
    </w:lvl>
    <w:lvl w:ilvl="2">
      <w:start w:val="1"/>
      <w:numFmt w:val="lowerLetter"/>
      <w:lvlText w:val="%3)"/>
      <w:lvlJc w:val="left"/>
      <w:pPr>
        <w:tabs>
          <w:tab w:val="num" w:pos="2880"/>
        </w:tabs>
        <w:ind w:left="2880" w:hanging="108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7EBC35FB"/>
    <w:multiLevelType w:val="multilevel"/>
    <w:tmpl w:val="A538CDDE"/>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num w:numId="1">
    <w:abstractNumId w:val="5"/>
  </w:num>
  <w:num w:numId="2">
    <w:abstractNumId w:val="15"/>
  </w:num>
  <w:num w:numId="3">
    <w:abstractNumId w:val="18"/>
  </w:num>
  <w:num w:numId="4">
    <w:abstractNumId w:val="10"/>
  </w:num>
  <w:num w:numId="5">
    <w:abstractNumId w:val="13"/>
  </w:num>
  <w:num w:numId="6">
    <w:abstractNumId w:val="14"/>
  </w:num>
  <w:num w:numId="7">
    <w:abstractNumId w:val="23"/>
  </w:num>
  <w:num w:numId="8">
    <w:abstractNumId w:val="19"/>
  </w:num>
  <w:num w:numId="9">
    <w:abstractNumId w:val="6"/>
  </w:num>
  <w:num w:numId="10">
    <w:abstractNumId w:val="9"/>
  </w:num>
  <w:num w:numId="11">
    <w:abstractNumId w:val="22"/>
  </w:num>
  <w:num w:numId="12">
    <w:abstractNumId w:val="22"/>
  </w:num>
  <w:num w:numId="13">
    <w:abstractNumId w:val="11"/>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12"/>
  </w:num>
  <w:num w:numId="22">
    <w:abstractNumId w:val="17"/>
  </w:num>
  <w:num w:numId="23">
    <w:abstractNumId w:val="16"/>
  </w:num>
  <w:num w:numId="24">
    <w:abstractNumId w:val="21"/>
  </w:num>
  <w:num w:numId="25">
    <w:abstractNumId w:val="8"/>
  </w:num>
  <w:num w:numId="26">
    <w:abstractNumId w:val="4"/>
  </w:num>
  <w:num w:numId="27">
    <w:abstractNumId w:val="3"/>
  </w:num>
  <w:num w:numId="28">
    <w:abstractNumId w:val="2"/>
  </w:num>
  <w:num w:numId="29">
    <w:abstractNumId w:val="1"/>
  </w:num>
  <w:num w:numId="30">
    <w:abstractNumId w:val="0"/>
  </w:num>
  <w:num w:numId="31">
    <w:abstractNumId w:val="21"/>
  </w:num>
  <w:num w:numId="32">
    <w:abstractNumId w:val="21"/>
  </w:num>
  <w:num w:numId="33">
    <w:abstractNumId w:val="21"/>
  </w:num>
  <w:num w:numId="34">
    <w:abstractNumId w:val="21"/>
  </w:num>
  <w:num w:numId="35">
    <w:abstractNumId w:val="21"/>
  </w:num>
  <w:num w:numId="36">
    <w:abstractNumId w:val="21"/>
  </w:num>
  <w:num w:numId="37">
    <w:abstractNumId w:val="21"/>
  </w:num>
  <w:num w:numId="38">
    <w:abstractNumId w:val="21"/>
  </w:num>
  <w:num w:numId="39">
    <w:abstractNumId w:val="21"/>
  </w:num>
  <w:num w:numId="40">
    <w:abstractNumId w:val="21"/>
  </w:num>
  <w:num w:numId="41">
    <w:abstractNumId w:val="21"/>
  </w:num>
  <w:num w:numId="42">
    <w:abstractNumId w:val="21"/>
  </w:num>
  <w:num w:numId="43">
    <w:abstractNumId w:val="21"/>
  </w:num>
  <w:num w:numId="44">
    <w:abstractNumId w:val="21"/>
  </w:num>
  <w:num w:numId="45">
    <w:abstractNumId w:val="21"/>
  </w:num>
  <w:num w:numId="46">
    <w:abstractNumId w:val="21"/>
  </w:num>
  <w:num w:numId="47">
    <w:abstractNumId w:val="21"/>
  </w:num>
  <w:num w:numId="48">
    <w:abstractNumId w:val="20"/>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printFractionalCharacterWidth/>
  <w:hideGrammaticalErrors/>
  <w:activeWritingStyle w:appName="MSWord" w:lang="en-GB" w:vendorID="64" w:dllVersion="131077" w:nlCheck="1" w:checkStyle="1"/>
  <w:activeWritingStyle w:appName="MSWord" w:lang="en-GB" w:vendorID="64" w:dllVersion="131078" w:nlCheck="1" w:checkStyle="1"/>
  <w:activeWritingStyle w:appName="MSWord" w:lang="en-AU" w:vendorID="64" w:dllVersion="131078"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5E0"/>
    <w:rsid w:val="000002C7"/>
    <w:rsid w:val="000010DC"/>
    <w:rsid w:val="000016AA"/>
    <w:rsid w:val="00010B2B"/>
    <w:rsid w:val="00020FE8"/>
    <w:rsid w:val="00023334"/>
    <w:rsid w:val="000240B1"/>
    <w:rsid w:val="00026225"/>
    <w:rsid w:val="000346DE"/>
    <w:rsid w:val="0004235A"/>
    <w:rsid w:val="00043DF3"/>
    <w:rsid w:val="000555EA"/>
    <w:rsid w:val="000800FC"/>
    <w:rsid w:val="0008636C"/>
    <w:rsid w:val="00094FD9"/>
    <w:rsid w:val="000B10C9"/>
    <w:rsid w:val="000B20C2"/>
    <w:rsid w:val="000B7617"/>
    <w:rsid w:val="000C0D95"/>
    <w:rsid w:val="000D18F6"/>
    <w:rsid w:val="000F1620"/>
    <w:rsid w:val="00107A42"/>
    <w:rsid w:val="001155BE"/>
    <w:rsid w:val="00131F51"/>
    <w:rsid w:val="0014292D"/>
    <w:rsid w:val="00152978"/>
    <w:rsid w:val="00160B2D"/>
    <w:rsid w:val="00165952"/>
    <w:rsid w:val="0017195D"/>
    <w:rsid w:val="00185E7C"/>
    <w:rsid w:val="001B29CD"/>
    <w:rsid w:val="001C4D71"/>
    <w:rsid w:val="001C5FFB"/>
    <w:rsid w:val="001E17F9"/>
    <w:rsid w:val="001F3FD6"/>
    <w:rsid w:val="0021077D"/>
    <w:rsid w:val="00212696"/>
    <w:rsid w:val="0021392B"/>
    <w:rsid w:val="0024038A"/>
    <w:rsid w:val="0025000D"/>
    <w:rsid w:val="00251B15"/>
    <w:rsid w:val="00286D35"/>
    <w:rsid w:val="002A65FF"/>
    <w:rsid w:val="002A68EC"/>
    <w:rsid w:val="002D1682"/>
    <w:rsid w:val="002D5ED3"/>
    <w:rsid w:val="002E206C"/>
    <w:rsid w:val="003070F2"/>
    <w:rsid w:val="00307C59"/>
    <w:rsid w:val="0031059A"/>
    <w:rsid w:val="003202F4"/>
    <w:rsid w:val="0034085F"/>
    <w:rsid w:val="00351B83"/>
    <w:rsid w:val="00376378"/>
    <w:rsid w:val="003934A6"/>
    <w:rsid w:val="00393C88"/>
    <w:rsid w:val="003955E0"/>
    <w:rsid w:val="003B0ACF"/>
    <w:rsid w:val="003B319A"/>
    <w:rsid w:val="003C62AE"/>
    <w:rsid w:val="003E1419"/>
    <w:rsid w:val="003E1ACB"/>
    <w:rsid w:val="003F537C"/>
    <w:rsid w:val="003F7909"/>
    <w:rsid w:val="0041445C"/>
    <w:rsid w:val="004260F8"/>
    <w:rsid w:val="004414DC"/>
    <w:rsid w:val="00442E38"/>
    <w:rsid w:val="00465648"/>
    <w:rsid w:val="00485FF5"/>
    <w:rsid w:val="004866E5"/>
    <w:rsid w:val="00486C41"/>
    <w:rsid w:val="00495F59"/>
    <w:rsid w:val="00496481"/>
    <w:rsid w:val="00507263"/>
    <w:rsid w:val="005146C2"/>
    <w:rsid w:val="005226C9"/>
    <w:rsid w:val="005271E5"/>
    <w:rsid w:val="0053442C"/>
    <w:rsid w:val="00541262"/>
    <w:rsid w:val="00556FFD"/>
    <w:rsid w:val="005621F8"/>
    <w:rsid w:val="005661C8"/>
    <w:rsid w:val="00571863"/>
    <w:rsid w:val="005740D7"/>
    <w:rsid w:val="005834A8"/>
    <w:rsid w:val="00595217"/>
    <w:rsid w:val="005A2271"/>
    <w:rsid w:val="005A60ED"/>
    <w:rsid w:val="005E095A"/>
    <w:rsid w:val="005F3316"/>
    <w:rsid w:val="005F3EDF"/>
    <w:rsid w:val="00601258"/>
    <w:rsid w:val="00621591"/>
    <w:rsid w:val="00622635"/>
    <w:rsid w:val="00637221"/>
    <w:rsid w:val="006468ED"/>
    <w:rsid w:val="00665DEF"/>
    <w:rsid w:val="00670430"/>
    <w:rsid w:val="00682887"/>
    <w:rsid w:val="006B5732"/>
    <w:rsid w:val="006C013F"/>
    <w:rsid w:val="006C344F"/>
    <w:rsid w:val="006C6A03"/>
    <w:rsid w:val="006D1FE2"/>
    <w:rsid w:val="006D203B"/>
    <w:rsid w:val="006D32E0"/>
    <w:rsid w:val="006E7369"/>
    <w:rsid w:val="00713635"/>
    <w:rsid w:val="00717C97"/>
    <w:rsid w:val="0072027E"/>
    <w:rsid w:val="00723380"/>
    <w:rsid w:val="007272DD"/>
    <w:rsid w:val="00732FDB"/>
    <w:rsid w:val="00746B08"/>
    <w:rsid w:val="00765F67"/>
    <w:rsid w:val="00787508"/>
    <w:rsid w:val="0078763C"/>
    <w:rsid w:val="007B2F08"/>
    <w:rsid w:val="007C6FA4"/>
    <w:rsid w:val="007D1D8E"/>
    <w:rsid w:val="007D70DD"/>
    <w:rsid w:val="007E1D2F"/>
    <w:rsid w:val="007E3032"/>
    <w:rsid w:val="007F6E36"/>
    <w:rsid w:val="0080257D"/>
    <w:rsid w:val="00802822"/>
    <w:rsid w:val="00827F42"/>
    <w:rsid w:val="00830A07"/>
    <w:rsid w:val="008437DA"/>
    <w:rsid w:val="00850C68"/>
    <w:rsid w:val="00855533"/>
    <w:rsid w:val="008819E4"/>
    <w:rsid w:val="008A538A"/>
    <w:rsid w:val="008A6FCC"/>
    <w:rsid w:val="008A7731"/>
    <w:rsid w:val="008B36BB"/>
    <w:rsid w:val="008E5756"/>
    <w:rsid w:val="008F01F9"/>
    <w:rsid w:val="0091520C"/>
    <w:rsid w:val="00923070"/>
    <w:rsid w:val="00923D02"/>
    <w:rsid w:val="00932293"/>
    <w:rsid w:val="009422F2"/>
    <w:rsid w:val="009668B6"/>
    <w:rsid w:val="009717A8"/>
    <w:rsid w:val="00987278"/>
    <w:rsid w:val="00990EB6"/>
    <w:rsid w:val="009A3871"/>
    <w:rsid w:val="009B0631"/>
    <w:rsid w:val="009C0352"/>
    <w:rsid w:val="009C111A"/>
    <w:rsid w:val="009D3FBE"/>
    <w:rsid w:val="009F52B2"/>
    <w:rsid w:val="00A003B5"/>
    <w:rsid w:val="00A025D4"/>
    <w:rsid w:val="00A145F2"/>
    <w:rsid w:val="00A362A2"/>
    <w:rsid w:val="00A37E07"/>
    <w:rsid w:val="00A540A6"/>
    <w:rsid w:val="00A8334C"/>
    <w:rsid w:val="00A85A45"/>
    <w:rsid w:val="00AA42B0"/>
    <w:rsid w:val="00AA7E3E"/>
    <w:rsid w:val="00AC7AB6"/>
    <w:rsid w:val="00AE330D"/>
    <w:rsid w:val="00B04DDF"/>
    <w:rsid w:val="00B06668"/>
    <w:rsid w:val="00B20B5A"/>
    <w:rsid w:val="00B23251"/>
    <w:rsid w:val="00B30CBC"/>
    <w:rsid w:val="00B34770"/>
    <w:rsid w:val="00B53CD3"/>
    <w:rsid w:val="00B6043B"/>
    <w:rsid w:val="00B64EEF"/>
    <w:rsid w:val="00B67397"/>
    <w:rsid w:val="00B75B9D"/>
    <w:rsid w:val="00B76B77"/>
    <w:rsid w:val="00B907A7"/>
    <w:rsid w:val="00B91118"/>
    <w:rsid w:val="00BA6AA2"/>
    <w:rsid w:val="00BB108F"/>
    <w:rsid w:val="00BB6A41"/>
    <w:rsid w:val="00BC3CF7"/>
    <w:rsid w:val="00BC78F1"/>
    <w:rsid w:val="00BE1150"/>
    <w:rsid w:val="00BF571C"/>
    <w:rsid w:val="00C05E34"/>
    <w:rsid w:val="00C20CB2"/>
    <w:rsid w:val="00C21C83"/>
    <w:rsid w:val="00C23599"/>
    <w:rsid w:val="00C276A7"/>
    <w:rsid w:val="00C52155"/>
    <w:rsid w:val="00C6098D"/>
    <w:rsid w:val="00C716A7"/>
    <w:rsid w:val="00C80841"/>
    <w:rsid w:val="00C94A95"/>
    <w:rsid w:val="00C95415"/>
    <w:rsid w:val="00C9611D"/>
    <w:rsid w:val="00CA2E4E"/>
    <w:rsid w:val="00CC484C"/>
    <w:rsid w:val="00CD500A"/>
    <w:rsid w:val="00CE022F"/>
    <w:rsid w:val="00CE0495"/>
    <w:rsid w:val="00CE23C9"/>
    <w:rsid w:val="00CF1E0A"/>
    <w:rsid w:val="00CF3708"/>
    <w:rsid w:val="00D26F9A"/>
    <w:rsid w:val="00D35393"/>
    <w:rsid w:val="00D36A44"/>
    <w:rsid w:val="00D37A16"/>
    <w:rsid w:val="00D9726C"/>
    <w:rsid w:val="00DA279C"/>
    <w:rsid w:val="00DD3AB5"/>
    <w:rsid w:val="00DD4ECB"/>
    <w:rsid w:val="00E1708D"/>
    <w:rsid w:val="00E37FBF"/>
    <w:rsid w:val="00E4203F"/>
    <w:rsid w:val="00E62D90"/>
    <w:rsid w:val="00E65D06"/>
    <w:rsid w:val="00E706CB"/>
    <w:rsid w:val="00E71FE4"/>
    <w:rsid w:val="00E75FA4"/>
    <w:rsid w:val="00E85F96"/>
    <w:rsid w:val="00E96E81"/>
    <w:rsid w:val="00EB07E6"/>
    <w:rsid w:val="00EB72CC"/>
    <w:rsid w:val="00EC14E5"/>
    <w:rsid w:val="00EE5F4A"/>
    <w:rsid w:val="00EE5FD2"/>
    <w:rsid w:val="00EF5D9C"/>
    <w:rsid w:val="00F013C1"/>
    <w:rsid w:val="00F35E38"/>
    <w:rsid w:val="00F5303A"/>
    <w:rsid w:val="00F55AD0"/>
    <w:rsid w:val="00F74FED"/>
    <w:rsid w:val="00FA0C81"/>
    <w:rsid w:val="00FD298E"/>
    <w:rsid w:val="00FE69A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GB"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jc w:val="both"/>
      <w:textAlignment w:val="baseline"/>
    </w:pPr>
    <w:rPr>
      <w:rFonts w:ascii="Times New Roman" w:hAnsi="Times New Roman"/>
      <w:sz w:val="22"/>
      <w:lang w:eastAsia="en-US"/>
    </w:rPr>
  </w:style>
  <w:style w:type="paragraph" w:styleId="Heading1">
    <w:name w:val="heading 1"/>
    <w:basedOn w:val="HouseStyleBase"/>
    <w:next w:val="MarginText"/>
    <w:qFormat/>
    <w:pPr>
      <w:keepNext/>
      <w:numPr>
        <w:numId w:val="3"/>
      </w:numPr>
      <w:outlineLvl w:val="0"/>
    </w:pPr>
    <w:rPr>
      <w:b/>
      <w:caps/>
    </w:rPr>
  </w:style>
  <w:style w:type="paragraph" w:styleId="Heading2">
    <w:name w:val="heading 2"/>
    <w:basedOn w:val="HouseStyleBaseCentred"/>
    <w:qFormat/>
    <w:pPr>
      <w:numPr>
        <w:ilvl w:val="1"/>
        <w:numId w:val="3"/>
      </w:numPr>
      <w:jc w:val="both"/>
      <w:outlineLvl w:val="1"/>
    </w:pPr>
  </w:style>
  <w:style w:type="paragraph" w:styleId="Heading3">
    <w:name w:val="heading 3"/>
    <w:basedOn w:val="HouseStyleBaseCentred"/>
    <w:qFormat/>
    <w:pPr>
      <w:numPr>
        <w:ilvl w:val="2"/>
        <w:numId w:val="3"/>
      </w:numPr>
      <w:jc w:val="both"/>
      <w:outlineLvl w:val="2"/>
    </w:pPr>
  </w:style>
  <w:style w:type="paragraph" w:styleId="Heading4">
    <w:name w:val="heading 4"/>
    <w:basedOn w:val="HouseStyleBaseCentred"/>
    <w:qFormat/>
    <w:pPr>
      <w:numPr>
        <w:ilvl w:val="3"/>
        <w:numId w:val="3"/>
      </w:numPr>
      <w:jc w:val="both"/>
      <w:outlineLvl w:val="3"/>
    </w:pPr>
  </w:style>
  <w:style w:type="paragraph" w:styleId="Heading5">
    <w:name w:val="heading 5"/>
    <w:basedOn w:val="HouseStyleBaseCentred"/>
    <w:qFormat/>
    <w:pPr>
      <w:numPr>
        <w:ilvl w:val="4"/>
        <w:numId w:val="3"/>
      </w:numPr>
      <w:jc w:val="both"/>
      <w:outlineLvl w:val="4"/>
    </w:pPr>
  </w:style>
  <w:style w:type="paragraph" w:styleId="Heading6">
    <w:name w:val="heading 6"/>
    <w:basedOn w:val="HouseStyleBaseCentred"/>
    <w:qFormat/>
    <w:pPr>
      <w:numPr>
        <w:ilvl w:val="5"/>
        <w:numId w:val="3"/>
      </w:numPr>
      <w:jc w:val="both"/>
      <w:outlineLvl w:val="5"/>
    </w:pPr>
  </w:style>
  <w:style w:type="paragraph" w:styleId="Heading7">
    <w:name w:val="heading 7"/>
    <w:basedOn w:val="HouseStyleBase"/>
    <w:qFormat/>
    <w:pPr>
      <w:numPr>
        <w:ilvl w:val="6"/>
        <w:numId w:val="3"/>
      </w:numPr>
      <w:outlineLvl w:val="6"/>
    </w:pPr>
  </w:style>
  <w:style w:type="paragraph" w:styleId="Heading8">
    <w:name w:val="heading 8"/>
    <w:basedOn w:val="HouseStyleBase"/>
    <w:qFormat/>
    <w:pPr>
      <w:numPr>
        <w:ilvl w:val="7"/>
        <w:numId w:val="3"/>
      </w:numPr>
      <w:outlineLvl w:val="7"/>
    </w:pPr>
  </w:style>
  <w:style w:type="paragraph" w:styleId="Heading9">
    <w:name w:val="heading 9"/>
    <w:basedOn w:val="HouseStyleBaseCentred"/>
    <w:next w:val="MarginText"/>
    <w:qFormat/>
    <w:pPr>
      <w:numPr>
        <w:ilvl w:val="8"/>
        <w:numId w:val="3"/>
      </w:numPr>
      <w:jc w:val="both"/>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ListBullet">
    <w:name w:val="List Bullet"/>
    <w:basedOn w:val="Normal"/>
    <w:pPr>
      <w:numPr>
        <w:numId w:val="1"/>
      </w:numPr>
      <w:tabs>
        <w:tab w:val="clear" w:pos="0"/>
      </w:tabs>
      <w:spacing w:after="240"/>
      <w:jc w:val="left"/>
    </w:pPr>
    <w:rPr>
      <w:kern w:val="28"/>
    </w:rPr>
  </w:style>
  <w:style w:type="paragraph" w:customStyle="1" w:styleId="Paragraph">
    <w:name w:val="Paragraph"/>
    <w:basedOn w:val="Normal"/>
  </w:style>
  <w:style w:type="paragraph" w:styleId="ListBullet2">
    <w:name w:val="List Bullet 2"/>
    <w:basedOn w:val="HouseStyleBaseCentred"/>
    <w:pPr>
      <w:numPr>
        <w:ilvl w:val="1"/>
        <w:numId w:val="10"/>
      </w:numPr>
      <w:jc w:val="both"/>
    </w:pPr>
  </w:style>
  <w:style w:type="character" w:styleId="PageNumber">
    <w:name w:val="page number"/>
    <w:basedOn w:val="DefaultParagraphFont"/>
  </w:style>
  <w:style w:type="paragraph" w:customStyle="1" w:styleId="DLAFileNote">
    <w:name w:val="DLA File Note"/>
    <w:basedOn w:val="Normal"/>
    <w:pPr>
      <w:spacing w:after="240"/>
    </w:p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semiHidden/>
    <w:pPr>
      <w:spacing w:after="60"/>
      <w:ind w:left="720" w:hanging="720"/>
    </w:pPr>
    <w:rPr>
      <w:sz w:val="16"/>
    </w:rPr>
  </w:style>
  <w:style w:type="character" w:styleId="FootnoteReference">
    <w:name w:val="foot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semiHidden/>
    <w:pPr>
      <w:tabs>
        <w:tab w:val="left" w:pos="720"/>
        <w:tab w:val="right" w:leader="dot" w:pos="9029"/>
      </w:tabs>
      <w:adjustRightInd w:val="0"/>
      <w:spacing w:after="120"/>
      <w:ind w:left="720" w:hanging="720"/>
    </w:pPr>
    <w:rPr>
      <w:rFonts w:ascii="Times New Roman" w:eastAsia="STZhongsong" w:hAnsi="Times New Roman"/>
      <w:caps/>
      <w:sz w:val="22"/>
      <w:lang w:eastAsia="zh-CN"/>
    </w:rPr>
  </w:style>
  <w:style w:type="paragraph" w:styleId="TOC2">
    <w:name w:val="toc 2"/>
    <w:semiHidden/>
    <w:pPr>
      <w:tabs>
        <w:tab w:val="left" w:pos="1440"/>
        <w:tab w:val="right" w:leader="dot" w:pos="9029"/>
      </w:tabs>
      <w:adjustRightInd w:val="0"/>
      <w:spacing w:after="120"/>
      <w:ind w:left="1440" w:hanging="720"/>
    </w:pPr>
    <w:rPr>
      <w:rFonts w:ascii="Times New Roman" w:eastAsia="STZhongsong" w:hAnsi="Times New Roman"/>
      <w:sz w:val="22"/>
      <w:lang w:eastAsia="zh-CN"/>
    </w:rPr>
  </w:style>
  <w:style w:type="paragraph" w:styleId="TOC3">
    <w:name w:val="toc 3"/>
    <w:semiHidden/>
    <w:pPr>
      <w:tabs>
        <w:tab w:val="left" w:pos="2160"/>
        <w:tab w:val="right" w:leader="dot" w:pos="9029"/>
      </w:tabs>
      <w:adjustRightInd w:val="0"/>
      <w:spacing w:after="120"/>
      <w:ind w:left="2160" w:hanging="720"/>
    </w:pPr>
    <w:rPr>
      <w:rFonts w:ascii="Times New Roman" w:eastAsia="STZhongsong" w:hAnsi="Times New Roman"/>
      <w:sz w:val="22"/>
      <w:lang w:eastAsia="zh-CN"/>
    </w:rPr>
  </w:style>
  <w:style w:type="paragraph" w:styleId="TOC4">
    <w:name w:val="toc 4"/>
    <w:semiHidden/>
    <w:pPr>
      <w:tabs>
        <w:tab w:val="left" w:pos="2880"/>
        <w:tab w:val="right" w:leader="dot" w:pos="9029"/>
      </w:tabs>
      <w:adjustRightInd w:val="0"/>
      <w:spacing w:after="120"/>
      <w:ind w:left="2880" w:hanging="720"/>
    </w:pPr>
    <w:rPr>
      <w:rFonts w:ascii="Times New Roman" w:eastAsia="STZhongsong" w:hAnsi="Times New Roman"/>
      <w:sz w:val="22"/>
      <w:lang w:eastAsia="zh-CN"/>
    </w:rPr>
  </w:style>
  <w:style w:type="paragraph" w:styleId="TOC5">
    <w:name w:val="toc 5"/>
    <w:semiHidden/>
    <w:pPr>
      <w:tabs>
        <w:tab w:val="left" w:pos="3600"/>
        <w:tab w:val="right" w:leader="dot" w:pos="9029"/>
      </w:tabs>
      <w:adjustRightInd w:val="0"/>
      <w:spacing w:after="120"/>
      <w:ind w:left="3600" w:hanging="720"/>
    </w:pPr>
    <w:rPr>
      <w:rFonts w:ascii="Times New Roman" w:eastAsia="STZhongsong" w:hAnsi="Times New Roman"/>
      <w:sz w:val="22"/>
      <w:lang w:eastAsia="zh-CN"/>
    </w:rPr>
  </w:style>
  <w:style w:type="paragraph" w:styleId="TOC6">
    <w:name w:val="toc 6"/>
    <w:semiHidden/>
    <w:pPr>
      <w:tabs>
        <w:tab w:val="left" w:pos="4320"/>
        <w:tab w:val="right" w:leader="dot" w:pos="9029"/>
      </w:tabs>
      <w:adjustRightInd w:val="0"/>
      <w:spacing w:after="120"/>
      <w:ind w:left="4320" w:hanging="720"/>
    </w:pPr>
    <w:rPr>
      <w:rFonts w:ascii="Times New Roman" w:eastAsia="STZhongsong" w:hAnsi="Times New Roman"/>
      <w:sz w:val="22"/>
      <w:lang w:eastAsia="zh-CN"/>
    </w:rPr>
  </w:style>
  <w:style w:type="paragraph" w:styleId="TOC7">
    <w:name w:val="toc 7"/>
    <w:semiHidden/>
    <w:pPr>
      <w:tabs>
        <w:tab w:val="left" w:pos="5040"/>
        <w:tab w:val="right" w:leader="dot" w:pos="9029"/>
      </w:tabs>
      <w:adjustRightInd w:val="0"/>
      <w:spacing w:after="120"/>
      <w:ind w:left="5040" w:hanging="720"/>
    </w:pPr>
    <w:rPr>
      <w:rFonts w:ascii="Times New Roman" w:eastAsia="STZhongsong" w:hAnsi="Times New Roman"/>
      <w:sz w:val="22"/>
      <w:lang w:eastAsia="zh-CN"/>
    </w:rPr>
  </w:style>
  <w:style w:type="paragraph" w:styleId="TOC8">
    <w:name w:val="toc 8"/>
    <w:semiHidden/>
    <w:pPr>
      <w:tabs>
        <w:tab w:val="right" w:leader="dot" w:pos="9029"/>
      </w:tabs>
      <w:adjustRightInd w:val="0"/>
      <w:spacing w:after="120"/>
    </w:pPr>
    <w:rPr>
      <w:rFonts w:ascii="Times New Roman" w:eastAsia="STZhongsong" w:hAnsi="Times New Roman"/>
      <w:caps/>
      <w:sz w:val="22"/>
      <w:lang w:eastAsia="zh-CN"/>
    </w:rPr>
  </w:style>
  <w:style w:type="paragraph" w:styleId="TOC9">
    <w:name w:val="toc 9"/>
    <w:semiHidden/>
    <w:pPr>
      <w:tabs>
        <w:tab w:val="right" w:leader="dot" w:pos="9029"/>
      </w:tabs>
      <w:adjustRightInd w:val="0"/>
      <w:spacing w:after="120"/>
      <w:ind w:left="720"/>
    </w:pPr>
    <w:rPr>
      <w:rFonts w:ascii="Times New Roman" w:eastAsia="STZhongsong" w:hAnsi="Times New Roman"/>
      <w:sz w:val="22"/>
      <w:lang w:eastAsia="zh-CN"/>
    </w:r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rPr>
      <w:rFonts w:ascii="Times New Roman" w:hAnsi="Times New Roman"/>
      <w:sz w:val="22"/>
      <w:vertAlign w:val="baseline"/>
    </w:rPr>
  </w:style>
  <w:style w:type="paragraph" w:styleId="BodyText">
    <w:name w:val="Body Text"/>
    <w:basedOn w:val="Normal"/>
    <w:link w:val="BodyTextChar"/>
    <w:pPr>
      <w:spacing w:after="240"/>
    </w:pPr>
  </w:style>
  <w:style w:type="paragraph" w:styleId="BodyTextIndent">
    <w:name w:val="Body Text Indent"/>
    <w:basedOn w:val="HouseStyleBase"/>
    <w:link w:val="BodyTextIndentChar"/>
    <w:pPr>
      <w:ind w:left="720"/>
    </w:pPr>
  </w:style>
  <w:style w:type="paragraph" w:styleId="BodyTextIndent2">
    <w:name w:val="Body Text Indent 2"/>
    <w:basedOn w:val="HouseStyleBase"/>
    <w:pPr>
      <w:ind w:left="720"/>
    </w:pPr>
  </w:style>
  <w:style w:type="paragraph" w:styleId="BodyTextIndent3">
    <w:name w:val="Body Text Indent 3"/>
    <w:basedOn w:val="HouseStyleBase"/>
    <w:pPr>
      <w:ind w:left="1800"/>
    </w:pPr>
  </w:style>
  <w:style w:type="paragraph" w:customStyle="1" w:styleId="BodyTextIndent4">
    <w:name w:val="Body Text Indent 4"/>
    <w:basedOn w:val="HouseStyleBase"/>
    <w:link w:val="BodyTextIndent4Char"/>
    <w:pPr>
      <w:ind w:left="2880"/>
    </w:pPr>
  </w:style>
  <w:style w:type="paragraph" w:customStyle="1" w:styleId="BodyTextIndent5">
    <w:name w:val="Body Text Indent 5"/>
    <w:basedOn w:val="HouseStyleBase"/>
    <w:link w:val="BodyTextIndent5Char"/>
    <w:pPr>
      <w:ind w:left="3600"/>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BodyTextIndent8">
    <w:name w:val="Body Text Indent 8"/>
    <w:basedOn w:val="HouseStyleBase"/>
    <w:pPr>
      <w:ind w:left="5760"/>
    </w:pPr>
  </w:style>
  <w:style w:type="paragraph" w:customStyle="1" w:styleId="MarginText">
    <w:name w:val="Margin Text"/>
    <w:basedOn w:val="HouseStyleBase"/>
  </w:style>
  <w:style w:type="paragraph" w:customStyle="1" w:styleId="SchHead">
    <w:name w:val="SchHead"/>
    <w:basedOn w:val="HouseStyleBaseCentred"/>
    <w:next w:val="SchPart"/>
    <w:pPr>
      <w:keepNext/>
      <w:numPr>
        <w:numId w:val="6"/>
      </w:numPr>
      <w:outlineLvl w:val="0"/>
    </w:pPr>
    <w:rPr>
      <w:b/>
      <w:caps/>
    </w:rPr>
  </w:style>
  <w:style w:type="paragraph" w:customStyle="1" w:styleId="ScheduleL1">
    <w:name w:val="Schedule L1"/>
    <w:basedOn w:val="HouseStyleBase"/>
    <w:next w:val="ScheduleL2A"/>
    <w:pPr>
      <w:numPr>
        <w:numId w:val="7"/>
      </w:numPr>
      <w:outlineLvl w:val="1"/>
    </w:pPr>
    <w:rPr>
      <w:b/>
      <w:caps/>
    </w:rPr>
  </w:style>
  <w:style w:type="paragraph" w:customStyle="1" w:styleId="bodyjustified">
    <w:name w:val="body justified"/>
    <w:basedOn w:val="Normal"/>
    <w:pPr>
      <w:overflowPunct/>
      <w:autoSpaceDE/>
      <w:autoSpaceDN/>
      <w:adjustRightInd/>
      <w:spacing w:after="240"/>
      <w:textAlignment w:val="auto"/>
    </w:pPr>
    <w:rPr>
      <w:szCs w:val="24"/>
      <w:lang w:eastAsia="en-GB"/>
    </w:rPr>
  </w:style>
  <w:style w:type="paragraph" w:customStyle="1" w:styleId="body">
    <w:name w:val="body"/>
    <w:basedOn w:val="Normal"/>
    <w:link w:val="bodyChar"/>
    <w:pPr>
      <w:overflowPunct/>
      <w:autoSpaceDE/>
      <w:autoSpaceDN/>
      <w:adjustRightInd/>
      <w:jc w:val="left"/>
      <w:textAlignment w:val="auto"/>
    </w:pPr>
    <w:rPr>
      <w:szCs w:val="24"/>
      <w:lang w:eastAsia="en-GB"/>
    </w:rPr>
  </w:style>
  <w:style w:type="character" w:customStyle="1" w:styleId="bodyChar">
    <w:name w:val="body Char"/>
    <w:link w:val="body"/>
    <w:rPr>
      <w:sz w:val="22"/>
      <w:szCs w:val="24"/>
      <w:lang w:val="en-GB" w:eastAsia="en-GB" w:bidi="ar-SA"/>
    </w:rPr>
  </w:style>
  <w:style w:type="paragraph" w:customStyle="1" w:styleId="bodystrong">
    <w:name w:val="body strong"/>
    <w:basedOn w:val="body"/>
    <w:link w:val="bodystrongChar"/>
    <w:rPr>
      <w:b/>
    </w:rPr>
  </w:style>
  <w:style w:type="character" w:customStyle="1" w:styleId="bodystrongChar">
    <w:name w:val="body strong Char"/>
    <w:link w:val="bodystrong"/>
    <w:rPr>
      <w:b/>
      <w:sz w:val="22"/>
      <w:szCs w:val="24"/>
      <w:lang w:val="en-GB" w:eastAsia="en-GB" w:bidi="ar-SA"/>
    </w:rPr>
  </w:style>
  <w:style w:type="paragraph" w:customStyle="1" w:styleId="bodystronger">
    <w:name w:val="body stronger"/>
    <w:basedOn w:val="bodystrong"/>
    <w:link w:val="bodystrongerChar"/>
    <w:rPr>
      <w:caps/>
      <w:szCs w:val="22"/>
    </w:rPr>
  </w:style>
  <w:style w:type="table" w:styleId="TableGrid">
    <w:name w:val="Table Grid"/>
    <w:basedOn w:val="TableNormal"/>
    <w:pPr>
      <w:overflowPunct w:val="0"/>
      <w:autoSpaceDE w:val="0"/>
      <w:autoSpaceDN w:val="0"/>
      <w:adjustRightInd w:val="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trongercentre">
    <w:name w:val="body stronger centre"/>
    <w:basedOn w:val="bodystronger"/>
    <w:link w:val="bodystrongercentreChar"/>
    <w:pPr>
      <w:jc w:val="center"/>
    </w:pPr>
  </w:style>
  <w:style w:type="paragraph" w:customStyle="1" w:styleId="footer0">
    <w:name w:val="footer"/>
    <w:basedOn w:val="Normal"/>
    <w:link w:val="footerChar"/>
    <w:pPr>
      <w:overflowPunct/>
      <w:autoSpaceDE/>
      <w:autoSpaceDN/>
      <w:adjustRightInd/>
      <w:jc w:val="left"/>
      <w:textAlignment w:val="auto"/>
    </w:pPr>
    <w:rPr>
      <w:rFonts w:ascii="Arial" w:hAnsi="Arial"/>
      <w:sz w:val="14"/>
      <w:szCs w:val="24"/>
      <w:lang w:eastAsia="en-GB"/>
    </w:rPr>
  </w:style>
  <w:style w:type="character" w:customStyle="1" w:styleId="footerChar">
    <w:name w:val="footer Char"/>
    <w:link w:val="footer0"/>
    <w:rPr>
      <w:rFonts w:ascii="Arial" w:hAnsi="Arial"/>
      <w:sz w:val="14"/>
      <w:szCs w:val="24"/>
      <w:lang w:val="en-GB" w:eastAsia="en-GB" w:bidi="ar-SA"/>
    </w:rPr>
  </w:style>
  <w:style w:type="character" w:customStyle="1" w:styleId="BodyTextIndent4Char">
    <w:name w:val="Body Text Indent 4 Char"/>
    <w:link w:val="BodyTextIndent4"/>
    <w:rPr>
      <w:rFonts w:ascii="Times New Roman" w:eastAsia="STZhongsong" w:hAnsi="Times New Roman"/>
      <w:sz w:val="22"/>
      <w:lang w:eastAsia="zh-CN"/>
    </w:rPr>
  </w:style>
  <w:style w:type="character" w:customStyle="1" w:styleId="BodyTextIndent5Char">
    <w:name w:val="Body Text Indent 5 Char"/>
    <w:link w:val="BodyTextIndent5"/>
    <w:rPr>
      <w:rFonts w:ascii="Times New Roman" w:eastAsia="STZhongsong" w:hAnsi="Times New Roman"/>
      <w:sz w:val="22"/>
      <w:lang w:eastAsia="zh-CN"/>
    </w:rPr>
  </w:style>
  <w:style w:type="numbering" w:styleId="111111">
    <w:name w:val="Outline List 2"/>
    <w:basedOn w:val="NoList"/>
    <w:pPr>
      <w:numPr>
        <w:numId w:val="2"/>
      </w:numPr>
    </w:pPr>
  </w:style>
  <w:style w:type="paragraph" w:customStyle="1" w:styleId="HouseStyleBase">
    <w:name w:val="House Style Base"/>
    <w:link w:val="HouseStyleBaseChar"/>
    <w:pPr>
      <w:adjustRightInd w:val="0"/>
      <w:spacing w:after="240"/>
      <w:jc w:val="both"/>
    </w:pPr>
    <w:rPr>
      <w:rFonts w:ascii="Times New Roman" w:eastAsia="STZhongsong" w:hAnsi="Times New Roman"/>
      <w:sz w:val="22"/>
      <w:lang w:eastAsia="zh-CN"/>
    </w:rPr>
  </w:style>
  <w:style w:type="paragraph" w:customStyle="1" w:styleId="HouseStyleBaseCentred">
    <w:name w:val="House Style Base Centred"/>
    <w:pPr>
      <w:adjustRightInd w:val="0"/>
      <w:spacing w:after="240"/>
      <w:jc w:val="center"/>
    </w:pPr>
    <w:rPr>
      <w:rFonts w:ascii="Times New Roman" w:eastAsia="STZhongsong" w:hAnsi="Times New Roman"/>
      <w:sz w:val="22"/>
      <w:lang w:eastAsia="zh-CN"/>
    </w:rPr>
  </w:style>
  <w:style w:type="paragraph" w:customStyle="1" w:styleId="Heading">
    <w:name w:val="Heading"/>
    <w:basedOn w:val="HouseStyleBaseCentred"/>
    <w:next w:val="MarginText"/>
    <w:pPr>
      <w:keepNext/>
    </w:pPr>
    <w:rPr>
      <w:b/>
      <w:caps/>
    </w:rPr>
  </w:style>
  <w:style w:type="paragraph" w:customStyle="1" w:styleId="AppHead">
    <w:name w:val="AppHead"/>
    <w:basedOn w:val="HouseStyleBaseCentred"/>
    <w:pPr>
      <w:keepNext/>
      <w:numPr>
        <w:numId w:val="23"/>
      </w:numPr>
      <w:outlineLvl w:val="0"/>
    </w:pPr>
    <w:rPr>
      <w:b/>
      <w:caps/>
    </w:rPr>
  </w:style>
  <w:style w:type="paragraph" w:customStyle="1" w:styleId="RecitalNumbering">
    <w:name w:val="Recital Numbering"/>
    <w:basedOn w:val="HouseStyleBase"/>
    <w:pPr>
      <w:numPr>
        <w:numId w:val="25"/>
      </w:numPr>
      <w:outlineLvl w:val="0"/>
    </w:pPr>
  </w:style>
  <w:style w:type="paragraph" w:customStyle="1" w:styleId="DefinitionNumbering1">
    <w:name w:val="Definition Numbering 1"/>
    <w:basedOn w:val="HouseStyleBase"/>
    <w:pPr>
      <w:numPr>
        <w:numId w:val="5"/>
      </w:numPr>
      <w:outlineLvl w:val="1"/>
    </w:pPr>
  </w:style>
  <w:style w:type="paragraph" w:customStyle="1" w:styleId="DefinitionNumbering2">
    <w:name w:val="Definition Numbering 2"/>
    <w:basedOn w:val="HouseStyleBase"/>
    <w:pPr>
      <w:numPr>
        <w:ilvl w:val="1"/>
        <w:numId w:val="5"/>
      </w:numPr>
      <w:outlineLvl w:val="1"/>
    </w:pPr>
  </w:style>
  <w:style w:type="paragraph" w:customStyle="1" w:styleId="DefinitionNumbering3">
    <w:name w:val="Definition Numbering 3"/>
    <w:basedOn w:val="HouseStyleBase"/>
    <w:pPr>
      <w:numPr>
        <w:ilvl w:val="2"/>
        <w:numId w:val="5"/>
      </w:numPr>
      <w:outlineLvl w:val="1"/>
    </w:pPr>
  </w:style>
  <w:style w:type="paragraph" w:customStyle="1" w:styleId="DefinitionNumbering4">
    <w:name w:val="Definition Numbering 4"/>
    <w:basedOn w:val="HouseStyleBase"/>
    <w:pPr>
      <w:numPr>
        <w:ilvl w:val="3"/>
        <w:numId w:val="5"/>
      </w:numPr>
      <w:outlineLvl w:val="1"/>
    </w:pPr>
  </w:style>
  <w:style w:type="paragraph" w:customStyle="1" w:styleId="DefinitionNumbering5">
    <w:name w:val="Definition Numbering 5"/>
    <w:basedOn w:val="HouseStyleBase"/>
    <w:pPr>
      <w:numPr>
        <w:ilvl w:val="4"/>
        <w:numId w:val="5"/>
      </w:numPr>
      <w:outlineLvl w:val="1"/>
    </w:pPr>
  </w:style>
  <w:style w:type="paragraph" w:customStyle="1" w:styleId="DefinitionNumbering6">
    <w:name w:val="Definition Numbering 6"/>
    <w:basedOn w:val="HouseStyleBase"/>
    <w:pPr>
      <w:numPr>
        <w:ilvl w:val="5"/>
        <w:numId w:val="5"/>
      </w:numPr>
      <w:outlineLvl w:val="1"/>
    </w:pPr>
  </w:style>
  <w:style w:type="paragraph" w:customStyle="1" w:styleId="DefinitionNumbering7">
    <w:name w:val="Definition Numbering 7"/>
    <w:basedOn w:val="HouseStyleBase"/>
    <w:pPr>
      <w:numPr>
        <w:ilvl w:val="6"/>
        <w:numId w:val="5"/>
      </w:numPr>
      <w:outlineLvl w:val="1"/>
    </w:pPr>
  </w:style>
  <w:style w:type="paragraph" w:customStyle="1" w:styleId="DefinitionNumbering8">
    <w:name w:val="Definition Numbering 8"/>
    <w:basedOn w:val="HouseStyleBase"/>
    <w:pPr>
      <w:numPr>
        <w:ilvl w:val="7"/>
        <w:numId w:val="20"/>
      </w:numPr>
      <w:outlineLvl w:val="7"/>
    </w:pPr>
  </w:style>
  <w:style w:type="paragraph" w:customStyle="1" w:styleId="DefinitionNumbering9">
    <w:name w:val="Definition Numbering 9"/>
    <w:basedOn w:val="HouseStyleBase"/>
    <w:pPr>
      <w:numPr>
        <w:ilvl w:val="8"/>
        <w:numId w:val="20"/>
      </w:numPr>
      <w:outlineLvl w:val="8"/>
    </w:pPr>
  </w:style>
  <w:style w:type="paragraph" w:customStyle="1" w:styleId="ListBullet1">
    <w:name w:val="List Bullet 1"/>
    <w:basedOn w:val="HouseStyleBaseCentred"/>
    <w:pPr>
      <w:numPr>
        <w:numId w:val="10"/>
      </w:numPr>
      <w:jc w:val="both"/>
    </w:pPr>
  </w:style>
  <w:style w:type="paragraph" w:styleId="ListBullet3">
    <w:name w:val="List Bullet 3"/>
    <w:basedOn w:val="HouseStyleBaseCentred"/>
    <w:pPr>
      <w:numPr>
        <w:ilvl w:val="2"/>
        <w:numId w:val="10"/>
      </w:numPr>
      <w:jc w:val="both"/>
    </w:pPr>
  </w:style>
  <w:style w:type="paragraph" w:styleId="ListBullet4">
    <w:name w:val="List Bullet 4"/>
    <w:basedOn w:val="HouseStyleBaseCentred"/>
    <w:pPr>
      <w:numPr>
        <w:ilvl w:val="3"/>
        <w:numId w:val="10"/>
      </w:numPr>
      <w:jc w:val="both"/>
    </w:pPr>
  </w:style>
  <w:style w:type="paragraph" w:styleId="ListBullet5">
    <w:name w:val="List Bullet 5"/>
    <w:basedOn w:val="HouseStyleBaseCentred"/>
    <w:pPr>
      <w:numPr>
        <w:ilvl w:val="4"/>
        <w:numId w:val="10"/>
      </w:numPr>
      <w:jc w:val="both"/>
    </w:pPr>
  </w:style>
  <w:style w:type="paragraph" w:customStyle="1" w:styleId="ListBullet6">
    <w:name w:val="List Bullet 6"/>
    <w:basedOn w:val="HouseStyleBaseCentred"/>
    <w:pPr>
      <w:numPr>
        <w:ilvl w:val="5"/>
        <w:numId w:val="10"/>
      </w:numPr>
      <w:jc w:val="both"/>
    </w:pPr>
  </w:style>
  <w:style w:type="paragraph" w:customStyle="1" w:styleId="ListBullet7">
    <w:name w:val="List Bullet 7"/>
    <w:basedOn w:val="HouseStyleBaseCentred"/>
    <w:pPr>
      <w:numPr>
        <w:ilvl w:val="6"/>
        <w:numId w:val="10"/>
      </w:numPr>
      <w:jc w:val="both"/>
    </w:pPr>
  </w:style>
  <w:style w:type="paragraph" w:customStyle="1" w:styleId="ListBullet8">
    <w:name w:val="List Bullet 8"/>
    <w:basedOn w:val="HouseStyleBaseCentred"/>
    <w:pPr>
      <w:numPr>
        <w:ilvl w:val="7"/>
        <w:numId w:val="10"/>
      </w:numPr>
      <w:jc w:val="both"/>
    </w:pPr>
  </w:style>
  <w:style w:type="paragraph" w:customStyle="1" w:styleId="ListBullet9">
    <w:name w:val="List Bullet 9"/>
    <w:basedOn w:val="HouseStyleBaseCentred"/>
    <w:pPr>
      <w:numPr>
        <w:ilvl w:val="8"/>
        <w:numId w:val="10"/>
      </w:numPr>
      <w:jc w:val="both"/>
    </w:pPr>
  </w:style>
  <w:style w:type="paragraph" w:customStyle="1" w:styleId="SchPart">
    <w:name w:val="SchPart"/>
    <w:basedOn w:val="HouseStyleBaseCentred"/>
    <w:next w:val="MarginText"/>
    <w:pPr>
      <w:keepNext/>
      <w:numPr>
        <w:ilvl w:val="1"/>
        <w:numId w:val="6"/>
      </w:numPr>
      <w:outlineLvl w:val="1"/>
    </w:pPr>
    <w:rPr>
      <w:b/>
    </w:rPr>
  </w:style>
  <w:style w:type="paragraph" w:customStyle="1" w:styleId="ScheduleL2">
    <w:name w:val="Schedule L2"/>
    <w:basedOn w:val="HouseStyleBase"/>
    <w:pPr>
      <w:numPr>
        <w:ilvl w:val="1"/>
        <w:numId w:val="7"/>
      </w:numPr>
      <w:outlineLvl w:val="0"/>
    </w:pPr>
  </w:style>
  <w:style w:type="paragraph" w:customStyle="1" w:styleId="ScheduleL3">
    <w:name w:val="Schedule L3"/>
    <w:basedOn w:val="HouseStyleBase"/>
    <w:pPr>
      <w:numPr>
        <w:ilvl w:val="2"/>
        <w:numId w:val="7"/>
      </w:numPr>
      <w:outlineLvl w:val="2"/>
    </w:pPr>
  </w:style>
  <w:style w:type="paragraph" w:customStyle="1" w:styleId="ScheduleL4">
    <w:name w:val="Schedule L4"/>
    <w:basedOn w:val="HouseStyleBase"/>
    <w:pPr>
      <w:numPr>
        <w:ilvl w:val="3"/>
        <w:numId w:val="7"/>
      </w:numPr>
      <w:outlineLvl w:val="3"/>
    </w:pPr>
  </w:style>
  <w:style w:type="paragraph" w:customStyle="1" w:styleId="ScheduleL5">
    <w:name w:val="Schedule L5"/>
    <w:basedOn w:val="HouseStyleBase"/>
    <w:pPr>
      <w:numPr>
        <w:ilvl w:val="4"/>
        <w:numId w:val="7"/>
      </w:numPr>
      <w:outlineLvl w:val="4"/>
    </w:pPr>
  </w:style>
  <w:style w:type="paragraph" w:customStyle="1" w:styleId="ScheduleL6">
    <w:name w:val="Schedule L6"/>
    <w:basedOn w:val="HouseStyleBase"/>
    <w:pPr>
      <w:numPr>
        <w:ilvl w:val="5"/>
        <w:numId w:val="7"/>
      </w:numPr>
      <w:outlineLvl w:val="5"/>
    </w:pPr>
  </w:style>
  <w:style w:type="paragraph" w:customStyle="1" w:styleId="ScheduleL7">
    <w:name w:val="Schedule L7"/>
    <w:basedOn w:val="HouseStyleBase"/>
    <w:pPr>
      <w:numPr>
        <w:ilvl w:val="6"/>
        <w:numId w:val="7"/>
      </w:numPr>
      <w:outlineLvl w:val="6"/>
    </w:pPr>
  </w:style>
  <w:style w:type="paragraph" w:customStyle="1" w:styleId="ScheduleL8">
    <w:name w:val="Schedule L8"/>
    <w:basedOn w:val="HouseStyleBase"/>
    <w:pPr>
      <w:numPr>
        <w:ilvl w:val="7"/>
        <w:numId w:val="7"/>
      </w:numPr>
      <w:outlineLvl w:val="7"/>
    </w:pPr>
  </w:style>
  <w:style w:type="paragraph" w:customStyle="1" w:styleId="ScheduleL9">
    <w:name w:val="Schedule L9"/>
    <w:basedOn w:val="HouseStyleBase"/>
    <w:pPr>
      <w:numPr>
        <w:ilvl w:val="8"/>
        <w:numId w:val="7"/>
      </w:numPr>
      <w:jc w:val="left"/>
      <w:outlineLvl w:val="8"/>
    </w:pPr>
  </w:style>
  <w:style w:type="paragraph" w:customStyle="1" w:styleId="SchSection">
    <w:name w:val="SchSection"/>
    <w:basedOn w:val="HouseStyleBaseCentred"/>
    <w:next w:val="MarginText"/>
    <w:pPr>
      <w:keepNext/>
      <w:numPr>
        <w:ilvl w:val="2"/>
        <w:numId w:val="6"/>
      </w:numPr>
      <w:outlineLvl w:val="2"/>
    </w:pPr>
    <w:rPr>
      <w:b/>
    </w:rPr>
  </w:style>
  <w:style w:type="paragraph" w:customStyle="1" w:styleId="Table-followingparagraph">
    <w:name w:val="Table - following paragraph"/>
    <w:basedOn w:val="HouseStyleBase"/>
    <w:next w:val="MarginText"/>
    <w:pPr>
      <w:spacing w:after="0"/>
    </w:pPr>
  </w:style>
  <w:style w:type="paragraph" w:customStyle="1" w:styleId="Table-Text">
    <w:name w:val="Table - Text"/>
    <w:basedOn w:val="HouseStyleBase"/>
    <w:pPr>
      <w:spacing w:before="120" w:after="120"/>
      <w:jc w:val="left"/>
    </w:pPr>
  </w:style>
  <w:style w:type="paragraph" w:customStyle="1" w:styleId="AppPart">
    <w:name w:val="AppPart"/>
    <w:basedOn w:val="HouseStyleBaseCentred"/>
    <w:pPr>
      <w:keepNext/>
      <w:pageBreakBefore/>
      <w:numPr>
        <w:ilvl w:val="1"/>
        <w:numId w:val="23"/>
      </w:numPr>
      <w:outlineLvl w:val="1"/>
    </w:pPr>
    <w:rPr>
      <w:b/>
    </w:rPr>
  </w:style>
  <w:style w:type="paragraph" w:customStyle="1" w:styleId="RecitalNumbering2">
    <w:name w:val="Recital Numbering 2"/>
    <w:basedOn w:val="HouseStyleBase"/>
    <w:pPr>
      <w:numPr>
        <w:ilvl w:val="1"/>
        <w:numId w:val="25"/>
      </w:numPr>
      <w:outlineLvl w:val="1"/>
    </w:pPr>
  </w:style>
  <w:style w:type="paragraph" w:customStyle="1" w:styleId="RecitalNumbering3">
    <w:name w:val="Recital Numbering 3"/>
    <w:basedOn w:val="HouseStyleBase"/>
    <w:pPr>
      <w:numPr>
        <w:ilvl w:val="2"/>
        <w:numId w:val="13"/>
      </w:numPr>
      <w:overflowPunct w:val="0"/>
      <w:autoSpaceDE w:val="0"/>
      <w:autoSpaceDN w:val="0"/>
      <w:textAlignment w:val="baseline"/>
    </w:pPr>
  </w:style>
  <w:style w:type="character" w:customStyle="1" w:styleId="bodychar0">
    <w:name w:val="body char"/>
    <w:basedOn w:val="bodyChar"/>
    <w:qFormat/>
    <w:rPr>
      <w:sz w:val="22"/>
      <w:szCs w:val="24"/>
      <w:lang w:val="en-GB" w:eastAsia="en-GB" w:bidi="ar-SA"/>
    </w:rPr>
  </w:style>
  <w:style w:type="character" w:customStyle="1" w:styleId="bodystrongchar0">
    <w:name w:val="body strong char"/>
    <w:basedOn w:val="bodystrongChar"/>
    <w:qFormat/>
    <w:rPr>
      <w:b/>
      <w:sz w:val="22"/>
      <w:szCs w:val="24"/>
      <w:lang w:val="en-GB" w:eastAsia="en-GB" w:bidi="ar-SA"/>
    </w:rPr>
  </w:style>
  <w:style w:type="character" w:customStyle="1" w:styleId="footerchar0">
    <w:name w:val="footer char"/>
    <w:basedOn w:val="footerChar"/>
    <w:qFormat/>
    <w:rPr>
      <w:rFonts w:ascii="Arial" w:hAnsi="Arial"/>
      <w:sz w:val="14"/>
      <w:szCs w:val="24"/>
      <w:lang w:val="en-GB" w:eastAsia="en-GB" w:bidi="ar-SA"/>
    </w:rPr>
  </w:style>
  <w:style w:type="paragraph" w:customStyle="1" w:styleId="Heading1A">
    <w:name w:val="Heading 1A"/>
    <w:basedOn w:val="HouseStyleBase"/>
    <w:next w:val="MarginText"/>
    <w:link w:val="Heading1AChar"/>
    <w:pPr>
      <w:jc w:val="center"/>
      <w:outlineLvl w:val="0"/>
    </w:pPr>
  </w:style>
  <w:style w:type="character" w:customStyle="1" w:styleId="bodystrongerChar">
    <w:name w:val="body stronger Char"/>
    <w:link w:val="bodystronger"/>
    <w:rPr>
      <w:rFonts w:ascii="Times New Roman" w:hAnsi="Times New Roman"/>
      <w:b/>
      <w:caps/>
      <w:sz w:val="22"/>
      <w:szCs w:val="22"/>
      <w:lang w:val="en-GB" w:eastAsia="en-GB" w:bidi="ar-SA"/>
    </w:rPr>
  </w:style>
  <w:style w:type="character" w:customStyle="1" w:styleId="bodystrongercentreChar">
    <w:name w:val="body stronger centre Char"/>
    <w:basedOn w:val="bodystrongerChar"/>
    <w:link w:val="bodystrongercentre"/>
    <w:rPr>
      <w:rFonts w:ascii="Times New Roman" w:hAnsi="Times New Roman"/>
      <w:b/>
      <w:caps/>
      <w:sz w:val="22"/>
      <w:szCs w:val="22"/>
      <w:lang w:val="en-GB" w:eastAsia="en-GB" w:bidi="ar-SA"/>
    </w:rPr>
  </w:style>
  <w:style w:type="character" w:customStyle="1" w:styleId="Heading1AChar">
    <w:name w:val="Heading 1A Char"/>
    <w:link w:val="Heading1A"/>
    <w:rPr>
      <w:rFonts w:ascii="Times New Roman" w:eastAsia="STZhongsong" w:hAnsi="Times New Roman"/>
      <w:b w:val="0"/>
      <w:caps w:val="0"/>
      <w:sz w:val="22"/>
      <w:szCs w:val="22"/>
      <w:lang w:val="en-GB" w:eastAsia="zh-CN" w:bidi="ar-SA"/>
    </w:rPr>
  </w:style>
  <w:style w:type="paragraph" w:customStyle="1" w:styleId="Heading2A">
    <w:name w:val="Heading 2A"/>
    <w:basedOn w:val="HouseStyleBaseCentred"/>
    <w:next w:val="Heading2"/>
    <w:link w:val="Heading2AChar"/>
    <w:pPr>
      <w:keepNext/>
      <w:ind w:left="720"/>
      <w:jc w:val="both"/>
      <w:outlineLvl w:val="1"/>
    </w:pPr>
    <w:rPr>
      <w:b/>
    </w:rPr>
  </w:style>
  <w:style w:type="character" w:customStyle="1" w:styleId="Heading2AChar">
    <w:name w:val="Heading 2A Char"/>
    <w:link w:val="Heading2A"/>
    <w:rPr>
      <w:rFonts w:ascii="Times New Roman" w:eastAsia="STZhongsong" w:hAnsi="Times New Roman"/>
      <w:b/>
      <w:sz w:val="22"/>
      <w:lang w:eastAsia="zh-CN"/>
    </w:rPr>
  </w:style>
  <w:style w:type="paragraph" w:customStyle="1" w:styleId="GeneralHeading1">
    <w:name w:val="General Heading 1"/>
    <w:basedOn w:val="HouseStyleBaseCentred"/>
    <w:next w:val="GeneralHeading2"/>
    <w:link w:val="GeneralHeading1Char"/>
    <w:pPr>
      <w:keepNext/>
      <w:jc w:val="both"/>
    </w:pPr>
    <w:rPr>
      <w:b/>
      <w:caps/>
    </w:rPr>
  </w:style>
  <w:style w:type="character" w:customStyle="1" w:styleId="GeneralHeading1Char">
    <w:name w:val="General Heading 1 Char"/>
    <w:link w:val="GeneralHeading1"/>
    <w:rPr>
      <w:rFonts w:ascii="Times New Roman" w:eastAsia="STZhongsong" w:hAnsi="Times New Roman"/>
      <w:b/>
      <w:caps/>
      <w:sz w:val="22"/>
      <w:lang w:eastAsia="zh-CN"/>
    </w:rPr>
  </w:style>
  <w:style w:type="paragraph" w:customStyle="1" w:styleId="GeneralHeading2">
    <w:name w:val="General Heading 2"/>
    <w:basedOn w:val="HouseStyleBaseCentred"/>
    <w:next w:val="Generallevel1"/>
    <w:link w:val="GeneralHeading2Char"/>
    <w:pPr>
      <w:keepNext/>
      <w:jc w:val="both"/>
    </w:pPr>
    <w:rPr>
      <w:b/>
    </w:rPr>
  </w:style>
  <w:style w:type="character" w:customStyle="1" w:styleId="GeneralHeading2Char">
    <w:name w:val="General Heading 2 Char"/>
    <w:link w:val="GeneralHeading2"/>
    <w:rPr>
      <w:rFonts w:ascii="Times New Roman" w:eastAsia="STZhongsong" w:hAnsi="Times New Roman"/>
      <w:b/>
      <w:sz w:val="22"/>
      <w:lang w:eastAsia="zh-CN"/>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GB"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rFonts w:ascii="Times New Roman" w:hAnsi="Times New Roman"/>
      <w:sz w:val="22"/>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rFonts w:ascii="Times New Roman" w:hAnsi="Times New Roman"/>
      <w:sz w:val="16"/>
      <w:szCs w:val="16"/>
      <w:lang w:val="en-GB" w:eastAsia="en-US"/>
    </w:rPr>
  </w:style>
  <w:style w:type="paragraph" w:styleId="BodyTextFirstIndent">
    <w:name w:val="Body Text First Indent"/>
    <w:basedOn w:val="BodyText"/>
    <w:link w:val="BodyTextFirstIndentChar"/>
    <w:pPr>
      <w:spacing w:after="120"/>
      <w:ind w:firstLine="210"/>
    </w:pPr>
  </w:style>
  <w:style w:type="character" w:customStyle="1" w:styleId="BodyTextChar">
    <w:name w:val="Body Text Char"/>
    <w:link w:val="BodyText"/>
    <w:rPr>
      <w:rFonts w:ascii="Times New Roman" w:hAnsi="Times New Roman"/>
      <w:sz w:val="22"/>
      <w:lang w:val="en-GB" w:eastAsia="en-US"/>
    </w:rPr>
  </w:style>
  <w:style w:type="character" w:customStyle="1" w:styleId="BodyTextFirstIndentChar">
    <w:name w:val="Body Text First Indent Char"/>
    <w:basedOn w:val="BodyTextChar"/>
    <w:link w:val="BodyTextFirstIndent"/>
    <w:rPr>
      <w:rFonts w:ascii="Times New Roman" w:hAnsi="Times New Roman"/>
      <w:sz w:val="22"/>
      <w:lang w:val="en-GB" w:eastAsia="en-US"/>
    </w:rPr>
  </w:style>
  <w:style w:type="paragraph" w:styleId="BodyTextFirstIndent2">
    <w:name w:val="Body Text First Indent 2"/>
    <w:basedOn w:val="BodyTextIndent"/>
    <w:link w:val="BodyTextFirstIndent2Char"/>
    <w:pPr>
      <w:overflowPunct w:val="0"/>
      <w:autoSpaceDE w:val="0"/>
      <w:autoSpaceDN w:val="0"/>
      <w:spacing w:after="120"/>
      <w:ind w:left="283" w:firstLine="210"/>
      <w:textAlignment w:val="baseline"/>
    </w:pPr>
    <w:rPr>
      <w:rFonts w:eastAsia="Times New Roman"/>
      <w:lang w:eastAsia="en-US"/>
    </w:rPr>
  </w:style>
  <w:style w:type="character" w:customStyle="1" w:styleId="HouseStyleBaseChar">
    <w:name w:val="House Style Base Char"/>
    <w:link w:val="HouseStyleBase"/>
    <w:rPr>
      <w:rFonts w:ascii="Times New Roman" w:eastAsia="STZhongsong" w:hAnsi="Times New Roman"/>
      <w:sz w:val="22"/>
      <w:lang w:val="en-GB" w:eastAsia="zh-CN"/>
    </w:rPr>
  </w:style>
  <w:style w:type="character" w:customStyle="1" w:styleId="BodyTextIndentChar">
    <w:name w:val="Body Text Indent Char"/>
    <w:basedOn w:val="HouseStyleBaseChar"/>
    <w:link w:val="BodyTextIndent"/>
    <w:rPr>
      <w:rFonts w:ascii="Times New Roman" w:eastAsia="STZhongsong" w:hAnsi="Times New Roman"/>
      <w:sz w:val="22"/>
      <w:lang w:val="en-GB" w:eastAsia="zh-CN"/>
    </w:rPr>
  </w:style>
  <w:style w:type="paragraph" w:customStyle="1" w:styleId="BodyTextIndent9">
    <w:name w:val="Body Text Indent 9"/>
    <w:basedOn w:val="HouseStyleBase"/>
    <w:link w:val="BodyTextIndent9Char"/>
    <w:pPr>
      <w:ind w:left="90"/>
    </w:pPr>
  </w:style>
  <w:style w:type="character" w:customStyle="1" w:styleId="BodyTextIndent9Char">
    <w:name w:val="Body Text Indent 9 Char"/>
    <w:link w:val="BodyTextIndent9"/>
    <w:rPr>
      <w:rFonts w:ascii="Times New Roman" w:eastAsia="STZhongsong" w:hAnsi="Times New Roman"/>
      <w:b w:val="0"/>
      <w:caps w:val="0"/>
      <w:sz w:val="22"/>
      <w:szCs w:val="22"/>
      <w:lang w:val="en-GB" w:eastAsia="zh-CN" w:bidi="ar-SA"/>
    </w:rPr>
  </w:style>
  <w:style w:type="paragraph" w:customStyle="1" w:styleId="Generallevel1">
    <w:name w:val="General level 1"/>
    <w:basedOn w:val="HouseStyleBase"/>
    <w:link w:val="Generallevel1Char"/>
    <w:pPr>
      <w:numPr>
        <w:numId w:val="24"/>
      </w:numPr>
      <w:outlineLvl w:val="0"/>
    </w:pPr>
  </w:style>
  <w:style w:type="character" w:customStyle="1" w:styleId="Generallevel1Char">
    <w:name w:val="General level 1 Char"/>
    <w:link w:val="Generallevel1"/>
    <w:rPr>
      <w:rFonts w:ascii="Times New Roman" w:eastAsia="STZhongsong" w:hAnsi="Times New Roman"/>
      <w:sz w:val="22"/>
      <w:lang w:val="en-GB" w:eastAsia="zh-CN"/>
    </w:rPr>
  </w:style>
  <w:style w:type="paragraph" w:customStyle="1" w:styleId="Generallevel2">
    <w:name w:val="General level 2"/>
    <w:basedOn w:val="HouseStyleBase"/>
    <w:link w:val="Generallevel2Char"/>
    <w:pPr>
      <w:numPr>
        <w:ilvl w:val="1"/>
        <w:numId w:val="24"/>
      </w:numPr>
      <w:outlineLvl w:val="1"/>
    </w:pPr>
  </w:style>
  <w:style w:type="character" w:customStyle="1" w:styleId="Generallevel2Char">
    <w:name w:val="General level 2 Char"/>
    <w:link w:val="Generallevel2"/>
    <w:rPr>
      <w:rFonts w:ascii="Times New Roman" w:eastAsia="STZhongsong" w:hAnsi="Times New Roman"/>
      <w:sz w:val="22"/>
      <w:lang w:val="en-GB" w:eastAsia="zh-CN"/>
    </w:rPr>
  </w:style>
  <w:style w:type="paragraph" w:customStyle="1" w:styleId="Generallevel3">
    <w:name w:val="General level 3"/>
    <w:basedOn w:val="HouseStyleBase"/>
    <w:link w:val="Generallevel3Char"/>
    <w:pPr>
      <w:numPr>
        <w:ilvl w:val="2"/>
        <w:numId w:val="24"/>
      </w:numPr>
      <w:outlineLvl w:val="2"/>
    </w:pPr>
  </w:style>
  <w:style w:type="character" w:customStyle="1" w:styleId="Generallevel3Char">
    <w:name w:val="General level 3 Char"/>
    <w:link w:val="Generallevel3"/>
    <w:rPr>
      <w:rFonts w:ascii="Times New Roman" w:eastAsia="STZhongsong" w:hAnsi="Times New Roman"/>
      <w:sz w:val="22"/>
      <w:lang w:val="en-GB" w:eastAsia="zh-CN"/>
    </w:rPr>
  </w:style>
  <w:style w:type="paragraph" w:customStyle="1" w:styleId="Generallevel4">
    <w:name w:val="General level 4"/>
    <w:basedOn w:val="HouseStyleBase"/>
    <w:link w:val="Generallevel4Char"/>
    <w:pPr>
      <w:numPr>
        <w:ilvl w:val="3"/>
        <w:numId w:val="24"/>
      </w:numPr>
      <w:outlineLvl w:val="3"/>
    </w:pPr>
  </w:style>
  <w:style w:type="character" w:customStyle="1" w:styleId="Generallevel4Char">
    <w:name w:val="General level 4 Char"/>
    <w:link w:val="Generallevel4"/>
    <w:rPr>
      <w:rFonts w:ascii="Times New Roman" w:eastAsia="STZhongsong" w:hAnsi="Times New Roman"/>
      <w:sz w:val="22"/>
      <w:lang w:val="en-GB" w:eastAsia="zh-CN"/>
    </w:rPr>
  </w:style>
  <w:style w:type="paragraph" w:customStyle="1" w:styleId="Generallevel5">
    <w:name w:val="General level 5"/>
    <w:basedOn w:val="HouseStyleBase"/>
    <w:link w:val="Generallevel5Char"/>
    <w:pPr>
      <w:numPr>
        <w:ilvl w:val="4"/>
        <w:numId w:val="24"/>
      </w:numPr>
      <w:outlineLvl w:val="4"/>
    </w:pPr>
  </w:style>
  <w:style w:type="character" w:customStyle="1" w:styleId="Generallevel5Char">
    <w:name w:val="General level 5 Char"/>
    <w:link w:val="Generallevel5"/>
    <w:rPr>
      <w:rFonts w:ascii="Times New Roman" w:eastAsia="STZhongsong" w:hAnsi="Times New Roman"/>
      <w:sz w:val="22"/>
      <w:lang w:val="en-GB" w:eastAsia="zh-CN"/>
    </w:rPr>
  </w:style>
  <w:style w:type="paragraph" w:customStyle="1" w:styleId="Generallevel6">
    <w:name w:val="General level 6"/>
    <w:basedOn w:val="HouseStyleBase"/>
    <w:link w:val="Generallevel6Char"/>
    <w:pPr>
      <w:numPr>
        <w:ilvl w:val="5"/>
        <w:numId w:val="24"/>
      </w:numPr>
      <w:outlineLvl w:val="5"/>
    </w:pPr>
  </w:style>
  <w:style w:type="character" w:customStyle="1" w:styleId="Generallevel6Char">
    <w:name w:val="General level 6 Char"/>
    <w:link w:val="Generallevel6"/>
    <w:rPr>
      <w:rFonts w:ascii="Times New Roman" w:eastAsia="STZhongsong" w:hAnsi="Times New Roman"/>
      <w:sz w:val="22"/>
      <w:lang w:val="en-GB" w:eastAsia="zh-CN"/>
    </w:rPr>
  </w:style>
  <w:style w:type="paragraph" w:customStyle="1" w:styleId="ScheduleL2A">
    <w:name w:val="Schedule L2A"/>
    <w:basedOn w:val="HouseStyleBaseCentred"/>
    <w:next w:val="ScheduleL2"/>
    <w:link w:val="ScheduleL2AChar"/>
    <w:pPr>
      <w:keepNext/>
      <w:ind w:left="720"/>
      <w:jc w:val="both"/>
      <w:outlineLvl w:val="1"/>
    </w:pPr>
    <w:rPr>
      <w:b/>
    </w:rPr>
  </w:style>
  <w:style w:type="character" w:customStyle="1" w:styleId="ScheduleL2AChar">
    <w:name w:val="Schedule L2A Char"/>
    <w:link w:val="ScheduleL2A"/>
    <w:rPr>
      <w:rFonts w:ascii="Times New Roman" w:eastAsia="STZhongsong" w:hAnsi="Times New Roman"/>
      <w:b/>
      <w:caps w:val="0"/>
      <w:sz w:val="22"/>
      <w:szCs w:val="22"/>
      <w:lang w:val="en-GB" w:eastAsia="zh-CN" w:bidi="ar-SA"/>
    </w:rPr>
  </w:style>
  <w:style w:type="character" w:customStyle="1" w:styleId="BodyTextFirstIndent2Char">
    <w:name w:val="Body Text First Indent 2 Char"/>
    <w:link w:val="BodyTextFirstIndent2"/>
    <w:rPr>
      <w:rFonts w:ascii="Times New Roman" w:eastAsia="STZhongsong" w:hAnsi="Times New Roman"/>
      <w:sz w:val="22"/>
      <w:lang w:val="en-GB" w:eastAsia="en-US"/>
    </w:rPr>
  </w:style>
  <w:style w:type="character" w:styleId="BookTitle">
    <w:name w:val="Book Title"/>
    <w:uiPriority w:val="33"/>
    <w:qFormat/>
    <w:rPr>
      <w:b/>
      <w:bCs/>
      <w:smallCaps/>
      <w:spacing w:val="5"/>
    </w:rPr>
  </w:style>
  <w:style w:type="paragraph" w:styleId="Closing">
    <w:name w:val="Closing"/>
    <w:basedOn w:val="Normal"/>
    <w:link w:val="ClosingChar"/>
    <w:pPr>
      <w:ind w:left="4252"/>
    </w:pPr>
  </w:style>
  <w:style w:type="character" w:customStyle="1" w:styleId="ClosingChar">
    <w:name w:val="Closing Char"/>
    <w:link w:val="Closing"/>
    <w:rPr>
      <w:rFonts w:ascii="Times New Roman" w:hAnsi="Times New Roman"/>
      <w:sz w:val="22"/>
      <w:lang w:val="en-GB" w:eastAsia="en-US"/>
    </w:rPr>
  </w:style>
  <w:style w:type="table" w:styleId="ColorfulGrid">
    <w:name w:val="Colorful Grid"/>
    <w:basedOn w:val="TableNormal"/>
    <w:uiPriority w:val="7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customStyle="1" w:styleId="CommentTextChar">
    <w:name w:val="Comment Text Char"/>
    <w:link w:val="CommentText"/>
    <w:rPr>
      <w:rFonts w:ascii="Times New Roman" w:hAnsi="Times New Roman"/>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Times New Roman" w:hAnsi="Times New Roman"/>
      <w:b/>
      <w:bCs/>
      <w:lang w:val="en-GB" w:eastAsia="en-US"/>
    </w:r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rFonts w:ascii="Times New Roman" w:hAnsi="Times New Roman"/>
      <w:sz w:val="22"/>
      <w:lang w:val="en-GB"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val="en-GB" w:eastAsia="en-US"/>
    </w:rPr>
  </w:style>
  <w:style w:type="paragraph" w:styleId="E-mailSignature">
    <w:name w:val="E-mail Signature"/>
    <w:basedOn w:val="Normal"/>
    <w:link w:val="E-mailSignatureChar"/>
  </w:style>
  <w:style w:type="character" w:customStyle="1" w:styleId="E-mailSignatureChar">
    <w:name w:val="E-mail Signature Char"/>
    <w:link w:val="E-mailSignature"/>
    <w:rPr>
      <w:rFonts w:ascii="Times New Roman" w:hAnsi="Times New Roman"/>
      <w:sz w:val="22"/>
      <w:lang w:val="en-GB"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style>
  <w:style w:type="paragraph" w:styleId="HTMLAddress">
    <w:name w:val="HTML Address"/>
    <w:basedOn w:val="Normal"/>
    <w:link w:val="HTMLAddressChar"/>
    <w:rPr>
      <w:i/>
      <w:iCs/>
    </w:rPr>
  </w:style>
  <w:style w:type="character" w:customStyle="1" w:styleId="HTMLAddressChar">
    <w:name w:val="HTML Address Char"/>
    <w:link w:val="HTMLAddress"/>
    <w:rPr>
      <w:rFonts w:ascii="Times New Roman" w:hAnsi="Times New Roman"/>
      <w:i/>
      <w:iCs/>
      <w:sz w:val="22"/>
      <w:lang w:val="en-GB"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val="en-GB"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qFormat/>
    <w:rPr>
      <w:b/>
      <w:bCs/>
      <w:i/>
      <w:iCs/>
      <w:color w:val="4F81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rFonts w:ascii="Times New Roman" w:hAnsi="Times New Roman"/>
      <w:b/>
      <w:bCs/>
      <w:i/>
      <w:iCs/>
      <w:color w:val="4F81BD"/>
      <w:sz w:val="22"/>
      <w:lang w:val="en-GB" w:eastAsia="en-US"/>
    </w:rPr>
  </w:style>
  <w:style w:type="character" w:styleId="IntenseReference">
    <w:name w:val="Intense Reference"/>
    <w:uiPriority w:val="32"/>
    <w:qFormat/>
    <w:rPr>
      <w:b/>
      <w:bCs/>
      <w:smallCaps/>
      <w:color w:val="C0504D"/>
      <w:spacing w:val="5"/>
      <w:u w:val="single"/>
    </w:rPr>
  </w:style>
  <w:style w:type="table" w:styleId="LightGrid">
    <w:name w:val="Light Grid"/>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algun Gothic" w:eastAsia="Times New Roman" w:hAnsi="Malgun Gothic"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algun Gothic" w:eastAsia="Times New Roman" w:hAnsi="Malgun Gothic"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algun Gothic" w:eastAsia="Times New Roman" w:hAnsi="Malgun Gothic" w:cs="Times New Roman"/>
        <w:b/>
        <w:bCs/>
      </w:rPr>
    </w:tblStylePr>
    <w:tblStylePr w:type="lastCol">
      <w:rPr>
        <w:rFonts w:ascii="Malgun Gothic" w:eastAsia="Times New Roman" w:hAnsi="Malgun Gothic"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Malgun Gothic" w:eastAsia="Times New Roman" w:hAnsi="Malgun Goth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Malgun Gothic" w:eastAsia="Times New Roman" w:hAnsi="Malgun Goth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algun Gothic" w:eastAsia="Times New Roman" w:hAnsi="Malgun Gothic" w:cs="Times New Roman"/>
        <w:b/>
        <w:bCs/>
      </w:rPr>
    </w:tblStylePr>
    <w:tblStylePr w:type="lastCol">
      <w:rPr>
        <w:rFonts w:ascii="Malgun Gothic" w:eastAsia="Times New Roman" w:hAnsi="Malgun Goth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Malgun Gothic" w:eastAsia="Times New Roman" w:hAnsi="Malgun Gothic"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Malgun Gothic" w:eastAsia="Times New Roman" w:hAnsi="Malgun Gothic"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Malgun Gothic" w:eastAsia="Times New Roman" w:hAnsi="Malgun Gothic" w:cs="Times New Roman"/>
        <w:b/>
        <w:bCs/>
      </w:rPr>
    </w:tblStylePr>
    <w:tblStylePr w:type="lastCol">
      <w:rPr>
        <w:rFonts w:ascii="Malgun Gothic" w:eastAsia="Times New Roman" w:hAnsi="Malgun Gothic"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Malgun Gothic" w:eastAsia="Times New Roman" w:hAnsi="Malgun Gothic"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algun Gothic" w:eastAsia="Times New Roman" w:hAnsi="Malgun Gothic"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algun Gothic" w:eastAsia="Times New Roman" w:hAnsi="Malgun Gothic" w:cs="Times New Roman"/>
        <w:b/>
        <w:bCs/>
      </w:rPr>
    </w:tblStylePr>
    <w:tblStylePr w:type="lastCol">
      <w:rPr>
        <w:rFonts w:ascii="Malgun Gothic" w:eastAsia="Times New Roman" w:hAnsi="Malgun Gothic"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Malgun Gothic" w:eastAsia="Times New Roman" w:hAnsi="Malgun Gothic"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Malgun Gothic" w:eastAsia="Times New Roman" w:hAnsi="Malgun Gothic"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Malgun Gothic" w:eastAsia="Times New Roman" w:hAnsi="Malgun Gothic" w:cs="Times New Roman"/>
        <w:b/>
        <w:bCs/>
      </w:rPr>
    </w:tblStylePr>
    <w:tblStylePr w:type="lastCol">
      <w:rPr>
        <w:rFonts w:ascii="Malgun Gothic" w:eastAsia="Times New Roman" w:hAnsi="Malgun Gothic"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algun Gothic" w:eastAsia="Times New Roman" w:hAnsi="Malgun Gothic"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algun Gothic" w:eastAsia="Times New Roman" w:hAnsi="Malgun Gothic"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algun Gothic" w:eastAsia="Times New Roman" w:hAnsi="Malgun Gothic" w:cs="Times New Roman"/>
        <w:b/>
        <w:bCs/>
      </w:rPr>
    </w:tblStylePr>
    <w:tblStylePr w:type="lastCol">
      <w:rPr>
        <w:rFonts w:ascii="Malgun Gothic" w:eastAsia="Times New Roman" w:hAnsi="Malgun Gothic"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Malgun Gothic" w:eastAsia="Times New Roman" w:hAnsi="Malgun Gothic"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Malgun Gothic" w:eastAsia="Times New Roman" w:hAnsi="Malgun Gothic"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Malgun Gothic" w:eastAsia="Times New Roman" w:hAnsi="Malgun Gothic" w:cs="Times New Roman"/>
        <w:b/>
        <w:bCs/>
      </w:rPr>
    </w:tblStylePr>
    <w:tblStylePr w:type="lastCol">
      <w:rPr>
        <w:rFonts w:ascii="Malgun Gothic" w:eastAsia="Times New Roman" w:hAnsi="Malgun Gothic"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26"/>
      </w:numPr>
      <w:contextualSpacing/>
    </w:pPr>
  </w:style>
  <w:style w:type="paragraph" w:styleId="ListNumber2">
    <w:name w:val="List Number 2"/>
    <w:basedOn w:val="Normal"/>
    <w:pPr>
      <w:numPr>
        <w:numId w:val="27"/>
      </w:numPr>
      <w:contextualSpacing/>
    </w:pPr>
  </w:style>
  <w:style w:type="paragraph" w:styleId="ListNumber3">
    <w:name w:val="List Number 3"/>
    <w:basedOn w:val="Normal"/>
    <w:pPr>
      <w:numPr>
        <w:numId w:val="28"/>
      </w:numPr>
      <w:contextualSpacing/>
    </w:pPr>
  </w:style>
  <w:style w:type="paragraph" w:styleId="ListNumber4">
    <w:name w:val="List Number 4"/>
    <w:basedOn w:val="Normal"/>
    <w:pPr>
      <w:numPr>
        <w:numId w:val="29"/>
      </w:numPr>
      <w:contextualSpacing/>
    </w:pPr>
  </w:style>
  <w:style w:type="paragraph" w:styleId="ListNumber5">
    <w:name w:val="List Number 5"/>
    <w:basedOn w:val="Normal"/>
    <w:pPr>
      <w:numPr>
        <w:numId w:val="30"/>
      </w:numPr>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val="en-GB" w:eastAsia="en-US"/>
    </w:rPr>
  </w:style>
  <w:style w:type="table" w:styleId="MediumGrid1">
    <w:name w:val="Medium Grid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Malgun Gothic" w:eastAsia="Times New Roman" w:hAnsi="Malgun Gothi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Malgun Gothic" w:eastAsia="Times New Roman" w:hAnsi="Malgun Gothic"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Malgun Gothic" w:eastAsia="Times New Roman" w:hAnsi="Malgun Gothic"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Malgun Gothic" w:eastAsia="Times New Roman" w:hAnsi="Malgun Gothic"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Malgun Gothic" w:eastAsia="Times New Roman" w:hAnsi="Malgun Gothic"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Malgun Gothic" w:eastAsia="Times New Roman" w:hAnsi="Malgun Gothic"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StyleRowBandSize w:val="1"/>
      <w:tblStyleColBandSize w:val="1"/>
      <w:tblBorders>
        <w:top w:val="single" w:sz="8" w:space="0" w:color="F79646"/>
        <w:bottom w:val="single" w:sz="8" w:space="0" w:color="F79646"/>
      </w:tblBorders>
    </w:tblPr>
    <w:tblStylePr w:type="firstRow">
      <w:rPr>
        <w:rFonts w:ascii="Malgun Gothic" w:eastAsia="Times New Roman" w:hAnsi="Malgun Gothic"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val="en-GB" w:eastAsia="en-US"/>
    </w:rPr>
  </w:style>
  <w:style w:type="paragraph" w:styleId="NoSpacing">
    <w:name w:val="No Spacing"/>
    <w:uiPriority w:val="1"/>
    <w:qFormat/>
    <w:pPr>
      <w:overflowPunct w:val="0"/>
      <w:autoSpaceDE w:val="0"/>
      <w:autoSpaceDN w:val="0"/>
      <w:adjustRightInd w:val="0"/>
      <w:jc w:val="both"/>
      <w:textAlignment w:val="baseline"/>
    </w:pPr>
    <w:rPr>
      <w:rFonts w:ascii="Times New Roman" w:hAnsi="Times New Roman"/>
      <w:sz w:val="22"/>
      <w:lang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rFonts w:ascii="Times New Roman" w:hAnsi="Times New Roman"/>
      <w:sz w:val="22"/>
      <w:lang w:val="en-GB" w:eastAsia="en-US"/>
    </w:rPr>
  </w:style>
  <w:style w:type="character" w:styleId="PlaceholderText">
    <w:name w:val="Placeholder Text"/>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val="en-GB"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ascii="Times New Roman" w:hAnsi="Times New Roman"/>
      <w:i/>
      <w:iCs/>
      <w:color w:val="000000"/>
      <w:sz w:val="22"/>
      <w:lang w:val="en-GB" w:eastAsia="en-US"/>
    </w:rPr>
  </w:style>
  <w:style w:type="paragraph" w:styleId="Salutation">
    <w:name w:val="Salutation"/>
    <w:basedOn w:val="Normal"/>
    <w:next w:val="Normal"/>
    <w:link w:val="SalutationChar"/>
  </w:style>
  <w:style w:type="character" w:customStyle="1" w:styleId="SalutationChar">
    <w:name w:val="Salutation Char"/>
    <w:link w:val="Salutation"/>
    <w:rPr>
      <w:rFonts w:ascii="Times New Roman" w:hAnsi="Times New Roman"/>
      <w:sz w:val="22"/>
      <w:lang w:val="en-GB" w:eastAsia="en-US"/>
    </w:rPr>
  </w:style>
  <w:style w:type="paragraph" w:styleId="Signature">
    <w:name w:val="Signature"/>
    <w:basedOn w:val="Normal"/>
    <w:link w:val="SignatureChar"/>
    <w:pPr>
      <w:ind w:left="4252"/>
    </w:pPr>
  </w:style>
  <w:style w:type="character" w:customStyle="1" w:styleId="SignatureChar">
    <w:name w:val="Signature Char"/>
    <w:link w:val="Signature"/>
    <w:rPr>
      <w:rFonts w:ascii="Times New Roman" w:hAnsi="Times New Roman"/>
      <w:sz w:val="22"/>
      <w:lang w:val="en-GB" w:eastAsia="en-US"/>
    </w:rPr>
  </w:style>
  <w:style w:type="character" w:styleId="Strong">
    <w:name w:val="Strong"/>
    <w:qFormat/>
    <w:rPr>
      <w:b/>
      <w:bC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val="en-GB" w:eastAsia="en-US"/>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table" w:styleId="Table3Deffects1">
    <w:name w:val="Table 3D effects 1"/>
    <w:basedOn w:val="TableNormal"/>
    <w:pPr>
      <w:overflowPunct w:val="0"/>
      <w:autoSpaceDE w:val="0"/>
      <w:autoSpaceDN w:val="0"/>
      <w:adjustRightInd w:val="0"/>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eastAsia="Times New Roman" w:hAnsi="Cambria" w:cs="Times New Roman"/>
      <w:b/>
      <w:bCs/>
      <w:kern w:val="28"/>
      <w:sz w:val="32"/>
      <w:szCs w:val="32"/>
      <w:lang w:val="en-GB" w:eastAsia="en-US"/>
    </w:rPr>
  </w:style>
  <w:style w:type="paragraph" w:styleId="TOCHeading">
    <w:name w:val="TOC Heading"/>
    <w:basedOn w:val="Heading1"/>
    <w:next w:val="Normal"/>
    <w:uiPriority w:val="39"/>
    <w:semiHidden/>
    <w:unhideWhenUsed/>
    <w:qFormat/>
    <w:pPr>
      <w:numPr>
        <w:numId w:val="0"/>
      </w:numPr>
      <w:overflowPunct w:val="0"/>
      <w:autoSpaceDE w:val="0"/>
      <w:autoSpaceDN w:val="0"/>
      <w:spacing w:before="240" w:after="60"/>
      <w:textAlignment w:val="baseline"/>
      <w:outlineLvl w:val="9"/>
    </w:pPr>
    <w:rPr>
      <w:rFonts w:ascii="Cambria" w:eastAsia="Times New Roman" w:hAnsi="Cambria"/>
      <w:bCs/>
      <w:caps w:val="0"/>
      <w:kern w:val="32"/>
      <w:sz w:val="32"/>
      <w:szCs w:val="32"/>
      <w:lang w:eastAsia="en-US"/>
    </w:rPr>
  </w:style>
  <w:style w:type="paragraph" w:customStyle="1" w:styleId="footnote">
    <w:name w:val="footnote"/>
    <w:basedOn w:val="FootnoteText"/>
  </w:style>
  <w:style w:type="paragraph" w:styleId="Revision">
    <w:name w:val="Revision"/>
    <w:hidden/>
    <w:uiPriority w:val="99"/>
    <w:semiHidden/>
    <w:rPr>
      <w:rFonts w:ascii="Times New Roman" w:hAnsi="Times New Roman"/>
      <w:sz w:val="22"/>
      <w:lang w:eastAsia="en-US"/>
    </w:rPr>
  </w:style>
  <w:style w:type="paragraph" w:customStyle="1" w:styleId="Level2Paragraph">
    <w:name w:val="Level 2 Paragraph"/>
    <w:basedOn w:val="Generallevel2"/>
    <w:link w:val="Level2ParagraphChar"/>
    <w:qFormat/>
    <w:rsid w:val="0091520C"/>
    <w:pPr>
      <w:tabs>
        <w:tab w:val="clear" w:pos="1800"/>
      </w:tabs>
      <w:ind w:left="709" w:hanging="709"/>
    </w:pPr>
  </w:style>
  <w:style w:type="paragraph" w:customStyle="1" w:styleId="Level3Paragraph">
    <w:name w:val="Level 3 Paragraph"/>
    <w:basedOn w:val="Generallevel3"/>
    <w:link w:val="Level3ParagraphChar"/>
    <w:qFormat/>
    <w:rsid w:val="006C344F"/>
    <w:pPr>
      <w:tabs>
        <w:tab w:val="clear" w:pos="2880"/>
        <w:tab w:val="left" w:pos="1843"/>
      </w:tabs>
      <w:ind w:left="1843" w:hanging="1134"/>
    </w:pPr>
  </w:style>
  <w:style w:type="character" w:customStyle="1" w:styleId="Level2ParagraphChar">
    <w:name w:val="Level 2 Paragraph Char"/>
    <w:basedOn w:val="Generallevel2Char"/>
    <w:link w:val="Level2Paragraph"/>
    <w:rsid w:val="0091520C"/>
    <w:rPr>
      <w:rFonts w:ascii="Times New Roman" w:eastAsia="STZhongsong" w:hAnsi="Times New Roman"/>
      <w:sz w:val="22"/>
      <w:lang w:val="en-GB" w:eastAsia="zh-CN"/>
    </w:rPr>
  </w:style>
  <w:style w:type="paragraph" w:customStyle="1" w:styleId="Bullet1G">
    <w:name w:val="_Bullet 1_G"/>
    <w:basedOn w:val="Normal"/>
    <w:rsid w:val="00BB6A41"/>
    <w:pPr>
      <w:numPr>
        <w:numId w:val="48"/>
      </w:numPr>
      <w:suppressAutoHyphens/>
      <w:overflowPunct/>
      <w:autoSpaceDE/>
      <w:autoSpaceDN/>
      <w:adjustRightInd/>
      <w:spacing w:after="120" w:line="240" w:lineRule="atLeast"/>
      <w:ind w:right="1134"/>
      <w:textAlignment w:val="auto"/>
    </w:pPr>
    <w:rPr>
      <w:sz w:val="20"/>
    </w:rPr>
  </w:style>
  <w:style w:type="character" w:customStyle="1" w:styleId="Level3ParagraphChar">
    <w:name w:val="Level 3 Paragraph Char"/>
    <w:basedOn w:val="Generallevel3Char"/>
    <w:link w:val="Level3Paragraph"/>
    <w:rsid w:val="006C344F"/>
    <w:rPr>
      <w:rFonts w:ascii="Times New Roman" w:eastAsia="STZhongsong" w:hAnsi="Times New Roman"/>
      <w:sz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GB"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jc w:val="both"/>
      <w:textAlignment w:val="baseline"/>
    </w:pPr>
    <w:rPr>
      <w:rFonts w:ascii="Times New Roman" w:hAnsi="Times New Roman"/>
      <w:sz w:val="22"/>
      <w:lang w:eastAsia="en-US"/>
    </w:rPr>
  </w:style>
  <w:style w:type="paragraph" w:styleId="Heading1">
    <w:name w:val="heading 1"/>
    <w:basedOn w:val="HouseStyleBase"/>
    <w:next w:val="MarginText"/>
    <w:qFormat/>
    <w:pPr>
      <w:keepNext/>
      <w:numPr>
        <w:numId w:val="3"/>
      </w:numPr>
      <w:outlineLvl w:val="0"/>
    </w:pPr>
    <w:rPr>
      <w:b/>
      <w:caps/>
    </w:rPr>
  </w:style>
  <w:style w:type="paragraph" w:styleId="Heading2">
    <w:name w:val="heading 2"/>
    <w:basedOn w:val="HouseStyleBaseCentred"/>
    <w:qFormat/>
    <w:pPr>
      <w:numPr>
        <w:ilvl w:val="1"/>
        <w:numId w:val="3"/>
      </w:numPr>
      <w:jc w:val="both"/>
      <w:outlineLvl w:val="1"/>
    </w:pPr>
  </w:style>
  <w:style w:type="paragraph" w:styleId="Heading3">
    <w:name w:val="heading 3"/>
    <w:basedOn w:val="HouseStyleBaseCentred"/>
    <w:qFormat/>
    <w:pPr>
      <w:numPr>
        <w:ilvl w:val="2"/>
        <w:numId w:val="3"/>
      </w:numPr>
      <w:jc w:val="both"/>
      <w:outlineLvl w:val="2"/>
    </w:pPr>
  </w:style>
  <w:style w:type="paragraph" w:styleId="Heading4">
    <w:name w:val="heading 4"/>
    <w:basedOn w:val="HouseStyleBaseCentred"/>
    <w:qFormat/>
    <w:pPr>
      <w:numPr>
        <w:ilvl w:val="3"/>
        <w:numId w:val="3"/>
      </w:numPr>
      <w:jc w:val="both"/>
      <w:outlineLvl w:val="3"/>
    </w:pPr>
  </w:style>
  <w:style w:type="paragraph" w:styleId="Heading5">
    <w:name w:val="heading 5"/>
    <w:basedOn w:val="HouseStyleBaseCentred"/>
    <w:qFormat/>
    <w:pPr>
      <w:numPr>
        <w:ilvl w:val="4"/>
        <w:numId w:val="3"/>
      </w:numPr>
      <w:jc w:val="both"/>
      <w:outlineLvl w:val="4"/>
    </w:pPr>
  </w:style>
  <w:style w:type="paragraph" w:styleId="Heading6">
    <w:name w:val="heading 6"/>
    <w:basedOn w:val="HouseStyleBaseCentred"/>
    <w:qFormat/>
    <w:pPr>
      <w:numPr>
        <w:ilvl w:val="5"/>
        <w:numId w:val="3"/>
      </w:numPr>
      <w:jc w:val="both"/>
      <w:outlineLvl w:val="5"/>
    </w:pPr>
  </w:style>
  <w:style w:type="paragraph" w:styleId="Heading7">
    <w:name w:val="heading 7"/>
    <w:basedOn w:val="HouseStyleBase"/>
    <w:qFormat/>
    <w:pPr>
      <w:numPr>
        <w:ilvl w:val="6"/>
        <w:numId w:val="3"/>
      </w:numPr>
      <w:outlineLvl w:val="6"/>
    </w:pPr>
  </w:style>
  <w:style w:type="paragraph" w:styleId="Heading8">
    <w:name w:val="heading 8"/>
    <w:basedOn w:val="HouseStyleBase"/>
    <w:qFormat/>
    <w:pPr>
      <w:numPr>
        <w:ilvl w:val="7"/>
        <w:numId w:val="3"/>
      </w:numPr>
      <w:outlineLvl w:val="7"/>
    </w:pPr>
  </w:style>
  <w:style w:type="paragraph" w:styleId="Heading9">
    <w:name w:val="heading 9"/>
    <w:basedOn w:val="HouseStyleBaseCentred"/>
    <w:next w:val="MarginText"/>
    <w:qFormat/>
    <w:pPr>
      <w:numPr>
        <w:ilvl w:val="8"/>
        <w:numId w:val="3"/>
      </w:numPr>
      <w:jc w:val="both"/>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ListBullet">
    <w:name w:val="List Bullet"/>
    <w:basedOn w:val="Normal"/>
    <w:pPr>
      <w:numPr>
        <w:numId w:val="1"/>
      </w:numPr>
      <w:tabs>
        <w:tab w:val="clear" w:pos="0"/>
      </w:tabs>
      <w:spacing w:after="240"/>
      <w:jc w:val="left"/>
    </w:pPr>
    <w:rPr>
      <w:kern w:val="28"/>
    </w:rPr>
  </w:style>
  <w:style w:type="paragraph" w:customStyle="1" w:styleId="Paragraph">
    <w:name w:val="Paragraph"/>
    <w:basedOn w:val="Normal"/>
  </w:style>
  <w:style w:type="paragraph" w:styleId="ListBullet2">
    <w:name w:val="List Bullet 2"/>
    <w:basedOn w:val="HouseStyleBaseCentred"/>
    <w:pPr>
      <w:numPr>
        <w:ilvl w:val="1"/>
        <w:numId w:val="10"/>
      </w:numPr>
      <w:jc w:val="both"/>
    </w:pPr>
  </w:style>
  <w:style w:type="character" w:styleId="PageNumber">
    <w:name w:val="page number"/>
    <w:basedOn w:val="DefaultParagraphFont"/>
  </w:style>
  <w:style w:type="paragraph" w:customStyle="1" w:styleId="DLAFileNote">
    <w:name w:val="DLA File Note"/>
    <w:basedOn w:val="Normal"/>
    <w:pPr>
      <w:spacing w:after="240"/>
    </w:p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semiHidden/>
    <w:pPr>
      <w:spacing w:after="60"/>
      <w:ind w:left="720" w:hanging="720"/>
    </w:pPr>
    <w:rPr>
      <w:sz w:val="16"/>
    </w:rPr>
  </w:style>
  <w:style w:type="character" w:styleId="FootnoteReference">
    <w:name w:val="foot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semiHidden/>
    <w:pPr>
      <w:tabs>
        <w:tab w:val="left" w:pos="720"/>
        <w:tab w:val="right" w:leader="dot" w:pos="9029"/>
      </w:tabs>
      <w:adjustRightInd w:val="0"/>
      <w:spacing w:after="120"/>
      <w:ind w:left="720" w:hanging="720"/>
    </w:pPr>
    <w:rPr>
      <w:rFonts w:ascii="Times New Roman" w:eastAsia="STZhongsong" w:hAnsi="Times New Roman"/>
      <w:caps/>
      <w:sz w:val="22"/>
      <w:lang w:eastAsia="zh-CN"/>
    </w:rPr>
  </w:style>
  <w:style w:type="paragraph" w:styleId="TOC2">
    <w:name w:val="toc 2"/>
    <w:semiHidden/>
    <w:pPr>
      <w:tabs>
        <w:tab w:val="left" w:pos="1440"/>
        <w:tab w:val="right" w:leader="dot" w:pos="9029"/>
      </w:tabs>
      <w:adjustRightInd w:val="0"/>
      <w:spacing w:after="120"/>
      <w:ind w:left="1440" w:hanging="720"/>
    </w:pPr>
    <w:rPr>
      <w:rFonts w:ascii="Times New Roman" w:eastAsia="STZhongsong" w:hAnsi="Times New Roman"/>
      <w:sz w:val="22"/>
      <w:lang w:eastAsia="zh-CN"/>
    </w:rPr>
  </w:style>
  <w:style w:type="paragraph" w:styleId="TOC3">
    <w:name w:val="toc 3"/>
    <w:semiHidden/>
    <w:pPr>
      <w:tabs>
        <w:tab w:val="left" w:pos="2160"/>
        <w:tab w:val="right" w:leader="dot" w:pos="9029"/>
      </w:tabs>
      <w:adjustRightInd w:val="0"/>
      <w:spacing w:after="120"/>
      <w:ind w:left="2160" w:hanging="720"/>
    </w:pPr>
    <w:rPr>
      <w:rFonts w:ascii="Times New Roman" w:eastAsia="STZhongsong" w:hAnsi="Times New Roman"/>
      <w:sz w:val="22"/>
      <w:lang w:eastAsia="zh-CN"/>
    </w:rPr>
  </w:style>
  <w:style w:type="paragraph" w:styleId="TOC4">
    <w:name w:val="toc 4"/>
    <w:semiHidden/>
    <w:pPr>
      <w:tabs>
        <w:tab w:val="left" w:pos="2880"/>
        <w:tab w:val="right" w:leader="dot" w:pos="9029"/>
      </w:tabs>
      <w:adjustRightInd w:val="0"/>
      <w:spacing w:after="120"/>
      <w:ind w:left="2880" w:hanging="720"/>
    </w:pPr>
    <w:rPr>
      <w:rFonts w:ascii="Times New Roman" w:eastAsia="STZhongsong" w:hAnsi="Times New Roman"/>
      <w:sz w:val="22"/>
      <w:lang w:eastAsia="zh-CN"/>
    </w:rPr>
  </w:style>
  <w:style w:type="paragraph" w:styleId="TOC5">
    <w:name w:val="toc 5"/>
    <w:semiHidden/>
    <w:pPr>
      <w:tabs>
        <w:tab w:val="left" w:pos="3600"/>
        <w:tab w:val="right" w:leader="dot" w:pos="9029"/>
      </w:tabs>
      <w:adjustRightInd w:val="0"/>
      <w:spacing w:after="120"/>
      <w:ind w:left="3600" w:hanging="720"/>
    </w:pPr>
    <w:rPr>
      <w:rFonts w:ascii="Times New Roman" w:eastAsia="STZhongsong" w:hAnsi="Times New Roman"/>
      <w:sz w:val="22"/>
      <w:lang w:eastAsia="zh-CN"/>
    </w:rPr>
  </w:style>
  <w:style w:type="paragraph" w:styleId="TOC6">
    <w:name w:val="toc 6"/>
    <w:semiHidden/>
    <w:pPr>
      <w:tabs>
        <w:tab w:val="left" w:pos="4320"/>
        <w:tab w:val="right" w:leader="dot" w:pos="9029"/>
      </w:tabs>
      <w:adjustRightInd w:val="0"/>
      <w:spacing w:after="120"/>
      <w:ind w:left="4320" w:hanging="720"/>
    </w:pPr>
    <w:rPr>
      <w:rFonts w:ascii="Times New Roman" w:eastAsia="STZhongsong" w:hAnsi="Times New Roman"/>
      <w:sz w:val="22"/>
      <w:lang w:eastAsia="zh-CN"/>
    </w:rPr>
  </w:style>
  <w:style w:type="paragraph" w:styleId="TOC7">
    <w:name w:val="toc 7"/>
    <w:semiHidden/>
    <w:pPr>
      <w:tabs>
        <w:tab w:val="left" w:pos="5040"/>
        <w:tab w:val="right" w:leader="dot" w:pos="9029"/>
      </w:tabs>
      <w:adjustRightInd w:val="0"/>
      <w:spacing w:after="120"/>
      <w:ind w:left="5040" w:hanging="720"/>
    </w:pPr>
    <w:rPr>
      <w:rFonts w:ascii="Times New Roman" w:eastAsia="STZhongsong" w:hAnsi="Times New Roman"/>
      <w:sz w:val="22"/>
      <w:lang w:eastAsia="zh-CN"/>
    </w:rPr>
  </w:style>
  <w:style w:type="paragraph" w:styleId="TOC8">
    <w:name w:val="toc 8"/>
    <w:semiHidden/>
    <w:pPr>
      <w:tabs>
        <w:tab w:val="right" w:leader="dot" w:pos="9029"/>
      </w:tabs>
      <w:adjustRightInd w:val="0"/>
      <w:spacing w:after="120"/>
    </w:pPr>
    <w:rPr>
      <w:rFonts w:ascii="Times New Roman" w:eastAsia="STZhongsong" w:hAnsi="Times New Roman"/>
      <w:caps/>
      <w:sz w:val="22"/>
      <w:lang w:eastAsia="zh-CN"/>
    </w:rPr>
  </w:style>
  <w:style w:type="paragraph" w:styleId="TOC9">
    <w:name w:val="toc 9"/>
    <w:semiHidden/>
    <w:pPr>
      <w:tabs>
        <w:tab w:val="right" w:leader="dot" w:pos="9029"/>
      </w:tabs>
      <w:adjustRightInd w:val="0"/>
      <w:spacing w:after="120"/>
      <w:ind w:left="720"/>
    </w:pPr>
    <w:rPr>
      <w:rFonts w:ascii="Times New Roman" w:eastAsia="STZhongsong" w:hAnsi="Times New Roman"/>
      <w:sz w:val="22"/>
      <w:lang w:eastAsia="zh-CN"/>
    </w:r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rPr>
      <w:rFonts w:ascii="Times New Roman" w:hAnsi="Times New Roman"/>
      <w:sz w:val="22"/>
      <w:vertAlign w:val="baseline"/>
    </w:rPr>
  </w:style>
  <w:style w:type="paragraph" w:styleId="BodyText">
    <w:name w:val="Body Text"/>
    <w:basedOn w:val="Normal"/>
    <w:link w:val="BodyTextChar"/>
    <w:pPr>
      <w:spacing w:after="240"/>
    </w:pPr>
  </w:style>
  <w:style w:type="paragraph" w:styleId="BodyTextIndent">
    <w:name w:val="Body Text Indent"/>
    <w:basedOn w:val="HouseStyleBase"/>
    <w:link w:val="BodyTextIndentChar"/>
    <w:pPr>
      <w:ind w:left="720"/>
    </w:pPr>
  </w:style>
  <w:style w:type="paragraph" w:styleId="BodyTextIndent2">
    <w:name w:val="Body Text Indent 2"/>
    <w:basedOn w:val="HouseStyleBase"/>
    <w:pPr>
      <w:ind w:left="720"/>
    </w:pPr>
  </w:style>
  <w:style w:type="paragraph" w:styleId="BodyTextIndent3">
    <w:name w:val="Body Text Indent 3"/>
    <w:basedOn w:val="HouseStyleBase"/>
    <w:pPr>
      <w:ind w:left="1800"/>
    </w:pPr>
  </w:style>
  <w:style w:type="paragraph" w:customStyle="1" w:styleId="BodyTextIndent4">
    <w:name w:val="Body Text Indent 4"/>
    <w:basedOn w:val="HouseStyleBase"/>
    <w:link w:val="BodyTextIndent4Char"/>
    <w:pPr>
      <w:ind w:left="2880"/>
    </w:pPr>
  </w:style>
  <w:style w:type="paragraph" w:customStyle="1" w:styleId="BodyTextIndent5">
    <w:name w:val="Body Text Indent 5"/>
    <w:basedOn w:val="HouseStyleBase"/>
    <w:link w:val="BodyTextIndent5Char"/>
    <w:pPr>
      <w:ind w:left="3600"/>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BodyTextIndent8">
    <w:name w:val="Body Text Indent 8"/>
    <w:basedOn w:val="HouseStyleBase"/>
    <w:pPr>
      <w:ind w:left="5760"/>
    </w:pPr>
  </w:style>
  <w:style w:type="paragraph" w:customStyle="1" w:styleId="MarginText">
    <w:name w:val="Margin Text"/>
    <w:basedOn w:val="HouseStyleBase"/>
  </w:style>
  <w:style w:type="paragraph" w:customStyle="1" w:styleId="SchHead">
    <w:name w:val="SchHead"/>
    <w:basedOn w:val="HouseStyleBaseCentred"/>
    <w:next w:val="SchPart"/>
    <w:pPr>
      <w:keepNext/>
      <w:numPr>
        <w:numId w:val="6"/>
      </w:numPr>
      <w:outlineLvl w:val="0"/>
    </w:pPr>
    <w:rPr>
      <w:b/>
      <w:caps/>
    </w:rPr>
  </w:style>
  <w:style w:type="paragraph" w:customStyle="1" w:styleId="ScheduleL1">
    <w:name w:val="Schedule L1"/>
    <w:basedOn w:val="HouseStyleBase"/>
    <w:next w:val="ScheduleL2A"/>
    <w:pPr>
      <w:numPr>
        <w:numId w:val="7"/>
      </w:numPr>
      <w:outlineLvl w:val="1"/>
    </w:pPr>
    <w:rPr>
      <w:b/>
      <w:caps/>
    </w:rPr>
  </w:style>
  <w:style w:type="paragraph" w:customStyle="1" w:styleId="bodyjustified">
    <w:name w:val="body justified"/>
    <w:basedOn w:val="Normal"/>
    <w:pPr>
      <w:overflowPunct/>
      <w:autoSpaceDE/>
      <w:autoSpaceDN/>
      <w:adjustRightInd/>
      <w:spacing w:after="240"/>
      <w:textAlignment w:val="auto"/>
    </w:pPr>
    <w:rPr>
      <w:szCs w:val="24"/>
      <w:lang w:eastAsia="en-GB"/>
    </w:rPr>
  </w:style>
  <w:style w:type="paragraph" w:customStyle="1" w:styleId="body">
    <w:name w:val="body"/>
    <w:basedOn w:val="Normal"/>
    <w:link w:val="bodyChar"/>
    <w:pPr>
      <w:overflowPunct/>
      <w:autoSpaceDE/>
      <w:autoSpaceDN/>
      <w:adjustRightInd/>
      <w:jc w:val="left"/>
      <w:textAlignment w:val="auto"/>
    </w:pPr>
    <w:rPr>
      <w:szCs w:val="24"/>
      <w:lang w:eastAsia="en-GB"/>
    </w:rPr>
  </w:style>
  <w:style w:type="character" w:customStyle="1" w:styleId="bodyChar">
    <w:name w:val="body Char"/>
    <w:link w:val="body"/>
    <w:rPr>
      <w:sz w:val="22"/>
      <w:szCs w:val="24"/>
      <w:lang w:val="en-GB" w:eastAsia="en-GB" w:bidi="ar-SA"/>
    </w:rPr>
  </w:style>
  <w:style w:type="paragraph" w:customStyle="1" w:styleId="bodystrong">
    <w:name w:val="body strong"/>
    <w:basedOn w:val="body"/>
    <w:link w:val="bodystrongChar"/>
    <w:rPr>
      <w:b/>
    </w:rPr>
  </w:style>
  <w:style w:type="character" w:customStyle="1" w:styleId="bodystrongChar">
    <w:name w:val="body strong Char"/>
    <w:link w:val="bodystrong"/>
    <w:rPr>
      <w:b/>
      <w:sz w:val="22"/>
      <w:szCs w:val="24"/>
      <w:lang w:val="en-GB" w:eastAsia="en-GB" w:bidi="ar-SA"/>
    </w:rPr>
  </w:style>
  <w:style w:type="paragraph" w:customStyle="1" w:styleId="bodystronger">
    <w:name w:val="body stronger"/>
    <w:basedOn w:val="bodystrong"/>
    <w:link w:val="bodystrongerChar"/>
    <w:rPr>
      <w:caps/>
      <w:szCs w:val="22"/>
    </w:rPr>
  </w:style>
  <w:style w:type="table" w:styleId="TableGrid">
    <w:name w:val="Table Grid"/>
    <w:basedOn w:val="TableNormal"/>
    <w:pPr>
      <w:overflowPunct w:val="0"/>
      <w:autoSpaceDE w:val="0"/>
      <w:autoSpaceDN w:val="0"/>
      <w:adjustRightInd w:val="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trongercentre">
    <w:name w:val="body stronger centre"/>
    <w:basedOn w:val="bodystronger"/>
    <w:link w:val="bodystrongercentreChar"/>
    <w:pPr>
      <w:jc w:val="center"/>
    </w:pPr>
  </w:style>
  <w:style w:type="paragraph" w:customStyle="1" w:styleId="footer0">
    <w:name w:val="footer"/>
    <w:basedOn w:val="Normal"/>
    <w:link w:val="footerChar"/>
    <w:pPr>
      <w:overflowPunct/>
      <w:autoSpaceDE/>
      <w:autoSpaceDN/>
      <w:adjustRightInd/>
      <w:jc w:val="left"/>
      <w:textAlignment w:val="auto"/>
    </w:pPr>
    <w:rPr>
      <w:rFonts w:ascii="Arial" w:hAnsi="Arial"/>
      <w:sz w:val="14"/>
      <w:szCs w:val="24"/>
      <w:lang w:eastAsia="en-GB"/>
    </w:rPr>
  </w:style>
  <w:style w:type="character" w:customStyle="1" w:styleId="footerChar">
    <w:name w:val="footer Char"/>
    <w:link w:val="footer0"/>
    <w:rPr>
      <w:rFonts w:ascii="Arial" w:hAnsi="Arial"/>
      <w:sz w:val="14"/>
      <w:szCs w:val="24"/>
      <w:lang w:val="en-GB" w:eastAsia="en-GB" w:bidi="ar-SA"/>
    </w:rPr>
  </w:style>
  <w:style w:type="character" w:customStyle="1" w:styleId="BodyTextIndent4Char">
    <w:name w:val="Body Text Indent 4 Char"/>
    <w:link w:val="BodyTextIndent4"/>
    <w:rPr>
      <w:rFonts w:ascii="Times New Roman" w:eastAsia="STZhongsong" w:hAnsi="Times New Roman"/>
      <w:sz w:val="22"/>
      <w:lang w:eastAsia="zh-CN"/>
    </w:rPr>
  </w:style>
  <w:style w:type="character" w:customStyle="1" w:styleId="BodyTextIndent5Char">
    <w:name w:val="Body Text Indent 5 Char"/>
    <w:link w:val="BodyTextIndent5"/>
    <w:rPr>
      <w:rFonts w:ascii="Times New Roman" w:eastAsia="STZhongsong" w:hAnsi="Times New Roman"/>
      <w:sz w:val="22"/>
      <w:lang w:eastAsia="zh-CN"/>
    </w:rPr>
  </w:style>
  <w:style w:type="numbering" w:styleId="111111">
    <w:name w:val="Outline List 2"/>
    <w:basedOn w:val="NoList"/>
    <w:pPr>
      <w:numPr>
        <w:numId w:val="2"/>
      </w:numPr>
    </w:pPr>
  </w:style>
  <w:style w:type="paragraph" w:customStyle="1" w:styleId="HouseStyleBase">
    <w:name w:val="House Style Base"/>
    <w:link w:val="HouseStyleBaseChar"/>
    <w:pPr>
      <w:adjustRightInd w:val="0"/>
      <w:spacing w:after="240"/>
      <w:jc w:val="both"/>
    </w:pPr>
    <w:rPr>
      <w:rFonts w:ascii="Times New Roman" w:eastAsia="STZhongsong" w:hAnsi="Times New Roman"/>
      <w:sz w:val="22"/>
      <w:lang w:eastAsia="zh-CN"/>
    </w:rPr>
  </w:style>
  <w:style w:type="paragraph" w:customStyle="1" w:styleId="HouseStyleBaseCentred">
    <w:name w:val="House Style Base Centred"/>
    <w:pPr>
      <w:adjustRightInd w:val="0"/>
      <w:spacing w:after="240"/>
      <w:jc w:val="center"/>
    </w:pPr>
    <w:rPr>
      <w:rFonts w:ascii="Times New Roman" w:eastAsia="STZhongsong" w:hAnsi="Times New Roman"/>
      <w:sz w:val="22"/>
      <w:lang w:eastAsia="zh-CN"/>
    </w:rPr>
  </w:style>
  <w:style w:type="paragraph" w:customStyle="1" w:styleId="Heading">
    <w:name w:val="Heading"/>
    <w:basedOn w:val="HouseStyleBaseCentred"/>
    <w:next w:val="MarginText"/>
    <w:pPr>
      <w:keepNext/>
    </w:pPr>
    <w:rPr>
      <w:b/>
      <w:caps/>
    </w:rPr>
  </w:style>
  <w:style w:type="paragraph" w:customStyle="1" w:styleId="AppHead">
    <w:name w:val="AppHead"/>
    <w:basedOn w:val="HouseStyleBaseCentred"/>
    <w:pPr>
      <w:keepNext/>
      <w:numPr>
        <w:numId w:val="23"/>
      </w:numPr>
      <w:outlineLvl w:val="0"/>
    </w:pPr>
    <w:rPr>
      <w:b/>
      <w:caps/>
    </w:rPr>
  </w:style>
  <w:style w:type="paragraph" w:customStyle="1" w:styleId="RecitalNumbering">
    <w:name w:val="Recital Numbering"/>
    <w:basedOn w:val="HouseStyleBase"/>
    <w:pPr>
      <w:numPr>
        <w:numId w:val="25"/>
      </w:numPr>
      <w:outlineLvl w:val="0"/>
    </w:pPr>
  </w:style>
  <w:style w:type="paragraph" w:customStyle="1" w:styleId="DefinitionNumbering1">
    <w:name w:val="Definition Numbering 1"/>
    <w:basedOn w:val="HouseStyleBase"/>
    <w:pPr>
      <w:numPr>
        <w:numId w:val="5"/>
      </w:numPr>
      <w:outlineLvl w:val="1"/>
    </w:pPr>
  </w:style>
  <w:style w:type="paragraph" w:customStyle="1" w:styleId="DefinitionNumbering2">
    <w:name w:val="Definition Numbering 2"/>
    <w:basedOn w:val="HouseStyleBase"/>
    <w:pPr>
      <w:numPr>
        <w:ilvl w:val="1"/>
        <w:numId w:val="5"/>
      </w:numPr>
      <w:outlineLvl w:val="1"/>
    </w:pPr>
  </w:style>
  <w:style w:type="paragraph" w:customStyle="1" w:styleId="DefinitionNumbering3">
    <w:name w:val="Definition Numbering 3"/>
    <w:basedOn w:val="HouseStyleBase"/>
    <w:pPr>
      <w:numPr>
        <w:ilvl w:val="2"/>
        <w:numId w:val="5"/>
      </w:numPr>
      <w:outlineLvl w:val="1"/>
    </w:pPr>
  </w:style>
  <w:style w:type="paragraph" w:customStyle="1" w:styleId="DefinitionNumbering4">
    <w:name w:val="Definition Numbering 4"/>
    <w:basedOn w:val="HouseStyleBase"/>
    <w:pPr>
      <w:numPr>
        <w:ilvl w:val="3"/>
        <w:numId w:val="5"/>
      </w:numPr>
      <w:outlineLvl w:val="1"/>
    </w:pPr>
  </w:style>
  <w:style w:type="paragraph" w:customStyle="1" w:styleId="DefinitionNumbering5">
    <w:name w:val="Definition Numbering 5"/>
    <w:basedOn w:val="HouseStyleBase"/>
    <w:pPr>
      <w:numPr>
        <w:ilvl w:val="4"/>
        <w:numId w:val="5"/>
      </w:numPr>
      <w:outlineLvl w:val="1"/>
    </w:pPr>
  </w:style>
  <w:style w:type="paragraph" w:customStyle="1" w:styleId="DefinitionNumbering6">
    <w:name w:val="Definition Numbering 6"/>
    <w:basedOn w:val="HouseStyleBase"/>
    <w:pPr>
      <w:numPr>
        <w:ilvl w:val="5"/>
        <w:numId w:val="5"/>
      </w:numPr>
      <w:outlineLvl w:val="1"/>
    </w:pPr>
  </w:style>
  <w:style w:type="paragraph" w:customStyle="1" w:styleId="DefinitionNumbering7">
    <w:name w:val="Definition Numbering 7"/>
    <w:basedOn w:val="HouseStyleBase"/>
    <w:pPr>
      <w:numPr>
        <w:ilvl w:val="6"/>
        <w:numId w:val="5"/>
      </w:numPr>
      <w:outlineLvl w:val="1"/>
    </w:pPr>
  </w:style>
  <w:style w:type="paragraph" w:customStyle="1" w:styleId="DefinitionNumbering8">
    <w:name w:val="Definition Numbering 8"/>
    <w:basedOn w:val="HouseStyleBase"/>
    <w:pPr>
      <w:numPr>
        <w:ilvl w:val="7"/>
        <w:numId w:val="20"/>
      </w:numPr>
      <w:outlineLvl w:val="7"/>
    </w:pPr>
  </w:style>
  <w:style w:type="paragraph" w:customStyle="1" w:styleId="DefinitionNumbering9">
    <w:name w:val="Definition Numbering 9"/>
    <w:basedOn w:val="HouseStyleBase"/>
    <w:pPr>
      <w:numPr>
        <w:ilvl w:val="8"/>
        <w:numId w:val="20"/>
      </w:numPr>
      <w:outlineLvl w:val="8"/>
    </w:pPr>
  </w:style>
  <w:style w:type="paragraph" w:customStyle="1" w:styleId="ListBullet1">
    <w:name w:val="List Bullet 1"/>
    <w:basedOn w:val="HouseStyleBaseCentred"/>
    <w:pPr>
      <w:numPr>
        <w:numId w:val="10"/>
      </w:numPr>
      <w:jc w:val="both"/>
    </w:pPr>
  </w:style>
  <w:style w:type="paragraph" w:styleId="ListBullet3">
    <w:name w:val="List Bullet 3"/>
    <w:basedOn w:val="HouseStyleBaseCentred"/>
    <w:pPr>
      <w:numPr>
        <w:ilvl w:val="2"/>
        <w:numId w:val="10"/>
      </w:numPr>
      <w:jc w:val="both"/>
    </w:pPr>
  </w:style>
  <w:style w:type="paragraph" w:styleId="ListBullet4">
    <w:name w:val="List Bullet 4"/>
    <w:basedOn w:val="HouseStyleBaseCentred"/>
    <w:pPr>
      <w:numPr>
        <w:ilvl w:val="3"/>
        <w:numId w:val="10"/>
      </w:numPr>
      <w:jc w:val="both"/>
    </w:pPr>
  </w:style>
  <w:style w:type="paragraph" w:styleId="ListBullet5">
    <w:name w:val="List Bullet 5"/>
    <w:basedOn w:val="HouseStyleBaseCentred"/>
    <w:pPr>
      <w:numPr>
        <w:ilvl w:val="4"/>
        <w:numId w:val="10"/>
      </w:numPr>
      <w:jc w:val="both"/>
    </w:pPr>
  </w:style>
  <w:style w:type="paragraph" w:customStyle="1" w:styleId="ListBullet6">
    <w:name w:val="List Bullet 6"/>
    <w:basedOn w:val="HouseStyleBaseCentred"/>
    <w:pPr>
      <w:numPr>
        <w:ilvl w:val="5"/>
        <w:numId w:val="10"/>
      </w:numPr>
      <w:jc w:val="both"/>
    </w:pPr>
  </w:style>
  <w:style w:type="paragraph" w:customStyle="1" w:styleId="ListBullet7">
    <w:name w:val="List Bullet 7"/>
    <w:basedOn w:val="HouseStyleBaseCentred"/>
    <w:pPr>
      <w:numPr>
        <w:ilvl w:val="6"/>
        <w:numId w:val="10"/>
      </w:numPr>
      <w:jc w:val="both"/>
    </w:pPr>
  </w:style>
  <w:style w:type="paragraph" w:customStyle="1" w:styleId="ListBullet8">
    <w:name w:val="List Bullet 8"/>
    <w:basedOn w:val="HouseStyleBaseCentred"/>
    <w:pPr>
      <w:numPr>
        <w:ilvl w:val="7"/>
        <w:numId w:val="10"/>
      </w:numPr>
      <w:jc w:val="both"/>
    </w:pPr>
  </w:style>
  <w:style w:type="paragraph" w:customStyle="1" w:styleId="ListBullet9">
    <w:name w:val="List Bullet 9"/>
    <w:basedOn w:val="HouseStyleBaseCentred"/>
    <w:pPr>
      <w:numPr>
        <w:ilvl w:val="8"/>
        <w:numId w:val="10"/>
      </w:numPr>
      <w:jc w:val="both"/>
    </w:pPr>
  </w:style>
  <w:style w:type="paragraph" w:customStyle="1" w:styleId="SchPart">
    <w:name w:val="SchPart"/>
    <w:basedOn w:val="HouseStyleBaseCentred"/>
    <w:next w:val="MarginText"/>
    <w:pPr>
      <w:keepNext/>
      <w:numPr>
        <w:ilvl w:val="1"/>
        <w:numId w:val="6"/>
      </w:numPr>
      <w:outlineLvl w:val="1"/>
    </w:pPr>
    <w:rPr>
      <w:b/>
    </w:rPr>
  </w:style>
  <w:style w:type="paragraph" w:customStyle="1" w:styleId="ScheduleL2">
    <w:name w:val="Schedule L2"/>
    <w:basedOn w:val="HouseStyleBase"/>
    <w:pPr>
      <w:numPr>
        <w:ilvl w:val="1"/>
        <w:numId w:val="7"/>
      </w:numPr>
      <w:outlineLvl w:val="0"/>
    </w:pPr>
  </w:style>
  <w:style w:type="paragraph" w:customStyle="1" w:styleId="ScheduleL3">
    <w:name w:val="Schedule L3"/>
    <w:basedOn w:val="HouseStyleBase"/>
    <w:pPr>
      <w:numPr>
        <w:ilvl w:val="2"/>
        <w:numId w:val="7"/>
      </w:numPr>
      <w:outlineLvl w:val="2"/>
    </w:pPr>
  </w:style>
  <w:style w:type="paragraph" w:customStyle="1" w:styleId="ScheduleL4">
    <w:name w:val="Schedule L4"/>
    <w:basedOn w:val="HouseStyleBase"/>
    <w:pPr>
      <w:numPr>
        <w:ilvl w:val="3"/>
        <w:numId w:val="7"/>
      </w:numPr>
      <w:outlineLvl w:val="3"/>
    </w:pPr>
  </w:style>
  <w:style w:type="paragraph" w:customStyle="1" w:styleId="ScheduleL5">
    <w:name w:val="Schedule L5"/>
    <w:basedOn w:val="HouseStyleBase"/>
    <w:pPr>
      <w:numPr>
        <w:ilvl w:val="4"/>
        <w:numId w:val="7"/>
      </w:numPr>
      <w:outlineLvl w:val="4"/>
    </w:pPr>
  </w:style>
  <w:style w:type="paragraph" w:customStyle="1" w:styleId="ScheduleL6">
    <w:name w:val="Schedule L6"/>
    <w:basedOn w:val="HouseStyleBase"/>
    <w:pPr>
      <w:numPr>
        <w:ilvl w:val="5"/>
        <w:numId w:val="7"/>
      </w:numPr>
      <w:outlineLvl w:val="5"/>
    </w:pPr>
  </w:style>
  <w:style w:type="paragraph" w:customStyle="1" w:styleId="ScheduleL7">
    <w:name w:val="Schedule L7"/>
    <w:basedOn w:val="HouseStyleBase"/>
    <w:pPr>
      <w:numPr>
        <w:ilvl w:val="6"/>
        <w:numId w:val="7"/>
      </w:numPr>
      <w:outlineLvl w:val="6"/>
    </w:pPr>
  </w:style>
  <w:style w:type="paragraph" w:customStyle="1" w:styleId="ScheduleL8">
    <w:name w:val="Schedule L8"/>
    <w:basedOn w:val="HouseStyleBase"/>
    <w:pPr>
      <w:numPr>
        <w:ilvl w:val="7"/>
        <w:numId w:val="7"/>
      </w:numPr>
      <w:outlineLvl w:val="7"/>
    </w:pPr>
  </w:style>
  <w:style w:type="paragraph" w:customStyle="1" w:styleId="ScheduleL9">
    <w:name w:val="Schedule L9"/>
    <w:basedOn w:val="HouseStyleBase"/>
    <w:pPr>
      <w:numPr>
        <w:ilvl w:val="8"/>
        <w:numId w:val="7"/>
      </w:numPr>
      <w:jc w:val="left"/>
      <w:outlineLvl w:val="8"/>
    </w:pPr>
  </w:style>
  <w:style w:type="paragraph" w:customStyle="1" w:styleId="SchSection">
    <w:name w:val="SchSection"/>
    <w:basedOn w:val="HouseStyleBaseCentred"/>
    <w:next w:val="MarginText"/>
    <w:pPr>
      <w:keepNext/>
      <w:numPr>
        <w:ilvl w:val="2"/>
        <w:numId w:val="6"/>
      </w:numPr>
      <w:outlineLvl w:val="2"/>
    </w:pPr>
    <w:rPr>
      <w:b/>
    </w:rPr>
  </w:style>
  <w:style w:type="paragraph" w:customStyle="1" w:styleId="Table-followingparagraph">
    <w:name w:val="Table - following paragraph"/>
    <w:basedOn w:val="HouseStyleBase"/>
    <w:next w:val="MarginText"/>
    <w:pPr>
      <w:spacing w:after="0"/>
    </w:pPr>
  </w:style>
  <w:style w:type="paragraph" w:customStyle="1" w:styleId="Table-Text">
    <w:name w:val="Table - Text"/>
    <w:basedOn w:val="HouseStyleBase"/>
    <w:pPr>
      <w:spacing w:before="120" w:after="120"/>
      <w:jc w:val="left"/>
    </w:pPr>
  </w:style>
  <w:style w:type="paragraph" w:customStyle="1" w:styleId="AppPart">
    <w:name w:val="AppPart"/>
    <w:basedOn w:val="HouseStyleBaseCentred"/>
    <w:pPr>
      <w:keepNext/>
      <w:pageBreakBefore/>
      <w:numPr>
        <w:ilvl w:val="1"/>
        <w:numId w:val="23"/>
      </w:numPr>
      <w:outlineLvl w:val="1"/>
    </w:pPr>
    <w:rPr>
      <w:b/>
    </w:rPr>
  </w:style>
  <w:style w:type="paragraph" w:customStyle="1" w:styleId="RecitalNumbering2">
    <w:name w:val="Recital Numbering 2"/>
    <w:basedOn w:val="HouseStyleBase"/>
    <w:pPr>
      <w:numPr>
        <w:ilvl w:val="1"/>
        <w:numId w:val="25"/>
      </w:numPr>
      <w:outlineLvl w:val="1"/>
    </w:pPr>
  </w:style>
  <w:style w:type="paragraph" w:customStyle="1" w:styleId="RecitalNumbering3">
    <w:name w:val="Recital Numbering 3"/>
    <w:basedOn w:val="HouseStyleBase"/>
    <w:pPr>
      <w:numPr>
        <w:ilvl w:val="2"/>
        <w:numId w:val="13"/>
      </w:numPr>
      <w:overflowPunct w:val="0"/>
      <w:autoSpaceDE w:val="0"/>
      <w:autoSpaceDN w:val="0"/>
      <w:textAlignment w:val="baseline"/>
    </w:pPr>
  </w:style>
  <w:style w:type="character" w:customStyle="1" w:styleId="bodychar0">
    <w:name w:val="body char"/>
    <w:basedOn w:val="bodyChar"/>
    <w:qFormat/>
    <w:rPr>
      <w:sz w:val="22"/>
      <w:szCs w:val="24"/>
      <w:lang w:val="en-GB" w:eastAsia="en-GB" w:bidi="ar-SA"/>
    </w:rPr>
  </w:style>
  <w:style w:type="character" w:customStyle="1" w:styleId="bodystrongchar0">
    <w:name w:val="body strong char"/>
    <w:basedOn w:val="bodystrongChar"/>
    <w:qFormat/>
    <w:rPr>
      <w:b/>
      <w:sz w:val="22"/>
      <w:szCs w:val="24"/>
      <w:lang w:val="en-GB" w:eastAsia="en-GB" w:bidi="ar-SA"/>
    </w:rPr>
  </w:style>
  <w:style w:type="character" w:customStyle="1" w:styleId="footerchar0">
    <w:name w:val="footer char"/>
    <w:basedOn w:val="footerChar"/>
    <w:qFormat/>
    <w:rPr>
      <w:rFonts w:ascii="Arial" w:hAnsi="Arial"/>
      <w:sz w:val="14"/>
      <w:szCs w:val="24"/>
      <w:lang w:val="en-GB" w:eastAsia="en-GB" w:bidi="ar-SA"/>
    </w:rPr>
  </w:style>
  <w:style w:type="paragraph" w:customStyle="1" w:styleId="Heading1A">
    <w:name w:val="Heading 1A"/>
    <w:basedOn w:val="HouseStyleBase"/>
    <w:next w:val="MarginText"/>
    <w:link w:val="Heading1AChar"/>
    <w:pPr>
      <w:jc w:val="center"/>
      <w:outlineLvl w:val="0"/>
    </w:pPr>
  </w:style>
  <w:style w:type="character" w:customStyle="1" w:styleId="bodystrongerChar">
    <w:name w:val="body stronger Char"/>
    <w:link w:val="bodystronger"/>
    <w:rPr>
      <w:rFonts w:ascii="Times New Roman" w:hAnsi="Times New Roman"/>
      <w:b/>
      <w:caps/>
      <w:sz w:val="22"/>
      <w:szCs w:val="22"/>
      <w:lang w:val="en-GB" w:eastAsia="en-GB" w:bidi="ar-SA"/>
    </w:rPr>
  </w:style>
  <w:style w:type="character" w:customStyle="1" w:styleId="bodystrongercentreChar">
    <w:name w:val="body stronger centre Char"/>
    <w:basedOn w:val="bodystrongerChar"/>
    <w:link w:val="bodystrongercentre"/>
    <w:rPr>
      <w:rFonts w:ascii="Times New Roman" w:hAnsi="Times New Roman"/>
      <w:b/>
      <w:caps/>
      <w:sz w:val="22"/>
      <w:szCs w:val="22"/>
      <w:lang w:val="en-GB" w:eastAsia="en-GB" w:bidi="ar-SA"/>
    </w:rPr>
  </w:style>
  <w:style w:type="character" w:customStyle="1" w:styleId="Heading1AChar">
    <w:name w:val="Heading 1A Char"/>
    <w:link w:val="Heading1A"/>
    <w:rPr>
      <w:rFonts w:ascii="Times New Roman" w:eastAsia="STZhongsong" w:hAnsi="Times New Roman"/>
      <w:b w:val="0"/>
      <w:caps w:val="0"/>
      <w:sz w:val="22"/>
      <w:szCs w:val="22"/>
      <w:lang w:val="en-GB" w:eastAsia="zh-CN" w:bidi="ar-SA"/>
    </w:rPr>
  </w:style>
  <w:style w:type="paragraph" w:customStyle="1" w:styleId="Heading2A">
    <w:name w:val="Heading 2A"/>
    <w:basedOn w:val="HouseStyleBaseCentred"/>
    <w:next w:val="Heading2"/>
    <w:link w:val="Heading2AChar"/>
    <w:pPr>
      <w:keepNext/>
      <w:ind w:left="720"/>
      <w:jc w:val="both"/>
      <w:outlineLvl w:val="1"/>
    </w:pPr>
    <w:rPr>
      <w:b/>
    </w:rPr>
  </w:style>
  <w:style w:type="character" w:customStyle="1" w:styleId="Heading2AChar">
    <w:name w:val="Heading 2A Char"/>
    <w:link w:val="Heading2A"/>
    <w:rPr>
      <w:rFonts w:ascii="Times New Roman" w:eastAsia="STZhongsong" w:hAnsi="Times New Roman"/>
      <w:b/>
      <w:sz w:val="22"/>
      <w:lang w:eastAsia="zh-CN"/>
    </w:rPr>
  </w:style>
  <w:style w:type="paragraph" w:customStyle="1" w:styleId="GeneralHeading1">
    <w:name w:val="General Heading 1"/>
    <w:basedOn w:val="HouseStyleBaseCentred"/>
    <w:next w:val="GeneralHeading2"/>
    <w:link w:val="GeneralHeading1Char"/>
    <w:pPr>
      <w:keepNext/>
      <w:jc w:val="both"/>
    </w:pPr>
    <w:rPr>
      <w:b/>
      <w:caps/>
    </w:rPr>
  </w:style>
  <w:style w:type="character" w:customStyle="1" w:styleId="GeneralHeading1Char">
    <w:name w:val="General Heading 1 Char"/>
    <w:link w:val="GeneralHeading1"/>
    <w:rPr>
      <w:rFonts w:ascii="Times New Roman" w:eastAsia="STZhongsong" w:hAnsi="Times New Roman"/>
      <w:b/>
      <w:caps/>
      <w:sz w:val="22"/>
      <w:lang w:eastAsia="zh-CN"/>
    </w:rPr>
  </w:style>
  <w:style w:type="paragraph" w:customStyle="1" w:styleId="GeneralHeading2">
    <w:name w:val="General Heading 2"/>
    <w:basedOn w:val="HouseStyleBaseCentred"/>
    <w:next w:val="Generallevel1"/>
    <w:link w:val="GeneralHeading2Char"/>
    <w:pPr>
      <w:keepNext/>
      <w:jc w:val="both"/>
    </w:pPr>
    <w:rPr>
      <w:b/>
    </w:rPr>
  </w:style>
  <w:style w:type="character" w:customStyle="1" w:styleId="GeneralHeading2Char">
    <w:name w:val="General Heading 2 Char"/>
    <w:link w:val="GeneralHeading2"/>
    <w:rPr>
      <w:rFonts w:ascii="Times New Roman" w:eastAsia="STZhongsong" w:hAnsi="Times New Roman"/>
      <w:b/>
      <w:sz w:val="22"/>
      <w:lang w:eastAsia="zh-CN"/>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GB"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rFonts w:ascii="Times New Roman" w:hAnsi="Times New Roman"/>
      <w:sz w:val="22"/>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rFonts w:ascii="Times New Roman" w:hAnsi="Times New Roman"/>
      <w:sz w:val="16"/>
      <w:szCs w:val="16"/>
      <w:lang w:val="en-GB" w:eastAsia="en-US"/>
    </w:rPr>
  </w:style>
  <w:style w:type="paragraph" w:styleId="BodyTextFirstIndent">
    <w:name w:val="Body Text First Indent"/>
    <w:basedOn w:val="BodyText"/>
    <w:link w:val="BodyTextFirstIndentChar"/>
    <w:pPr>
      <w:spacing w:after="120"/>
      <w:ind w:firstLine="210"/>
    </w:pPr>
  </w:style>
  <w:style w:type="character" w:customStyle="1" w:styleId="BodyTextChar">
    <w:name w:val="Body Text Char"/>
    <w:link w:val="BodyText"/>
    <w:rPr>
      <w:rFonts w:ascii="Times New Roman" w:hAnsi="Times New Roman"/>
      <w:sz w:val="22"/>
      <w:lang w:val="en-GB" w:eastAsia="en-US"/>
    </w:rPr>
  </w:style>
  <w:style w:type="character" w:customStyle="1" w:styleId="BodyTextFirstIndentChar">
    <w:name w:val="Body Text First Indent Char"/>
    <w:basedOn w:val="BodyTextChar"/>
    <w:link w:val="BodyTextFirstIndent"/>
    <w:rPr>
      <w:rFonts w:ascii="Times New Roman" w:hAnsi="Times New Roman"/>
      <w:sz w:val="22"/>
      <w:lang w:val="en-GB" w:eastAsia="en-US"/>
    </w:rPr>
  </w:style>
  <w:style w:type="paragraph" w:styleId="BodyTextFirstIndent2">
    <w:name w:val="Body Text First Indent 2"/>
    <w:basedOn w:val="BodyTextIndent"/>
    <w:link w:val="BodyTextFirstIndent2Char"/>
    <w:pPr>
      <w:overflowPunct w:val="0"/>
      <w:autoSpaceDE w:val="0"/>
      <w:autoSpaceDN w:val="0"/>
      <w:spacing w:after="120"/>
      <w:ind w:left="283" w:firstLine="210"/>
      <w:textAlignment w:val="baseline"/>
    </w:pPr>
    <w:rPr>
      <w:rFonts w:eastAsia="Times New Roman"/>
      <w:lang w:eastAsia="en-US"/>
    </w:rPr>
  </w:style>
  <w:style w:type="character" w:customStyle="1" w:styleId="HouseStyleBaseChar">
    <w:name w:val="House Style Base Char"/>
    <w:link w:val="HouseStyleBase"/>
    <w:rPr>
      <w:rFonts w:ascii="Times New Roman" w:eastAsia="STZhongsong" w:hAnsi="Times New Roman"/>
      <w:sz w:val="22"/>
      <w:lang w:val="en-GB" w:eastAsia="zh-CN"/>
    </w:rPr>
  </w:style>
  <w:style w:type="character" w:customStyle="1" w:styleId="BodyTextIndentChar">
    <w:name w:val="Body Text Indent Char"/>
    <w:basedOn w:val="HouseStyleBaseChar"/>
    <w:link w:val="BodyTextIndent"/>
    <w:rPr>
      <w:rFonts w:ascii="Times New Roman" w:eastAsia="STZhongsong" w:hAnsi="Times New Roman"/>
      <w:sz w:val="22"/>
      <w:lang w:val="en-GB" w:eastAsia="zh-CN"/>
    </w:rPr>
  </w:style>
  <w:style w:type="paragraph" w:customStyle="1" w:styleId="BodyTextIndent9">
    <w:name w:val="Body Text Indent 9"/>
    <w:basedOn w:val="HouseStyleBase"/>
    <w:link w:val="BodyTextIndent9Char"/>
    <w:pPr>
      <w:ind w:left="90"/>
    </w:pPr>
  </w:style>
  <w:style w:type="character" w:customStyle="1" w:styleId="BodyTextIndent9Char">
    <w:name w:val="Body Text Indent 9 Char"/>
    <w:link w:val="BodyTextIndent9"/>
    <w:rPr>
      <w:rFonts w:ascii="Times New Roman" w:eastAsia="STZhongsong" w:hAnsi="Times New Roman"/>
      <w:b w:val="0"/>
      <w:caps w:val="0"/>
      <w:sz w:val="22"/>
      <w:szCs w:val="22"/>
      <w:lang w:val="en-GB" w:eastAsia="zh-CN" w:bidi="ar-SA"/>
    </w:rPr>
  </w:style>
  <w:style w:type="paragraph" w:customStyle="1" w:styleId="Generallevel1">
    <w:name w:val="General level 1"/>
    <w:basedOn w:val="HouseStyleBase"/>
    <w:link w:val="Generallevel1Char"/>
    <w:pPr>
      <w:numPr>
        <w:numId w:val="24"/>
      </w:numPr>
      <w:outlineLvl w:val="0"/>
    </w:pPr>
  </w:style>
  <w:style w:type="character" w:customStyle="1" w:styleId="Generallevel1Char">
    <w:name w:val="General level 1 Char"/>
    <w:link w:val="Generallevel1"/>
    <w:rPr>
      <w:rFonts w:ascii="Times New Roman" w:eastAsia="STZhongsong" w:hAnsi="Times New Roman"/>
      <w:sz w:val="22"/>
      <w:lang w:val="en-GB" w:eastAsia="zh-CN"/>
    </w:rPr>
  </w:style>
  <w:style w:type="paragraph" w:customStyle="1" w:styleId="Generallevel2">
    <w:name w:val="General level 2"/>
    <w:basedOn w:val="HouseStyleBase"/>
    <w:link w:val="Generallevel2Char"/>
    <w:pPr>
      <w:numPr>
        <w:ilvl w:val="1"/>
        <w:numId w:val="24"/>
      </w:numPr>
      <w:outlineLvl w:val="1"/>
    </w:pPr>
  </w:style>
  <w:style w:type="character" w:customStyle="1" w:styleId="Generallevel2Char">
    <w:name w:val="General level 2 Char"/>
    <w:link w:val="Generallevel2"/>
    <w:rPr>
      <w:rFonts w:ascii="Times New Roman" w:eastAsia="STZhongsong" w:hAnsi="Times New Roman"/>
      <w:sz w:val="22"/>
      <w:lang w:val="en-GB" w:eastAsia="zh-CN"/>
    </w:rPr>
  </w:style>
  <w:style w:type="paragraph" w:customStyle="1" w:styleId="Generallevel3">
    <w:name w:val="General level 3"/>
    <w:basedOn w:val="HouseStyleBase"/>
    <w:link w:val="Generallevel3Char"/>
    <w:pPr>
      <w:numPr>
        <w:ilvl w:val="2"/>
        <w:numId w:val="24"/>
      </w:numPr>
      <w:outlineLvl w:val="2"/>
    </w:pPr>
  </w:style>
  <w:style w:type="character" w:customStyle="1" w:styleId="Generallevel3Char">
    <w:name w:val="General level 3 Char"/>
    <w:link w:val="Generallevel3"/>
    <w:rPr>
      <w:rFonts w:ascii="Times New Roman" w:eastAsia="STZhongsong" w:hAnsi="Times New Roman"/>
      <w:sz w:val="22"/>
      <w:lang w:val="en-GB" w:eastAsia="zh-CN"/>
    </w:rPr>
  </w:style>
  <w:style w:type="paragraph" w:customStyle="1" w:styleId="Generallevel4">
    <w:name w:val="General level 4"/>
    <w:basedOn w:val="HouseStyleBase"/>
    <w:link w:val="Generallevel4Char"/>
    <w:pPr>
      <w:numPr>
        <w:ilvl w:val="3"/>
        <w:numId w:val="24"/>
      </w:numPr>
      <w:outlineLvl w:val="3"/>
    </w:pPr>
  </w:style>
  <w:style w:type="character" w:customStyle="1" w:styleId="Generallevel4Char">
    <w:name w:val="General level 4 Char"/>
    <w:link w:val="Generallevel4"/>
    <w:rPr>
      <w:rFonts w:ascii="Times New Roman" w:eastAsia="STZhongsong" w:hAnsi="Times New Roman"/>
      <w:sz w:val="22"/>
      <w:lang w:val="en-GB" w:eastAsia="zh-CN"/>
    </w:rPr>
  </w:style>
  <w:style w:type="paragraph" w:customStyle="1" w:styleId="Generallevel5">
    <w:name w:val="General level 5"/>
    <w:basedOn w:val="HouseStyleBase"/>
    <w:link w:val="Generallevel5Char"/>
    <w:pPr>
      <w:numPr>
        <w:ilvl w:val="4"/>
        <w:numId w:val="24"/>
      </w:numPr>
      <w:outlineLvl w:val="4"/>
    </w:pPr>
  </w:style>
  <w:style w:type="character" w:customStyle="1" w:styleId="Generallevel5Char">
    <w:name w:val="General level 5 Char"/>
    <w:link w:val="Generallevel5"/>
    <w:rPr>
      <w:rFonts w:ascii="Times New Roman" w:eastAsia="STZhongsong" w:hAnsi="Times New Roman"/>
      <w:sz w:val="22"/>
      <w:lang w:val="en-GB" w:eastAsia="zh-CN"/>
    </w:rPr>
  </w:style>
  <w:style w:type="paragraph" w:customStyle="1" w:styleId="Generallevel6">
    <w:name w:val="General level 6"/>
    <w:basedOn w:val="HouseStyleBase"/>
    <w:link w:val="Generallevel6Char"/>
    <w:pPr>
      <w:numPr>
        <w:ilvl w:val="5"/>
        <w:numId w:val="24"/>
      </w:numPr>
      <w:outlineLvl w:val="5"/>
    </w:pPr>
  </w:style>
  <w:style w:type="character" w:customStyle="1" w:styleId="Generallevel6Char">
    <w:name w:val="General level 6 Char"/>
    <w:link w:val="Generallevel6"/>
    <w:rPr>
      <w:rFonts w:ascii="Times New Roman" w:eastAsia="STZhongsong" w:hAnsi="Times New Roman"/>
      <w:sz w:val="22"/>
      <w:lang w:val="en-GB" w:eastAsia="zh-CN"/>
    </w:rPr>
  </w:style>
  <w:style w:type="paragraph" w:customStyle="1" w:styleId="ScheduleL2A">
    <w:name w:val="Schedule L2A"/>
    <w:basedOn w:val="HouseStyleBaseCentred"/>
    <w:next w:val="ScheduleL2"/>
    <w:link w:val="ScheduleL2AChar"/>
    <w:pPr>
      <w:keepNext/>
      <w:ind w:left="720"/>
      <w:jc w:val="both"/>
      <w:outlineLvl w:val="1"/>
    </w:pPr>
    <w:rPr>
      <w:b/>
    </w:rPr>
  </w:style>
  <w:style w:type="character" w:customStyle="1" w:styleId="ScheduleL2AChar">
    <w:name w:val="Schedule L2A Char"/>
    <w:link w:val="ScheduleL2A"/>
    <w:rPr>
      <w:rFonts w:ascii="Times New Roman" w:eastAsia="STZhongsong" w:hAnsi="Times New Roman"/>
      <w:b/>
      <w:caps w:val="0"/>
      <w:sz w:val="22"/>
      <w:szCs w:val="22"/>
      <w:lang w:val="en-GB" w:eastAsia="zh-CN" w:bidi="ar-SA"/>
    </w:rPr>
  </w:style>
  <w:style w:type="character" w:customStyle="1" w:styleId="BodyTextFirstIndent2Char">
    <w:name w:val="Body Text First Indent 2 Char"/>
    <w:link w:val="BodyTextFirstIndent2"/>
    <w:rPr>
      <w:rFonts w:ascii="Times New Roman" w:eastAsia="STZhongsong" w:hAnsi="Times New Roman"/>
      <w:sz w:val="22"/>
      <w:lang w:val="en-GB" w:eastAsia="en-US"/>
    </w:rPr>
  </w:style>
  <w:style w:type="character" w:styleId="BookTitle">
    <w:name w:val="Book Title"/>
    <w:uiPriority w:val="33"/>
    <w:qFormat/>
    <w:rPr>
      <w:b/>
      <w:bCs/>
      <w:smallCaps/>
      <w:spacing w:val="5"/>
    </w:rPr>
  </w:style>
  <w:style w:type="paragraph" w:styleId="Closing">
    <w:name w:val="Closing"/>
    <w:basedOn w:val="Normal"/>
    <w:link w:val="ClosingChar"/>
    <w:pPr>
      <w:ind w:left="4252"/>
    </w:pPr>
  </w:style>
  <w:style w:type="character" w:customStyle="1" w:styleId="ClosingChar">
    <w:name w:val="Closing Char"/>
    <w:link w:val="Closing"/>
    <w:rPr>
      <w:rFonts w:ascii="Times New Roman" w:hAnsi="Times New Roman"/>
      <w:sz w:val="22"/>
      <w:lang w:val="en-GB" w:eastAsia="en-US"/>
    </w:rPr>
  </w:style>
  <w:style w:type="table" w:styleId="ColorfulGrid">
    <w:name w:val="Colorful Grid"/>
    <w:basedOn w:val="TableNormal"/>
    <w:uiPriority w:val="7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customStyle="1" w:styleId="CommentTextChar">
    <w:name w:val="Comment Text Char"/>
    <w:link w:val="CommentText"/>
    <w:rPr>
      <w:rFonts w:ascii="Times New Roman" w:hAnsi="Times New Roman"/>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Times New Roman" w:hAnsi="Times New Roman"/>
      <w:b/>
      <w:bCs/>
      <w:lang w:val="en-GB" w:eastAsia="en-US"/>
    </w:r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rFonts w:ascii="Times New Roman" w:hAnsi="Times New Roman"/>
      <w:sz w:val="22"/>
      <w:lang w:val="en-GB"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val="en-GB" w:eastAsia="en-US"/>
    </w:rPr>
  </w:style>
  <w:style w:type="paragraph" w:styleId="E-mailSignature">
    <w:name w:val="E-mail Signature"/>
    <w:basedOn w:val="Normal"/>
    <w:link w:val="E-mailSignatureChar"/>
  </w:style>
  <w:style w:type="character" w:customStyle="1" w:styleId="E-mailSignatureChar">
    <w:name w:val="E-mail Signature Char"/>
    <w:link w:val="E-mailSignature"/>
    <w:rPr>
      <w:rFonts w:ascii="Times New Roman" w:hAnsi="Times New Roman"/>
      <w:sz w:val="22"/>
      <w:lang w:val="en-GB"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style>
  <w:style w:type="paragraph" w:styleId="HTMLAddress">
    <w:name w:val="HTML Address"/>
    <w:basedOn w:val="Normal"/>
    <w:link w:val="HTMLAddressChar"/>
    <w:rPr>
      <w:i/>
      <w:iCs/>
    </w:rPr>
  </w:style>
  <w:style w:type="character" w:customStyle="1" w:styleId="HTMLAddressChar">
    <w:name w:val="HTML Address Char"/>
    <w:link w:val="HTMLAddress"/>
    <w:rPr>
      <w:rFonts w:ascii="Times New Roman" w:hAnsi="Times New Roman"/>
      <w:i/>
      <w:iCs/>
      <w:sz w:val="22"/>
      <w:lang w:val="en-GB"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val="en-GB"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qFormat/>
    <w:rPr>
      <w:b/>
      <w:bCs/>
      <w:i/>
      <w:iCs/>
      <w:color w:val="4F81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rFonts w:ascii="Times New Roman" w:hAnsi="Times New Roman"/>
      <w:b/>
      <w:bCs/>
      <w:i/>
      <w:iCs/>
      <w:color w:val="4F81BD"/>
      <w:sz w:val="22"/>
      <w:lang w:val="en-GB" w:eastAsia="en-US"/>
    </w:rPr>
  </w:style>
  <w:style w:type="character" w:styleId="IntenseReference">
    <w:name w:val="Intense Reference"/>
    <w:uiPriority w:val="32"/>
    <w:qFormat/>
    <w:rPr>
      <w:b/>
      <w:bCs/>
      <w:smallCaps/>
      <w:color w:val="C0504D"/>
      <w:spacing w:val="5"/>
      <w:u w:val="single"/>
    </w:rPr>
  </w:style>
  <w:style w:type="table" w:styleId="LightGrid">
    <w:name w:val="Light Grid"/>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algun Gothic" w:eastAsia="Times New Roman" w:hAnsi="Malgun Gothic"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algun Gothic" w:eastAsia="Times New Roman" w:hAnsi="Malgun Gothic"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algun Gothic" w:eastAsia="Times New Roman" w:hAnsi="Malgun Gothic" w:cs="Times New Roman"/>
        <w:b/>
        <w:bCs/>
      </w:rPr>
    </w:tblStylePr>
    <w:tblStylePr w:type="lastCol">
      <w:rPr>
        <w:rFonts w:ascii="Malgun Gothic" w:eastAsia="Times New Roman" w:hAnsi="Malgun Gothic"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Malgun Gothic" w:eastAsia="Times New Roman" w:hAnsi="Malgun Goth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Malgun Gothic" w:eastAsia="Times New Roman" w:hAnsi="Malgun Goth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algun Gothic" w:eastAsia="Times New Roman" w:hAnsi="Malgun Gothic" w:cs="Times New Roman"/>
        <w:b/>
        <w:bCs/>
      </w:rPr>
    </w:tblStylePr>
    <w:tblStylePr w:type="lastCol">
      <w:rPr>
        <w:rFonts w:ascii="Malgun Gothic" w:eastAsia="Times New Roman" w:hAnsi="Malgun Goth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Malgun Gothic" w:eastAsia="Times New Roman" w:hAnsi="Malgun Gothic"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Malgun Gothic" w:eastAsia="Times New Roman" w:hAnsi="Malgun Gothic"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Malgun Gothic" w:eastAsia="Times New Roman" w:hAnsi="Malgun Gothic" w:cs="Times New Roman"/>
        <w:b/>
        <w:bCs/>
      </w:rPr>
    </w:tblStylePr>
    <w:tblStylePr w:type="lastCol">
      <w:rPr>
        <w:rFonts w:ascii="Malgun Gothic" w:eastAsia="Times New Roman" w:hAnsi="Malgun Gothic"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Malgun Gothic" w:eastAsia="Times New Roman" w:hAnsi="Malgun Gothic"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algun Gothic" w:eastAsia="Times New Roman" w:hAnsi="Malgun Gothic"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algun Gothic" w:eastAsia="Times New Roman" w:hAnsi="Malgun Gothic" w:cs="Times New Roman"/>
        <w:b/>
        <w:bCs/>
      </w:rPr>
    </w:tblStylePr>
    <w:tblStylePr w:type="lastCol">
      <w:rPr>
        <w:rFonts w:ascii="Malgun Gothic" w:eastAsia="Times New Roman" w:hAnsi="Malgun Gothic"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Malgun Gothic" w:eastAsia="Times New Roman" w:hAnsi="Malgun Gothic"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Malgun Gothic" w:eastAsia="Times New Roman" w:hAnsi="Malgun Gothic"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Malgun Gothic" w:eastAsia="Times New Roman" w:hAnsi="Malgun Gothic" w:cs="Times New Roman"/>
        <w:b/>
        <w:bCs/>
      </w:rPr>
    </w:tblStylePr>
    <w:tblStylePr w:type="lastCol">
      <w:rPr>
        <w:rFonts w:ascii="Malgun Gothic" w:eastAsia="Times New Roman" w:hAnsi="Malgun Gothic"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algun Gothic" w:eastAsia="Times New Roman" w:hAnsi="Malgun Gothic"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algun Gothic" w:eastAsia="Times New Roman" w:hAnsi="Malgun Gothic"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algun Gothic" w:eastAsia="Times New Roman" w:hAnsi="Malgun Gothic" w:cs="Times New Roman"/>
        <w:b/>
        <w:bCs/>
      </w:rPr>
    </w:tblStylePr>
    <w:tblStylePr w:type="lastCol">
      <w:rPr>
        <w:rFonts w:ascii="Malgun Gothic" w:eastAsia="Times New Roman" w:hAnsi="Malgun Gothic"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Malgun Gothic" w:eastAsia="Times New Roman" w:hAnsi="Malgun Gothic"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Malgun Gothic" w:eastAsia="Times New Roman" w:hAnsi="Malgun Gothic"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Malgun Gothic" w:eastAsia="Times New Roman" w:hAnsi="Malgun Gothic" w:cs="Times New Roman"/>
        <w:b/>
        <w:bCs/>
      </w:rPr>
    </w:tblStylePr>
    <w:tblStylePr w:type="lastCol">
      <w:rPr>
        <w:rFonts w:ascii="Malgun Gothic" w:eastAsia="Times New Roman" w:hAnsi="Malgun Gothic"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26"/>
      </w:numPr>
      <w:contextualSpacing/>
    </w:pPr>
  </w:style>
  <w:style w:type="paragraph" w:styleId="ListNumber2">
    <w:name w:val="List Number 2"/>
    <w:basedOn w:val="Normal"/>
    <w:pPr>
      <w:numPr>
        <w:numId w:val="27"/>
      </w:numPr>
      <w:contextualSpacing/>
    </w:pPr>
  </w:style>
  <w:style w:type="paragraph" w:styleId="ListNumber3">
    <w:name w:val="List Number 3"/>
    <w:basedOn w:val="Normal"/>
    <w:pPr>
      <w:numPr>
        <w:numId w:val="28"/>
      </w:numPr>
      <w:contextualSpacing/>
    </w:pPr>
  </w:style>
  <w:style w:type="paragraph" w:styleId="ListNumber4">
    <w:name w:val="List Number 4"/>
    <w:basedOn w:val="Normal"/>
    <w:pPr>
      <w:numPr>
        <w:numId w:val="29"/>
      </w:numPr>
      <w:contextualSpacing/>
    </w:pPr>
  </w:style>
  <w:style w:type="paragraph" w:styleId="ListNumber5">
    <w:name w:val="List Number 5"/>
    <w:basedOn w:val="Normal"/>
    <w:pPr>
      <w:numPr>
        <w:numId w:val="30"/>
      </w:numPr>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val="en-GB" w:eastAsia="en-US"/>
    </w:rPr>
  </w:style>
  <w:style w:type="table" w:styleId="MediumGrid1">
    <w:name w:val="Medium Grid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Malgun Gothic" w:eastAsia="Times New Roman" w:hAnsi="Malgun Gothi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Malgun Gothic" w:eastAsia="Times New Roman" w:hAnsi="Malgun Gothic"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Malgun Gothic" w:eastAsia="Times New Roman" w:hAnsi="Malgun Gothic"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Malgun Gothic" w:eastAsia="Times New Roman" w:hAnsi="Malgun Gothic"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Malgun Gothic" w:eastAsia="Times New Roman" w:hAnsi="Malgun Gothic"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Malgun Gothic" w:eastAsia="Times New Roman" w:hAnsi="Malgun Gothic"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StyleRowBandSize w:val="1"/>
      <w:tblStyleColBandSize w:val="1"/>
      <w:tblBorders>
        <w:top w:val="single" w:sz="8" w:space="0" w:color="F79646"/>
        <w:bottom w:val="single" w:sz="8" w:space="0" w:color="F79646"/>
      </w:tblBorders>
    </w:tblPr>
    <w:tblStylePr w:type="firstRow">
      <w:rPr>
        <w:rFonts w:ascii="Malgun Gothic" w:eastAsia="Times New Roman" w:hAnsi="Malgun Gothic"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val="en-GB" w:eastAsia="en-US"/>
    </w:rPr>
  </w:style>
  <w:style w:type="paragraph" w:styleId="NoSpacing">
    <w:name w:val="No Spacing"/>
    <w:uiPriority w:val="1"/>
    <w:qFormat/>
    <w:pPr>
      <w:overflowPunct w:val="0"/>
      <w:autoSpaceDE w:val="0"/>
      <w:autoSpaceDN w:val="0"/>
      <w:adjustRightInd w:val="0"/>
      <w:jc w:val="both"/>
      <w:textAlignment w:val="baseline"/>
    </w:pPr>
    <w:rPr>
      <w:rFonts w:ascii="Times New Roman" w:hAnsi="Times New Roman"/>
      <w:sz w:val="22"/>
      <w:lang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rFonts w:ascii="Times New Roman" w:hAnsi="Times New Roman"/>
      <w:sz w:val="22"/>
      <w:lang w:val="en-GB" w:eastAsia="en-US"/>
    </w:rPr>
  </w:style>
  <w:style w:type="character" w:styleId="PlaceholderText">
    <w:name w:val="Placeholder Text"/>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val="en-GB"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ascii="Times New Roman" w:hAnsi="Times New Roman"/>
      <w:i/>
      <w:iCs/>
      <w:color w:val="000000"/>
      <w:sz w:val="22"/>
      <w:lang w:val="en-GB" w:eastAsia="en-US"/>
    </w:rPr>
  </w:style>
  <w:style w:type="paragraph" w:styleId="Salutation">
    <w:name w:val="Salutation"/>
    <w:basedOn w:val="Normal"/>
    <w:next w:val="Normal"/>
    <w:link w:val="SalutationChar"/>
  </w:style>
  <w:style w:type="character" w:customStyle="1" w:styleId="SalutationChar">
    <w:name w:val="Salutation Char"/>
    <w:link w:val="Salutation"/>
    <w:rPr>
      <w:rFonts w:ascii="Times New Roman" w:hAnsi="Times New Roman"/>
      <w:sz w:val="22"/>
      <w:lang w:val="en-GB" w:eastAsia="en-US"/>
    </w:rPr>
  </w:style>
  <w:style w:type="paragraph" w:styleId="Signature">
    <w:name w:val="Signature"/>
    <w:basedOn w:val="Normal"/>
    <w:link w:val="SignatureChar"/>
    <w:pPr>
      <w:ind w:left="4252"/>
    </w:pPr>
  </w:style>
  <w:style w:type="character" w:customStyle="1" w:styleId="SignatureChar">
    <w:name w:val="Signature Char"/>
    <w:link w:val="Signature"/>
    <w:rPr>
      <w:rFonts w:ascii="Times New Roman" w:hAnsi="Times New Roman"/>
      <w:sz w:val="22"/>
      <w:lang w:val="en-GB" w:eastAsia="en-US"/>
    </w:rPr>
  </w:style>
  <w:style w:type="character" w:styleId="Strong">
    <w:name w:val="Strong"/>
    <w:qFormat/>
    <w:rPr>
      <w:b/>
      <w:bC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val="en-GB" w:eastAsia="en-US"/>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table" w:styleId="Table3Deffects1">
    <w:name w:val="Table 3D effects 1"/>
    <w:basedOn w:val="TableNormal"/>
    <w:pPr>
      <w:overflowPunct w:val="0"/>
      <w:autoSpaceDE w:val="0"/>
      <w:autoSpaceDN w:val="0"/>
      <w:adjustRightInd w:val="0"/>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eastAsia="Times New Roman" w:hAnsi="Cambria" w:cs="Times New Roman"/>
      <w:b/>
      <w:bCs/>
      <w:kern w:val="28"/>
      <w:sz w:val="32"/>
      <w:szCs w:val="32"/>
      <w:lang w:val="en-GB" w:eastAsia="en-US"/>
    </w:rPr>
  </w:style>
  <w:style w:type="paragraph" w:styleId="TOCHeading">
    <w:name w:val="TOC Heading"/>
    <w:basedOn w:val="Heading1"/>
    <w:next w:val="Normal"/>
    <w:uiPriority w:val="39"/>
    <w:semiHidden/>
    <w:unhideWhenUsed/>
    <w:qFormat/>
    <w:pPr>
      <w:numPr>
        <w:numId w:val="0"/>
      </w:numPr>
      <w:overflowPunct w:val="0"/>
      <w:autoSpaceDE w:val="0"/>
      <w:autoSpaceDN w:val="0"/>
      <w:spacing w:before="240" w:after="60"/>
      <w:textAlignment w:val="baseline"/>
      <w:outlineLvl w:val="9"/>
    </w:pPr>
    <w:rPr>
      <w:rFonts w:ascii="Cambria" w:eastAsia="Times New Roman" w:hAnsi="Cambria"/>
      <w:bCs/>
      <w:caps w:val="0"/>
      <w:kern w:val="32"/>
      <w:sz w:val="32"/>
      <w:szCs w:val="32"/>
      <w:lang w:eastAsia="en-US"/>
    </w:rPr>
  </w:style>
  <w:style w:type="paragraph" w:customStyle="1" w:styleId="footnote">
    <w:name w:val="footnote"/>
    <w:basedOn w:val="FootnoteText"/>
  </w:style>
  <w:style w:type="paragraph" w:styleId="Revision">
    <w:name w:val="Revision"/>
    <w:hidden/>
    <w:uiPriority w:val="99"/>
    <w:semiHidden/>
    <w:rPr>
      <w:rFonts w:ascii="Times New Roman" w:hAnsi="Times New Roman"/>
      <w:sz w:val="22"/>
      <w:lang w:eastAsia="en-US"/>
    </w:rPr>
  </w:style>
  <w:style w:type="paragraph" w:customStyle="1" w:styleId="Level2Paragraph">
    <w:name w:val="Level 2 Paragraph"/>
    <w:basedOn w:val="Generallevel2"/>
    <w:link w:val="Level2ParagraphChar"/>
    <w:qFormat/>
    <w:rsid w:val="0091520C"/>
    <w:pPr>
      <w:tabs>
        <w:tab w:val="clear" w:pos="1800"/>
      </w:tabs>
      <w:ind w:left="709" w:hanging="709"/>
    </w:pPr>
  </w:style>
  <w:style w:type="paragraph" w:customStyle="1" w:styleId="Level3Paragraph">
    <w:name w:val="Level 3 Paragraph"/>
    <w:basedOn w:val="Generallevel3"/>
    <w:link w:val="Level3ParagraphChar"/>
    <w:qFormat/>
    <w:rsid w:val="006C344F"/>
    <w:pPr>
      <w:tabs>
        <w:tab w:val="clear" w:pos="2880"/>
        <w:tab w:val="left" w:pos="1843"/>
      </w:tabs>
      <w:ind w:left="1843" w:hanging="1134"/>
    </w:pPr>
  </w:style>
  <w:style w:type="character" w:customStyle="1" w:styleId="Level2ParagraphChar">
    <w:name w:val="Level 2 Paragraph Char"/>
    <w:basedOn w:val="Generallevel2Char"/>
    <w:link w:val="Level2Paragraph"/>
    <w:rsid w:val="0091520C"/>
    <w:rPr>
      <w:rFonts w:ascii="Times New Roman" w:eastAsia="STZhongsong" w:hAnsi="Times New Roman"/>
      <w:sz w:val="22"/>
      <w:lang w:val="en-GB" w:eastAsia="zh-CN"/>
    </w:rPr>
  </w:style>
  <w:style w:type="paragraph" w:customStyle="1" w:styleId="Bullet1G">
    <w:name w:val="_Bullet 1_G"/>
    <w:basedOn w:val="Normal"/>
    <w:rsid w:val="00BB6A41"/>
    <w:pPr>
      <w:numPr>
        <w:numId w:val="48"/>
      </w:numPr>
      <w:suppressAutoHyphens/>
      <w:overflowPunct/>
      <w:autoSpaceDE/>
      <w:autoSpaceDN/>
      <w:adjustRightInd/>
      <w:spacing w:after="120" w:line="240" w:lineRule="atLeast"/>
      <w:ind w:right="1134"/>
      <w:textAlignment w:val="auto"/>
    </w:pPr>
    <w:rPr>
      <w:sz w:val="20"/>
    </w:rPr>
  </w:style>
  <w:style w:type="character" w:customStyle="1" w:styleId="Level3ParagraphChar">
    <w:name w:val="Level 3 Paragraph Char"/>
    <w:basedOn w:val="Generallevel3Char"/>
    <w:link w:val="Level3Paragraph"/>
    <w:rsid w:val="006C344F"/>
    <w:rPr>
      <w:rFonts w:ascii="Times New Roman" w:eastAsia="STZhongsong" w:hAnsi="Times New Roman"/>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44062">
      <w:bodyDiv w:val="1"/>
      <w:marLeft w:val="0"/>
      <w:marRight w:val="0"/>
      <w:marTop w:val="0"/>
      <w:marBottom w:val="0"/>
      <w:divBdr>
        <w:top w:val="none" w:sz="0" w:space="0" w:color="auto"/>
        <w:left w:val="none" w:sz="0" w:space="0" w:color="auto"/>
        <w:bottom w:val="none" w:sz="0" w:space="0" w:color="auto"/>
        <w:right w:val="none" w:sz="0" w:space="0" w:color="auto"/>
      </w:divBdr>
      <w:divsChild>
        <w:div w:id="1786657974">
          <w:marLeft w:val="0"/>
          <w:marRight w:val="0"/>
          <w:marTop w:val="0"/>
          <w:marBottom w:val="0"/>
          <w:divBdr>
            <w:top w:val="none" w:sz="0" w:space="0" w:color="auto"/>
            <w:left w:val="none" w:sz="0" w:space="0" w:color="auto"/>
            <w:bottom w:val="none" w:sz="0" w:space="0" w:color="auto"/>
            <w:right w:val="none" w:sz="0" w:space="0" w:color="auto"/>
          </w:divBdr>
          <w:divsChild>
            <w:div w:id="836386656">
              <w:marLeft w:val="0"/>
              <w:marRight w:val="0"/>
              <w:marTop w:val="0"/>
              <w:marBottom w:val="0"/>
              <w:divBdr>
                <w:top w:val="single" w:sz="6" w:space="9" w:color="DEDEDE"/>
                <w:left w:val="single" w:sz="6" w:space="13" w:color="DEDEDE"/>
                <w:bottom w:val="single" w:sz="6" w:space="9" w:color="DEDEDE"/>
                <w:right w:val="single" w:sz="6" w:space="13" w:color="DEDEDE"/>
              </w:divBdr>
            </w:div>
          </w:divsChild>
        </w:div>
      </w:divsChild>
    </w:div>
    <w:div w:id="211960573">
      <w:bodyDiv w:val="1"/>
      <w:marLeft w:val="0"/>
      <w:marRight w:val="0"/>
      <w:marTop w:val="0"/>
      <w:marBottom w:val="0"/>
      <w:divBdr>
        <w:top w:val="none" w:sz="0" w:space="0" w:color="auto"/>
        <w:left w:val="none" w:sz="0" w:space="0" w:color="auto"/>
        <w:bottom w:val="none" w:sz="0" w:space="0" w:color="auto"/>
        <w:right w:val="none" w:sz="0" w:space="0" w:color="auto"/>
      </w:divBdr>
    </w:div>
    <w:div w:id="321348237">
      <w:bodyDiv w:val="1"/>
      <w:marLeft w:val="0"/>
      <w:marRight w:val="0"/>
      <w:marTop w:val="0"/>
      <w:marBottom w:val="0"/>
      <w:divBdr>
        <w:top w:val="none" w:sz="0" w:space="0" w:color="auto"/>
        <w:left w:val="none" w:sz="0" w:space="0" w:color="auto"/>
        <w:bottom w:val="none" w:sz="0" w:space="0" w:color="auto"/>
        <w:right w:val="none" w:sz="0" w:space="0" w:color="auto"/>
      </w:divBdr>
    </w:div>
    <w:div w:id="681710773">
      <w:bodyDiv w:val="1"/>
      <w:marLeft w:val="0"/>
      <w:marRight w:val="0"/>
      <w:marTop w:val="0"/>
      <w:marBottom w:val="0"/>
      <w:divBdr>
        <w:top w:val="none" w:sz="0" w:space="0" w:color="auto"/>
        <w:left w:val="none" w:sz="0" w:space="0" w:color="auto"/>
        <w:bottom w:val="none" w:sz="0" w:space="0" w:color="auto"/>
        <w:right w:val="none" w:sz="0" w:space="0" w:color="auto"/>
      </w:divBdr>
    </w:div>
    <w:div w:id="875237251">
      <w:bodyDiv w:val="1"/>
      <w:marLeft w:val="0"/>
      <w:marRight w:val="0"/>
      <w:marTop w:val="0"/>
      <w:marBottom w:val="0"/>
      <w:divBdr>
        <w:top w:val="none" w:sz="0" w:space="0" w:color="auto"/>
        <w:left w:val="none" w:sz="0" w:space="0" w:color="auto"/>
        <w:bottom w:val="none" w:sz="0" w:space="0" w:color="auto"/>
        <w:right w:val="none" w:sz="0" w:space="0" w:color="auto"/>
      </w:divBdr>
    </w:div>
    <w:div w:id="939727562">
      <w:bodyDiv w:val="1"/>
      <w:marLeft w:val="0"/>
      <w:marRight w:val="0"/>
      <w:marTop w:val="0"/>
      <w:marBottom w:val="0"/>
      <w:divBdr>
        <w:top w:val="none" w:sz="0" w:space="0" w:color="auto"/>
        <w:left w:val="none" w:sz="0" w:space="0" w:color="auto"/>
        <w:bottom w:val="none" w:sz="0" w:space="0" w:color="auto"/>
        <w:right w:val="none" w:sz="0" w:space="0" w:color="auto"/>
      </w:divBdr>
    </w:div>
    <w:div w:id="1463189398">
      <w:bodyDiv w:val="1"/>
      <w:marLeft w:val="0"/>
      <w:marRight w:val="0"/>
      <w:marTop w:val="0"/>
      <w:marBottom w:val="0"/>
      <w:divBdr>
        <w:top w:val="none" w:sz="0" w:space="0" w:color="auto"/>
        <w:left w:val="none" w:sz="0" w:space="0" w:color="auto"/>
        <w:bottom w:val="none" w:sz="0" w:space="0" w:color="auto"/>
        <w:right w:val="none" w:sz="0" w:space="0" w:color="auto"/>
      </w:divBdr>
      <w:divsChild>
        <w:div w:id="1916742431">
          <w:marLeft w:val="0"/>
          <w:marRight w:val="0"/>
          <w:marTop w:val="0"/>
          <w:marBottom w:val="0"/>
          <w:divBdr>
            <w:top w:val="none" w:sz="0" w:space="0" w:color="auto"/>
            <w:left w:val="none" w:sz="0" w:space="0" w:color="auto"/>
            <w:bottom w:val="none" w:sz="0" w:space="0" w:color="auto"/>
            <w:right w:val="none" w:sz="0" w:space="0" w:color="auto"/>
          </w:divBdr>
          <w:divsChild>
            <w:div w:id="95910556">
              <w:marLeft w:val="0"/>
              <w:marRight w:val="0"/>
              <w:marTop w:val="0"/>
              <w:marBottom w:val="0"/>
              <w:divBdr>
                <w:top w:val="none" w:sz="0" w:space="0" w:color="auto"/>
                <w:left w:val="none" w:sz="0" w:space="0" w:color="auto"/>
                <w:bottom w:val="none" w:sz="0" w:space="0" w:color="auto"/>
                <w:right w:val="none" w:sz="0" w:space="0" w:color="auto"/>
              </w:divBdr>
              <w:divsChild>
                <w:div w:id="82470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565118">
      <w:bodyDiv w:val="1"/>
      <w:marLeft w:val="0"/>
      <w:marRight w:val="0"/>
      <w:marTop w:val="0"/>
      <w:marBottom w:val="0"/>
      <w:divBdr>
        <w:top w:val="none" w:sz="0" w:space="0" w:color="auto"/>
        <w:left w:val="none" w:sz="0" w:space="0" w:color="auto"/>
        <w:bottom w:val="none" w:sz="0" w:space="0" w:color="auto"/>
        <w:right w:val="none" w:sz="0" w:space="0" w:color="auto"/>
      </w:divBdr>
    </w:div>
    <w:div w:id="1806970653">
      <w:bodyDiv w:val="1"/>
      <w:marLeft w:val="0"/>
      <w:marRight w:val="0"/>
      <w:marTop w:val="0"/>
      <w:marBottom w:val="0"/>
      <w:divBdr>
        <w:top w:val="none" w:sz="0" w:space="0" w:color="auto"/>
        <w:left w:val="none" w:sz="0" w:space="0" w:color="auto"/>
        <w:bottom w:val="none" w:sz="0" w:space="0" w:color="auto"/>
        <w:right w:val="none" w:sz="0" w:space="0" w:color="auto"/>
      </w:divBdr>
    </w:div>
    <w:div w:id="2001351484">
      <w:bodyDiv w:val="1"/>
      <w:marLeft w:val="0"/>
      <w:marRight w:val="0"/>
      <w:marTop w:val="0"/>
      <w:marBottom w:val="0"/>
      <w:divBdr>
        <w:top w:val="none" w:sz="0" w:space="0" w:color="auto"/>
        <w:left w:val="none" w:sz="0" w:space="0" w:color="auto"/>
        <w:bottom w:val="none" w:sz="0" w:space="0" w:color="auto"/>
        <w:right w:val="none" w:sz="0" w:space="0" w:color="auto"/>
      </w:divBdr>
    </w:div>
    <w:div w:id="2049144015">
      <w:bodyDiv w:val="1"/>
      <w:marLeft w:val="0"/>
      <w:marRight w:val="0"/>
      <w:marTop w:val="0"/>
      <w:marBottom w:val="0"/>
      <w:divBdr>
        <w:top w:val="none" w:sz="0" w:space="0" w:color="auto"/>
        <w:left w:val="none" w:sz="0" w:space="0" w:color="auto"/>
        <w:bottom w:val="none" w:sz="0" w:space="0" w:color="auto"/>
        <w:right w:val="none" w:sz="0" w:space="0" w:color="auto"/>
      </w:divBdr>
    </w:div>
    <w:div w:id="212437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aleidoscopeaustralia.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raymond@kaleidoscopeaustralia.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tbinternet.ohchr.org/Treaties/CRC/Shared%20Documents/NLD/INT_CRC_NGO_NLD_20215_E.pdf" TargetMode="External"/><Relationship Id="rId2" Type="http://schemas.openxmlformats.org/officeDocument/2006/relationships/hyperlink" Target="http://america.aljazeera.com/articles/2015/4/23/lgbt-people-of-color-more-likely-to-face-poverty.html" TargetMode="External"/><Relationship Id="rId1" Type="http://schemas.openxmlformats.org/officeDocument/2006/relationships/hyperlink" Target="https://www.bna.com/lgbt-minorities-face-high-unemployment-job-discrimination-low-wages-study-finds/" TargetMode="External"/><Relationship Id="rId5" Type="http://schemas.openxmlformats.org/officeDocument/2006/relationships/hyperlink" Target="https://oii.org.au/30250/chilean-ministry-stops-normalising/" TargetMode="External"/><Relationship Id="rId4" Type="http://schemas.openxmlformats.org/officeDocument/2006/relationships/hyperlink" Target="https://www.ohchr.org/EN/NewsEvents/Pages/DisplayNews.aspx?NewsID=15941&amp;Lang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mara.preuss\AppData\Roaming\plato\data\main\template-files\international-memo-a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C6CFF71-28F4-4999-A1C7-B46981026351}"/>
</file>

<file path=customXml/itemProps2.xml><?xml version="1.0" encoding="utf-8"?>
<ds:datastoreItem xmlns:ds="http://schemas.openxmlformats.org/officeDocument/2006/customXml" ds:itemID="{601FC6BA-F556-4B03-B4C9-5C9410A49865}"/>
</file>

<file path=customXml/itemProps3.xml><?xml version="1.0" encoding="utf-8"?>
<ds:datastoreItem xmlns:ds="http://schemas.openxmlformats.org/officeDocument/2006/customXml" ds:itemID="{7E8556DF-6325-462F-AB5A-08F33A2D68C1}"/>
</file>

<file path=customXml/itemProps4.xml><?xml version="1.0" encoding="utf-8"?>
<ds:datastoreItem xmlns:ds="http://schemas.openxmlformats.org/officeDocument/2006/customXml" ds:itemID="{C29643DB-B4B6-4F50-9B45-A4D09F388878}"/>
</file>

<file path=docProps/app.xml><?xml version="1.0" encoding="utf-8"?>
<Properties xmlns="http://schemas.openxmlformats.org/officeDocument/2006/extended-properties" xmlns:vt="http://schemas.openxmlformats.org/officeDocument/2006/docPropsVTypes">
  <Template>international-memo-au.dot</Template>
  <TotalTime>0</TotalTime>
  <Pages>6</Pages>
  <Words>1962</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13126</CharactersWithSpaces>
  <SharedDoc>false</SharedDoc>
  <HLinks>
    <vt:vector size="42" baseType="variant">
      <vt:variant>
        <vt:i4>5898241</vt:i4>
      </vt:variant>
      <vt:variant>
        <vt:i4>3</vt:i4>
      </vt:variant>
      <vt:variant>
        <vt:i4>0</vt:i4>
      </vt:variant>
      <vt:variant>
        <vt:i4>5</vt:i4>
      </vt:variant>
      <vt:variant>
        <vt:lpwstr>http://www.kaleidoscopeaustralia.com/</vt:lpwstr>
      </vt:variant>
      <vt:variant>
        <vt:lpwstr/>
      </vt:variant>
      <vt:variant>
        <vt:i4>1245241</vt:i4>
      </vt:variant>
      <vt:variant>
        <vt:i4>0</vt:i4>
      </vt:variant>
      <vt:variant>
        <vt:i4>0</vt:i4>
      </vt:variant>
      <vt:variant>
        <vt:i4>5</vt:i4>
      </vt:variant>
      <vt:variant>
        <vt:lpwstr>mailto:raymond@kaleidoscopeaustralia.com</vt:lpwstr>
      </vt:variant>
      <vt:variant>
        <vt:lpwstr/>
      </vt:variant>
      <vt:variant>
        <vt:i4>1376282</vt:i4>
      </vt:variant>
      <vt:variant>
        <vt:i4>12</vt:i4>
      </vt:variant>
      <vt:variant>
        <vt:i4>0</vt:i4>
      </vt:variant>
      <vt:variant>
        <vt:i4>5</vt:i4>
      </vt:variant>
      <vt:variant>
        <vt:lpwstr>https://oii.org.au/30250/chilean-ministry-stops-normalising/</vt:lpwstr>
      </vt:variant>
      <vt:variant>
        <vt:lpwstr/>
      </vt:variant>
      <vt:variant>
        <vt:i4>2687080</vt:i4>
      </vt:variant>
      <vt:variant>
        <vt:i4>9</vt:i4>
      </vt:variant>
      <vt:variant>
        <vt:i4>0</vt:i4>
      </vt:variant>
      <vt:variant>
        <vt:i4>5</vt:i4>
      </vt:variant>
      <vt:variant>
        <vt:lpwstr>http://www.ohchr.org/EN/NewsEvents/Pages/DisplayNews.aspx?NewsID=15941&amp;LangID=E</vt:lpwstr>
      </vt:variant>
      <vt:variant>
        <vt:lpwstr/>
      </vt:variant>
      <vt:variant>
        <vt:i4>3276875</vt:i4>
      </vt:variant>
      <vt:variant>
        <vt:i4>6</vt:i4>
      </vt:variant>
      <vt:variant>
        <vt:i4>0</vt:i4>
      </vt:variant>
      <vt:variant>
        <vt:i4>5</vt:i4>
      </vt:variant>
      <vt:variant>
        <vt:lpwstr>http://tbinternet.ohchr.org/Treaties/CRC/Shared Documents/NLD/INT_CRC_NGO_NLD_20215_E.pdf</vt:lpwstr>
      </vt:variant>
      <vt:variant>
        <vt:lpwstr/>
      </vt:variant>
      <vt:variant>
        <vt:i4>524296</vt:i4>
      </vt:variant>
      <vt:variant>
        <vt:i4>3</vt:i4>
      </vt:variant>
      <vt:variant>
        <vt:i4>0</vt:i4>
      </vt:variant>
      <vt:variant>
        <vt:i4>5</vt:i4>
      </vt:variant>
      <vt:variant>
        <vt:lpwstr>http://america.aljazeera.com/articles/2015/4/23/lgbt-people-of-color-more-likely-to-face-poverty.html</vt:lpwstr>
      </vt:variant>
      <vt:variant>
        <vt:lpwstr/>
      </vt:variant>
      <vt:variant>
        <vt:i4>1769537</vt:i4>
      </vt:variant>
      <vt:variant>
        <vt:i4>0</vt:i4>
      </vt:variant>
      <vt:variant>
        <vt:i4>0</vt:i4>
      </vt:variant>
      <vt:variant>
        <vt:i4>5</vt:i4>
      </vt:variant>
      <vt:variant>
        <vt:lpwstr>https://www.bna.com/lgbt-minorities-face-high-unemployment-job-discrimination-low-wages-study-finds/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2017-01-20T15:25:00Z</dcterms:created>
  <dcterms:modified xsi:type="dcterms:W3CDTF">2017-01-20T15:25:00Z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international-memo</vt:lpwstr>
  </property>
  <property fmtid="{D5CDD505-2E9C-101B-9397-08002B2CF9AE}" pid="3" name="Plato Template Version">
    <vt:lpwstr>1.1</vt:lpwstr>
  </property>
  <property fmtid="{D5CDD505-2E9C-101B-9397-08002B2CF9AE}" pid="4" name="Plato Language">
    <vt:lpwstr>en_AU</vt:lpwstr>
  </property>
  <property fmtid="{D5CDD505-2E9C-101B-9397-08002B2CF9AE}" pid="5" name="Plato Office">
    <vt:lpwstr>MELBRN</vt:lpwstr>
  </property>
  <property fmtid="{D5CDD505-2E9C-101B-9397-08002B2CF9AE}" pid="6" name="Plato Jurisdiction">
    <vt:lpwstr>AUS</vt:lpwstr>
  </property>
  <property fmtid="{D5CDD505-2E9C-101B-9397-08002B2CF9AE}" pid="7" name="ContentTypeId">
    <vt:lpwstr>0x0101008822B9E06671B54FA89F14538B9B0FEA</vt:lpwstr>
  </property>
</Properties>
</file>