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711" w:rsidRPr="00E76806" w:rsidRDefault="00AE25DC" w:rsidP="000376EA">
      <w:pPr>
        <w:pStyle w:val="Heading2"/>
        <w:spacing w:line="240" w:lineRule="auto"/>
        <w:jc w:val="center"/>
        <w:rPr>
          <w:rFonts w:ascii="Times New Roman" w:eastAsia="Times New Roman" w:hAnsi="Times New Roman" w:cs="Times New Roman"/>
          <w:sz w:val="22"/>
          <w:szCs w:val="24"/>
          <w:lang w:val="en-GB" w:eastAsia="da-DK"/>
        </w:rPr>
      </w:pPr>
      <w:bookmarkStart w:id="0" w:name="_GoBack"/>
      <w:bookmarkEnd w:id="0"/>
      <w:r w:rsidRPr="00E76806">
        <w:rPr>
          <w:rFonts w:ascii="Times New Roman" w:hAnsi="Times New Roman" w:cs="Times New Roman"/>
          <w:sz w:val="22"/>
          <w:szCs w:val="24"/>
          <w:lang w:val="en-GB"/>
        </w:rPr>
        <w:t xml:space="preserve">Submission to </w:t>
      </w:r>
      <w:r w:rsidR="00E06EFC" w:rsidRPr="00E76806">
        <w:rPr>
          <w:rFonts w:ascii="Times New Roman" w:hAnsi="Times New Roman" w:cs="Times New Roman"/>
          <w:sz w:val="22"/>
          <w:szCs w:val="24"/>
          <w:lang w:val="en-GB"/>
        </w:rPr>
        <w:t xml:space="preserve">UN Committee on Economic, Social and Cultural Rights </w:t>
      </w:r>
      <w:r w:rsidRPr="00E76806">
        <w:rPr>
          <w:rFonts w:ascii="Times New Roman" w:hAnsi="Times New Roman" w:cs="Times New Roman"/>
          <w:sz w:val="22"/>
          <w:szCs w:val="24"/>
          <w:lang w:val="en-GB"/>
        </w:rPr>
        <w:t>on</w:t>
      </w:r>
      <w:r w:rsidR="00FC3420" w:rsidRPr="00E76806">
        <w:rPr>
          <w:rFonts w:ascii="Times New Roman" w:hAnsi="Times New Roman" w:cs="Times New Roman"/>
          <w:sz w:val="22"/>
          <w:szCs w:val="24"/>
          <w:lang w:val="en-GB"/>
        </w:rPr>
        <w:t xml:space="preserve"> its</w:t>
      </w:r>
      <w:r w:rsidRPr="00E76806">
        <w:rPr>
          <w:rFonts w:ascii="Times New Roman" w:hAnsi="Times New Roman" w:cs="Times New Roman"/>
          <w:sz w:val="22"/>
          <w:szCs w:val="24"/>
          <w:lang w:val="en-GB"/>
        </w:rPr>
        <w:t xml:space="preserve"> draft General Comment on State Obligations unde</w:t>
      </w:r>
      <w:r w:rsidR="00797711" w:rsidRPr="00E76806">
        <w:rPr>
          <w:rFonts w:ascii="Times New Roman" w:hAnsi="Times New Roman" w:cs="Times New Roman"/>
          <w:sz w:val="22"/>
          <w:szCs w:val="24"/>
          <w:lang w:val="en-GB"/>
        </w:rPr>
        <w:t>r</w:t>
      </w:r>
      <w:r w:rsidR="00FC3420" w:rsidRPr="00E76806">
        <w:rPr>
          <w:rFonts w:ascii="Times New Roman" w:hAnsi="Times New Roman" w:cs="Times New Roman"/>
          <w:sz w:val="22"/>
          <w:szCs w:val="24"/>
          <w:lang w:val="en-GB"/>
        </w:rPr>
        <w:t xml:space="preserve"> the </w:t>
      </w:r>
      <w:r w:rsidR="00FC3420" w:rsidRPr="00E76806">
        <w:rPr>
          <w:rFonts w:ascii="Times New Roman" w:eastAsia="Times New Roman" w:hAnsi="Times New Roman" w:cs="Times New Roman"/>
          <w:sz w:val="22"/>
          <w:szCs w:val="24"/>
          <w:lang w:val="en-GB" w:eastAsia="da-DK"/>
        </w:rPr>
        <w:t>International Covenant on Economic, Social and Cultural Rights in the Context of Business Activities</w:t>
      </w:r>
    </w:p>
    <w:p w:rsidR="00FC3420" w:rsidRPr="00E76806" w:rsidRDefault="00E971A1" w:rsidP="000376EA">
      <w:pPr>
        <w:spacing w:before="240" w:line="240" w:lineRule="auto"/>
        <w:jc w:val="center"/>
        <w:rPr>
          <w:rFonts w:ascii="Times New Roman" w:hAnsi="Times New Roman" w:cs="Times New Roman"/>
          <w:b/>
          <w:lang w:val="en-GB"/>
        </w:rPr>
      </w:pPr>
      <w:proofErr w:type="spellStart"/>
      <w:r w:rsidRPr="00E76806">
        <w:rPr>
          <w:rFonts w:ascii="Times New Roman" w:hAnsi="Times New Roman" w:cs="Times New Roman"/>
          <w:b/>
          <w:lang w:val="en-GB"/>
        </w:rPr>
        <w:t>Lorand</w:t>
      </w:r>
      <w:proofErr w:type="spellEnd"/>
      <w:r w:rsidRPr="00E76806">
        <w:rPr>
          <w:rFonts w:ascii="Times New Roman" w:hAnsi="Times New Roman" w:cs="Times New Roman"/>
          <w:b/>
          <w:lang w:val="en-GB"/>
        </w:rPr>
        <w:t xml:space="preserve"> Bartels</w:t>
      </w:r>
      <w:r w:rsidR="00911403" w:rsidRPr="00E76806">
        <w:rPr>
          <w:rStyle w:val="FootnoteReference"/>
          <w:rFonts w:ascii="Times New Roman" w:hAnsi="Times New Roman" w:cs="Times New Roman"/>
          <w:b/>
          <w:lang w:val="en-GB"/>
        </w:rPr>
        <w:footnoteReference w:id="1"/>
      </w:r>
      <w:r w:rsidRPr="00E76806">
        <w:rPr>
          <w:rFonts w:ascii="Times New Roman" w:hAnsi="Times New Roman" w:cs="Times New Roman"/>
          <w:b/>
          <w:lang w:val="en-GB"/>
        </w:rPr>
        <w:t xml:space="preserve"> and Claire </w:t>
      </w:r>
      <w:proofErr w:type="spellStart"/>
      <w:r w:rsidRPr="00E76806">
        <w:rPr>
          <w:rFonts w:ascii="Times New Roman" w:hAnsi="Times New Roman" w:cs="Times New Roman"/>
          <w:b/>
          <w:lang w:val="en-GB"/>
        </w:rPr>
        <w:t>Methven</w:t>
      </w:r>
      <w:proofErr w:type="spellEnd"/>
      <w:r w:rsidRPr="00E76806">
        <w:rPr>
          <w:rFonts w:ascii="Times New Roman" w:hAnsi="Times New Roman" w:cs="Times New Roman"/>
          <w:b/>
          <w:lang w:val="en-GB"/>
        </w:rPr>
        <w:t xml:space="preserve"> O’Brien</w:t>
      </w:r>
      <w:r w:rsidR="0005705E" w:rsidRPr="00E76806">
        <w:rPr>
          <w:rStyle w:val="FootnoteReference"/>
          <w:rFonts w:ascii="Times New Roman" w:hAnsi="Times New Roman" w:cs="Times New Roman"/>
          <w:b/>
          <w:lang w:val="en-GB"/>
        </w:rPr>
        <w:footnoteReference w:id="2"/>
      </w:r>
    </w:p>
    <w:p w:rsidR="00B521C4" w:rsidRPr="00E76806" w:rsidRDefault="00823C06" w:rsidP="000376EA">
      <w:pPr>
        <w:spacing w:line="240" w:lineRule="auto"/>
        <w:jc w:val="center"/>
        <w:rPr>
          <w:rFonts w:ascii="Times New Roman" w:hAnsi="Times New Roman" w:cs="Times New Roman"/>
          <w:b/>
          <w:lang w:val="en-GB"/>
        </w:rPr>
      </w:pPr>
      <w:r>
        <w:rPr>
          <w:rFonts w:ascii="Times New Roman" w:hAnsi="Times New Roman" w:cs="Times New Roman"/>
          <w:b/>
          <w:lang w:val="en-GB"/>
        </w:rPr>
        <w:t>20</w:t>
      </w:r>
      <w:r w:rsidR="00E971A1" w:rsidRPr="00E76806">
        <w:rPr>
          <w:rFonts w:ascii="Times New Roman" w:hAnsi="Times New Roman" w:cs="Times New Roman"/>
          <w:b/>
          <w:lang w:val="en-GB"/>
        </w:rPr>
        <w:t xml:space="preserve"> </w:t>
      </w:r>
      <w:r w:rsidR="00FC3420" w:rsidRPr="00E76806">
        <w:rPr>
          <w:rFonts w:ascii="Times New Roman" w:hAnsi="Times New Roman" w:cs="Times New Roman"/>
          <w:b/>
          <w:lang w:val="en-GB"/>
        </w:rPr>
        <w:t>January 2016</w:t>
      </w:r>
    </w:p>
    <w:p w:rsidR="00A56844" w:rsidRPr="00E76806" w:rsidRDefault="00A56844" w:rsidP="00F001EC">
      <w:pPr>
        <w:spacing w:line="240" w:lineRule="auto"/>
        <w:jc w:val="both"/>
        <w:rPr>
          <w:rFonts w:ascii="Times New Roman" w:hAnsi="Times New Roman" w:cs="Times New Roman"/>
          <w:b/>
          <w:lang w:val="en-GB"/>
        </w:rPr>
      </w:pPr>
      <w:r w:rsidRPr="00E76806">
        <w:rPr>
          <w:rFonts w:ascii="Times New Roman" w:hAnsi="Times New Roman" w:cs="Times New Roman"/>
          <w:b/>
          <w:lang w:val="en-GB"/>
        </w:rPr>
        <w:t>I</w:t>
      </w:r>
      <w:r w:rsidR="00FC3420" w:rsidRPr="00E76806">
        <w:rPr>
          <w:rFonts w:ascii="Times New Roman" w:hAnsi="Times New Roman" w:cs="Times New Roman"/>
          <w:b/>
          <w:lang w:val="en-GB"/>
        </w:rPr>
        <w:t xml:space="preserve">. </w:t>
      </w:r>
      <w:r w:rsidRPr="00E76806">
        <w:rPr>
          <w:rFonts w:ascii="Times New Roman" w:hAnsi="Times New Roman" w:cs="Times New Roman"/>
          <w:b/>
          <w:lang w:val="en-GB"/>
        </w:rPr>
        <w:t>Introduction</w:t>
      </w:r>
    </w:p>
    <w:p w:rsidR="00FC3420" w:rsidRPr="00E76806" w:rsidRDefault="00A56844" w:rsidP="00F001EC">
      <w:pPr>
        <w:spacing w:line="240" w:lineRule="auto"/>
        <w:jc w:val="both"/>
        <w:rPr>
          <w:rFonts w:ascii="Times New Roman" w:hAnsi="Times New Roman" w:cs="Times New Roman"/>
          <w:lang w:val="en-GB"/>
        </w:rPr>
      </w:pPr>
      <w:r w:rsidRPr="00E76806">
        <w:rPr>
          <w:rFonts w:ascii="Times New Roman" w:hAnsi="Times New Roman" w:cs="Times New Roman"/>
          <w:lang w:val="en-GB"/>
        </w:rPr>
        <w:t xml:space="preserve">1. </w:t>
      </w:r>
      <w:r w:rsidR="00E971A1" w:rsidRPr="00E76806">
        <w:rPr>
          <w:rFonts w:ascii="Times New Roman" w:hAnsi="Times New Roman" w:cs="Times New Roman"/>
          <w:lang w:val="en-GB"/>
        </w:rPr>
        <w:t>We</w:t>
      </w:r>
      <w:r w:rsidR="00FC3420" w:rsidRPr="00E76806">
        <w:rPr>
          <w:rFonts w:ascii="Times New Roman" w:hAnsi="Times New Roman" w:cs="Times New Roman"/>
          <w:lang w:val="en-GB"/>
        </w:rPr>
        <w:t xml:space="preserve"> welcome the engagement of the </w:t>
      </w:r>
      <w:r w:rsidR="00E31759" w:rsidRPr="00E76806">
        <w:rPr>
          <w:rFonts w:ascii="Times New Roman" w:hAnsi="Times New Roman" w:cs="Times New Roman"/>
          <w:szCs w:val="24"/>
          <w:lang w:val="en-GB"/>
        </w:rPr>
        <w:t>UN Committee on Economic, Social and Cultural Rights</w:t>
      </w:r>
      <w:r w:rsidR="00E31759" w:rsidRPr="00E76806">
        <w:rPr>
          <w:rFonts w:ascii="Times New Roman" w:hAnsi="Times New Roman" w:cs="Times New Roman"/>
          <w:lang w:val="en-GB"/>
        </w:rPr>
        <w:t xml:space="preserve"> (“</w:t>
      </w:r>
      <w:r w:rsidR="00FC3420" w:rsidRPr="00E76806">
        <w:rPr>
          <w:rFonts w:ascii="Times New Roman" w:hAnsi="Times New Roman" w:cs="Times New Roman"/>
          <w:lang w:val="en-GB"/>
        </w:rPr>
        <w:t>CESCR</w:t>
      </w:r>
      <w:r w:rsidR="00E31759" w:rsidRPr="00E76806">
        <w:rPr>
          <w:rFonts w:ascii="Times New Roman" w:hAnsi="Times New Roman" w:cs="Times New Roman"/>
          <w:lang w:val="en-GB"/>
        </w:rPr>
        <w:t>”)</w:t>
      </w:r>
      <w:r w:rsidR="00FC3420" w:rsidRPr="00E76806">
        <w:rPr>
          <w:rFonts w:ascii="Times New Roman" w:hAnsi="Times New Roman" w:cs="Times New Roman"/>
          <w:lang w:val="en-GB"/>
        </w:rPr>
        <w:t xml:space="preserve"> with the topic of business and human rights and state obligations under the </w:t>
      </w:r>
      <w:r w:rsidR="0070692A" w:rsidRPr="00E76806">
        <w:rPr>
          <w:rFonts w:ascii="Times New Roman" w:eastAsia="Times New Roman" w:hAnsi="Times New Roman" w:cs="Times New Roman"/>
          <w:szCs w:val="24"/>
          <w:lang w:val="en-GB" w:eastAsia="da-DK"/>
        </w:rPr>
        <w:t xml:space="preserve">International Covenant on Economic, Social and Cultural Rights </w:t>
      </w:r>
      <w:r w:rsidR="0070692A">
        <w:rPr>
          <w:rFonts w:ascii="Times New Roman" w:eastAsia="Times New Roman" w:hAnsi="Times New Roman" w:cs="Times New Roman"/>
          <w:szCs w:val="24"/>
          <w:lang w:val="en-GB" w:eastAsia="da-DK"/>
        </w:rPr>
        <w:t>(</w:t>
      </w:r>
      <w:r w:rsidR="00FC3420" w:rsidRPr="00E76806">
        <w:rPr>
          <w:rFonts w:ascii="Times New Roman" w:hAnsi="Times New Roman" w:cs="Times New Roman"/>
          <w:lang w:val="en-GB"/>
        </w:rPr>
        <w:t>ICESCR</w:t>
      </w:r>
      <w:r w:rsidR="0070692A">
        <w:rPr>
          <w:rFonts w:ascii="Times New Roman" w:hAnsi="Times New Roman" w:cs="Times New Roman"/>
          <w:lang w:val="en-GB"/>
        </w:rPr>
        <w:t>)</w:t>
      </w:r>
      <w:r w:rsidR="00FC3420" w:rsidRPr="00E76806">
        <w:rPr>
          <w:rFonts w:ascii="Times New Roman" w:hAnsi="Times New Roman" w:cs="Times New Roman"/>
          <w:lang w:val="en-GB"/>
        </w:rPr>
        <w:t xml:space="preserve"> in the context of business activities in pa</w:t>
      </w:r>
      <w:r w:rsidRPr="00E76806">
        <w:rPr>
          <w:rFonts w:ascii="Times New Roman" w:hAnsi="Times New Roman" w:cs="Times New Roman"/>
          <w:lang w:val="en-GB"/>
        </w:rPr>
        <w:t xml:space="preserve">rticular. </w:t>
      </w:r>
      <w:r w:rsidR="00122E47" w:rsidRPr="00E76806">
        <w:rPr>
          <w:rFonts w:ascii="Times New Roman" w:hAnsi="Times New Roman" w:cs="Times New Roman"/>
          <w:b/>
          <w:lang w:val="en-GB"/>
        </w:rPr>
        <w:t xml:space="preserve"> </w:t>
      </w:r>
      <w:r w:rsidR="00B521C4" w:rsidRPr="00E76806">
        <w:rPr>
          <w:rFonts w:ascii="Times New Roman" w:hAnsi="Times New Roman" w:cs="Times New Roman"/>
          <w:lang w:val="en-GB"/>
        </w:rPr>
        <w:t>Whereas t</w:t>
      </w:r>
      <w:r w:rsidR="00122E47" w:rsidRPr="00E76806">
        <w:rPr>
          <w:rFonts w:ascii="Times New Roman" w:hAnsi="Times New Roman" w:cs="Times New Roman"/>
          <w:lang w:val="en-GB"/>
        </w:rPr>
        <w:t>he draft General Comment (“draft GC”)</w:t>
      </w:r>
      <w:r w:rsidR="00B521C4" w:rsidRPr="00E76806">
        <w:rPr>
          <w:rFonts w:ascii="Times New Roman" w:hAnsi="Times New Roman" w:cs="Times New Roman"/>
          <w:lang w:val="en-GB"/>
        </w:rPr>
        <w:t xml:space="preserve"> purports to articulate states parties’ existing legal obligations under the ICESCR</w:t>
      </w:r>
      <w:r w:rsidR="0005705E" w:rsidRPr="00E76806">
        <w:rPr>
          <w:rFonts w:ascii="Times New Roman" w:hAnsi="Times New Roman" w:cs="Times New Roman"/>
          <w:lang w:val="en-GB"/>
        </w:rPr>
        <w:t>,</w:t>
      </w:r>
      <w:r w:rsidR="00055CB5" w:rsidRPr="00E76806">
        <w:rPr>
          <w:rStyle w:val="FootnoteReference"/>
          <w:rFonts w:ascii="Times New Roman" w:hAnsi="Times New Roman" w:cs="Times New Roman"/>
          <w:lang w:val="en-GB"/>
        </w:rPr>
        <w:footnoteReference w:id="3"/>
      </w:r>
      <w:r w:rsidRPr="00E76806">
        <w:rPr>
          <w:rFonts w:ascii="Times New Roman" w:hAnsi="Times New Roman" w:cs="Times New Roman"/>
          <w:lang w:val="en-GB"/>
        </w:rPr>
        <w:t xml:space="preserve"> we however</w:t>
      </w:r>
      <w:r w:rsidR="00FC3420" w:rsidRPr="00E76806">
        <w:rPr>
          <w:rFonts w:ascii="Times New Roman" w:hAnsi="Times New Roman" w:cs="Times New Roman"/>
          <w:lang w:val="en-GB"/>
        </w:rPr>
        <w:t xml:space="preserve"> consider that </w:t>
      </w:r>
      <w:r w:rsidRPr="00E76806">
        <w:rPr>
          <w:rFonts w:ascii="Times New Roman" w:hAnsi="Times New Roman" w:cs="Times New Roman"/>
          <w:lang w:val="en-GB"/>
        </w:rPr>
        <w:t xml:space="preserve">the </w:t>
      </w:r>
      <w:r w:rsidR="00FC3420" w:rsidRPr="00E76806">
        <w:rPr>
          <w:rFonts w:ascii="Times New Roman" w:hAnsi="Times New Roman" w:cs="Times New Roman"/>
          <w:lang w:val="en-GB"/>
        </w:rPr>
        <w:t xml:space="preserve">draft </w:t>
      </w:r>
      <w:r w:rsidR="00122E47" w:rsidRPr="00E76806">
        <w:rPr>
          <w:rFonts w:ascii="Times New Roman" w:hAnsi="Times New Roman" w:cs="Times New Roman"/>
          <w:lang w:val="en-GB"/>
        </w:rPr>
        <w:t>GC</w:t>
      </w:r>
      <w:r w:rsidR="00FC3420" w:rsidRPr="00E76806">
        <w:rPr>
          <w:rFonts w:ascii="Times New Roman" w:hAnsi="Times New Roman" w:cs="Times New Roman"/>
          <w:lang w:val="en-GB"/>
        </w:rPr>
        <w:t xml:space="preserve"> does not accurately reflect the </w:t>
      </w:r>
      <w:r w:rsidR="00FC3420" w:rsidRPr="00F001EC">
        <w:rPr>
          <w:rFonts w:ascii="Times New Roman" w:hAnsi="Times New Roman" w:cs="Times New Roman"/>
          <w:lang w:val="en-GB"/>
        </w:rPr>
        <w:t>status quo</w:t>
      </w:r>
      <w:r w:rsidR="00FC3420" w:rsidRPr="00E76806">
        <w:rPr>
          <w:rFonts w:ascii="Times New Roman" w:hAnsi="Times New Roman" w:cs="Times New Roman"/>
          <w:lang w:val="en-GB"/>
        </w:rPr>
        <w:t xml:space="preserve"> in international human rights law concerning the scope and content of states’ extraterritorial human rights obligations</w:t>
      </w:r>
      <w:r w:rsidR="00CF035C" w:rsidRPr="00E76806">
        <w:rPr>
          <w:rFonts w:ascii="Times New Roman" w:hAnsi="Times New Roman" w:cs="Times New Roman"/>
          <w:lang w:val="en-GB"/>
        </w:rPr>
        <w:t xml:space="preserve">. Accordingly, we first present </w:t>
      </w:r>
      <w:r w:rsidR="001E2BC3">
        <w:rPr>
          <w:rFonts w:ascii="Times New Roman" w:hAnsi="Times New Roman" w:cs="Times New Roman"/>
          <w:lang w:val="en-GB"/>
        </w:rPr>
        <w:t xml:space="preserve">observations with respect to jurisdiction in </w:t>
      </w:r>
      <w:r w:rsidR="00CF035C" w:rsidRPr="00E76806">
        <w:rPr>
          <w:rFonts w:ascii="Times New Roman" w:hAnsi="Times New Roman" w:cs="Times New Roman"/>
          <w:lang w:val="en-GB"/>
        </w:rPr>
        <w:t>international human rights law</w:t>
      </w:r>
      <w:r w:rsidR="007806F5" w:rsidRPr="00805E4F">
        <w:rPr>
          <w:rFonts w:ascii="Times New Roman" w:hAnsi="Times New Roman" w:cs="Times New Roman"/>
          <w:lang w:val="en-GB"/>
        </w:rPr>
        <w:t xml:space="preserve"> </w:t>
      </w:r>
      <w:r w:rsidR="00CF035C" w:rsidRPr="00E76806">
        <w:rPr>
          <w:rFonts w:ascii="Times New Roman" w:hAnsi="Times New Roman" w:cs="Times New Roman"/>
          <w:lang w:val="en-GB"/>
        </w:rPr>
        <w:t>(II)</w:t>
      </w:r>
      <w:r w:rsidR="00B440DE" w:rsidRPr="00E76806">
        <w:rPr>
          <w:rFonts w:ascii="Times New Roman" w:hAnsi="Times New Roman" w:cs="Times New Roman"/>
          <w:lang w:val="en-GB"/>
        </w:rPr>
        <w:t>;</w:t>
      </w:r>
      <w:r w:rsidR="008A6EEA" w:rsidRPr="00E76806">
        <w:rPr>
          <w:rFonts w:ascii="Times New Roman" w:hAnsi="Times New Roman" w:cs="Times New Roman"/>
          <w:lang w:val="en-GB"/>
        </w:rPr>
        <w:t xml:space="preserve"> </w:t>
      </w:r>
      <w:r w:rsidR="001E2BC3">
        <w:rPr>
          <w:rFonts w:ascii="Times New Roman" w:hAnsi="Times New Roman" w:cs="Times New Roman"/>
          <w:lang w:val="en-GB"/>
        </w:rPr>
        <w:t xml:space="preserve">attribution </w:t>
      </w:r>
      <w:r w:rsidR="00B440DE" w:rsidRPr="00E76806">
        <w:rPr>
          <w:rFonts w:ascii="Times New Roman" w:hAnsi="Times New Roman" w:cs="Times New Roman"/>
          <w:lang w:val="en-GB"/>
        </w:rPr>
        <w:t>(</w:t>
      </w:r>
      <w:r w:rsidR="008A6EEA" w:rsidRPr="00E76806">
        <w:rPr>
          <w:rFonts w:ascii="Times New Roman" w:hAnsi="Times New Roman" w:cs="Times New Roman"/>
          <w:lang w:val="en-GB"/>
        </w:rPr>
        <w:t>III)</w:t>
      </w:r>
      <w:r w:rsidR="00B440DE" w:rsidRPr="00E76806">
        <w:rPr>
          <w:rFonts w:ascii="Times New Roman" w:hAnsi="Times New Roman" w:cs="Times New Roman"/>
          <w:lang w:val="en-GB"/>
        </w:rPr>
        <w:t xml:space="preserve">; </w:t>
      </w:r>
      <w:r w:rsidR="001E2BC3">
        <w:rPr>
          <w:rFonts w:ascii="Times New Roman" w:hAnsi="Times New Roman" w:cs="Times New Roman"/>
          <w:lang w:val="en-GB"/>
        </w:rPr>
        <w:t xml:space="preserve">and </w:t>
      </w:r>
      <w:r w:rsidR="00B440DE" w:rsidRPr="00E76806">
        <w:rPr>
          <w:rFonts w:ascii="Times New Roman" w:hAnsi="Times New Roman" w:cs="Times New Roman"/>
          <w:lang w:val="en-GB"/>
        </w:rPr>
        <w:t>positive obligations (IV)</w:t>
      </w:r>
      <w:r w:rsidR="00CF035C" w:rsidRPr="00E76806">
        <w:rPr>
          <w:rFonts w:ascii="Times New Roman" w:hAnsi="Times New Roman" w:cs="Times New Roman"/>
          <w:lang w:val="en-GB"/>
        </w:rPr>
        <w:t>. We then demonstrate a number of significant inaccuracies in the account of extraterritorial human rights obligations presented in the draft GC (</w:t>
      </w:r>
      <w:r w:rsidR="008A6EEA" w:rsidRPr="00E76806">
        <w:rPr>
          <w:rFonts w:ascii="Times New Roman" w:hAnsi="Times New Roman" w:cs="Times New Roman"/>
          <w:lang w:val="en-GB"/>
        </w:rPr>
        <w:t>V)</w:t>
      </w:r>
      <w:r w:rsidR="004022B9">
        <w:rPr>
          <w:rFonts w:ascii="Times New Roman" w:hAnsi="Times New Roman" w:cs="Times New Roman"/>
          <w:lang w:val="en-GB"/>
        </w:rPr>
        <w:t xml:space="preserve">. </w:t>
      </w:r>
      <w:r w:rsidR="004022B9" w:rsidRPr="008704C7">
        <w:rPr>
          <w:rFonts w:ascii="Times New Roman" w:hAnsi="Times New Roman" w:cs="Times New Roman"/>
          <w:lang w:val="en-GB"/>
        </w:rPr>
        <w:t>Part VI concludes.</w:t>
      </w:r>
      <w:r w:rsidR="001E2BC3">
        <w:rPr>
          <w:rFonts w:ascii="Times New Roman" w:hAnsi="Times New Roman" w:cs="Times New Roman"/>
          <w:lang w:val="en-GB"/>
        </w:rPr>
        <w:t xml:space="preserve"> </w:t>
      </w:r>
    </w:p>
    <w:p w:rsidR="00CF035C" w:rsidRPr="00E76806" w:rsidRDefault="00A56844" w:rsidP="00F001EC">
      <w:pPr>
        <w:spacing w:line="240" w:lineRule="auto"/>
        <w:jc w:val="both"/>
        <w:rPr>
          <w:rFonts w:ascii="Times New Roman" w:hAnsi="Times New Roman" w:cs="Times New Roman"/>
          <w:b/>
          <w:lang w:val="en-GB"/>
        </w:rPr>
      </w:pPr>
      <w:r w:rsidRPr="00E76806">
        <w:rPr>
          <w:rFonts w:ascii="Times New Roman" w:hAnsi="Times New Roman" w:cs="Times New Roman"/>
          <w:b/>
          <w:lang w:val="en-GB"/>
        </w:rPr>
        <w:t>II</w:t>
      </w:r>
      <w:r w:rsidR="00B521C4" w:rsidRPr="00E76806">
        <w:rPr>
          <w:rFonts w:ascii="Times New Roman" w:hAnsi="Times New Roman" w:cs="Times New Roman"/>
          <w:b/>
          <w:lang w:val="en-GB"/>
        </w:rPr>
        <w:t xml:space="preserve">. </w:t>
      </w:r>
      <w:r w:rsidR="006560B0">
        <w:rPr>
          <w:rFonts w:ascii="Times New Roman" w:hAnsi="Times New Roman" w:cs="Times New Roman"/>
          <w:b/>
          <w:lang w:val="en-GB"/>
        </w:rPr>
        <w:t xml:space="preserve">‘Jurisdiction’ </w:t>
      </w:r>
      <w:r w:rsidRPr="00E76806">
        <w:rPr>
          <w:rFonts w:ascii="Times New Roman" w:hAnsi="Times New Roman" w:cs="Times New Roman"/>
          <w:b/>
          <w:lang w:val="en-GB"/>
        </w:rPr>
        <w:t xml:space="preserve">in </w:t>
      </w:r>
      <w:r w:rsidR="00CF035C" w:rsidRPr="00E76806">
        <w:rPr>
          <w:rFonts w:ascii="Times New Roman" w:hAnsi="Times New Roman" w:cs="Times New Roman"/>
          <w:b/>
          <w:lang w:val="en-GB"/>
        </w:rPr>
        <w:t>international human rights law</w:t>
      </w:r>
    </w:p>
    <w:p w:rsidR="00603ECF" w:rsidRPr="00E76806" w:rsidRDefault="00CF035C" w:rsidP="00F001EC">
      <w:pPr>
        <w:spacing w:line="240" w:lineRule="auto"/>
        <w:jc w:val="both"/>
        <w:rPr>
          <w:rFonts w:ascii="Times New Roman" w:eastAsia="Times New Roman" w:hAnsi="Times New Roman" w:cs="Times New Roman"/>
          <w:lang w:val="en-GB"/>
        </w:rPr>
      </w:pPr>
      <w:r w:rsidRPr="00E76806">
        <w:rPr>
          <w:rFonts w:ascii="Times New Roman" w:hAnsi="Times New Roman" w:cs="Times New Roman"/>
          <w:lang w:val="en-GB"/>
        </w:rPr>
        <w:t xml:space="preserve">2. </w:t>
      </w:r>
      <w:r w:rsidR="00902ACE">
        <w:rPr>
          <w:rFonts w:ascii="Times New Roman" w:hAnsi="Times New Roman" w:cs="Times New Roman"/>
          <w:lang w:val="en-GB"/>
        </w:rPr>
        <w:t xml:space="preserve">Albeit </w:t>
      </w:r>
      <w:r w:rsidR="0070692A">
        <w:rPr>
          <w:rFonts w:ascii="Times New Roman" w:hAnsi="Times New Roman" w:cs="Times New Roman"/>
          <w:lang w:val="en-GB"/>
        </w:rPr>
        <w:t>the I</w:t>
      </w:r>
      <w:r w:rsidR="00902ACE">
        <w:rPr>
          <w:rFonts w:ascii="Times New Roman" w:hAnsi="Times New Roman" w:cs="Times New Roman"/>
          <w:lang w:val="en-GB"/>
        </w:rPr>
        <w:t>CESCR does not explicitly do so, m</w:t>
      </w:r>
      <w:r w:rsidR="006560B0">
        <w:rPr>
          <w:rFonts w:ascii="Times New Roman" w:hAnsi="Times New Roman" w:cs="Times New Roman"/>
          <w:lang w:val="en-GB"/>
        </w:rPr>
        <w:t xml:space="preserve">ost human rights treaties define </w:t>
      </w:r>
      <w:r w:rsidR="002526A2" w:rsidRPr="00E76806">
        <w:rPr>
          <w:rFonts w:ascii="Times New Roman" w:hAnsi="Times New Roman" w:cs="Times New Roman"/>
          <w:lang w:val="en-GB"/>
        </w:rPr>
        <w:t xml:space="preserve">the obligations of </w:t>
      </w:r>
      <w:r w:rsidR="006560B0">
        <w:rPr>
          <w:rFonts w:ascii="Times New Roman" w:hAnsi="Times New Roman" w:cs="Times New Roman"/>
          <w:lang w:val="en-GB"/>
        </w:rPr>
        <w:t xml:space="preserve">states by </w:t>
      </w:r>
      <w:r w:rsidR="005D224F" w:rsidRPr="00E76806">
        <w:rPr>
          <w:rFonts w:ascii="Times New Roman" w:hAnsi="Times New Roman" w:cs="Times New Roman"/>
          <w:lang w:val="en-GB"/>
        </w:rPr>
        <w:t xml:space="preserve">reference to </w:t>
      </w:r>
      <w:r w:rsidR="005D224F" w:rsidRPr="00E76806">
        <w:rPr>
          <w:rFonts w:ascii="Times New Roman" w:eastAsia="Times New Roman" w:hAnsi="Times New Roman" w:cs="Times New Roman"/>
          <w:lang w:val="en-GB"/>
        </w:rPr>
        <w:t xml:space="preserve">the concept of </w:t>
      </w:r>
      <w:r w:rsidR="006560B0">
        <w:rPr>
          <w:rFonts w:ascii="Times New Roman" w:eastAsia="Times New Roman" w:hAnsi="Times New Roman" w:cs="Times New Roman"/>
          <w:lang w:val="en-GB"/>
        </w:rPr>
        <w:t>‘</w:t>
      </w:r>
      <w:r w:rsidR="005D224F" w:rsidRPr="00E76806">
        <w:rPr>
          <w:rFonts w:ascii="Times New Roman" w:eastAsia="Times New Roman" w:hAnsi="Times New Roman" w:cs="Times New Roman"/>
          <w:lang w:val="en-GB"/>
        </w:rPr>
        <w:t>jurisdiction</w:t>
      </w:r>
      <w:r w:rsidR="006560B0">
        <w:rPr>
          <w:rFonts w:ascii="Times New Roman" w:eastAsia="Times New Roman" w:hAnsi="Times New Roman" w:cs="Times New Roman"/>
          <w:lang w:val="en-GB"/>
        </w:rPr>
        <w:t>’</w:t>
      </w:r>
      <w:r w:rsidR="005D224F" w:rsidRPr="00E76806">
        <w:rPr>
          <w:rFonts w:ascii="Times New Roman" w:eastAsia="Times New Roman" w:hAnsi="Times New Roman" w:cs="Times New Roman"/>
          <w:lang w:val="en-GB"/>
        </w:rPr>
        <w:t xml:space="preserve">.  </w:t>
      </w:r>
      <w:r w:rsidR="006560B0">
        <w:rPr>
          <w:rFonts w:ascii="Times New Roman" w:eastAsia="Times New Roman" w:hAnsi="Times New Roman" w:cs="Times New Roman"/>
          <w:lang w:val="en-GB"/>
        </w:rPr>
        <w:t xml:space="preserve">This concept </w:t>
      </w:r>
      <w:r w:rsidR="00D473AD">
        <w:rPr>
          <w:rFonts w:ascii="Times New Roman" w:eastAsia="Times New Roman" w:hAnsi="Times New Roman" w:cs="Times New Roman"/>
          <w:lang w:val="en-GB"/>
        </w:rPr>
        <w:t>is</w:t>
      </w:r>
      <w:r w:rsidR="006560B0">
        <w:rPr>
          <w:rFonts w:ascii="Times New Roman" w:eastAsia="Times New Roman" w:hAnsi="Times New Roman" w:cs="Times New Roman"/>
          <w:lang w:val="en-GB"/>
        </w:rPr>
        <w:t xml:space="preserve"> understood</w:t>
      </w:r>
      <w:r w:rsidR="008C3E91">
        <w:rPr>
          <w:rFonts w:ascii="Times New Roman" w:eastAsia="Times New Roman" w:hAnsi="Times New Roman" w:cs="Times New Roman"/>
          <w:lang w:val="en-GB"/>
        </w:rPr>
        <w:t xml:space="preserve"> in international human rights law</w:t>
      </w:r>
      <w:r w:rsidR="006560B0">
        <w:rPr>
          <w:rFonts w:ascii="Times New Roman" w:eastAsia="Times New Roman" w:hAnsi="Times New Roman" w:cs="Times New Roman"/>
          <w:lang w:val="en-GB"/>
        </w:rPr>
        <w:t xml:space="preserve"> as being </w:t>
      </w:r>
      <w:r w:rsidR="005D224F" w:rsidRPr="00E76806">
        <w:rPr>
          <w:rFonts w:ascii="Times New Roman" w:eastAsia="Times New Roman" w:hAnsi="Times New Roman" w:cs="Times New Roman"/>
          <w:lang w:val="en-GB"/>
        </w:rPr>
        <w:t xml:space="preserve">primarily </w:t>
      </w:r>
      <w:r w:rsidR="00E076DD" w:rsidRPr="00E76806">
        <w:rPr>
          <w:rFonts w:ascii="Times New Roman" w:eastAsia="Times New Roman" w:hAnsi="Times New Roman" w:cs="Times New Roman"/>
          <w:lang w:val="en-GB"/>
        </w:rPr>
        <w:t>limited to acts and omissions occurring on the territory of the state concerned. E</w:t>
      </w:r>
      <w:r w:rsidR="005D224F" w:rsidRPr="00E76806">
        <w:rPr>
          <w:rFonts w:ascii="Times New Roman" w:eastAsia="Times New Roman" w:hAnsi="Times New Roman" w:cs="Times New Roman"/>
          <w:lang w:val="en-GB"/>
        </w:rPr>
        <w:t xml:space="preserve">xceptionally, </w:t>
      </w:r>
      <w:r w:rsidR="00E076DD" w:rsidRPr="00E76806">
        <w:rPr>
          <w:rFonts w:ascii="Times New Roman" w:eastAsia="Times New Roman" w:hAnsi="Times New Roman" w:cs="Times New Roman"/>
          <w:lang w:val="en-GB"/>
        </w:rPr>
        <w:t xml:space="preserve">jurisdiction has </w:t>
      </w:r>
      <w:r w:rsidR="005D224F" w:rsidRPr="00E76806">
        <w:rPr>
          <w:rFonts w:ascii="Times New Roman" w:eastAsia="Times New Roman" w:hAnsi="Times New Roman" w:cs="Times New Roman"/>
          <w:lang w:val="en-GB"/>
        </w:rPr>
        <w:t>be</w:t>
      </w:r>
      <w:r w:rsidR="00603ECF" w:rsidRPr="00E76806">
        <w:rPr>
          <w:rFonts w:ascii="Times New Roman" w:eastAsia="Times New Roman" w:hAnsi="Times New Roman" w:cs="Times New Roman"/>
          <w:lang w:val="en-GB"/>
        </w:rPr>
        <w:t xml:space="preserve">en recognised </w:t>
      </w:r>
      <w:r w:rsidR="005D224F" w:rsidRPr="00E76806">
        <w:rPr>
          <w:rFonts w:ascii="Times New Roman" w:eastAsia="Times New Roman" w:hAnsi="Times New Roman" w:cs="Times New Roman"/>
          <w:lang w:val="en-GB"/>
        </w:rPr>
        <w:t xml:space="preserve">to exist </w:t>
      </w:r>
      <w:r w:rsidR="00E076DD" w:rsidRPr="00E76806">
        <w:rPr>
          <w:rFonts w:ascii="Times New Roman" w:eastAsia="Times New Roman" w:hAnsi="Times New Roman" w:cs="Times New Roman"/>
          <w:lang w:val="en-GB"/>
        </w:rPr>
        <w:t>in relation to acts</w:t>
      </w:r>
      <w:r w:rsidR="00EE5834" w:rsidRPr="00E76806">
        <w:rPr>
          <w:rFonts w:ascii="Times New Roman" w:eastAsia="Times New Roman" w:hAnsi="Times New Roman" w:cs="Times New Roman"/>
          <w:lang w:val="en-GB"/>
        </w:rPr>
        <w:t xml:space="preserve"> </w:t>
      </w:r>
      <w:r w:rsidR="00E076DD" w:rsidRPr="00E76806">
        <w:rPr>
          <w:rFonts w:ascii="Times New Roman" w:eastAsia="Times New Roman" w:hAnsi="Times New Roman" w:cs="Times New Roman"/>
          <w:lang w:val="en-GB"/>
        </w:rPr>
        <w:t xml:space="preserve">that take place </w:t>
      </w:r>
      <w:r w:rsidR="005D224F" w:rsidRPr="00E76806">
        <w:rPr>
          <w:rFonts w:ascii="Times New Roman" w:eastAsia="Times New Roman" w:hAnsi="Times New Roman" w:cs="Times New Roman"/>
          <w:lang w:val="en-GB"/>
        </w:rPr>
        <w:t xml:space="preserve">beyond </w:t>
      </w:r>
      <w:r w:rsidR="008723E2">
        <w:rPr>
          <w:rFonts w:ascii="Times New Roman" w:eastAsia="Times New Roman" w:hAnsi="Times New Roman" w:cs="Times New Roman"/>
          <w:lang w:val="en-GB"/>
        </w:rPr>
        <w:t xml:space="preserve">a </w:t>
      </w:r>
      <w:r w:rsidR="005D224F" w:rsidRPr="00E76806">
        <w:rPr>
          <w:rFonts w:ascii="Times New Roman" w:eastAsia="Times New Roman" w:hAnsi="Times New Roman" w:cs="Times New Roman"/>
          <w:lang w:val="en-GB"/>
        </w:rPr>
        <w:t>state</w:t>
      </w:r>
      <w:r w:rsidR="008723E2">
        <w:rPr>
          <w:rFonts w:ascii="Times New Roman" w:eastAsia="Times New Roman" w:hAnsi="Times New Roman" w:cs="Times New Roman"/>
          <w:lang w:val="en-GB"/>
        </w:rPr>
        <w:t>’s</w:t>
      </w:r>
      <w:r w:rsidR="005D224F" w:rsidRPr="00E76806">
        <w:rPr>
          <w:rFonts w:ascii="Times New Roman" w:eastAsia="Times New Roman" w:hAnsi="Times New Roman" w:cs="Times New Roman"/>
          <w:lang w:val="en-GB"/>
        </w:rPr>
        <w:t xml:space="preserve"> borders</w:t>
      </w:r>
      <w:r w:rsidR="00D473AD">
        <w:rPr>
          <w:rFonts w:ascii="Times New Roman" w:eastAsia="Times New Roman" w:hAnsi="Times New Roman" w:cs="Times New Roman"/>
          <w:lang w:val="en-GB"/>
        </w:rPr>
        <w:t>,</w:t>
      </w:r>
      <w:r w:rsidR="00DB2EBC" w:rsidRPr="00E76806">
        <w:rPr>
          <w:rFonts w:ascii="Times New Roman" w:eastAsia="Times New Roman" w:hAnsi="Times New Roman" w:cs="Times New Roman"/>
          <w:lang w:val="en-GB"/>
        </w:rPr>
        <w:t xml:space="preserve"> in two scenarios:</w:t>
      </w:r>
    </w:p>
    <w:p w:rsidR="00603ECF" w:rsidRPr="00E76806" w:rsidRDefault="00603ECF" w:rsidP="00F001EC">
      <w:pPr>
        <w:spacing w:line="240" w:lineRule="auto"/>
        <w:ind w:left="567"/>
        <w:jc w:val="both"/>
        <w:rPr>
          <w:rFonts w:ascii="Times New Roman" w:hAnsi="Times New Roman" w:cs="Times New Roman"/>
          <w:lang w:val="en-GB"/>
        </w:rPr>
      </w:pPr>
      <w:r w:rsidRPr="00E76806">
        <w:rPr>
          <w:rFonts w:ascii="Times New Roman" w:eastAsia="Times New Roman" w:hAnsi="Times New Roman" w:cs="Times New Roman"/>
          <w:lang w:val="en-GB"/>
        </w:rPr>
        <w:t>a)</w:t>
      </w:r>
      <w:r w:rsidR="00DB2EBC" w:rsidRPr="00E76806">
        <w:rPr>
          <w:rFonts w:ascii="Times New Roman" w:eastAsia="Times New Roman" w:hAnsi="Times New Roman" w:cs="Times New Roman"/>
          <w:lang w:val="en-GB"/>
        </w:rPr>
        <w:t xml:space="preserve"> </w:t>
      </w:r>
      <w:proofErr w:type="gramStart"/>
      <w:r w:rsidR="008723E2">
        <w:rPr>
          <w:rFonts w:ascii="Times New Roman" w:eastAsia="Times New Roman" w:hAnsi="Times New Roman" w:cs="Times New Roman"/>
          <w:lang w:val="en-GB"/>
        </w:rPr>
        <w:t>the</w:t>
      </w:r>
      <w:proofErr w:type="gramEnd"/>
      <w:r w:rsidR="00E076DD" w:rsidRPr="00E76806">
        <w:rPr>
          <w:rFonts w:ascii="Times New Roman" w:eastAsia="Times New Roman" w:hAnsi="Times New Roman" w:cs="Times New Roman"/>
          <w:lang w:val="en-GB"/>
        </w:rPr>
        <w:t xml:space="preserve"> </w:t>
      </w:r>
      <w:r w:rsidRPr="00E76806">
        <w:rPr>
          <w:rFonts w:ascii="Times New Roman" w:eastAsia="Times New Roman" w:hAnsi="Times New Roman" w:cs="Times New Roman"/>
          <w:lang w:val="en-GB"/>
        </w:rPr>
        <w:t>state exercises “</w:t>
      </w:r>
      <w:r w:rsidRPr="00E76806">
        <w:rPr>
          <w:rFonts w:ascii="Times New Roman" w:hAnsi="Times New Roman" w:cs="Times New Roman"/>
          <w:lang w:val="en-GB"/>
        </w:rPr>
        <w:t>effective overall control” of some geographical area beyond its own borders (the “spatial model” of jurisdiction)</w:t>
      </w:r>
      <w:r w:rsidRPr="00E76806">
        <w:rPr>
          <w:rStyle w:val="FootnoteReference"/>
          <w:rFonts w:ascii="Times New Roman" w:hAnsi="Times New Roman" w:cs="Times New Roman"/>
          <w:lang w:val="en-GB"/>
        </w:rPr>
        <w:footnoteReference w:id="4"/>
      </w:r>
    </w:p>
    <w:p w:rsidR="00DB2EBC" w:rsidRPr="00E76806" w:rsidRDefault="00603ECF" w:rsidP="00F001EC">
      <w:pPr>
        <w:spacing w:line="240" w:lineRule="auto"/>
        <w:ind w:left="567"/>
        <w:jc w:val="both"/>
        <w:rPr>
          <w:rFonts w:ascii="Times New Roman" w:hAnsi="Times New Roman" w:cs="Times New Roman"/>
          <w:lang w:val="en-GB"/>
        </w:rPr>
      </w:pPr>
      <w:r w:rsidRPr="00E76806">
        <w:rPr>
          <w:rFonts w:ascii="Times New Roman" w:hAnsi="Times New Roman" w:cs="Times New Roman"/>
          <w:lang w:val="en-GB"/>
        </w:rPr>
        <w:t>b)</w:t>
      </w:r>
      <w:r w:rsidR="00DB2EBC" w:rsidRPr="00E76806">
        <w:rPr>
          <w:rFonts w:ascii="Times New Roman" w:hAnsi="Times New Roman" w:cs="Times New Roman"/>
          <w:lang w:val="en-GB"/>
        </w:rPr>
        <w:t xml:space="preserve"> </w:t>
      </w:r>
      <w:r w:rsidR="00E076DD" w:rsidRPr="00E76806">
        <w:rPr>
          <w:rFonts w:ascii="Times New Roman" w:eastAsia="Times New Roman" w:hAnsi="Times New Roman" w:cs="Times New Roman"/>
          <w:lang w:val="en-GB"/>
        </w:rPr>
        <w:t xml:space="preserve">a </w:t>
      </w:r>
      <w:r w:rsidR="00F12FC6" w:rsidRPr="00E76806">
        <w:rPr>
          <w:rFonts w:ascii="Times New Roman" w:eastAsia="Times New Roman" w:hAnsi="Times New Roman" w:cs="Times New Roman"/>
          <w:lang w:val="en-GB"/>
        </w:rPr>
        <w:t xml:space="preserve">person is brought under the control of a state, most frequently, by the actions abroad of its military  or police, so that the state </w:t>
      </w:r>
      <w:r w:rsidRPr="00E76806">
        <w:rPr>
          <w:rFonts w:ascii="Times New Roman" w:hAnsi="Times New Roman" w:cs="Times New Roman"/>
          <w:lang w:val="en-GB"/>
        </w:rPr>
        <w:t>“exercises authority or control over an individual” outside its</w:t>
      </w:r>
      <w:r w:rsidR="00F12FC6" w:rsidRPr="00E76806">
        <w:rPr>
          <w:rFonts w:ascii="Times New Roman" w:hAnsi="Times New Roman" w:cs="Times New Roman"/>
          <w:lang w:val="en-GB"/>
        </w:rPr>
        <w:t xml:space="preserve"> own</w:t>
      </w:r>
      <w:r w:rsidRPr="00E76806">
        <w:rPr>
          <w:rFonts w:ascii="Times New Roman" w:hAnsi="Times New Roman" w:cs="Times New Roman"/>
          <w:lang w:val="en-GB"/>
        </w:rPr>
        <w:t xml:space="preserve"> territory (the “personal” or “state agent authority and control” model of jurisdiction).</w:t>
      </w:r>
      <w:r w:rsidR="00471BBD" w:rsidRPr="00E76806">
        <w:rPr>
          <w:rStyle w:val="FootnoteReference"/>
          <w:rFonts w:ascii="Times New Roman" w:hAnsi="Times New Roman" w:cs="Times New Roman"/>
          <w:lang w:val="en-GB"/>
        </w:rPr>
        <w:footnoteReference w:id="5"/>
      </w:r>
      <w:r w:rsidRPr="00E76806">
        <w:rPr>
          <w:rFonts w:ascii="Times New Roman" w:hAnsi="Times New Roman" w:cs="Times New Roman"/>
          <w:lang w:val="en-GB"/>
        </w:rPr>
        <w:t xml:space="preserve"> </w:t>
      </w:r>
    </w:p>
    <w:p w:rsidR="005D224F" w:rsidRDefault="004B28F3" w:rsidP="00F001EC">
      <w:pPr>
        <w:spacing w:line="240" w:lineRule="auto"/>
        <w:jc w:val="both"/>
        <w:rPr>
          <w:rFonts w:ascii="Times New Roman" w:eastAsia="Times New Roman" w:hAnsi="Times New Roman" w:cs="Times New Roman"/>
          <w:lang w:val="en-GB"/>
        </w:rPr>
      </w:pPr>
      <w:r w:rsidRPr="00E76806">
        <w:rPr>
          <w:rFonts w:ascii="Times New Roman" w:eastAsia="Times New Roman" w:hAnsi="Times New Roman" w:cs="Times New Roman"/>
          <w:lang w:val="en-GB"/>
        </w:rPr>
        <w:t xml:space="preserve">3. </w:t>
      </w:r>
      <w:r w:rsidR="003F4667" w:rsidRPr="00E76806">
        <w:rPr>
          <w:rFonts w:ascii="Times New Roman" w:eastAsia="Times New Roman" w:hAnsi="Times New Roman" w:cs="Times New Roman"/>
          <w:lang w:val="en-GB"/>
        </w:rPr>
        <w:t>Given space constraints</w:t>
      </w:r>
      <w:r w:rsidR="00E076DD" w:rsidRPr="00E76806">
        <w:rPr>
          <w:rFonts w:ascii="Times New Roman" w:eastAsia="Times New Roman" w:hAnsi="Times New Roman" w:cs="Times New Roman"/>
          <w:lang w:val="en-GB"/>
        </w:rPr>
        <w:t>,</w:t>
      </w:r>
      <w:r w:rsidR="003F4667" w:rsidRPr="00E76806">
        <w:rPr>
          <w:rFonts w:ascii="Times New Roman" w:eastAsia="Times New Roman" w:hAnsi="Times New Roman" w:cs="Times New Roman"/>
          <w:lang w:val="en-GB"/>
        </w:rPr>
        <w:t xml:space="preserve"> it is beyond the scope of this submission to examine relevant authorities in detail.</w:t>
      </w:r>
      <w:r w:rsidR="003F4667" w:rsidRPr="00E76806">
        <w:rPr>
          <w:rStyle w:val="FootnoteReference"/>
          <w:rFonts w:ascii="Times New Roman" w:eastAsia="Times New Roman" w:hAnsi="Times New Roman" w:cs="Times New Roman"/>
          <w:lang w:val="en-GB"/>
        </w:rPr>
        <w:footnoteReference w:id="6"/>
      </w:r>
      <w:r w:rsidR="003F4667" w:rsidRPr="00E76806">
        <w:rPr>
          <w:rFonts w:ascii="Times New Roman" w:eastAsia="Times New Roman" w:hAnsi="Times New Roman" w:cs="Times New Roman"/>
          <w:lang w:val="en-GB"/>
        </w:rPr>
        <w:t xml:space="preserve"> </w:t>
      </w:r>
      <w:r w:rsidR="00402E77" w:rsidRPr="00E76806">
        <w:rPr>
          <w:rFonts w:ascii="Times New Roman" w:eastAsia="Times New Roman" w:hAnsi="Times New Roman" w:cs="Times New Roman"/>
          <w:lang w:val="en-GB"/>
        </w:rPr>
        <w:t>However, it can be s</w:t>
      </w:r>
      <w:r w:rsidR="008723E2">
        <w:rPr>
          <w:rFonts w:ascii="Times New Roman" w:eastAsia="Times New Roman" w:hAnsi="Times New Roman" w:cs="Times New Roman"/>
          <w:lang w:val="en-GB"/>
        </w:rPr>
        <w:t>urmised</w:t>
      </w:r>
      <w:r w:rsidR="00402E77" w:rsidRPr="00E76806">
        <w:rPr>
          <w:rFonts w:ascii="Times New Roman" w:eastAsia="Times New Roman" w:hAnsi="Times New Roman" w:cs="Times New Roman"/>
          <w:lang w:val="en-GB"/>
        </w:rPr>
        <w:t xml:space="preserve"> without significant doubt that, bar </w:t>
      </w:r>
      <w:r w:rsidR="00972987">
        <w:rPr>
          <w:rFonts w:ascii="Times New Roman" w:eastAsia="Times New Roman" w:hAnsi="Times New Roman" w:cs="Times New Roman"/>
          <w:lang w:val="en-GB"/>
        </w:rPr>
        <w:t xml:space="preserve">certain scenarios involving some </w:t>
      </w:r>
      <w:r w:rsidR="00972987">
        <w:rPr>
          <w:rFonts w:ascii="Times New Roman" w:eastAsia="Times New Roman" w:hAnsi="Times New Roman" w:cs="Times New Roman"/>
          <w:lang w:val="en-GB"/>
        </w:rPr>
        <w:lastRenderedPageBreak/>
        <w:t>kinds of</w:t>
      </w:r>
      <w:r w:rsidR="00402E77" w:rsidRPr="00E76806">
        <w:rPr>
          <w:rFonts w:ascii="Times New Roman" w:eastAsia="Times New Roman" w:hAnsi="Times New Roman" w:cs="Times New Roman"/>
          <w:lang w:val="en-GB"/>
        </w:rPr>
        <w:t xml:space="preserve"> state-owned enterprises, neither of the above exceptions to the rule that states parties’ jurisdiction under human rights treaties is territorial </w:t>
      </w:r>
      <w:r w:rsidR="006560B0">
        <w:rPr>
          <w:rFonts w:ascii="Times New Roman" w:eastAsia="Times New Roman" w:hAnsi="Times New Roman" w:cs="Times New Roman"/>
          <w:lang w:val="en-GB"/>
        </w:rPr>
        <w:t>applies</w:t>
      </w:r>
      <w:r w:rsidR="00972987">
        <w:rPr>
          <w:rFonts w:ascii="Times New Roman" w:eastAsia="Times New Roman" w:hAnsi="Times New Roman" w:cs="Times New Roman"/>
          <w:lang w:val="en-GB"/>
        </w:rPr>
        <w:t xml:space="preserve"> so as to establish home state jurisdiction in relation</w:t>
      </w:r>
      <w:r w:rsidR="006560B0">
        <w:rPr>
          <w:rFonts w:ascii="Times New Roman" w:eastAsia="Times New Roman" w:hAnsi="Times New Roman" w:cs="Times New Roman"/>
          <w:lang w:val="en-GB"/>
        </w:rPr>
        <w:t xml:space="preserve"> to the acts of </w:t>
      </w:r>
      <w:r w:rsidR="00402E77" w:rsidRPr="00E76806">
        <w:rPr>
          <w:rFonts w:ascii="Times New Roman" w:eastAsia="Times New Roman" w:hAnsi="Times New Roman" w:cs="Times New Roman"/>
          <w:lang w:val="en-GB"/>
        </w:rPr>
        <w:t>TNC</w:t>
      </w:r>
      <w:r w:rsidR="006560B0">
        <w:rPr>
          <w:rFonts w:ascii="Times New Roman" w:eastAsia="Times New Roman" w:hAnsi="Times New Roman" w:cs="Times New Roman"/>
          <w:lang w:val="en-GB"/>
        </w:rPr>
        <w:t>s in a host state</w:t>
      </w:r>
      <w:r w:rsidR="00402E77" w:rsidRPr="00E76806">
        <w:rPr>
          <w:rFonts w:ascii="Times New Roman" w:eastAsia="Times New Roman" w:hAnsi="Times New Roman" w:cs="Times New Roman"/>
          <w:lang w:val="en-GB"/>
        </w:rPr>
        <w:t>.</w:t>
      </w:r>
    </w:p>
    <w:p w:rsidR="00E76806" w:rsidRPr="00E76806" w:rsidRDefault="0024115D" w:rsidP="00F001EC">
      <w:pPr>
        <w:spacing w:line="240" w:lineRule="auto"/>
        <w:jc w:val="both"/>
        <w:rPr>
          <w:rFonts w:ascii="Times New Roman" w:eastAsia="Times New Roman" w:hAnsi="Times New Roman" w:cs="Times New Roman"/>
          <w:lang w:val="en-GB"/>
        </w:rPr>
      </w:pPr>
      <w:r w:rsidRPr="00D473AD">
        <w:rPr>
          <w:rFonts w:ascii="Times New Roman" w:eastAsia="Times New Roman" w:hAnsi="Times New Roman" w:cs="Times New Roman"/>
          <w:lang w:val="en-GB"/>
        </w:rPr>
        <w:t xml:space="preserve">4. </w:t>
      </w:r>
      <w:r w:rsidR="006560B0" w:rsidRPr="00D473AD">
        <w:rPr>
          <w:rFonts w:ascii="Times New Roman" w:eastAsia="Times New Roman" w:hAnsi="Times New Roman" w:cs="Times New Roman"/>
          <w:lang w:val="en-GB"/>
        </w:rPr>
        <w:t>T</w:t>
      </w:r>
      <w:r w:rsidR="00E76806" w:rsidRPr="00D473AD">
        <w:rPr>
          <w:rFonts w:ascii="Times New Roman" w:eastAsia="Times New Roman" w:hAnsi="Times New Roman" w:cs="Times New Roman"/>
          <w:lang w:val="en-GB"/>
        </w:rPr>
        <w:t>he ICESCR</w:t>
      </w:r>
      <w:r w:rsidR="006560B0" w:rsidRPr="00D473AD">
        <w:rPr>
          <w:rFonts w:ascii="Times New Roman" w:eastAsia="Times New Roman" w:hAnsi="Times New Roman" w:cs="Times New Roman"/>
          <w:lang w:val="en-GB"/>
        </w:rPr>
        <w:t xml:space="preserve"> </w:t>
      </w:r>
      <w:r w:rsidR="00E76806" w:rsidRPr="00D473AD">
        <w:rPr>
          <w:rFonts w:ascii="Times New Roman" w:eastAsia="Times New Roman" w:hAnsi="Times New Roman" w:cs="Times New Roman"/>
          <w:lang w:val="en-GB"/>
        </w:rPr>
        <w:t xml:space="preserve">contains no jurisdictional limitation. Nonetheless, general principles of international law, as well as the practice of states, lead </w:t>
      </w:r>
      <w:r w:rsidRPr="00D473AD">
        <w:rPr>
          <w:rFonts w:ascii="Times New Roman" w:eastAsia="Times New Roman" w:hAnsi="Times New Roman" w:cs="Times New Roman"/>
          <w:lang w:val="en-GB"/>
        </w:rPr>
        <w:t>to very similar results.</w:t>
      </w:r>
    </w:p>
    <w:p w:rsidR="008A6EEA" w:rsidRPr="00E76806" w:rsidRDefault="008A6EEA" w:rsidP="00F001EC">
      <w:pPr>
        <w:spacing w:line="240" w:lineRule="auto"/>
        <w:jc w:val="both"/>
        <w:rPr>
          <w:rFonts w:ascii="Times New Roman" w:eastAsia="Times New Roman" w:hAnsi="Times New Roman" w:cs="Times New Roman"/>
          <w:b/>
          <w:lang w:val="en-GB"/>
        </w:rPr>
      </w:pPr>
      <w:r w:rsidRPr="00E76806">
        <w:rPr>
          <w:rFonts w:ascii="Times New Roman" w:eastAsia="Times New Roman" w:hAnsi="Times New Roman" w:cs="Times New Roman"/>
          <w:b/>
          <w:lang w:val="en-GB"/>
        </w:rPr>
        <w:t xml:space="preserve">III. </w:t>
      </w:r>
      <w:r w:rsidR="000577AA">
        <w:rPr>
          <w:rFonts w:ascii="Times New Roman" w:eastAsia="Times New Roman" w:hAnsi="Times New Roman" w:cs="Times New Roman"/>
          <w:b/>
          <w:lang w:val="en-GB"/>
        </w:rPr>
        <w:t>At</w:t>
      </w:r>
      <w:r w:rsidR="00972987">
        <w:rPr>
          <w:rFonts w:ascii="Times New Roman" w:eastAsia="Times New Roman" w:hAnsi="Times New Roman" w:cs="Times New Roman"/>
          <w:b/>
          <w:lang w:val="en-GB"/>
        </w:rPr>
        <w:t>tribution</w:t>
      </w:r>
    </w:p>
    <w:p w:rsidR="008D78E7" w:rsidRDefault="001931C9" w:rsidP="00F001EC">
      <w:pPr>
        <w:spacing w:line="240" w:lineRule="auto"/>
        <w:jc w:val="both"/>
        <w:rPr>
          <w:rFonts w:ascii="Times New Roman" w:hAnsi="Times New Roman" w:cs="Times New Roman"/>
          <w:lang w:val="en-GB"/>
        </w:rPr>
      </w:pPr>
      <w:r w:rsidRPr="00E76806">
        <w:rPr>
          <w:rFonts w:ascii="Times New Roman" w:eastAsia="Times New Roman" w:hAnsi="Times New Roman" w:cs="Times New Roman"/>
          <w:lang w:val="en-GB"/>
        </w:rPr>
        <w:t>5</w:t>
      </w:r>
      <w:r w:rsidR="0024115D">
        <w:rPr>
          <w:rFonts w:ascii="Times New Roman" w:hAnsi="Times New Roman" w:cs="Times New Roman"/>
          <w:lang w:val="en-GB"/>
        </w:rPr>
        <w:t>. In the first place,</w:t>
      </w:r>
      <w:r w:rsidR="00F601CC" w:rsidRPr="00E76806">
        <w:rPr>
          <w:rFonts w:ascii="Times New Roman" w:hAnsi="Times New Roman" w:cs="Times New Roman"/>
          <w:lang w:val="en-GB"/>
        </w:rPr>
        <w:t xml:space="preserve"> </w:t>
      </w:r>
      <w:r w:rsidR="0024115D">
        <w:rPr>
          <w:rFonts w:ascii="Times New Roman" w:hAnsi="Times New Roman" w:cs="Times New Roman"/>
          <w:lang w:val="en-GB"/>
        </w:rPr>
        <w:t>it is axiomatic that a state is only responsible for acts or omissions which are both attributable to the state and in violation of an obligation binding on the state.</w:t>
      </w:r>
      <w:r w:rsidR="000F5C09">
        <w:rPr>
          <w:rStyle w:val="FootnoteReference"/>
          <w:rFonts w:ascii="Times New Roman" w:hAnsi="Times New Roman" w:cs="Times New Roman"/>
          <w:lang w:val="en-GB"/>
        </w:rPr>
        <w:footnoteReference w:id="7"/>
      </w:r>
      <w:r w:rsidR="0024115D">
        <w:rPr>
          <w:rFonts w:ascii="Times New Roman" w:hAnsi="Times New Roman" w:cs="Times New Roman"/>
          <w:lang w:val="en-GB"/>
        </w:rPr>
        <w:t xml:space="preserve"> Attribution of acts (or </w:t>
      </w:r>
      <w:r w:rsidR="0024115D" w:rsidRPr="002E7E55">
        <w:rPr>
          <w:rFonts w:ascii="Times New Roman" w:hAnsi="Times New Roman" w:cs="Times New Roman"/>
          <w:lang w:val="en-GB"/>
        </w:rPr>
        <w:t xml:space="preserve">omissions) </w:t>
      </w:r>
      <w:r w:rsidR="004D0AA7" w:rsidRPr="002E7E55">
        <w:rPr>
          <w:rFonts w:ascii="Times New Roman" w:hAnsi="Times New Roman" w:cs="Times New Roman"/>
          <w:lang w:val="en-GB"/>
        </w:rPr>
        <w:t>to states</w:t>
      </w:r>
      <w:r w:rsidR="0024115D" w:rsidRPr="002E7E55">
        <w:rPr>
          <w:rFonts w:ascii="Times New Roman" w:hAnsi="Times New Roman" w:cs="Times New Roman"/>
          <w:lang w:val="en-GB"/>
        </w:rPr>
        <w:t xml:space="preserve"> </w:t>
      </w:r>
      <w:r w:rsidR="004D0AA7" w:rsidRPr="002E7E55">
        <w:rPr>
          <w:rFonts w:ascii="Times New Roman" w:hAnsi="Times New Roman" w:cs="Times New Roman"/>
          <w:lang w:val="en-GB"/>
        </w:rPr>
        <w:t>is</w:t>
      </w:r>
      <w:r w:rsidR="0024115D" w:rsidRPr="002E7E55">
        <w:rPr>
          <w:rFonts w:ascii="Times New Roman" w:hAnsi="Times New Roman" w:cs="Times New Roman"/>
          <w:lang w:val="en-GB"/>
        </w:rPr>
        <w:t xml:space="preserve"> regulated by </w:t>
      </w:r>
      <w:r w:rsidR="00DF3886" w:rsidRPr="002E7E55">
        <w:rPr>
          <w:rFonts w:ascii="Times New Roman" w:hAnsi="Times New Roman" w:cs="Times New Roman"/>
          <w:lang w:val="en-GB"/>
        </w:rPr>
        <w:t>Articles 4</w:t>
      </w:r>
      <w:r w:rsidR="0083479F" w:rsidRPr="002E7E55">
        <w:rPr>
          <w:rFonts w:ascii="Times New Roman" w:hAnsi="Times New Roman" w:cs="Times New Roman"/>
          <w:lang w:val="en-GB"/>
        </w:rPr>
        <w:t xml:space="preserve"> to </w:t>
      </w:r>
      <w:r w:rsidR="004D0AA7" w:rsidRPr="002E7E55">
        <w:rPr>
          <w:rFonts w:ascii="Times New Roman" w:hAnsi="Times New Roman" w:cs="Times New Roman"/>
          <w:lang w:val="en-GB"/>
        </w:rPr>
        <w:t>11</w:t>
      </w:r>
      <w:r w:rsidR="00DF3886" w:rsidRPr="002E7E55">
        <w:rPr>
          <w:rFonts w:ascii="Times New Roman" w:hAnsi="Times New Roman" w:cs="Times New Roman"/>
          <w:lang w:val="en-GB"/>
        </w:rPr>
        <w:t xml:space="preserve"> of the ILC’s Articles on State Responsibility.</w:t>
      </w:r>
    </w:p>
    <w:p w:rsidR="00691B97" w:rsidRDefault="008D78E7" w:rsidP="00F001EC">
      <w:pPr>
        <w:spacing w:line="240" w:lineRule="auto"/>
        <w:jc w:val="both"/>
        <w:rPr>
          <w:rFonts w:ascii="Times New Roman" w:hAnsi="Times New Roman" w:cs="Times New Roman"/>
          <w:lang w:val="en-GB"/>
        </w:rPr>
      </w:pPr>
      <w:r>
        <w:rPr>
          <w:rFonts w:ascii="Times New Roman" w:hAnsi="Times New Roman" w:cs="Times New Roman"/>
          <w:lang w:val="en-GB"/>
        </w:rPr>
        <w:t xml:space="preserve">6. </w:t>
      </w:r>
      <w:r w:rsidRPr="00E76806">
        <w:rPr>
          <w:rFonts w:ascii="Times New Roman" w:hAnsi="Times New Roman" w:cs="Times New Roman"/>
          <w:lang w:val="en-GB"/>
        </w:rPr>
        <w:t xml:space="preserve">Article 4 provides that states are responsible for the acts of their organs, including </w:t>
      </w:r>
      <w:r w:rsidRPr="00F001EC">
        <w:rPr>
          <w:rFonts w:ascii="Times New Roman" w:hAnsi="Times New Roman" w:cs="Times New Roman"/>
          <w:lang w:val="en-GB"/>
        </w:rPr>
        <w:t xml:space="preserve">de facto </w:t>
      </w:r>
      <w:r w:rsidRPr="00E76806">
        <w:rPr>
          <w:rFonts w:ascii="Times New Roman" w:hAnsi="Times New Roman" w:cs="Times New Roman"/>
          <w:lang w:val="en-GB"/>
        </w:rPr>
        <w:t>organs</w:t>
      </w:r>
      <w:r>
        <w:rPr>
          <w:rFonts w:ascii="Times New Roman" w:hAnsi="Times New Roman" w:cs="Times New Roman"/>
          <w:lang w:val="en-GB"/>
        </w:rPr>
        <w:t xml:space="preserve">. </w:t>
      </w:r>
      <w:r w:rsidR="00DF3886" w:rsidRPr="00E76806">
        <w:rPr>
          <w:rFonts w:ascii="Times New Roman" w:hAnsi="Times New Roman" w:cs="Times New Roman"/>
          <w:lang w:val="en-GB"/>
        </w:rPr>
        <w:t>Article 8 provides that states are responsible for the acts of non-state actors whe</w:t>
      </w:r>
      <w:r w:rsidR="004D0AA7">
        <w:rPr>
          <w:rFonts w:ascii="Times New Roman" w:hAnsi="Times New Roman" w:cs="Times New Roman"/>
          <w:lang w:val="en-GB"/>
        </w:rPr>
        <w:t>re these are done under the state’s instructions or where</w:t>
      </w:r>
      <w:r w:rsidR="00DF3886" w:rsidRPr="00E76806">
        <w:rPr>
          <w:rFonts w:ascii="Times New Roman" w:hAnsi="Times New Roman" w:cs="Times New Roman"/>
          <w:lang w:val="en-GB"/>
        </w:rPr>
        <w:t xml:space="preserve"> the state</w:t>
      </w:r>
      <w:r w:rsidR="004D0AA7">
        <w:rPr>
          <w:rFonts w:ascii="Times New Roman" w:hAnsi="Times New Roman" w:cs="Times New Roman"/>
          <w:lang w:val="en-GB"/>
        </w:rPr>
        <w:t xml:space="preserve"> otherwise</w:t>
      </w:r>
      <w:r w:rsidR="00DF3886" w:rsidRPr="00E76806">
        <w:rPr>
          <w:rFonts w:ascii="Times New Roman" w:hAnsi="Times New Roman" w:cs="Times New Roman"/>
          <w:lang w:val="en-GB"/>
        </w:rPr>
        <w:t xml:space="preserve"> ‘directs or controls’ </w:t>
      </w:r>
      <w:r w:rsidR="0083479F">
        <w:rPr>
          <w:rFonts w:ascii="Times New Roman" w:hAnsi="Times New Roman" w:cs="Times New Roman"/>
          <w:lang w:val="en-GB"/>
        </w:rPr>
        <w:t>such</w:t>
      </w:r>
      <w:r w:rsidR="00DF3886" w:rsidRPr="00E76806">
        <w:rPr>
          <w:rFonts w:ascii="Times New Roman" w:hAnsi="Times New Roman" w:cs="Times New Roman"/>
          <w:lang w:val="en-GB"/>
        </w:rPr>
        <w:t xml:space="preserve"> actions</w:t>
      </w:r>
      <w:r w:rsidR="004D0AA7">
        <w:rPr>
          <w:rFonts w:ascii="Times New Roman" w:hAnsi="Times New Roman" w:cs="Times New Roman"/>
          <w:lang w:val="en-GB"/>
        </w:rPr>
        <w:t>.</w:t>
      </w:r>
      <w:r w:rsidR="000577AA" w:rsidRPr="00E76806">
        <w:rPr>
          <w:rStyle w:val="FootnoteReference"/>
          <w:rFonts w:ascii="Times New Roman" w:hAnsi="Times New Roman" w:cs="Times New Roman"/>
          <w:lang w:val="en-GB"/>
        </w:rPr>
        <w:footnoteReference w:id="8"/>
      </w:r>
      <w:r w:rsidR="00DF3886" w:rsidRPr="00E76806">
        <w:rPr>
          <w:rFonts w:ascii="Times New Roman" w:hAnsi="Times New Roman" w:cs="Times New Roman"/>
          <w:lang w:val="en-GB"/>
        </w:rPr>
        <w:t xml:space="preserve"> </w:t>
      </w:r>
    </w:p>
    <w:p w:rsidR="00F601CC" w:rsidRPr="00691B97" w:rsidRDefault="0083479F" w:rsidP="00F001EC">
      <w:pPr>
        <w:spacing w:line="240" w:lineRule="auto"/>
        <w:jc w:val="both"/>
        <w:rPr>
          <w:rFonts w:ascii="Times New Roman" w:hAnsi="Times New Roman" w:cs="Times New Roman"/>
          <w:lang w:val="en-GB"/>
        </w:rPr>
      </w:pPr>
      <w:r>
        <w:rPr>
          <w:rFonts w:ascii="Times New Roman" w:hAnsi="Times New Roman" w:cs="Times New Roman"/>
          <w:lang w:val="en-GB"/>
        </w:rPr>
        <w:t xml:space="preserve">7. </w:t>
      </w:r>
      <w:r w:rsidR="00F601CC" w:rsidRPr="00E76806">
        <w:rPr>
          <w:rFonts w:ascii="Times New Roman" w:hAnsi="Times New Roman" w:cs="Times New Roman"/>
          <w:lang w:val="en-GB"/>
        </w:rPr>
        <w:t xml:space="preserve"> </w:t>
      </w:r>
      <w:r w:rsidR="008D78E7">
        <w:rPr>
          <w:rFonts w:ascii="Times New Roman" w:hAnsi="Times New Roman" w:cs="Times New Roman"/>
          <w:lang w:val="en-GB"/>
        </w:rPr>
        <w:t>I</w:t>
      </w:r>
      <w:r w:rsidR="00F601CC" w:rsidRPr="00E76806">
        <w:rPr>
          <w:rFonts w:ascii="Times New Roman" w:hAnsi="Times New Roman" w:cs="Times New Roman"/>
          <w:lang w:val="en-GB"/>
        </w:rPr>
        <w:t xml:space="preserve">n </w:t>
      </w:r>
      <w:r w:rsidR="00DF3886" w:rsidRPr="00F001EC">
        <w:rPr>
          <w:rFonts w:ascii="Times New Roman" w:hAnsi="Times New Roman" w:cs="Times New Roman"/>
          <w:lang w:val="en-GB"/>
        </w:rPr>
        <w:t xml:space="preserve">Bosnian </w:t>
      </w:r>
      <w:r w:rsidR="00F601CC" w:rsidRPr="00F001EC">
        <w:rPr>
          <w:rFonts w:ascii="Times New Roman" w:hAnsi="Times New Roman" w:cs="Times New Roman"/>
          <w:lang w:val="en-GB"/>
        </w:rPr>
        <w:t>Genocide</w:t>
      </w:r>
      <w:r w:rsidR="008D78E7">
        <w:rPr>
          <w:rFonts w:ascii="Times New Roman" w:hAnsi="Times New Roman" w:cs="Times New Roman"/>
          <w:lang w:val="en-GB"/>
        </w:rPr>
        <w:t>,</w:t>
      </w:r>
      <w:r w:rsidR="00691B97">
        <w:rPr>
          <w:rFonts w:ascii="Times New Roman" w:hAnsi="Times New Roman" w:cs="Times New Roman"/>
          <w:lang w:val="en-GB"/>
        </w:rPr>
        <w:t xml:space="preserve"> the ICJ held that:</w:t>
      </w:r>
    </w:p>
    <w:p w:rsidR="0024115D" w:rsidRDefault="007728D0" w:rsidP="00F001EC">
      <w:pPr>
        <w:spacing w:line="240" w:lineRule="auto"/>
        <w:ind w:left="567"/>
        <w:jc w:val="both"/>
        <w:rPr>
          <w:rFonts w:ascii="Times New Roman" w:hAnsi="Times New Roman" w:cs="Times New Roman"/>
          <w:lang w:val="en-GB" w:eastAsia="da-DK"/>
        </w:rPr>
      </w:pPr>
      <w:r w:rsidRPr="00E76806">
        <w:rPr>
          <w:rFonts w:ascii="Times New Roman" w:hAnsi="Times New Roman" w:cs="Times New Roman"/>
          <w:lang w:val="en-GB" w:eastAsia="da-DK"/>
        </w:rPr>
        <w:t>“[A]</w:t>
      </w:r>
      <w:r w:rsidR="00F601CC" w:rsidRPr="00E76806">
        <w:rPr>
          <w:rFonts w:ascii="Times New Roman" w:hAnsi="Times New Roman" w:cs="Times New Roman"/>
          <w:lang w:val="en-GB" w:eastAsia="da-DK"/>
        </w:rPr>
        <w:t xml:space="preserve"> State is responsible only for its own </w:t>
      </w:r>
      <w:proofErr w:type="gramStart"/>
      <w:r w:rsidR="00F601CC" w:rsidRPr="00E76806">
        <w:rPr>
          <w:rFonts w:ascii="Times New Roman" w:hAnsi="Times New Roman" w:cs="Times New Roman"/>
          <w:lang w:val="en-GB" w:eastAsia="da-DK"/>
        </w:rPr>
        <w:t>conduct, that</w:t>
      </w:r>
      <w:proofErr w:type="gramEnd"/>
      <w:r w:rsidR="00F601CC" w:rsidRPr="00E76806">
        <w:rPr>
          <w:rFonts w:ascii="Times New Roman" w:hAnsi="Times New Roman" w:cs="Times New Roman"/>
          <w:lang w:val="en-GB" w:eastAsia="da-DK"/>
        </w:rPr>
        <w:t xml:space="preserve"> is to say the conduct of persons acting, on whatever basis, on its behalf. That is true of </w:t>
      </w:r>
      <w:r w:rsidR="00F601CC" w:rsidRPr="00F001EC">
        <w:rPr>
          <w:rFonts w:ascii="Times New Roman" w:hAnsi="Times New Roman" w:cs="Times New Roman"/>
          <w:lang w:val="en-GB" w:eastAsia="da-DK"/>
        </w:rPr>
        <w:t>acts carried out by its official organs</w:t>
      </w:r>
      <w:r w:rsidR="00F601CC" w:rsidRPr="00E76806">
        <w:rPr>
          <w:rFonts w:ascii="Times New Roman" w:hAnsi="Times New Roman" w:cs="Times New Roman"/>
          <w:lang w:val="en-GB" w:eastAsia="da-DK"/>
        </w:rPr>
        <w:t xml:space="preserve">, </w:t>
      </w:r>
      <w:r w:rsidR="00F601CC" w:rsidRPr="00F001EC">
        <w:rPr>
          <w:rFonts w:ascii="Times New Roman" w:hAnsi="Times New Roman" w:cs="Times New Roman"/>
          <w:lang w:val="en-GB" w:eastAsia="da-DK"/>
        </w:rPr>
        <w:t>and also by persons or entities which are not formally recognized as official organs under internal law but which must nevertheless be equated with State organs because they are in a relationship of complete dependence on the State</w:t>
      </w:r>
      <w:r w:rsidR="00F601CC" w:rsidRPr="00E76806">
        <w:rPr>
          <w:rFonts w:ascii="Times New Roman" w:hAnsi="Times New Roman" w:cs="Times New Roman"/>
          <w:lang w:val="en-GB" w:eastAsia="da-DK"/>
        </w:rPr>
        <w:t xml:space="preserve">. Apart from these cases, a State’s responsibility can be incurred for acts committed by persons or groups of persons — neither State organs nor to be equated with such organs — only if, assuming those acts to be internationally wrongful, they are attributable to it under the rule of customary international law reflected in Article 8 [of the ILC Articles on State Responsibility]…. This is so </w:t>
      </w:r>
      <w:r w:rsidR="00F601CC" w:rsidRPr="008704C7">
        <w:rPr>
          <w:rFonts w:ascii="Times New Roman" w:hAnsi="Times New Roman" w:cs="Times New Roman"/>
          <w:i/>
          <w:lang w:val="en-GB" w:eastAsia="da-DK"/>
        </w:rPr>
        <w:t>where an organ of the State gave the instructions or provided the direction pursuant to which the perpetrators of the wrongful act acted or where it exercised effective control over the action during which the wrong was committed</w:t>
      </w:r>
      <w:r w:rsidR="00F601CC" w:rsidRPr="00E76806">
        <w:rPr>
          <w:rFonts w:ascii="Times New Roman" w:hAnsi="Times New Roman" w:cs="Times New Roman"/>
          <w:lang w:val="en-GB" w:eastAsia="da-DK"/>
        </w:rPr>
        <w:t>.</w:t>
      </w:r>
      <w:r w:rsidR="008D78E7">
        <w:rPr>
          <w:rFonts w:ascii="Times New Roman" w:hAnsi="Times New Roman" w:cs="Times New Roman"/>
          <w:lang w:val="en-GB" w:eastAsia="da-DK"/>
        </w:rPr>
        <w:t>.</w:t>
      </w:r>
      <w:r w:rsidR="00F601CC" w:rsidRPr="00E76806">
        <w:rPr>
          <w:rFonts w:ascii="Times New Roman" w:hAnsi="Times New Roman" w:cs="Times New Roman"/>
          <w:lang w:val="en-GB" w:eastAsia="da-DK"/>
        </w:rPr>
        <w:t>.”</w:t>
      </w:r>
      <w:r w:rsidR="00F601CC" w:rsidRPr="00E76806">
        <w:rPr>
          <w:rStyle w:val="FootnoteReference"/>
          <w:rFonts w:ascii="Times New Roman" w:hAnsi="Times New Roman" w:cs="Times New Roman"/>
          <w:lang w:val="en-GB" w:eastAsia="da-DK"/>
        </w:rPr>
        <w:footnoteReference w:id="9"/>
      </w:r>
    </w:p>
    <w:p w:rsidR="001E2BC3" w:rsidRDefault="0083479F" w:rsidP="00F001EC">
      <w:pPr>
        <w:spacing w:line="240" w:lineRule="auto"/>
        <w:jc w:val="both"/>
        <w:rPr>
          <w:rFonts w:ascii="Times New Roman" w:hAnsi="Times New Roman" w:cs="Times New Roman"/>
          <w:lang w:val="en-GB" w:eastAsia="da-DK"/>
        </w:rPr>
      </w:pPr>
      <w:r>
        <w:rPr>
          <w:rFonts w:ascii="Times New Roman" w:hAnsi="Times New Roman" w:cs="Times New Roman"/>
          <w:lang w:val="en-GB" w:eastAsia="da-DK"/>
        </w:rPr>
        <w:t>8</w:t>
      </w:r>
      <w:r w:rsidR="0024115D">
        <w:rPr>
          <w:rFonts w:ascii="Times New Roman" w:hAnsi="Times New Roman" w:cs="Times New Roman"/>
          <w:lang w:val="en-GB" w:eastAsia="da-DK"/>
        </w:rPr>
        <w:t>. Except for certain state</w:t>
      </w:r>
      <w:r w:rsidR="00392D84">
        <w:rPr>
          <w:rFonts w:ascii="Times New Roman" w:hAnsi="Times New Roman" w:cs="Times New Roman"/>
          <w:lang w:val="en-GB" w:eastAsia="da-DK"/>
        </w:rPr>
        <w:t>-</w:t>
      </w:r>
      <w:r w:rsidR="0024115D">
        <w:rPr>
          <w:rFonts w:ascii="Times New Roman" w:hAnsi="Times New Roman" w:cs="Times New Roman"/>
          <w:lang w:val="en-GB" w:eastAsia="da-DK"/>
        </w:rPr>
        <w:t>owned enterprises</w:t>
      </w:r>
      <w:r w:rsidR="00384441">
        <w:rPr>
          <w:rFonts w:ascii="Times New Roman" w:hAnsi="Times New Roman" w:cs="Times New Roman"/>
          <w:lang w:val="en-GB" w:eastAsia="da-DK"/>
        </w:rPr>
        <w:t>, in certain</w:t>
      </w:r>
      <w:r w:rsidR="00392D84">
        <w:rPr>
          <w:rFonts w:ascii="Times New Roman" w:hAnsi="Times New Roman" w:cs="Times New Roman"/>
          <w:lang w:val="en-GB" w:eastAsia="da-DK"/>
        </w:rPr>
        <w:t xml:space="preserve"> limited</w:t>
      </w:r>
      <w:r w:rsidR="00384441">
        <w:rPr>
          <w:rFonts w:ascii="Times New Roman" w:hAnsi="Times New Roman" w:cs="Times New Roman"/>
          <w:lang w:val="en-GB" w:eastAsia="da-DK"/>
        </w:rPr>
        <w:t xml:space="preserve"> circumstances</w:t>
      </w:r>
      <w:r w:rsidR="0024115D">
        <w:rPr>
          <w:rFonts w:ascii="Times New Roman" w:hAnsi="Times New Roman" w:cs="Times New Roman"/>
          <w:lang w:val="en-GB" w:eastAsia="da-DK"/>
        </w:rPr>
        <w:t xml:space="preserve">, businesses cannot be assimilated to the status of de facto organs of the state, nor do they generally act under the </w:t>
      </w:r>
      <w:r w:rsidR="008D78E7">
        <w:rPr>
          <w:rFonts w:ascii="Times New Roman" w:hAnsi="Times New Roman" w:cs="Times New Roman"/>
          <w:lang w:val="en-GB" w:eastAsia="da-DK"/>
        </w:rPr>
        <w:t xml:space="preserve">instructions, </w:t>
      </w:r>
      <w:r w:rsidR="0024115D">
        <w:rPr>
          <w:rFonts w:ascii="Times New Roman" w:hAnsi="Times New Roman" w:cs="Times New Roman"/>
          <w:lang w:val="en-GB" w:eastAsia="da-DK"/>
        </w:rPr>
        <w:t xml:space="preserve">direction or control of states. </w:t>
      </w:r>
    </w:p>
    <w:p w:rsidR="00F601CC" w:rsidRPr="00E76806" w:rsidRDefault="0083479F" w:rsidP="00F001EC">
      <w:pPr>
        <w:spacing w:line="240" w:lineRule="auto"/>
        <w:jc w:val="both"/>
        <w:rPr>
          <w:rFonts w:ascii="Times New Roman" w:hAnsi="Times New Roman" w:cs="Times New Roman"/>
          <w:lang w:val="en-GB"/>
        </w:rPr>
      </w:pPr>
      <w:r>
        <w:rPr>
          <w:rFonts w:ascii="Times New Roman" w:hAnsi="Times New Roman" w:cs="Times New Roman"/>
          <w:lang w:val="en-GB" w:eastAsia="da-DK"/>
        </w:rPr>
        <w:t>9</w:t>
      </w:r>
      <w:r w:rsidR="001E2BC3">
        <w:rPr>
          <w:rFonts w:ascii="Times New Roman" w:hAnsi="Times New Roman" w:cs="Times New Roman"/>
          <w:lang w:val="en-GB" w:eastAsia="da-DK"/>
        </w:rPr>
        <w:t xml:space="preserve">. </w:t>
      </w:r>
      <w:r w:rsidR="0024115D">
        <w:rPr>
          <w:rFonts w:ascii="Times New Roman" w:hAnsi="Times New Roman" w:cs="Times New Roman"/>
          <w:lang w:val="en-GB" w:eastAsia="da-DK"/>
        </w:rPr>
        <w:t xml:space="preserve">This means that the only basis for a state to be responsible for </w:t>
      </w:r>
      <w:r w:rsidR="001E2BC3">
        <w:rPr>
          <w:rFonts w:ascii="Times New Roman" w:hAnsi="Times New Roman" w:cs="Times New Roman"/>
          <w:lang w:val="en-GB" w:eastAsia="da-DK"/>
        </w:rPr>
        <w:t xml:space="preserve">the </w:t>
      </w:r>
      <w:r w:rsidR="0024115D">
        <w:rPr>
          <w:rFonts w:ascii="Times New Roman" w:hAnsi="Times New Roman" w:cs="Times New Roman"/>
          <w:lang w:val="en-GB" w:eastAsia="da-DK"/>
        </w:rPr>
        <w:t xml:space="preserve">acts </w:t>
      </w:r>
      <w:r w:rsidR="001E2BC3">
        <w:rPr>
          <w:rFonts w:ascii="Times New Roman" w:hAnsi="Times New Roman" w:cs="Times New Roman"/>
          <w:lang w:val="en-GB" w:eastAsia="da-DK"/>
        </w:rPr>
        <w:t xml:space="preserve">of non-state actors not meeting these two criteria </w:t>
      </w:r>
      <w:r w:rsidR="0024115D">
        <w:rPr>
          <w:rFonts w:ascii="Times New Roman" w:hAnsi="Times New Roman" w:cs="Times New Roman"/>
          <w:lang w:val="en-GB" w:eastAsia="da-DK"/>
        </w:rPr>
        <w:t xml:space="preserve">is as a result of an omission constituting a violation of a positive obligation to </w:t>
      </w:r>
      <w:r w:rsidR="00384441">
        <w:rPr>
          <w:rFonts w:ascii="Times New Roman" w:hAnsi="Times New Roman" w:cs="Times New Roman"/>
          <w:lang w:val="en-GB" w:eastAsia="da-DK"/>
        </w:rPr>
        <w:t xml:space="preserve">do </w:t>
      </w:r>
      <w:r w:rsidR="001E2BC3">
        <w:rPr>
          <w:rFonts w:ascii="Times New Roman" w:hAnsi="Times New Roman" w:cs="Times New Roman"/>
          <w:lang w:val="en-GB" w:eastAsia="da-DK"/>
        </w:rPr>
        <w:t>the acts</w:t>
      </w:r>
      <w:r w:rsidR="00384441">
        <w:rPr>
          <w:rFonts w:ascii="Times New Roman" w:hAnsi="Times New Roman" w:cs="Times New Roman"/>
          <w:lang w:val="en-GB" w:eastAsia="da-DK"/>
        </w:rPr>
        <w:t xml:space="preserve"> in question</w:t>
      </w:r>
      <w:r w:rsidR="0024115D">
        <w:rPr>
          <w:rFonts w:ascii="Times New Roman" w:hAnsi="Times New Roman" w:cs="Times New Roman"/>
          <w:lang w:val="en-GB" w:eastAsia="da-DK"/>
        </w:rPr>
        <w:t>.</w:t>
      </w:r>
      <w:r w:rsidR="001E2BC3">
        <w:rPr>
          <w:rFonts w:ascii="Times New Roman" w:hAnsi="Times New Roman" w:cs="Times New Roman"/>
          <w:lang w:val="en-GB" w:eastAsia="da-DK"/>
        </w:rPr>
        <w:t xml:space="preserve"> The following explains why there are no such positive obligations in relation to extraterritorial acts by non-state actors.</w:t>
      </w:r>
    </w:p>
    <w:p w:rsidR="009447E7" w:rsidRPr="00E76806" w:rsidRDefault="009447E7" w:rsidP="00F001EC">
      <w:pPr>
        <w:keepNext/>
        <w:spacing w:line="240" w:lineRule="auto"/>
        <w:jc w:val="both"/>
        <w:rPr>
          <w:rFonts w:ascii="Times New Roman" w:eastAsia="Times New Roman" w:hAnsi="Times New Roman" w:cs="Times New Roman"/>
          <w:b/>
          <w:lang w:val="en-GB"/>
        </w:rPr>
      </w:pPr>
      <w:r w:rsidRPr="00E76806">
        <w:rPr>
          <w:rFonts w:ascii="Times New Roman" w:eastAsia="Times New Roman" w:hAnsi="Times New Roman" w:cs="Times New Roman"/>
          <w:b/>
          <w:lang w:val="en-GB"/>
        </w:rPr>
        <w:t>I</w:t>
      </w:r>
      <w:r w:rsidR="007728D0" w:rsidRPr="00E76806">
        <w:rPr>
          <w:rFonts w:ascii="Times New Roman" w:eastAsia="Times New Roman" w:hAnsi="Times New Roman" w:cs="Times New Roman"/>
          <w:b/>
          <w:lang w:val="en-GB"/>
        </w:rPr>
        <w:t>V</w:t>
      </w:r>
      <w:r w:rsidRPr="00E76806">
        <w:rPr>
          <w:rFonts w:ascii="Times New Roman" w:eastAsia="Times New Roman" w:hAnsi="Times New Roman" w:cs="Times New Roman"/>
          <w:b/>
          <w:lang w:val="en-GB"/>
        </w:rPr>
        <w:t>. Positive obligations</w:t>
      </w:r>
    </w:p>
    <w:p w:rsidR="0024115D" w:rsidRDefault="0083479F" w:rsidP="00F001EC">
      <w:pPr>
        <w:spacing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10</w:t>
      </w:r>
      <w:r w:rsidR="00742DB7" w:rsidRPr="00E76806">
        <w:rPr>
          <w:rFonts w:ascii="Times New Roman" w:eastAsia="Times New Roman" w:hAnsi="Times New Roman" w:cs="Times New Roman"/>
          <w:lang w:val="en-GB"/>
        </w:rPr>
        <w:t xml:space="preserve">. </w:t>
      </w:r>
      <w:r w:rsidR="00CA0F04" w:rsidRPr="00E76806">
        <w:rPr>
          <w:rFonts w:ascii="Times New Roman" w:eastAsia="Times New Roman" w:hAnsi="Times New Roman" w:cs="Times New Roman"/>
          <w:lang w:val="en-GB"/>
        </w:rPr>
        <w:t>Positive obligations may require states to protect rights-holders against abuses committed by private persons or entities, for instance, through deterrent measures, such as legislation,</w:t>
      </w:r>
      <w:r w:rsidR="00457E2F" w:rsidRPr="00E76806">
        <w:rPr>
          <w:rFonts w:ascii="Times New Roman" w:eastAsia="Times New Roman" w:hAnsi="Times New Roman" w:cs="Times New Roman"/>
          <w:lang w:val="en-GB"/>
        </w:rPr>
        <w:t xml:space="preserve"> </w:t>
      </w:r>
      <w:r w:rsidR="00CA0F04" w:rsidRPr="00E76806">
        <w:rPr>
          <w:rFonts w:ascii="Times New Roman" w:eastAsia="Times New Roman" w:hAnsi="Times New Roman" w:cs="Times New Roman"/>
          <w:lang w:val="en-GB"/>
        </w:rPr>
        <w:t xml:space="preserve">policies or operational </w:t>
      </w:r>
      <w:r w:rsidR="006F1153">
        <w:rPr>
          <w:rFonts w:ascii="Times New Roman" w:eastAsia="Times New Roman" w:hAnsi="Times New Roman" w:cs="Times New Roman"/>
          <w:lang w:val="en-GB"/>
        </w:rPr>
        <w:t>steps</w:t>
      </w:r>
      <w:r w:rsidR="006F1153" w:rsidRPr="00E76806">
        <w:rPr>
          <w:rFonts w:ascii="Times New Roman" w:eastAsia="Times New Roman" w:hAnsi="Times New Roman" w:cs="Times New Roman"/>
          <w:lang w:val="en-GB"/>
        </w:rPr>
        <w:t xml:space="preserve"> </w:t>
      </w:r>
      <w:r w:rsidR="00CA0F04" w:rsidRPr="00E76806">
        <w:rPr>
          <w:rFonts w:ascii="Times New Roman" w:eastAsia="Times New Roman" w:hAnsi="Times New Roman" w:cs="Times New Roman"/>
          <w:lang w:val="en-GB"/>
        </w:rPr>
        <w:lastRenderedPageBreak/>
        <w:t>in the case of specific known threats.</w:t>
      </w:r>
      <w:r w:rsidR="00457E2F" w:rsidRPr="00E76806">
        <w:rPr>
          <w:rStyle w:val="FootnoteReference"/>
          <w:rFonts w:ascii="Times New Roman" w:eastAsia="Times New Roman" w:hAnsi="Times New Roman" w:cs="Times New Roman"/>
          <w:lang w:val="en-GB"/>
        </w:rPr>
        <w:footnoteReference w:id="10"/>
      </w:r>
      <w:r w:rsidR="00CA0F04" w:rsidRPr="00E76806">
        <w:rPr>
          <w:rFonts w:ascii="Times New Roman" w:eastAsia="Times New Roman" w:hAnsi="Times New Roman" w:cs="Times New Roman"/>
          <w:lang w:val="en-GB"/>
        </w:rPr>
        <w:t xml:space="preserve">  </w:t>
      </w:r>
      <w:r w:rsidR="00457E2F" w:rsidRPr="00E76806">
        <w:rPr>
          <w:rFonts w:ascii="Times New Roman" w:eastAsia="Times New Roman" w:hAnsi="Times New Roman" w:cs="Times New Roman"/>
          <w:lang w:val="en-GB"/>
        </w:rPr>
        <w:t xml:space="preserve">It is also true that </w:t>
      </w:r>
      <w:r w:rsidR="00CA0F04" w:rsidRPr="00E76806">
        <w:rPr>
          <w:rFonts w:ascii="Times New Roman" w:eastAsia="Times New Roman" w:hAnsi="Times New Roman" w:cs="Times New Roman"/>
          <w:lang w:val="en-GB"/>
        </w:rPr>
        <w:t>complicity or</w:t>
      </w:r>
      <w:r w:rsidR="00CA0F04" w:rsidRPr="00E76806">
        <w:rPr>
          <w:rFonts w:ascii="Times New Roman" w:eastAsia="Times New Roman" w:hAnsi="Times New Roman" w:cs="Times New Roman"/>
          <w:b/>
          <w:lang w:val="en-GB"/>
        </w:rPr>
        <w:t xml:space="preserve"> </w:t>
      </w:r>
      <w:r w:rsidR="00CA0F04" w:rsidRPr="00E76806">
        <w:rPr>
          <w:rFonts w:ascii="Times New Roman" w:eastAsia="Times New Roman" w:hAnsi="Times New Roman" w:cs="Times New Roman"/>
          <w:lang w:val="en-GB"/>
        </w:rPr>
        <w:t>acquiescence with the acts of individuals can</w:t>
      </w:r>
      <w:r w:rsidR="00457E2F" w:rsidRPr="00E76806">
        <w:rPr>
          <w:rFonts w:ascii="Times New Roman" w:eastAsia="Times New Roman" w:hAnsi="Times New Roman" w:cs="Times New Roman"/>
          <w:lang w:val="en-GB"/>
        </w:rPr>
        <w:t xml:space="preserve">, </w:t>
      </w:r>
      <w:r w:rsidR="00CA0F04" w:rsidRPr="00E76806">
        <w:rPr>
          <w:rFonts w:ascii="Times New Roman" w:eastAsia="Times New Roman" w:hAnsi="Times New Roman" w:cs="Times New Roman"/>
          <w:lang w:val="en-GB"/>
        </w:rPr>
        <w:t xml:space="preserve">by virtue of positive obligations, </w:t>
      </w:r>
      <w:r w:rsidR="00457E2F" w:rsidRPr="00E76806">
        <w:rPr>
          <w:rFonts w:ascii="Times New Roman" w:eastAsia="Times New Roman" w:hAnsi="Times New Roman" w:cs="Times New Roman"/>
          <w:lang w:val="en-GB"/>
        </w:rPr>
        <w:t xml:space="preserve">in certain circumstances </w:t>
      </w:r>
      <w:r w:rsidR="00CA0F04" w:rsidRPr="00E76806">
        <w:rPr>
          <w:rFonts w:ascii="Times New Roman" w:eastAsia="Times New Roman" w:hAnsi="Times New Roman" w:cs="Times New Roman"/>
          <w:lang w:val="en-GB"/>
        </w:rPr>
        <w:t>engage state responsibility.</w:t>
      </w:r>
      <w:r w:rsidR="00CA0F04" w:rsidRPr="00E76806">
        <w:rPr>
          <w:rFonts w:ascii="Times New Roman" w:eastAsia="Times New Roman" w:hAnsi="Times New Roman" w:cs="Times New Roman"/>
          <w:vertAlign w:val="superscript"/>
          <w:lang w:val="en-GB"/>
        </w:rPr>
        <w:footnoteReference w:id="11"/>
      </w:r>
      <w:r w:rsidR="00457E2F" w:rsidRPr="00E76806">
        <w:rPr>
          <w:rFonts w:ascii="Times New Roman" w:eastAsia="Times New Roman" w:hAnsi="Times New Roman" w:cs="Times New Roman"/>
          <w:lang w:val="en-GB"/>
        </w:rPr>
        <w:t xml:space="preserve"> </w:t>
      </w:r>
    </w:p>
    <w:p w:rsidR="007A1F06" w:rsidRPr="00E76806" w:rsidRDefault="0083479F" w:rsidP="00F001EC">
      <w:pPr>
        <w:spacing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11</w:t>
      </w:r>
      <w:r w:rsidR="0024115D">
        <w:rPr>
          <w:rFonts w:ascii="Times New Roman" w:eastAsia="Times New Roman" w:hAnsi="Times New Roman" w:cs="Times New Roman"/>
          <w:lang w:val="en-GB"/>
        </w:rPr>
        <w:t xml:space="preserve">. </w:t>
      </w:r>
      <w:r w:rsidR="007A6B98" w:rsidRPr="00E76806">
        <w:rPr>
          <w:rFonts w:ascii="Times New Roman" w:eastAsia="Times New Roman" w:hAnsi="Times New Roman" w:cs="Times New Roman"/>
          <w:lang w:val="en-GB"/>
        </w:rPr>
        <w:t xml:space="preserve">But </w:t>
      </w:r>
      <w:r w:rsidR="001931C9" w:rsidRPr="00E76806">
        <w:rPr>
          <w:rFonts w:ascii="Times New Roman" w:eastAsia="Times New Roman" w:hAnsi="Times New Roman" w:cs="Times New Roman"/>
          <w:lang w:val="en-GB"/>
        </w:rPr>
        <w:t xml:space="preserve">the fact that some </w:t>
      </w:r>
      <w:r w:rsidR="00457E2F" w:rsidRPr="00E76806">
        <w:rPr>
          <w:rFonts w:ascii="Times New Roman" w:eastAsia="Times New Roman" w:hAnsi="Times New Roman" w:cs="Times New Roman"/>
          <w:lang w:val="en-GB"/>
        </w:rPr>
        <w:t xml:space="preserve">positive obligations </w:t>
      </w:r>
      <w:r w:rsidR="001931C9" w:rsidRPr="00E76806">
        <w:rPr>
          <w:rFonts w:ascii="Times New Roman" w:eastAsia="Times New Roman" w:hAnsi="Times New Roman" w:cs="Times New Roman"/>
          <w:lang w:val="en-GB"/>
        </w:rPr>
        <w:t xml:space="preserve">require states </w:t>
      </w:r>
      <w:r w:rsidR="00457E2F" w:rsidRPr="00E76806">
        <w:rPr>
          <w:rFonts w:ascii="Times New Roman" w:eastAsia="Times New Roman" w:hAnsi="Times New Roman" w:cs="Times New Roman"/>
          <w:lang w:val="en-GB"/>
        </w:rPr>
        <w:t>to prevent</w:t>
      </w:r>
      <w:r w:rsidR="006F1153">
        <w:rPr>
          <w:rFonts w:ascii="Times New Roman" w:eastAsia="Times New Roman" w:hAnsi="Times New Roman" w:cs="Times New Roman"/>
          <w:lang w:val="en-GB"/>
        </w:rPr>
        <w:t xml:space="preserve"> human rights</w:t>
      </w:r>
      <w:r w:rsidR="00457E2F" w:rsidRPr="00E76806">
        <w:rPr>
          <w:rFonts w:ascii="Times New Roman" w:eastAsia="Times New Roman" w:hAnsi="Times New Roman" w:cs="Times New Roman"/>
          <w:lang w:val="en-GB"/>
        </w:rPr>
        <w:t xml:space="preserve"> abuses by non-state actors </w:t>
      </w:r>
      <w:r w:rsidR="00457E2F" w:rsidRPr="00F001EC">
        <w:rPr>
          <w:rFonts w:ascii="Times New Roman" w:eastAsia="Times New Roman" w:hAnsi="Times New Roman" w:cs="Times New Roman"/>
          <w:lang w:val="en-GB"/>
        </w:rPr>
        <w:t xml:space="preserve">within </w:t>
      </w:r>
      <w:r w:rsidR="00457E2F" w:rsidRPr="00E76806">
        <w:rPr>
          <w:rFonts w:ascii="Times New Roman" w:eastAsia="Times New Roman" w:hAnsi="Times New Roman" w:cs="Times New Roman"/>
          <w:lang w:val="en-GB"/>
        </w:rPr>
        <w:t>the</w:t>
      </w:r>
      <w:r w:rsidR="001931C9" w:rsidRPr="00E76806">
        <w:rPr>
          <w:rFonts w:ascii="Times New Roman" w:eastAsia="Times New Roman" w:hAnsi="Times New Roman" w:cs="Times New Roman"/>
          <w:lang w:val="en-GB"/>
        </w:rPr>
        <w:t xml:space="preserve">ir </w:t>
      </w:r>
      <w:r w:rsidR="001E2BC3">
        <w:rPr>
          <w:rFonts w:ascii="Times New Roman" w:eastAsia="Times New Roman" w:hAnsi="Times New Roman" w:cs="Times New Roman"/>
          <w:lang w:val="en-GB"/>
        </w:rPr>
        <w:t>territorial jurisdiction</w:t>
      </w:r>
      <w:r w:rsidR="001E2BC3" w:rsidRPr="00E76806">
        <w:rPr>
          <w:rFonts w:ascii="Times New Roman" w:eastAsia="Times New Roman" w:hAnsi="Times New Roman" w:cs="Times New Roman"/>
          <w:lang w:val="en-GB"/>
        </w:rPr>
        <w:t xml:space="preserve"> </w:t>
      </w:r>
      <w:r w:rsidR="006560B0">
        <w:rPr>
          <w:rFonts w:ascii="Times New Roman" w:eastAsia="Times New Roman" w:hAnsi="Times New Roman" w:cs="Times New Roman"/>
          <w:lang w:val="en-GB"/>
        </w:rPr>
        <w:t xml:space="preserve">does not entail any obligation </w:t>
      </w:r>
      <w:r w:rsidR="00457E2F" w:rsidRPr="00E76806">
        <w:rPr>
          <w:rFonts w:ascii="Times New Roman" w:eastAsia="Times New Roman" w:hAnsi="Times New Roman" w:cs="Times New Roman"/>
          <w:lang w:val="en-GB"/>
        </w:rPr>
        <w:t xml:space="preserve">to regulate </w:t>
      </w:r>
      <w:r w:rsidR="001931C9" w:rsidRPr="00E76806">
        <w:rPr>
          <w:rFonts w:ascii="Times New Roman" w:eastAsia="Times New Roman" w:hAnsi="Times New Roman" w:cs="Times New Roman"/>
          <w:lang w:val="en-GB"/>
        </w:rPr>
        <w:t xml:space="preserve">the </w:t>
      </w:r>
      <w:r w:rsidR="00457E2F" w:rsidRPr="00E76806">
        <w:rPr>
          <w:rFonts w:ascii="Times New Roman" w:eastAsia="Times New Roman" w:hAnsi="Times New Roman" w:cs="Times New Roman"/>
          <w:lang w:val="en-GB"/>
        </w:rPr>
        <w:t>activities of TNCs abroad</w:t>
      </w:r>
      <w:r w:rsidR="006F1153">
        <w:rPr>
          <w:rFonts w:ascii="Times New Roman" w:eastAsia="Times New Roman" w:hAnsi="Times New Roman" w:cs="Times New Roman"/>
          <w:lang w:val="en-GB"/>
        </w:rPr>
        <w:t>, as a matter of law</w:t>
      </w:r>
      <w:r w:rsidR="00457E2F" w:rsidRPr="00E76806">
        <w:rPr>
          <w:rFonts w:ascii="Times New Roman" w:eastAsia="Times New Roman" w:hAnsi="Times New Roman" w:cs="Times New Roman"/>
          <w:lang w:val="en-GB"/>
        </w:rPr>
        <w:t xml:space="preserve">. </w:t>
      </w:r>
      <w:r w:rsidR="001E2BC3">
        <w:rPr>
          <w:rFonts w:ascii="Times New Roman" w:eastAsia="Times New Roman" w:hAnsi="Times New Roman" w:cs="Times New Roman"/>
          <w:lang w:val="en-GB"/>
        </w:rPr>
        <w:t xml:space="preserve">This </w:t>
      </w:r>
      <w:r w:rsidR="006F1153">
        <w:rPr>
          <w:rFonts w:ascii="Times New Roman" w:eastAsia="Times New Roman" w:hAnsi="Times New Roman" w:cs="Times New Roman"/>
          <w:lang w:val="en-GB"/>
        </w:rPr>
        <w:t>is the position reflected in the UN Guiding Principles on Business and Human Rights</w:t>
      </w:r>
      <w:r w:rsidR="001E2BC3">
        <w:rPr>
          <w:rFonts w:ascii="Times New Roman" w:eastAsia="Times New Roman" w:hAnsi="Times New Roman" w:cs="Times New Roman"/>
          <w:lang w:val="en-GB"/>
        </w:rPr>
        <w:t xml:space="preserve"> and, it is submitted, </w:t>
      </w:r>
      <w:r w:rsidR="006F1153">
        <w:rPr>
          <w:rFonts w:ascii="Times New Roman" w:eastAsia="Times New Roman" w:hAnsi="Times New Roman" w:cs="Times New Roman"/>
          <w:lang w:val="en-GB"/>
        </w:rPr>
        <w:t>one which remains</w:t>
      </w:r>
      <w:r w:rsidR="001E2BC3">
        <w:rPr>
          <w:rFonts w:ascii="Times New Roman" w:eastAsia="Times New Roman" w:hAnsi="Times New Roman" w:cs="Times New Roman"/>
          <w:lang w:val="en-GB"/>
        </w:rPr>
        <w:t xml:space="preserve"> correct.</w:t>
      </w:r>
    </w:p>
    <w:p w:rsidR="003602D3" w:rsidRPr="00E76806" w:rsidRDefault="0083479F" w:rsidP="00F001EC">
      <w:pPr>
        <w:spacing w:line="240" w:lineRule="auto"/>
        <w:jc w:val="both"/>
        <w:rPr>
          <w:rFonts w:ascii="Times New Roman" w:hAnsi="Times New Roman" w:cs="Times New Roman"/>
          <w:lang w:val="en-GB"/>
        </w:rPr>
      </w:pPr>
      <w:r>
        <w:rPr>
          <w:rFonts w:ascii="Times New Roman" w:eastAsia="Times New Roman" w:hAnsi="Times New Roman" w:cs="Times New Roman"/>
          <w:lang w:val="en-GB"/>
        </w:rPr>
        <w:t>12</w:t>
      </w:r>
      <w:r w:rsidR="007A1F06" w:rsidRPr="00E76806">
        <w:rPr>
          <w:rFonts w:ascii="Times New Roman" w:eastAsia="Times New Roman" w:hAnsi="Times New Roman" w:cs="Times New Roman"/>
          <w:lang w:val="en-GB"/>
        </w:rPr>
        <w:t xml:space="preserve">. </w:t>
      </w:r>
      <w:r w:rsidR="001E2BC3">
        <w:rPr>
          <w:rFonts w:ascii="Times New Roman" w:eastAsia="Times New Roman" w:hAnsi="Times New Roman" w:cs="Times New Roman"/>
          <w:lang w:val="en-GB"/>
        </w:rPr>
        <w:t>Put in human rights terms, one reason</w:t>
      </w:r>
      <w:r w:rsidR="006F1153">
        <w:rPr>
          <w:rFonts w:ascii="Times New Roman" w:eastAsia="Times New Roman" w:hAnsi="Times New Roman" w:cs="Times New Roman"/>
          <w:lang w:val="en-GB"/>
        </w:rPr>
        <w:t xml:space="preserve"> for this</w:t>
      </w:r>
      <w:r w:rsidR="001E2BC3">
        <w:rPr>
          <w:rFonts w:ascii="Times New Roman" w:eastAsia="Times New Roman" w:hAnsi="Times New Roman" w:cs="Times New Roman"/>
          <w:lang w:val="en-GB"/>
        </w:rPr>
        <w:t xml:space="preserve"> is t</w:t>
      </w:r>
      <w:r w:rsidR="00457E2F" w:rsidRPr="00E76806">
        <w:rPr>
          <w:rFonts w:ascii="Times New Roman" w:eastAsia="Times New Roman" w:hAnsi="Times New Roman" w:cs="Times New Roman"/>
          <w:lang w:val="en-GB"/>
        </w:rPr>
        <w:t>he requirement of the existence of a “sufficient nexus”</w:t>
      </w:r>
      <w:r w:rsidR="000D074D" w:rsidRPr="00E76806">
        <w:rPr>
          <w:rFonts w:ascii="Times New Roman" w:eastAsia="Times New Roman" w:hAnsi="Times New Roman" w:cs="Times New Roman"/>
          <w:lang w:val="en-GB"/>
        </w:rPr>
        <w:t>,</w:t>
      </w:r>
      <w:r w:rsidR="000D074D" w:rsidRPr="00E76806">
        <w:rPr>
          <w:rStyle w:val="FootnoteReference"/>
          <w:rFonts w:ascii="Times New Roman" w:eastAsia="Times New Roman" w:hAnsi="Times New Roman" w:cs="Times New Roman"/>
          <w:lang w:val="en-GB"/>
        </w:rPr>
        <w:footnoteReference w:id="12"/>
      </w:r>
      <w:r w:rsidR="00384441">
        <w:rPr>
          <w:rFonts w:ascii="Times New Roman" w:eastAsia="Times New Roman" w:hAnsi="Times New Roman" w:cs="Times New Roman"/>
          <w:lang w:val="en-GB"/>
        </w:rPr>
        <w:t xml:space="preserve"> </w:t>
      </w:r>
      <w:r w:rsidR="006F1153">
        <w:rPr>
          <w:rFonts w:ascii="Times New Roman" w:eastAsia="Times New Roman" w:hAnsi="Times New Roman" w:cs="Times New Roman"/>
          <w:lang w:val="en-GB"/>
        </w:rPr>
        <w:t xml:space="preserve">that is, the </w:t>
      </w:r>
      <w:r w:rsidR="00384441">
        <w:rPr>
          <w:rFonts w:ascii="Times New Roman" w:eastAsia="Times New Roman" w:hAnsi="Times New Roman" w:cs="Times New Roman"/>
          <w:lang w:val="en-GB"/>
        </w:rPr>
        <w:t>requirement that</w:t>
      </w:r>
      <w:r w:rsidR="000D074D" w:rsidRPr="00E76806">
        <w:rPr>
          <w:rFonts w:ascii="Times New Roman" w:eastAsia="Times New Roman" w:hAnsi="Times New Roman" w:cs="Times New Roman"/>
          <w:lang w:val="en-GB"/>
        </w:rPr>
        <w:t xml:space="preserve"> the defaults of the state or specific public actors should have “sufficiently direct repercussions”</w:t>
      </w:r>
      <w:r w:rsidR="000D074D" w:rsidRPr="00E76806">
        <w:rPr>
          <w:rStyle w:val="FootnoteReference"/>
          <w:rFonts w:ascii="Times New Roman" w:eastAsia="Times New Roman" w:hAnsi="Times New Roman" w:cs="Times New Roman"/>
          <w:lang w:val="en-GB"/>
        </w:rPr>
        <w:footnoteReference w:id="13"/>
      </w:r>
      <w:r w:rsidR="000D074D" w:rsidRPr="00E76806">
        <w:rPr>
          <w:rFonts w:ascii="Times New Roman" w:eastAsia="Times New Roman" w:hAnsi="Times New Roman" w:cs="Times New Roman"/>
          <w:lang w:val="en-GB"/>
        </w:rPr>
        <w:t xml:space="preserve"> on human rights</w:t>
      </w:r>
      <w:r w:rsidR="00384441">
        <w:rPr>
          <w:rFonts w:ascii="Times New Roman" w:eastAsia="Times New Roman" w:hAnsi="Times New Roman" w:cs="Times New Roman"/>
          <w:lang w:val="en-GB"/>
        </w:rPr>
        <w:t>,</w:t>
      </w:r>
      <w:r w:rsidR="00BD630A" w:rsidRPr="00E76806">
        <w:rPr>
          <w:rFonts w:ascii="Times New Roman" w:eastAsia="Times New Roman" w:hAnsi="Times New Roman" w:cs="Times New Roman"/>
          <w:lang w:val="en-GB"/>
        </w:rPr>
        <w:t xml:space="preserve"> </w:t>
      </w:r>
      <w:r w:rsidR="00BD630A" w:rsidRPr="00E76806">
        <w:rPr>
          <w:rFonts w:ascii="Times New Roman" w:hAnsi="Times New Roman" w:cs="Times New Roman"/>
          <w:lang w:val="en-GB"/>
        </w:rPr>
        <w:t xml:space="preserve">given the </w:t>
      </w:r>
      <w:r w:rsidR="007A1F06" w:rsidRPr="00E76806">
        <w:rPr>
          <w:rFonts w:ascii="Times New Roman" w:hAnsi="Times New Roman" w:cs="Times New Roman"/>
          <w:lang w:val="en-GB"/>
        </w:rPr>
        <w:t>intervention</w:t>
      </w:r>
      <w:r w:rsidR="00BD630A" w:rsidRPr="00E76806">
        <w:rPr>
          <w:rFonts w:ascii="Times New Roman" w:hAnsi="Times New Roman" w:cs="Times New Roman"/>
          <w:lang w:val="en-GB"/>
        </w:rPr>
        <w:t>, between the home state and offending TNC activities</w:t>
      </w:r>
      <w:r w:rsidR="007A1F06" w:rsidRPr="00E76806">
        <w:rPr>
          <w:rFonts w:ascii="Times New Roman" w:hAnsi="Times New Roman" w:cs="Times New Roman"/>
          <w:lang w:val="en-GB"/>
        </w:rPr>
        <w:t>, of host state</w:t>
      </w:r>
      <w:r w:rsidR="00BD630A" w:rsidRPr="00E76806">
        <w:rPr>
          <w:rFonts w:ascii="Times New Roman" w:hAnsi="Times New Roman" w:cs="Times New Roman"/>
          <w:lang w:val="en-GB"/>
        </w:rPr>
        <w:t xml:space="preserve"> laws and regulating authorities, as well, in m</w:t>
      </w:r>
      <w:r w:rsidR="000D074D" w:rsidRPr="00E76806">
        <w:rPr>
          <w:rFonts w:ascii="Times New Roman" w:hAnsi="Times New Roman" w:cs="Times New Roman"/>
          <w:lang w:val="en-GB"/>
        </w:rPr>
        <w:t>any</w:t>
      </w:r>
      <w:r w:rsidR="00BD630A" w:rsidRPr="00E76806">
        <w:rPr>
          <w:rFonts w:ascii="Times New Roman" w:hAnsi="Times New Roman" w:cs="Times New Roman"/>
          <w:lang w:val="en-GB"/>
        </w:rPr>
        <w:t xml:space="preserve"> cases, as a </w:t>
      </w:r>
      <w:r w:rsidR="000D074D" w:rsidRPr="00E76806">
        <w:rPr>
          <w:rFonts w:ascii="Times New Roman" w:hAnsi="Times New Roman" w:cs="Times New Roman"/>
          <w:lang w:val="en-GB"/>
        </w:rPr>
        <w:t>“</w:t>
      </w:r>
      <w:r w:rsidR="00BD630A" w:rsidRPr="00E76806">
        <w:rPr>
          <w:rFonts w:ascii="Times New Roman" w:hAnsi="Times New Roman" w:cs="Times New Roman"/>
          <w:lang w:val="en-GB"/>
        </w:rPr>
        <w:t>corporate veil” of some form or other</w:t>
      </w:r>
      <w:r w:rsidR="000D074D" w:rsidRPr="00E76806">
        <w:rPr>
          <w:rFonts w:ascii="Times New Roman" w:hAnsi="Times New Roman" w:cs="Times New Roman"/>
          <w:lang w:val="en-GB"/>
        </w:rPr>
        <w:t xml:space="preserve"> between home and host-country corporate entities</w:t>
      </w:r>
      <w:r w:rsidR="00BD630A" w:rsidRPr="00E76806">
        <w:rPr>
          <w:rFonts w:ascii="Times New Roman" w:hAnsi="Times New Roman" w:cs="Times New Roman"/>
          <w:lang w:val="en-GB"/>
        </w:rPr>
        <w:t>.</w:t>
      </w:r>
      <w:r w:rsidR="007A1F06" w:rsidRPr="00E76806">
        <w:rPr>
          <w:rFonts w:ascii="Times New Roman" w:hAnsi="Times New Roman" w:cs="Times New Roman"/>
          <w:lang w:val="en-GB"/>
        </w:rPr>
        <w:t xml:space="preserve"> </w:t>
      </w:r>
      <w:r w:rsidR="001E2BC3">
        <w:rPr>
          <w:rFonts w:ascii="Times New Roman" w:hAnsi="Times New Roman" w:cs="Times New Roman"/>
          <w:lang w:val="en-GB"/>
        </w:rPr>
        <w:t>I</w:t>
      </w:r>
      <w:r w:rsidR="00CC11A3" w:rsidRPr="00E76806">
        <w:rPr>
          <w:rFonts w:ascii="Times New Roman" w:hAnsi="Times New Roman" w:cs="Times New Roman"/>
          <w:lang w:val="en-GB"/>
        </w:rPr>
        <w:t xml:space="preserve">t must </w:t>
      </w:r>
      <w:r w:rsidR="001E2BC3">
        <w:rPr>
          <w:rFonts w:ascii="Times New Roman" w:hAnsi="Times New Roman" w:cs="Times New Roman"/>
          <w:lang w:val="en-GB"/>
        </w:rPr>
        <w:t xml:space="preserve">also </w:t>
      </w:r>
      <w:r w:rsidR="00CC11A3" w:rsidRPr="00E76806">
        <w:rPr>
          <w:rFonts w:ascii="Times New Roman" w:hAnsi="Times New Roman" w:cs="Times New Roman"/>
          <w:lang w:val="en-GB"/>
        </w:rPr>
        <w:t>be acknowledged that</w:t>
      </w:r>
      <w:r w:rsidR="006560B0">
        <w:rPr>
          <w:rFonts w:ascii="Times New Roman" w:hAnsi="Times New Roman" w:cs="Times New Roman"/>
          <w:lang w:val="en-GB"/>
        </w:rPr>
        <w:t>, in human rights law,</w:t>
      </w:r>
      <w:r w:rsidR="00CC11A3" w:rsidRPr="00E76806">
        <w:rPr>
          <w:rFonts w:ascii="Times New Roman" w:hAnsi="Times New Roman" w:cs="Times New Roman"/>
          <w:lang w:val="en-GB"/>
        </w:rPr>
        <w:t xml:space="preserve"> positive obligations </w:t>
      </w:r>
      <w:r w:rsidR="007A1F06" w:rsidRPr="00E76806">
        <w:rPr>
          <w:rFonts w:ascii="Times New Roman" w:hAnsi="Times New Roman" w:cs="Times New Roman"/>
          <w:lang w:val="en-GB"/>
        </w:rPr>
        <w:t xml:space="preserve">are </w:t>
      </w:r>
      <w:r w:rsidR="008F4643" w:rsidRPr="00E76806">
        <w:rPr>
          <w:rFonts w:ascii="Times New Roman" w:hAnsi="Times New Roman" w:cs="Times New Roman"/>
          <w:lang w:val="en-GB"/>
        </w:rPr>
        <w:t xml:space="preserve">circumscribed by requirements of reasonableness, </w:t>
      </w:r>
      <w:r w:rsidR="006F1153">
        <w:rPr>
          <w:rFonts w:ascii="Times New Roman" w:hAnsi="Times New Roman" w:cs="Times New Roman"/>
          <w:lang w:val="en-GB"/>
        </w:rPr>
        <w:t>their scope furthermore influenced by the need for states to</w:t>
      </w:r>
      <w:r w:rsidR="008F4643" w:rsidRPr="00E76806">
        <w:rPr>
          <w:rFonts w:ascii="Times New Roman" w:hAnsi="Times New Roman" w:cs="Times New Roman"/>
          <w:lang w:val="en-GB"/>
        </w:rPr>
        <w:t xml:space="preserve"> balanc</w:t>
      </w:r>
      <w:r w:rsidR="006F1153">
        <w:rPr>
          <w:rFonts w:ascii="Times New Roman" w:hAnsi="Times New Roman" w:cs="Times New Roman"/>
          <w:lang w:val="en-GB"/>
        </w:rPr>
        <w:t xml:space="preserve">e </w:t>
      </w:r>
      <w:r w:rsidR="008F4643" w:rsidRPr="00E76806">
        <w:rPr>
          <w:rFonts w:ascii="Times New Roman" w:hAnsi="Times New Roman" w:cs="Times New Roman"/>
          <w:lang w:val="en-GB"/>
        </w:rPr>
        <w:t>rights</w:t>
      </w:r>
      <w:r w:rsidR="005B188A" w:rsidRPr="00E76806">
        <w:rPr>
          <w:rFonts w:ascii="Times New Roman" w:hAnsi="Times New Roman" w:cs="Times New Roman"/>
          <w:lang w:val="en-GB"/>
        </w:rPr>
        <w:t xml:space="preserve"> and </w:t>
      </w:r>
      <w:r w:rsidR="008F4643" w:rsidRPr="00E76806">
        <w:rPr>
          <w:rFonts w:ascii="Times New Roman" w:hAnsi="Times New Roman" w:cs="Times New Roman"/>
          <w:lang w:val="en-GB"/>
        </w:rPr>
        <w:t>interests</w:t>
      </w:r>
      <w:r w:rsidR="006515FF" w:rsidRPr="00E76806">
        <w:rPr>
          <w:rFonts w:ascii="Times New Roman" w:hAnsi="Times New Roman" w:cs="Times New Roman"/>
          <w:lang w:val="en-GB"/>
        </w:rPr>
        <w:t xml:space="preserve"> and potential resource implications</w:t>
      </w:r>
      <w:r w:rsidR="006F1153">
        <w:rPr>
          <w:rFonts w:ascii="Times New Roman" w:hAnsi="Times New Roman" w:cs="Times New Roman"/>
          <w:lang w:val="en-GB"/>
        </w:rPr>
        <w:t>. Such</w:t>
      </w:r>
      <w:r w:rsidR="006515FF" w:rsidRPr="00E76806">
        <w:rPr>
          <w:rFonts w:ascii="Times New Roman" w:hAnsi="Times New Roman" w:cs="Times New Roman"/>
          <w:lang w:val="en-GB"/>
        </w:rPr>
        <w:t xml:space="preserve"> factors might be expected to weigh heavily in the context of an alleged state duty, of global application, to control</w:t>
      </w:r>
      <w:r w:rsidR="006F1153">
        <w:rPr>
          <w:rFonts w:ascii="Times New Roman" w:hAnsi="Times New Roman" w:cs="Times New Roman"/>
          <w:lang w:val="en-GB"/>
        </w:rPr>
        <w:t xml:space="preserve"> non-state</w:t>
      </w:r>
      <w:r w:rsidR="006515FF" w:rsidRPr="00E76806">
        <w:rPr>
          <w:rFonts w:ascii="Times New Roman" w:hAnsi="Times New Roman" w:cs="Times New Roman"/>
          <w:lang w:val="en-GB"/>
        </w:rPr>
        <w:t xml:space="preserve"> actors operating in the sovereign territory of other states.</w:t>
      </w:r>
    </w:p>
    <w:p w:rsidR="00681D43" w:rsidRPr="00E76806" w:rsidRDefault="006560B0" w:rsidP="00F001EC">
      <w:pPr>
        <w:spacing w:line="240" w:lineRule="auto"/>
        <w:jc w:val="both"/>
        <w:rPr>
          <w:rFonts w:ascii="Times New Roman" w:hAnsi="Times New Roman" w:cs="Times New Roman"/>
          <w:b/>
          <w:lang w:val="en-GB"/>
        </w:rPr>
      </w:pPr>
      <w:r>
        <w:rPr>
          <w:rFonts w:ascii="Times New Roman" w:hAnsi="Times New Roman" w:cs="Times New Roman"/>
          <w:b/>
          <w:lang w:val="en-GB"/>
        </w:rPr>
        <w:t>V</w:t>
      </w:r>
      <w:r w:rsidR="00CF035C" w:rsidRPr="00E76806">
        <w:rPr>
          <w:rFonts w:ascii="Times New Roman" w:hAnsi="Times New Roman" w:cs="Times New Roman"/>
          <w:b/>
          <w:lang w:val="en-GB"/>
        </w:rPr>
        <w:t xml:space="preserve">. Extraterritorial human rights obligations in </w:t>
      </w:r>
      <w:r w:rsidR="00A56844" w:rsidRPr="00E76806">
        <w:rPr>
          <w:rFonts w:ascii="Times New Roman" w:hAnsi="Times New Roman" w:cs="Times New Roman"/>
          <w:b/>
          <w:lang w:val="en-GB"/>
        </w:rPr>
        <w:t>the draft General Comment</w:t>
      </w:r>
    </w:p>
    <w:p w:rsidR="003D7EF6" w:rsidRPr="00E76806" w:rsidRDefault="007B6C93" w:rsidP="00F001EC">
      <w:pPr>
        <w:spacing w:line="240" w:lineRule="auto"/>
        <w:jc w:val="both"/>
        <w:rPr>
          <w:rFonts w:ascii="Times New Roman" w:hAnsi="Times New Roman" w:cs="Times New Roman"/>
          <w:lang w:val="en-GB"/>
        </w:rPr>
      </w:pPr>
      <w:r w:rsidRPr="00E76806">
        <w:rPr>
          <w:rFonts w:ascii="Times New Roman" w:hAnsi="Times New Roman" w:cs="Times New Roman"/>
          <w:lang w:val="en-GB"/>
        </w:rPr>
        <w:t>1</w:t>
      </w:r>
      <w:r w:rsidR="0083479F">
        <w:rPr>
          <w:rFonts w:ascii="Times New Roman" w:hAnsi="Times New Roman" w:cs="Times New Roman"/>
          <w:lang w:val="en-GB"/>
        </w:rPr>
        <w:t>3</w:t>
      </w:r>
      <w:r w:rsidR="0093764C" w:rsidRPr="00E76806">
        <w:rPr>
          <w:rFonts w:ascii="Times New Roman" w:hAnsi="Times New Roman" w:cs="Times New Roman"/>
          <w:lang w:val="en-GB"/>
        </w:rPr>
        <w:t xml:space="preserve">. </w:t>
      </w:r>
      <w:r w:rsidR="00256ADE">
        <w:rPr>
          <w:rFonts w:ascii="Times New Roman" w:hAnsi="Times New Roman" w:cs="Times New Roman"/>
          <w:lang w:val="en-GB"/>
        </w:rPr>
        <w:t>Given</w:t>
      </w:r>
      <w:r w:rsidR="00803C08">
        <w:rPr>
          <w:rFonts w:ascii="Times New Roman" w:hAnsi="Times New Roman" w:cs="Times New Roman"/>
          <w:lang w:val="en-GB"/>
        </w:rPr>
        <w:t xml:space="preserve"> </w:t>
      </w:r>
      <w:r w:rsidR="003D7EF6" w:rsidRPr="00E76806">
        <w:rPr>
          <w:rFonts w:ascii="Times New Roman" w:hAnsi="Times New Roman" w:cs="Times New Roman"/>
          <w:lang w:val="en-GB"/>
        </w:rPr>
        <w:t>the above</w:t>
      </w:r>
      <w:r w:rsidR="000A3F2B" w:rsidRPr="00E76806">
        <w:rPr>
          <w:rFonts w:ascii="Times New Roman" w:hAnsi="Times New Roman" w:cs="Times New Roman"/>
          <w:lang w:val="en-GB"/>
        </w:rPr>
        <w:t xml:space="preserve">, </w:t>
      </w:r>
      <w:r w:rsidR="003A5261" w:rsidRPr="00E76806">
        <w:rPr>
          <w:rFonts w:ascii="Times New Roman" w:hAnsi="Times New Roman" w:cs="Times New Roman"/>
          <w:lang w:val="en-GB"/>
        </w:rPr>
        <w:t>the approach the</w:t>
      </w:r>
      <w:r w:rsidR="003D7EF6" w:rsidRPr="00E76806">
        <w:rPr>
          <w:rFonts w:ascii="Times New Roman" w:hAnsi="Times New Roman" w:cs="Times New Roman"/>
          <w:lang w:val="en-GB"/>
        </w:rPr>
        <w:t xml:space="preserve"> draft</w:t>
      </w:r>
      <w:r w:rsidR="003A5261" w:rsidRPr="00E76806">
        <w:rPr>
          <w:rFonts w:ascii="Times New Roman" w:hAnsi="Times New Roman" w:cs="Times New Roman"/>
          <w:lang w:val="en-GB"/>
        </w:rPr>
        <w:t xml:space="preserve"> GC takes to the topic of extraterritorial </w:t>
      </w:r>
      <w:r w:rsidR="00122E47" w:rsidRPr="00E76806">
        <w:rPr>
          <w:rFonts w:ascii="Times New Roman" w:hAnsi="Times New Roman" w:cs="Times New Roman"/>
          <w:lang w:val="en-GB"/>
        </w:rPr>
        <w:t xml:space="preserve">obligations </w:t>
      </w:r>
      <w:r w:rsidR="003A5261" w:rsidRPr="00E76806">
        <w:rPr>
          <w:rFonts w:ascii="Times New Roman" w:hAnsi="Times New Roman" w:cs="Times New Roman"/>
          <w:lang w:val="en-GB"/>
        </w:rPr>
        <w:t xml:space="preserve">cannot be said to be consistent with </w:t>
      </w:r>
      <w:r w:rsidR="003D7EF6" w:rsidRPr="00E76806">
        <w:rPr>
          <w:rFonts w:ascii="Times New Roman" w:hAnsi="Times New Roman" w:cs="Times New Roman"/>
          <w:lang w:val="en-GB"/>
        </w:rPr>
        <w:t>the existing state of</w:t>
      </w:r>
      <w:r w:rsidR="003A5261" w:rsidRPr="00E76806">
        <w:rPr>
          <w:rFonts w:ascii="Times New Roman" w:hAnsi="Times New Roman" w:cs="Times New Roman"/>
          <w:lang w:val="en-GB"/>
        </w:rPr>
        <w:t xml:space="preserve"> international human rights law</w:t>
      </w:r>
      <w:r>
        <w:rPr>
          <w:rFonts w:ascii="Times New Roman" w:hAnsi="Times New Roman" w:cs="Times New Roman"/>
          <w:lang w:val="en-GB"/>
        </w:rPr>
        <w:t>, in light of general principles of international law</w:t>
      </w:r>
      <w:r w:rsidR="003A5261" w:rsidRPr="00E76806">
        <w:rPr>
          <w:rFonts w:ascii="Times New Roman" w:hAnsi="Times New Roman" w:cs="Times New Roman"/>
          <w:lang w:val="en-GB"/>
        </w:rPr>
        <w:t xml:space="preserve">. </w:t>
      </w:r>
      <w:r w:rsidR="003D7EF6" w:rsidRPr="00E76806">
        <w:rPr>
          <w:rFonts w:ascii="Times New Roman" w:hAnsi="Times New Roman" w:cs="Times New Roman"/>
          <w:lang w:val="en-GB"/>
        </w:rPr>
        <w:t xml:space="preserve"> </w:t>
      </w:r>
    </w:p>
    <w:p w:rsidR="00122E47" w:rsidRPr="00E76806" w:rsidRDefault="007B6C93" w:rsidP="00F001EC">
      <w:pPr>
        <w:spacing w:line="240" w:lineRule="auto"/>
        <w:jc w:val="both"/>
        <w:rPr>
          <w:rFonts w:ascii="Times New Roman" w:hAnsi="Times New Roman" w:cs="Times New Roman"/>
          <w:lang w:val="en-GB"/>
        </w:rPr>
      </w:pPr>
      <w:r w:rsidRPr="00E76806">
        <w:rPr>
          <w:rFonts w:ascii="Times New Roman" w:hAnsi="Times New Roman" w:cs="Times New Roman"/>
          <w:lang w:val="en-GB"/>
        </w:rPr>
        <w:t>1</w:t>
      </w:r>
      <w:r w:rsidR="0083479F">
        <w:rPr>
          <w:rFonts w:ascii="Times New Roman" w:hAnsi="Times New Roman" w:cs="Times New Roman"/>
          <w:lang w:val="en-GB"/>
        </w:rPr>
        <w:t>4</w:t>
      </w:r>
      <w:r w:rsidR="003D7EF6" w:rsidRPr="00E76806">
        <w:rPr>
          <w:rFonts w:ascii="Times New Roman" w:hAnsi="Times New Roman" w:cs="Times New Roman"/>
          <w:lang w:val="en-GB"/>
        </w:rPr>
        <w:t xml:space="preserve">. Extraterritorial obligations are addressed principally in </w:t>
      </w:r>
      <w:r w:rsidR="00122E47" w:rsidRPr="00E76806">
        <w:rPr>
          <w:rFonts w:ascii="Times New Roman" w:hAnsi="Times New Roman" w:cs="Times New Roman"/>
          <w:lang w:val="en-GB"/>
        </w:rPr>
        <w:t>Section C</w:t>
      </w:r>
      <w:r w:rsidR="003D7EF6" w:rsidRPr="00E76806">
        <w:rPr>
          <w:rFonts w:ascii="Times New Roman" w:hAnsi="Times New Roman" w:cs="Times New Roman"/>
          <w:lang w:val="en-GB"/>
        </w:rPr>
        <w:t xml:space="preserve"> of the draft GC. Here</w:t>
      </w:r>
      <w:r w:rsidR="00122E47" w:rsidRPr="00E76806">
        <w:rPr>
          <w:rFonts w:ascii="Times New Roman" w:hAnsi="Times New Roman" w:cs="Times New Roman"/>
          <w:lang w:val="en-GB"/>
        </w:rPr>
        <w:t xml:space="preserve"> it is stated that:</w:t>
      </w:r>
      <w:r w:rsidR="00AC40C4" w:rsidRPr="00E76806">
        <w:rPr>
          <w:rFonts w:ascii="Times New Roman" w:hAnsi="Times New Roman" w:cs="Times New Roman"/>
          <w:lang w:val="en-GB"/>
        </w:rPr>
        <w:t xml:space="preserve"> </w:t>
      </w:r>
      <w:r w:rsidR="00EC7B54" w:rsidRPr="00F001EC">
        <w:rPr>
          <w:rFonts w:ascii="Times New Roman" w:hAnsi="Times New Roman" w:cs="Times New Roman"/>
          <w:lang w:val="en-GB"/>
        </w:rPr>
        <w:t>“States parties are required to take necessary steps</w:t>
      </w:r>
      <w:r w:rsidR="00EC7B54" w:rsidRPr="00E76806">
        <w:rPr>
          <w:rFonts w:ascii="Times New Roman" w:hAnsi="Times New Roman" w:cs="Times New Roman"/>
          <w:lang w:val="en-GB"/>
        </w:rPr>
        <w:t xml:space="preserve"> </w:t>
      </w:r>
      <w:r w:rsidR="00EC7B54" w:rsidRPr="00F001EC">
        <w:rPr>
          <w:rFonts w:ascii="Times New Roman" w:hAnsi="Times New Roman" w:cs="Times New Roman"/>
          <w:lang w:val="en-GB"/>
        </w:rPr>
        <w:t>to prevent human rights violations abroad by corporations over which they may exercise influence, without infringing the sovereignty or diminishing the obligations of the host States under the Covenant”</w:t>
      </w:r>
      <w:r w:rsidR="00122E47" w:rsidRPr="00E76806">
        <w:rPr>
          <w:rFonts w:ascii="Times New Roman" w:hAnsi="Times New Roman" w:cs="Times New Roman"/>
          <w:lang w:val="en-GB"/>
        </w:rPr>
        <w:t xml:space="preserve"> (para.</w:t>
      </w:r>
      <w:r>
        <w:rPr>
          <w:rFonts w:ascii="Times New Roman" w:hAnsi="Times New Roman" w:cs="Times New Roman"/>
          <w:lang w:val="en-GB"/>
        </w:rPr>
        <w:t xml:space="preserve"> </w:t>
      </w:r>
      <w:r w:rsidR="00122E47" w:rsidRPr="00E76806">
        <w:rPr>
          <w:rFonts w:ascii="Times New Roman" w:hAnsi="Times New Roman" w:cs="Times New Roman"/>
          <w:lang w:val="en-GB"/>
        </w:rPr>
        <w:t>31).</w:t>
      </w:r>
      <w:r w:rsidR="00D2643C" w:rsidRPr="00E76806">
        <w:rPr>
          <w:rFonts w:ascii="Times New Roman" w:hAnsi="Times New Roman" w:cs="Times New Roman"/>
          <w:lang w:val="en-GB"/>
        </w:rPr>
        <w:t xml:space="preserve"> </w:t>
      </w:r>
      <w:r w:rsidR="00122E47" w:rsidRPr="00E76806">
        <w:rPr>
          <w:rFonts w:ascii="Times New Roman" w:hAnsi="Times New Roman" w:cs="Times New Roman"/>
          <w:lang w:val="en-GB"/>
        </w:rPr>
        <w:t xml:space="preserve">For this proposition the draft </w:t>
      </w:r>
      <w:r w:rsidR="001848A8" w:rsidRPr="00E76806">
        <w:rPr>
          <w:rFonts w:ascii="Times New Roman" w:hAnsi="Times New Roman" w:cs="Times New Roman"/>
          <w:lang w:val="en-GB"/>
        </w:rPr>
        <w:t>GC</w:t>
      </w:r>
      <w:r w:rsidR="00122E47" w:rsidRPr="00E76806">
        <w:rPr>
          <w:rFonts w:ascii="Times New Roman" w:hAnsi="Times New Roman" w:cs="Times New Roman"/>
          <w:lang w:val="en-GB"/>
        </w:rPr>
        <w:t xml:space="preserve"> claims as authority</w:t>
      </w:r>
      <w:r w:rsidR="00D2643C" w:rsidRPr="00E76806">
        <w:rPr>
          <w:rFonts w:ascii="Times New Roman" w:hAnsi="Times New Roman" w:cs="Times New Roman"/>
          <w:lang w:val="en-GB"/>
        </w:rPr>
        <w:t xml:space="preserve">: </w:t>
      </w:r>
      <w:proofErr w:type="spellStart"/>
      <w:r w:rsidR="00D2643C" w:rsidRPr="00E76806">
        <w:rPr>
          <w:rFonts w:ascii="Times New Roman" w:hAnsi="Times New Roman" w:cs="Times New Roman"/>
          <w:lang w:val="en-GB"/>
        </w:rPr>
        <w:t>i</w:t>
      </w:r>
      <w:proofErr w:type="spellEnd"/>
      <w:r w:rsidR="00D2643C" w:rsidRPr="00E76806">
        <w:rPr>
          <w:rFonts w:ascii="Times New Roman" w:hAnsi="Times New Roman" w:cs="Times New Roman"/>
          <w:lang w:val="en-GB"/>
        </w:rPr>
        <w:t>)</w:t>
      </w:r>
      <w:r w:rsidR="00122E47" w:rsidRPr="00E76806">
        <w:rPr>
          <w:rFonts w:ascii="Times New Roman" w:hAnsi="Times New Roman" w:cs="Times New Roman"/>
          <w:lang w:val="en-GB"/>
        </w:rPr>
        <w:t xml:space="preserve"> </w:t>
      </w:r>
      <w:r w:rsidRPr="00E76806">
        <w:rPr>
          <w:rFonts w:ascii="Times New Roman" w:hAnsi="Times New Roman" w:cs="Times New Roman"/>
          <w:lang w:val="en-GB"/>
        </w:rPr>
        <w:t>Art</w:t>
      </w:r>
      <w:r>
        <w:rPr>
          <w:rFonts w:ascii="Times New Roman" w:hAnsi="Times New Roman" w:cs="Times New Roman"/>
          <w:lang w:val="en-GB"/>
        </w:rPr>
        <w:t>.</w:t>
      </w:r>
      <w:r w:rsidRPr="00E76806">
        <w:rPr>
          <w:rFonts w:ascii="Times New Roman" w:hAnsi="Times New Roman" w:cs="Times New Roman"/>
          <w:lang w:val="en-GB"/>
        </w:rPr>
        <w:t xml:space="preserve"> </w:t>
      </w:r>
      <w:r w:rsidR="00122E47" w:rsidRPr="00E76806">
        <w:rPr>
          <w:rFonts w:ascii="Times New Roman" w:hAnsi="Times New Roman" w:cs="Times New Roman"/>
          <w:lang w:val="en-GB"/>
        </w:rPr>
        <w:t xml:space="preserve">56 of the UN Charter, in which, </w:t>
      </w:r>
      <w:r w:rsidR="001848A8" w:rsidRPr="00E76806">
        <w:rPr>
          <w:rFonts w:ascii="Times New Roman" w:hAnsi="Times New Roman" w:cs="Times New Roman"/>
          <w:lang w:val="en-GB"/>
        </w:rPr>
        <w:t xml:space="preserve">it indicates, </w:t>
      </w:r>
      <w:r w:rsidR="00122E47" w:rsidRPr="00E76806">
        <w:rPr>
          <w:rFonts w:ascii="Times New Roman" w:hAnsi="Times New Roman" w:cs="Times New Roman"/>
          <w:lang w:val="en-GB"/>
        </w:rPr>
        <w:t>the duty of UN member states to “take joint and separate action” to promote</w:t>
      </w:r>
      <w:r w:rsidR="001848A8" w:rsidRPr="00E76806">
        <w:rPr>
          <w:rFonts w:ascii="Times New Roman" w:hAnsi="Times New Roman" w:cs="Times New Roman"/>
          <w:lang w:val="en-GB"/>
        </w:rPr>
        <w:t xml:space="preserve"> human rights</w:t>
      </w:r>
      <w:r w:rsidR="00122E47" w:rsidRPr="00E76806">
        <w:rPr>
          <w:rFonts w:ascii="Times New Roman" w:hAnsi="Times New Roman" w:cs="Times New Roman"/>
          <w:lang w:val="en-GB"/>
        </w:rPr>
        <w:t xml:space="preserve">  “is expressed with</w:t>
      </w:r>
      <w:r w:rsidR="001848A8" w:rsidRPr="00E76806">
        <w:rPr>
          <w:rFonts w:ascii="Times New Roman" w:hAnsi="Times New Roman" w:cs="Times New Roman"/>
          <w:lang w:val="en-GB"/>
        </w:rPr>
        <w:t xml:space="preserve">out any territorial limitation” </w:t>
      </w:r>
      <w:r w:rsidR="00122E47" w:rsidRPr="00E76806">
        <w:rPr>
          <w:rFonts w:ascii="Times New Roman" w:hAnsi="Times New Roman" w:cs="Times New Roman"/>
          <w:lang w:val="en-GB"/>
        </w:rPr>
        <w:t>(para.</w:t>
      </w:r>
      <w:r>
        <w:rPr>
          <w:rFonts w:ascii="Times New Roman" w:hAnsi="Times New Roman" w:cs="Times New Roman"/>
          <w:lang w:val="en-GB"/>
        </w:rPr>
        <w:t xml:space="preserve"> </w:t>
      </w:r>
      <w:r w:rsidR="00122E47" w:rsidRPr="00E76806">
        <w:rPr>
          <w:rFonts w:ascii="Times New Roman" w:hAnsi="Times New Roman" w:cs="Times New Roman"/>
          <w:lang w:val="en-GB"/>
        </w:rPr>
        <w:t>32)</w:t>
      </w:r>
      <w:r w:rsidR="00D2643C" w:rsidRPr="00E76806">
        <w:rPr>
          <w:rFonts w:ascii="Times New Roman" w:hAnsi="Times New Roman" w:cs="Times New Roman"/>
          <w:lang w:val="en-GB"/>
        </w:rPr>
        <w:t>; ii)</w:t>
      </w:r>
      <w:r w:rsidR="001848A8" w:rsidRPr="00E76806">
        <w:rPr>
          <w:rFonts w:ascii="Times New Roman" w:hAnsi="Times New Roman" w:cs="Times New Roman"/>
          <w:lang w:val="en-GB"/>
        </w:rPr>
        <w:t xml:space="preserve"> the</w:t>
      </w:r>
      <w:r w:rsidR="00D2643C" w:rsidRPr="00E76806">
        <w:rPr>
          <w:rFonts w:ascii="Times New Roman" w:hAnsi="Times New Roman" w:cs="Times New Roman"/>
          <w:lang w:val="en-GB"/>
        </w:rPr>
        <w:t xml:space="preserve"> ICJ’s decision in</w:t>
      </w:r>
      <w:r w:rsidR="001848A8" w:rsidRPr="00E76806">
        <w:rPr>
          <w:rFonts w:ascii="Times New Roman" w:hAnsi="Times New Roman" w:cs="Times New Roman"/>
          <w:lang w:val="en-GB"/>
        </w:rPr>
        <w:t xml:space="preserve"> the </w:t>
      </w:r>
      <w:r w:rsidR="001848A8" w:rsidRPr="007B6C93">
        <w:rPr>
          <w:rFonts w:ascii="Times New Roman" w:hAnsi="Times New Roman" w:cs="Times New Roman"/>
          <w:i/>
          <w:lang w:val="en-GB"/>
        </w:rPr>
        <w:t>Wall</w:t>
      </w:r>
      <w:r w:rsidR="001848A8" w:rsidRPr="00F001EC">
        <w:rPr>
          <w:rFonts w:ascii="Times New Roman" w:hAnsi="Times New Roman" w:cs="Times New Roman"/>
          <w:lang w:val="en-GB"/>
        </w:rPr>
        <w:t xml:space="preserve"> </w:t>
      </w:r>
      <w:r w:rsidR="00D2643C" w:rsidRPr="00E76806">
        <w:rPr>
          <w:rFonts w:ascii="Times New Roman" w:hAnsi="Times New Roman" w:cs="Times New Roman"/>
          <w:lang w:val="en-GB"/>
        </w:rPr>
        <w:t>case</w:t>
      </w:r>
      <w:r w:rsidR="001848A8" w:rsidRPr="00E76806">
        <w:rPr>
          <w:rFonts w:ascii="Times New Roman" w:hAnsi="Times New Roman" w:cs="Times New Roman"/>
          <w:lang w:val="en-GB"/>
        </w:rPr>
        <w:t xml:space="preserve"> </w:t>
      </w:r>
      <w:r w:rsidR="00122E47" w:rsidRPr="00E76806">
        <w:rPr>
          <w:rFonts w:ascii="Times New Roman" w:hAnsi="Times New Roman" w:cs="Times New Roman"/>
          <w:lang w:val="en-GB"/>
        </w:rPr>
        <w:t>which</w:t>
      </w:r>
      <w:r w:rsidR="001848A8" w:rsidRPr="00E76806">
        <w:rPr>
          <w:rFonts w:ascii="Times New Roman" w:hAnsi="Times New Roman" w:cs="Times New Roman"/>
          <w:lang w:val="en-GB"/>
        </w:rPr>
        <w:t>, according to the draft GC,</w:t>
      </w:r>
      <w:r w:rsidR="00122E47" w:rsidRPr="00E76806">
        <w:rPr>
          <w:rFonts w:ascii="Times New Roman" w:hAnsi="Times New Roman" w:cs="Times New Roman"/>
          <w:lang w:val="en-GB"/>
        </w:rPr>
        <w:t xml:space="preserve"> acknowledges “</w:t>
      </w:r>
      <w:r w:rsidR="001848A8" w:rsidRPr="00E76806">
        <w:rPr>
          <w:rFonts w:ascii="Times New Roman" w:hAnsi="Times New Roman" w:cs="Times New Roman"/>
          <w:lang w:val="en-GB"/>
        </w:rPr>
        <w:t>…</w:t>
      </w:r>
      <w:r w:rsidR="00122E47" w:rsidRPr="00E76806">
        <w:rPr>
          <w:rFonts w:ascii="Times New Roman" w:hAnsi="Times New Roman" w:cs="Times New Roman"/>
          <w:lang w:val="en-GB"/>
        </w:rPr>
        <w:t>the extra</w:t>
      </w:r>
      <w:r w:rsidR="001848A8" w:rsidRPr="00E76806">
        <w:rPr>
          <w:rFonts w:ascii="Times New Roman" w:hAnsi="Times New Roman" w:cs="Times New Roman"/>
          <w:lang w:val="en-GB"/>
        </w:rPr>
        <w:t>territorial scope of the core human rights</w:t>
      </w:r>
      <w:r w:rsidR="00122E47" w:rsidRPr="00E76806">
        <w:rPr>
          <w:rFonts w:ascii="Times New Roman" w:hAnsi="Times New Roman" w:cs="Times New Roman"/>
          <w:lang w:val="en-GB"/>
        </w:rPr>
        <w:t xml:space="preserve"> treaties, focusing on their object and purpose, legislative history and the lack of territorial limitation provisions in their text” (para.</w:t>
      </w:r>
      <w:r>
        <w:rPr>
          <w:rFonts w:ascii="Times New Roman" w:hAnsi="Times New Roman" w:cs="Times New Roman"/>
          <w:lang w:val="en-GB"/>
        </w:rPr>
        <w:t xml:space="preserve"> </w:t>
      </w:r>
      <w:r w:rsidR="00122E47" w:rsidRPr="00E76806">
        <w:rPr>
          <w:rFonts w:ascii="Times New Roman" w:hAnsi="Times New Roman" w:cs="Times New Roman"/>
          <w:lang w:val="en-GB"/>
        </w:rPr>
        <w:t>32)</w:t>
      </w:r>
      <w:r w:rsidR="001848A8" w:rsidRPr="00E76806">
        <w:rPr>
          <w:rFonts w:ascii="Times New Roman" w:hAnsi="Times New Roman" w:cs="Times New Roman"/>
          <w:lang w:val="en-GB"/>
        </w:rPr>
        <w:t>.</w:t>
      </w:r>
    </w:p>
    <w:p w:rsidR="00B31121" w:rsidRPr="00F001EC" w:rsidRDefault="00D2643C" w:rsidP="00F001EC">
      <w:pPr>
        <w:spacing w:line="240" w:lineRule="auto"/>
        <w:jc w:val="both"/>
        <w:rPr>
          <w:rFonts w:ascii="Times New Roman" w:hAnsi="Times New Roman" w:cs="Times New Roman"/>
          <w:lang w:val="en-GB"/>
        </w:rPr>
      </w:pPr>
      <w:r w:rsidRPr="00E76806">
        <w:rPr>
          <w:rFonts w:ascii="Times New Roman" w:hAnsi="Times New Roman" w:cs="Times New Roman"/>
          <w:lang w:val="en-GB"/>
        </w:rPr>
        <w:t>1</w:t>
      </w:r>
      <w:r w:rsidR="0083479F">
        <w:rPr>
          <w:rFonts w:ascii="Times New Roman" w:hAnsi="Times New Roman" w:cs="Times New Roman"/>
          <w:lang w:val="en-GB"/>
        </w:rPr>
        <w:t>5</w:t>
      </w:r>
      <w:r w:rsidRPr="00E76806">
        <w:rPr>
          <w:rFonts w:ascii="Times New Roman" w:hAnsi="Times New Roman" w:cs="Times New Roman"/>
          <w:lang w:val="en-GB"/>
        </w:rPr>
        <w:t xml:space="preserve">. However, </w:t>
      </w:r>
      <w:r w:rsidRPr="00F001EC">
        <w:rPr>
          <w:rFonts w:ascii="Times New Roman" w:hAnsi="Times New Roman" w:cs="Times New Roman"/>
          <w:lang w:val="en-GB"/>
        </w:rPr>
        <w:t>contra</w:t>
      </w:r>
      <w:r w:rsidRPr="00E76806">
        <w:rPr>
          <w:rFonts w:ascii="Times New Roman" w:hAnsi="Times New Roman" w:cs="Times New Roman"/>
          <w:lang w:val="en-GB"/>
        </w:rPr>
        <w:t>, as we have described above, the threshold for extraterritorial obligations applied by international human rights law is much higher than that of a theoretical possibility to influence, as indicated here by the draft GC</w:t>
      </w:r>
      <w:r w:rsidR="007A6B98" w:rsidRPr="00E76806">
        <w:rPr>
          <w:rFonts w:ascii="Times New Roman" w:hAnsi="Times New Roman" w:cs="Times New Roman"/>
          <w:lang w:val="en-GB"/>
        </w:rPr>
        <w:t xml:space="preserve">. </w:t>
      </w:r>
      <w:r w:rsidR="004B5066" w:rsidRPr="00E76806">
        <w:rPr>
          <w:rFonts w:ascii="Times New Roman" w:hAnsi="Times New Roman" w:cs="Times New Roman"/>
          <w:lang w:val="en-GB"/>
        </w:rPr>
        <w:t>Art. 56 UN Charter is a duty of cooperation in relation to existing human rights obligations (under Art. 55</w:t>
      </w:r>
      <w:r w:rsidR="004B5066" w:rsidRPr="00E76806">
        <w:rPr>
          <w:rStyle w:val="FootnoteReference"/>
          <w:rFonts w:ascii="Times New Roman" w:hAnsi="Times New Roman" w:cs="Times New Roman"/>
          <w:lang w:val="en-GB"/>
        </w:rPr>
        <w:footnoteReference w:id="14"/>
      </w:r>
      <w:r w:rsidR="00EB4EF4">
        <w:rPr>
          <w:rFonts w:ascii="Times New Roman" w:hAnsi="Times New Roman" w:cs="Times New Roman"/>
          <w:lang w:val="en-GB"/>
        </w:rPr>
        <w:t>)</w:t>
      </w:r>
      <w:r w:rsidR="004B5066" w:rsidRPr="00E76806">
        <w:rPr>
          <w:rFonts w:ascii="Times New Roman" w:hAnsi="Times New Roman" w:cs="Times New Roman"/>
          <w:lang w:val="en-GB"/>
        </w:rPr>
        <w:t xml:space="preserve"> it cannot enlarge those obligations, particularly with respect to their territorial scope; while e</w:t>
      </w:r>
      <w:r w:rsidRPr="00E76806">
        <w:rPr>
          <w:rFonts w:ascii="Times New Roman" w:hAnsi="Times New Roman" w:cs="Times New Roman"/>
          <w:lang w:val="en-GB"/>
        </w:rPr>
        <w:t xml:space="preserve">xtraterritoriality in the </w:t>
      </w:r>
      <w:r w:rsidRPr="007B6C93">
        <w:rPr>
          <w:rFonts w:ascii="Times New Roman" w:hAnsi="Times New Roman" w:cs="Times New Roman"/>
          <w:i/>
          <w:lang w:val="en-GB"/>
        </w:rPr>
        <w:t>Wall</w:t>
      </w:r>
      <w:r w:rsidRPr="00F001EC">
        <w:rPr>
          <w:rFonts w:ascii="Times New Roman" w:hAnsi="Times New Roman" w:cs="Times New Roman"/>
          <w:lang w:val="en-GB"/>
        </w:rPr>
        <w:t xml:space="preserve"> </w:t>
      </w:r>
      <w:r w:rsidRPr="00E76806">
        <w:rPr>
          <w:rFonts w:ascii="Times New Roman" w:hAnsi="Times New Roman" w:cs="Times New Roman"/>
          <w:lang w:val="en-GB"/>
        </w:rPr>
        <w:t xml:space="preserve">case turned on </w:t>
      </w:r>
      <w:r w:rsidR="004B5066" w:rsidRPr="00E76806">
        <w:rPr>
          <w:rFonts w:ascii="Times New Roman" w:hAnsi="Times New Roman" w:cs="Times New Roman"/>
          <w:lang w:val="en-GB"/>
        </w:rPr>
        <w:t>acts attributable to the state at issue,</w:t>
      </w:r>
      <w:r w:rsidR="00EB4EF4">
        <w:rPr>
          <w:rFonts w:ascii="Times New Roman" w:hAnsi="Times New Roman" w:cs="Times New Roman"/>
          <w:lang w:val="en-GB"/>
        </w:rPr>
        <w:t xml:space="preserve"> on grounds of territorial control (cf. Section II above)</w:t>
      </w:r>
      <w:r w:rsidR="004B5066" w:rsidRPr="00E76806">
        <w:rPr>
          <w:rFonts w:ascii="Times New Roman" w:hAnsi="Times New Roman" w:cs="Times New Roman"/>
          <w:lang w:val="en-GB"/>
        </w:rPr>
        <w:t xml:space="preserve"> </w:t>
      </w:r>
      <w:r w:rsidR="00EB4EF4">
        <w:rPr>
          <w:rFonts w:ascii="Times New Roman" w:hAnsi="Times New Roman" w:cs="Times New Roman"/>
          <w:lang w:val="en-GB"/>
        </w:rPr>
        <w:t xml:space="preserve">and </w:t>
      </w:r>
      <w:r w:rsidR="004B5066" w:rsidRPr="00E76806">
        <w:rPr>
          <w:rFonts w:ascii="Times New Roman" w:hAnsi="Times New Roman" w:cs="Times New Roman"/>
          <w:lang w:val="en-GB"/>
        </w:rPr>
        <w:t xml:space="preserve">not acts of non-state actors </w:t>
      </w:r>
      <w:r w:rsidRPr="00E76806">
        <w:rPr>
          <w:rFonts w:ascii="Times New Roman" w:hAnsi="Times New Roman" w:cs="Times New Roman"/>
          <w:lang w:val="en-GB"/>
        </w:rPr>
        <w:t>(</w:t>
      </w:r>
      <w:r w:rsidR="00EB4EF4">
        <w:rPr>
          <w:rFonts w:ascii="Times New Roman" w:hAnsi="Times New Roman" w:cs="Times New Roman"/>
          <w:lang w:val="en-GB"/>
        </w:rPr>
        <w:t xml:space="preserve">cf. </w:t>
      </w:r>
      <w:r w:rsidR="007B6C93">
        <w:rPr>
          <w:rFonts w:ascii="Times New Roman" w:hAnsi="Times New Roman" w:cs="Times New Roman"/>
          <w:lang w:val="en-GB"/>
        </w:rPr>
        <w:t>Section III</w:t>
      </w:r>
      <w:r w:rsidRPr="00E76806">
        <w:rPr>
          <w:rFonts w:ascii="Times New Roman" w:hAnsi="Times New Roman" w:cs="Times New Roman"/>
          <w:lang w:val="en-GB"/>
        </w:rPr>
        <w:t xml:space="preserve"> above)</w:t>
      </w:r>
      <w:r w:rsidR="004B5066" w:rsidRPr="00E76806">
        <w:rPr>
          <w:rFonts w:ascii="Times New Roman" w:hAnsi="Times New Roman" w:cs="Times New Roman"/>
          <w:lang w:val="en-GB"/>
        </w:rPr>
        <w:t>.</w:t>
      </w:r>
      <w:r w:rsidR="002526A2" w:rsidRPr="00E76806">
        <w:rPr>
          <w:rFonts w:ascii="Times New Roman" w:hAnsi="Times New Roman" w:cs="Times New Roman"/>
          <w:lang w:val="en-GB"/>
        </w:rPr>
        <w:t xml:space="preserve"> </w:t>
      </w:r>
      <w:r w:rsidRPr="00E76806">
        <w:rPr>
          <w:rFonts w:ascii="Times New Roman" w:hAnsi="Times New Roman" w:cs="Times New Roman"/>
          <w:lang w:val="en-GB"/>
        </w:rPr>
        <w:t>Further, the draft GC’s formulation fails to define the</w:t>
      </w:r>
      <w:r w:rsidR="00B31121" w:rsidRPr="00E76806">
        <w:rPr>
          <w:rFonts w:ascii="Times New Roman" w:hAnsi="Times New Roman" w:cs="Times New Roman"/>
          <w:lang w:val="en-GB"/>
        </w:rPr>
        <w:t xml:space="preserve"> conditions</w:t>
      </w:r>
      <w:r w:rsidRPr="00E76806">
        <w:rPr>
          <w:rFonts w:ascii="Times New Roman" w:hAnsi="Times New Roman" w:cs="Times New Roman"/>
          <w:lang w:val="en-GB"/>
        </w:rPr>
        <w:t xml:space="preserve"> under which “the </w:t>
      </w:r>
      <w:r w:rsidR="00B31121" w:rsidRPr="00E76806">
        <w:rPr>
          <w:rFonts w:ascii="Times New Roman" w:hAnsi="Times New Roman" w:cs="Times New Roman"/>
          <w:lang w:val="en-GB"/>
        </w:rPr>
        <w:t>sovereignty and obligations of host states</w:t>
      </w:r>
      <w:r w:rsidRPr="00E76806">
        <w:rPr>
          <w:rFonts w:ascii="Times New Roman" w:hAnsi="Times New Roman" w:cs="Times New Roman"/>
          <w:lang w:val="en-GB"/>
        </w:rPr>
        <w:t>”</w:t>
      </w:r>
      <w:r w:rsidR="00B31121" w:rsidRPr="00E76806">
        <w:rPr>
          <w:rFonts w:ascii="Times New Roman" w:hAnsi="Times New Roman" w:cs="Times New Roman"/>
          <w:lang w:val="en-GB"/>
        </w:rPr>
        <w:t xml:space="preserve"> are not </w:t>
      </w:r>
      <w:r w:rsidRPr="00E76806">
        <w:rPr>
          <w:rFonts w:ascii="Times New Roman" w:hAnsi="Times New Roman" w:cs="Times New Roman"/>
          <w:lang w:val="en-GB"/>
        </w:rPr>
        <w:t>infringed</w:t>
      </w:r>
      <w:r w:rsidR="00907B41">
        <w:rPr>
          <w:rFonts w:ascii="Times New Roman" w:hAnsi="Times New Roman" w:cs="Times New Roman"/>
          <w:lang w:val="en-GB"/>
        </w:rPr>
        <w:t xml:space="preserve">, a </w:t>
      </w:r>
      <w:r w:rsidR="00905C8C">
        <w:rPr>
          <w:rFonts w:ascii="Times New Roman" w:hAnsi="Times New Roman" w:cs="Times New Roman"/>
          <w:lang w:val="en-GB"/>
        </w:rPr>
        <w:t>matter that would not appear</w:t>
      </w:r>
      <w:r w:rsidR="00907B41">
        <w:rPr>
          <w:rFonts w:ascii="Times New Roman" w:hAnsi="Times New Roman" w:cs="Times New Roman"/>
          <w:lang w:val="en-GB"/>
        </w:rPr>
        <w:t xml:space="preserve"> easy to resolve</w:t>
      </w:r>
      <w:r w:rsidRPr="00E76806">
        <w:rPr>
          <w:rFonts w:ascii="Times New Roman" w:hAnsi="Times New Roman" w:cs="Times New Roman"/>
          <w:lang w:val="en-GB"/>
        </w:rPr>
        <w:t xml:space="preserve">. </w:t>
      </w:r>
    </w:p>
    <w:p w:rsidR="00B31121" w:rsidRPr="00E76806" w:rsidRDefault="005E5C88" w:rsidP="00F001EC">
      <w:pPr>
        <w:spacing w:line="240" w:lineRule="auto"/>
        <w:jc w:val="both"/>
        <w:rPr>
          <w:rFonts w:ascii="Times New Roman" w:hAnsi="Times New Roman" w:cs="Times New Roman"/>
          <w:lang w:val="en-GB"/>
        </w:rPr>
      </w:pPr>
      <w:r w:rsidRPr="00E76806">
        <w:rPr>
          <w:rFonts w:ascii="Times New Roman" w:hAnsi="Times New Roman" w:cs="Times New Roman"/>
          <w:lang w:val="en-GB"/>
        </w:rPr>
        <w:lastRenderedPageBreak/>
        <w:t>1</w:t>
      </w:r>
      <w:r w:rsidR="0083479F">
        <w:rPr>
          <w:rFonts w:ascii="Times New Roman" w:hAnsi="Times New Roman" w:cs="Times New Roman"/>
          <w:lang w:val="en-GB"/>
        </w:rPr>
        <w:t>6</w:t>
      </w:r>
      <w:r w:rsidR="00AC40C4" w:rsidRPr="00E76806">
        <w:rPr>
          <w:rFonts w:ascii="Times New Roman" w:hAnsi="Times New Roman" w:cs="Times New Roman"/>
          <w:lang w:val="en-GB"/>
        </w:rPr>
        <w:t xml:space="preserve">. </w:t>
      </w:r>
      <w:r w:rsidRPr="00E76806">
        <w:rPr>
          <w:rFonts w:ascii="Times New Roman" w:hAnsi="Times New Roman" w:cs="Times New Roman"/>
          <w:lang w:val="en-GB"/>
        </w:rPr>
        <w:t>Similarly, t</w:t>
      </w:r>
      <w:r w:rsidR="00CF035C" w:rsidRPr="00E76806">
        <w:rPr>
          <w:rFonts w:ascii="Times New Roman" w:hAnsi="Times New Roman" w:cs="Times New Roman"/>
          <w:lang w:val="en-GB"/>
        </w:rPr>
        <w:t xml:space="preserve">he </w:t>
      </w:r>
      <w:r w:rsidR="00AC40C4" w:rsidRPr="00E76806">
        <w:rPr>
          <w:rFonts w:ascii="Times New Roman" w:hAnsi="Times New Roman" w:cs="Times New Roman"/>
          <w:lang w:val="en-GB"/>
        </w:rPr>
        <w:t>draft GC</w:t>
      </w:r>
      <w:r w:rsidR="00B31121" w:rsidRPr="00E76806">
        <w:rPr>
          <w:rFonts w:ascii="Times New Roman" w:hAnsi="Times New Roman" w:cs="Times New Roman"/>
          <w:lang w:val="en-GB"/>
        </w:rPr>
        <w:t xml:space="preserve"> claims</w:t>
      </w:r>
      <w:r w:rsidR="00AC40C4" w:rsidRPr="00E76806">
        <w:rPr>
          <w:rFonts w:ascii="Times New Roman" w:hAnsi="Times New Roman" w:cs="Times New Roman"/>
          <w:lang w:val="en-GB"/>
        </w:rPr>
        <w:t xml:space="preserve"> that extraterritorial human rights obligations</w:t>
      </w:r>
      <w:r w:rsidR="00B31121" w:rsidRPr="00E76806">
        <w:rPr>
          <w:rFonts w:ascii="Times New Roman" w:hAnsi="Times New Roman" w:cs="Times New Roman"/>
          <w:lang w:val="en-GB"/>
        </w:rPr>
        <w:t xml:space="preserve"> </w:t>
      </w:r>
      <w:r w:rsidR="00B31121" w:rsidRPr="00F001EC">
        <w:rPr>
          <w:rFonts w:ascii="Times New Roman" w:hAnsi="Times New Roman" w:cs="Times New Roman"/>
          <w:lang w:val="en-GB"/>
        </w:rPr>
        <w:t>“</w:t>
      </w:r>
      <w:r w:rsidR="00AC40C4" w:rsidRPr="00F001EC">
        <w:rPr>
          <w:rFonts w:ascii="Times New Roman" w:hAnsi="Times New Roman" w:cs="Times New Roman"/>
          <w:lang w:val="en-GB"/>
        </w:rPr>
        <w:t>…</w:t>
      </w:r>
      <w:r w:rsidR="007B6C93">
        <w:rPr>
          <w:rFonts w:ascii="Times New Roman" w:hAnsi="Times New Roman" w:cs="Times New Roman"/>
          <w:lang w:val="en-GB"/>
        </w:rPr>
        <w:t xml:space="preserve"> </w:t>
      </w:r>
      <w:r w:rsidR="00B31121" w:rsidRPr="00F001EC">
        <w:rPr>
          <w:rFonts w:ascii="Times New Roman" w:hAnsi="Times New Roman" w:cs="Times New Roman"/>
          <w:lang w:val="en-GB"/>
        </w:rPr>
        <w:t>arise when a State Party may exercise control, power, or authority over business entities or situations located outside its territory, in a way that could have a</w:t>
      </w:r>
      <w:r w:rsidR="00AC40C4" w:rsidRPr="00F001EC">
        <w:rPr>
          <w:rFonts w:ascii="Times New Roman" w:hAnsi="Times New Roman" w:cs="Times New Roman"/>
          <w:lang w:val="en-GB"/>
        </w:rPr>
        <w:t xml:space="preserve">n impact on the enjoyment of human rights </w:t>
      </w:r>
      <w:r w:rsidR="00B31121" w:rsidRPr="00F001EC">
        <w:rPr>
          <w:rFonts w:ascii="Times New Roman" w:hAnsi="Times New Roman" w:cs="Times New Roman"/>
          <w:lang w:val="en-GB"/>
        </w:rPr>
        <w:t xml:space="preserve">by people affected by such entities’ activities or by such situations” </w:t>
      </w:r>
      <w:r w:rsidR="00B31121" w:rsidRPr="00E76806">
        <w:rPr>
          <w:rFonts w:ascii="Times New Roman" w:hAnsi="Times New Roman" w:cs="Times New Roman"/>
          <w:lang w:val="en-GB"/>
        </w:rPr>
        <w:t>(para.</w:t>
      </w:r>
      <w:r w:rsidR="007B6C93">
        <w:rPr>
          <w:rFonts w:ascii="Times New Roman" w:hAnsi="Times New Roman" w:cs="Times New Roman"/>
          <w:lang w:val="en-GB"/>
        </w:rPr>
        <w:t xml:space="preserve"> </w:t>
      </w:r>
      <w:r w:rsidR="00B31121" w:rsidRPr="00E76806">
        <w:rPr>
          <w:rFonts w:ascii="Times New Roman" w:hAnsi="Times New Roman" w:cs="Times New Roman"/>
          <w:lang w:val="en-GB"/>
        </w:rPr>
        <w:t>33)</w:t>
      </w:r>
      <w:r w:rsidR="00AC40C4" w:rsidRPr="00E76806">
        <w:rPr>
          <w:rFonts w:ascii="Times New Roman" w:hAnsi="Times New Roman" w:cs="Times New Roman"/>
          <w:lang w:val="en-GB"/>
        </w:rPr>
        <w:t>.</w:t>
      </w:r>
      <w:r w:rsidR="00AC40C4" w:rsidRPr="00F001EC">
        <w:rPr>
          <w:rFonts w:ascii="Times New Roman" w:hAnsi="Times New Roman" w:cs="Times New Roman"/>
          <w:lang w:val="en-GB"/>
        </w:rPr>
        <w:t xml:space="preserve"> </w:t>
      </w:r>
      <w:r w:rsidR="00D1447F" w:rsidRPr="00E76806">
        <w:rPr>
          <w:rFonts w:ascii="Times New Roman" w:hAnsi="Times New Roman" w:cs="Times New Roman"/>
          <w:lang w:val="en-GB"/>
        </w:rPr>
        <w:t xml:space="preserve">While specific authority is not advanced for this principle, the draft GC refers to the </w:t>
      </w:r>
      <w:r w:rsidR="00D1447F" w:rsidRPr="00F001EC">
        <w:rPr>
          <w:rFonts w:ascii="Times New Roman" w:hAnsi="Times New Roman" w:cs="Times New Roman"/>
          <w:lang w:val="en-GB"/>
        </w:rPr>
        <w:t>Maastricht Principles</w:t>
      </w:r>
      <w:r w:rsidR="00CF035C" w:rsidRPr="00E76806">
        <w:rPr>
          <w:rFonts w:ascii="Times New Roman" w:hAnsi="Times New Roman" w:cs="Times New Roman"/>
          <w:lang w:val="en-GB"/>
        </w:rPr>
        <w:t>, which it claims</w:t>
      </w:r>
      <w:r w:rsidR="00D1447F" w:rsidRPr="00E76806">
        <w:rPr>
          <w:rFonts w:ascii="Times New Roman" w:hAnsi="Times New Roman" w:cs="Times New Roman"/>
          <w:lang w:val="en-GB"/>
        </w:rPr>
        <w:t xml:space="preserve"> “provide a partial</w:t>
      </w:r>
      <w:r w:rsidR="00CF035C" w:rsidRPr="00E76806">
        <w:rPr>
          <w:rFonts w:ascii="Times New Roman" w:hAnsi="Times New Roman" w:cs="Times New Roman"/>
          <w:lang w:val="en-GB"/>
        </w:rPr>
        <w:t xml:space="preserve"> restatement of international human rights</w:t>
      </w:r>
      <w:r w:rsidR="00D1447F" w:rsidRPr="00E76806">
        <w:rPr>
          <w:rFonts w:ascii="Times New Roman" w:hAnsi="Times New Roman" w:cs="Times New Roman"/>
          <w:lang w:val="en-GB"/>
        </w:rPr>
        <w:t xml:space="preserve"> law as it have [</w:t>
      </w:r>
      <w:r w:rsidR="00D1447F" w:rsidRPr="00F001EC">
        <w:rPr>
          <w:rFonts w:ascii="Times New Roman" w:hAnsi="Times New Roman" w:cs="Times New Roman"/>
          <w:lang w:val="en-GB"/>
        </w:rPr>
        <w:t>sic</w:t>
      </w:r>
      <w:r w:rsidR="00D1447F" w:rsidRPr="00E76806">
        <w:rPr>
          <w:rFonts w:ascii="Times New Roman" w:hAnsi="Times New Roman" w:cs="Times New Roman"/>
          <w:lang w:val="en-GB"/>
        </w:rPr>
        <w:t>] developed in this area in recent years”</w:t>
      </w:r>
      <w:r w:rsidRPr="00E76806">
        <w:rPr>
          <w:rFonts w:ascii="Times New Roman" w:hAnsi="Times New Roman" w:cs="Times New Roman"/>
          <w:lang w:val="en-GB"/>
        </w:rPr>
        <w:t xml:space="preserve"> (</w:t>
      </w:r>
      <w:r w:rsidRPr="00F001EC">
        <w:rPr>
          <w:rFonts w:ascii="Times New Roman" w:hAnsi="Times New Roman" w:cs="Times New Roman"/>
          <w:lang w:val="en-GB"/>
        </w:rPr>
        <w:t>id</w:t>
      </w:r>
      <w:r w:rsidR="00A50F6E" w:rsidRPr="00F001EC">
        <w:rPr>
          <w:rFonts w:ascii="Times New Roman" w:hAnsi="Times New Roman" w:cs="Times New Roman"/>
          <w:lang w:val="en-GB"/>
        </w:rPr>
        <w:t>.</w:t>
      </w:r>
      <w:r w:rsidRPr="00E76806">
        <w:rPr>
          <w:rFonts w:ascii="Times New Roman" w:hAnsi="Times New Roman" w:cs="Times New Roman"/>
          <w:lang w:val="en-GB"/>
        </w:rPr>
        <w:t>)</w:t>
      </w:r>
      <w:r w:rsidR="001D2E79" w:rsidRPr="00E76806">
        <w:rPr>
          <w:rFonts w:ascii="Times New Roman" w:hAnsi="Times New Roman" w:cs="Times New Roman"/>
          <w:lang w:val="en-GB"/>
        </w:rPr>
        <w:t>, as well as to CESCR General Comments Nos. 14 and 15, in support of similar text included at para.</w:t>
      </w:r>
      <w:r w:rsidR="007B6C93">
        <w:rPr>
          <w:rFonts w:ascii="Times New Roman" w:hAnsi="Times New Roman" w:cs="Times New Roman"/>
          <w:lang w:val="en-GB"/>
        </w:rPr>
        <w:t xml:space="preserve"> </w:t>
      </w:r>
      <w:r w:rsidR="001D2E79" w:rsidRPr="00E76806">
        <w:rPr>
          <w:rFonts w:ascii="Times New Roman" w:hAnsi="Times New Roman" w:cs="Times New Roman"/>
          <w:lang w:val="en-GB"/>
        </w:rPr>
        <w:t>36</w:t>
      </w:r>
      <w:r w:rsidR="00CF035C" w:rsidRPr="00E76806">
        <w:rPr>
          <w:rFonts w:ascii="Times New Roman" w:hAnsi="Times New Roman" w:cs="Times New Roman"/>
          <w:lang w:val="en-GB"/>
        </w:rPr>
        <w:t>.</w:t>
      </w:r>
      <w:r w:rsidR="001D2E79" w:rsidRPr="00E76806">
        <w:rPr>
          <w:rStyle w:val="FootnoteReference"/>
          <w:rFonts w:ascii="Times New Roman" w:hAnsi="Times New Roman" w:cs="Times New Roman"/>
          <w:lang w:val="en-GB"/>
        </w:rPr>
        <w:footnoteReference w:id="15"/>
      </w:r>
    </w:p>
    <w:p w:rsidR="007B6C93" w:rsidRDefault="005E5C88" w:rsidP="00F001EC">
      <w:pPr>
        <w:spacing w:line="240" w:lineRule="auto"/>
        <w:jc w:val="both"/>
        <w:rPr>
          <w:rFonts w:ascii="Times New Roman" w:hAnsi="Times New Roman" w:cs="Times New Roman"/>
          <w:lang w:val="en-GB"/>
        </w:rPr>
      </w:pPr>
      <w:r w:rsidRPr="00E76806">
        <w:rPr>
          <w:rFonts w:ascii="Times New Roman" w:hAnsi="Times New Roman" w:cs="Times New Roman"/>
          <w:lang w:val="en-GB"/>
        </w:rPr>
        <w:t>1</w:t>
      </w:r>
      <w:r w:rsidR="0083479F">
        <w:rPr>
          <w:rFonts w:ascii="Times New Roman" w:hAnsi="Times New Roman" w:cs="Times New Roman"/>
          <w:lang w:val="en-GB"/>
        </w:rPr>
        <w:t>7</w:t>
      </w:r>
      <w:r w:rsidRPr="00E76806">
        <w:rPr>
          <w:rFonts w:ascii="Times New Roman" w:hAnsi="Times New Roman" w:cs="Times New Roman"/>
          <w:lang w:val="en-GB"/>
        </w:rPr>
        <w:t xml:space="preserve">. </w:t>
      </w:r>
      <w:r w:rsidR="00905C8C">
        <w:rPr>
          <w:rFonts w:ascii="Times New Roman" w:hAnsi="Times New Roman" w:cs="Times New Roman"/>
          <w:lang w:val="en-GB"/>
        </w:rPr>
        <w:t>Para.33’s</w:t>
      </w:r>
      <w:r w:rsidR="007B6C93">
        <w:rPr>
          <w:rFonts w:ascii="Times New Roman" w:hAnsi="Times New Roman" w:cs="Times New Roman"/>
          <w:lang w:val="en-GB"/>
        </w:rPr>
        <w:t xml:space="preserve"> formulation is</w:t>
      </w:r>
      <w:r w:rsidRPr="00E76806">
        <w:rPr>
          <w:rFonts w:ascii="Times New Roman" w:hAnsi="Times New Roman" w:cs="Times New Roman"/>
          <w:lang w:val="en-GB"/>
        </w:rPr>
        <w:t xml:space="preserve"> inconsistent with established legal principles, for reasons</w:t>
      </w:r>
      <w:r w:rsidR="00256ADE">
        <w:rPr>
          <w:rFonts w:ascii="Times New Roman" w:hAnsi="Times New Roman" w:cs="Times New Roman"/>
          <w:lang w:val="en-GB"/>
        </w:rPr>
        <w:t xml:space="preserve"> </w:t>
      </w:r>
      <w:r w:rsidR="007B6C93">
        <w:rPr>
          <w:rFonts w:ascii="Times New Roman" w:hAnsi="Times New Roman" w:cs="Times New Roman"/>
          <w:lang w:val="en-GB"/>
        </w:rPr>
        <w:t>discussed above. The fact that a state has jurisdiction to regulate non-state actors (e</w:t>
      </w:r>
      <w:r w:rsidR="00256ADE">
        <w:rPr>
          <w:rFonts w:ascii="Times New Roman" w:hAnsi="Times New Roman" w:cs="Times New Roman"/>
          <w:lang w:val="en-GB"/>
        </w:rPr>
        <w:t>.</w:t>
      </w:r>
      <w:r w:rsidR="007B6C93">
        <w:rPr>
          <w:rFonts w:ascii="Times New Roman" w:hAnsi="Times New Roman" w:cs="Times New Roman"/>
          <w:lang w:val="en-GB"/>
        </w:rPr>
        <w:t>g</w:t>
      </w:r>
      <w:r w:rsidR="00256ADE">
        <w:rPr>
          <w:rFonts w:ascii="Times New Roman" w:hAnsi="Times New Roman" w:cs="Times New Roman"/>
          <w:lang w:val="en-GB"/>
        </w:rPr>
        <w:t>.</w:t>
      </w:r>
      <w:r w:rsidR="007B6C93">
        <w:rPr>
          <w:rFonts w:ascii="Times New Roman" w:hAnsi="Times New Roman" w:cs="Times New Roman"/>
          <w:lang w:val="en-GB"/>
        </w:rPr>
        <w:t xml:space="preserve"> as nationals) does not mean that it has a duty to exercise that jurisdiction. </w:t>
      </w:r>
    </w:p>
    <w:p w:rsidR="007B6C93" w:rsidRDefault="007B6C93" w:rsidP="00F001EC">
      <w:pPr>
        <w:spacing w:line="240" w:lineRule="auto"/>
        <w:jc w:val="both"/>
        <w:rPr>
          <w:rFonts w:ascii="Times New Roman" w:hAnsi="Times New Roman" w:cs="Times New Roman"/>
          <w:lang w:val="en-GB"/>
        </w:rPr>
      </w:pPr>
      <w:r>
        <w:rPr>
          <w:rFonts w:ascii="Times New Roman" w:hAnsi="Times New Roman" w:cs="Times New Roman"/>
          <w:lang w:val="en-GB"/>
        </w:rPr>
        <w:t>1</w:t>
      </w:r>
      <w:r w:rsidR="0083479F">
        <w:rPr>
          <w:rFonts w:ascii="Times New Roman" w:hAnsi="Times New Roman" w:cs="Times New Roman"/>
          <w:lang w:val="en-GB"/>
        </w:rPr>
        <w:t>8</w:t>
      </w:r>
      <w:r>
        <w:rPr>
          <w:rFonts w:ascii="Times New Roman" w:hAnsi="Times New Roman" w:cs="Times New Roman"/>
          <w:lang w:val="en-GB"/>
        </w:rPr>
        <w:t xml:space="preserve">. In addition, </w:t>
      </w:r>
      <w:r w:rsidR="00905C8C">
        <w:rPr>
          <w:rFonts w:ascii="Times New Roman" w:hAnsi="Times New Roman" w:cs="Times New Roman"/>
          <w:lang w:val="en-GB"/>
        </w:rPr>
        <w:t>given its</w:t>
      </w:r>
      <w:r w:rsidR="005E5C88" w:rsidRPr="00E76806">
        <w:rPr>
          <w:rFonts w:ascii="Times New Roman" w:hAnsi="Times New Roman" w:cs="Times New Roman"/>
          <w:lang w:val="en-GB"/>
        </w:rPr>
        <w:t xml:space="preserve"> failure to define relevant conditions, </w:t>
      </w:r>
      <w:r w:rsidR="00905C8C">
        <w:rPr>
          <w:rFonts w:ascii="Times New Roman" w:hAnsi="Times New Roman" w:cs="Times New Roman"/>
          <w:lang w:val="en-GB"/>
        </w:rPr>
        <w:t>the draft GC is</w:t>
      </w:r>
      <w:r w:rsidR="005E5C88" w:rsidRPr="00E76806">
        <w:rPr>
          <w:rFonts w:ascii="Times New Roman" w:hAnsi="Times New Roman" w:cs="Times New Roman"/>
          <w:lang w:val="en-GB"/>
        </w:rPr>
        <w:t xml:space="preserve"> indeterminate and incapable of giving rise to legal certainty. While acceptable in the context of policy guidance, this is an insupportable deficiency in the context of the draft GC’s purported exposition of international law.  </w:t>
      </w:r>
    </w:p>
    <w:p w:rsidR="005E5C88" w:rsidRPr="00E76806" w:rsidRDefault="007B6C93" w:rsidP="00F001EC">
      <w:pPr>
        <w:spacing w:line="240" w:lineRule="auto"/>
        <w:jc w:val="both"/>
        <w:rPr>
          <w:rFonts w:ascii="Times New Roman" w:hAnsi="Times New Roman" w:cs="Times New Roman"/>
          <w:szCs w:val="24"/>
          <w:lang w:val="en-GB"/>
        </w:rPr>
      </w:pPr>
      <w:r>
        <w:rPr>
          <w:rFonts w:ascii="Times New Roman" w:hAnsi="Times New Roman" w:cs="Times New Roman"/>
          <w:lang w:val="en-GB"/>
        </w:rPr>
        <w:t>1</w:t>
      </w:r>
      <w:r w:rsidR="0083479F">
        <w:rPr>
          <w:rFonts w:ascii="Times New Roman" w:hAnsi="Times New Roman" w:cs="Times New Roman"/>
          <w:lang w:val="en-GB"/>
        </w:rPr>
        <w:t>9</w:t>
      </w:r>
      <w:r>
        <w:rPr>
          <w:rFonts w:ascii="Times New Roman" w:hAnsi="Times New Roman" w:cs="Times New Roman"/>
          <w:lang w:val="en-GB"/>
        </w:rPr>
        <w:t>. Moreover</w:t>
      </w:r>
      <w:r w:rsidR="005E5C88" w:rsidRPr="00E76806">
        <w:rPr>
          <w:rFonts w:ascii="Times New Roman" w:hAnsi="Times New Roman" w:cs="Times New Roman"/>
          <w:lang w:val="en-GB"/>
        </w:rPr>
        <w:t xml:space="preserve">, </w:t>
      </w:r>
      <w:r w:rsidR="001D2E79" w:rsidRPr="00E76806">
        <w:rPr>
          <w:rFonts w:ascii="Times New Roman" w:hAnsi="Times New Roman" w:cs="Times New Roman"/>
          <w:lang w:val="en-GB"/>
        </w:rPr>
        <w:t xml:space="preserve">CESCR General Comments are not in themselves </w:t>
      </w:r>
      <w:r w:rsidR="001D2E79" w:rsidRPr="00E76806">
        <w:rPr>
          <w:rFonts w:ascii="Times New Roman" w:hAnsi="Times New Roman" w:cs="Times New Roman"/>
          <w:szCs w:val="24"/>
          <w:lang w:val="en-GB"/>
        </w:rPr>
        <w:t>authoritative</w:t>
      </w:r>
      <w:r w:rsidR="00922399" w:rsidRPr="00E76806">
        <w:rPr>
          <w:rFonts w:ascii="Times New Roman" w:hAnsi="Times New Roman" w:cs="Times New Roman"/>
          <w:szCs w:val="24"/>
          <w:lang w:val="en-GB"/>
        </w:rPr>
        <w:t xml:space="preserve">, </w:t>
      </w:r>
      <w:r w:rsidR="00922399" w:rsidRPr="00E76806">
        <w:rPr>
          <w:rFonts w:ascii="Times New Roman" w:hAnsi="Times New Roman" w:cs="Times New Roman"/>
          <w:kern w:val="2"/>
          <w:szCs w:val="24"/>
          <w:lang w:val="en-GB"/>
        </w:rPr>
        <w:t>nor do they qualify as subsequent practice.</w:t>
      </w:r>
      <w:r w:rsidR="00922399" w:rsidRPr="00E76806">
        <w:rPr>
          <w:rStyle w:val="FootnoteReference"/>
          <w:rFonts w:ascii="Times New Roman" w:hAnsi="Times New Roman" w:cs="Times New Roman"/>
          <w:kern w:val="2"/>
          <w:szCs w:val="24"/>
          <w:lang w:val="en-GB"/>
        </w:rPr>
        <w:footnoteReference w:id="16"/>
      </w:r>
      <w:r w:rsidR="00922399" w:rsidRPr="00E76806">
        <w:rPr>
          <w:rFonts w:ascii="Times New Roman" w:hAnsi="Times New Roman" w:cs="Times New Roman"/>
          <w:kern w:val="2"/>
          <w:szCs w:val="24"/>
          <w:lang w:val="en-GB"/>
        </w:rPr>
        <w:t xml:space="preserve"> Nor have states been uniformly supportive of the most basic of these obligations, namely of an obligation to respect economic, social, and cultural rights in situations of mere economic effect.</w:t>
      </w:r>
      <w:bookmarkStart w:id="1" w:name="_Ref270767894"/>
      <w:r w:rsidR="00922399" w:rsidRPr="00E76806">
        <w:rPr>
          <w:rStyle w:val="FootnoteReference"/>
          <w:rFonts w:ascii="Times New Roman" w:hAnsi="Times New Roman" w:cs="Times New Roman"/>
          <w:kern w:val="2"/>
          <w:szCs w:val="24"/>
          <w:lang w:val="en-GB"/>
        </w:rPr>
        <w:footnoteReference w:id="17"/>
      </w:r>
      <w:bookmarkEnd w:id="1"/>
      <w:r w:rsidR="00922399" w:rsidRPr="00E76806">
        <w:rPr>
          <w:rFonts w:ascii="Times New Roman" w:hAnsi="Times New Roman" w:cs="Times New Roman"/>
          <w:kern w:val="2"/>
          <w:szCs w:val="24"/>
          <w:lang w:val="en-GB"/>
        </w:rPr>
        <w:t xml:space="preserve"> Some have been categorically negative.</w:t>
      </w:r>
      <w:r w:rsidR="00922399" w:rsidRPr="00E76806">
        <w:rPr>
          <w:rStyle w:val="FootnoteReference"/>
          <w:rFonts w:ascii="Times New Roman" w:hAnsi="Times New Roman" w:cs="Times New Roman"/>
          <w:kern w:val="2"/>
          <w:szCs w:val="24"/>
          <w:lang w:val="en-GB"/>
        </w:rPr>
        <w:footnoteReference w:id="18"/>
      </w:r>
      <w:r w:rsidR="00984B62" w:rsidRPr="00E76806">
        <w:rPr>
          <w:rFonts w:ascii="Times New Roman" w:hAnsi="Times New Roman" w:cs="Times New Roman"/>
          <w:kern w:val="2"/>
          <w:szCs w:val="24"/>
          <w:lang w:val="en-GB"/>
        </w:rPr>
        <w:t xml:space="preserve"> </w:t>
      </w:r>
      <w:r w:rsidR="001D2E79" w:rsidRPr="00E76806">
        <w:rPr>
          <w:rFonts w:ascii="Times New Roman" w:hAnsi="Times New Roman" w:cs="Times New Roman"/>
          <w:szCs w:val="24"/>
          <w:lang w:val="en-GB"/>
        </w:rPr>
        <w:t xml:space="preserve">The </w:t>
      </w:r>
      <w:r w:rsidR="00921824" w:rsidRPr="00E76806">
        <w:rPr>
          <w:rFonts w:ascii="Times New Roman" w:hAnsi="Times New Roman" w:cs="Times New Roman"/>
          <w:szCs w:val="24"/>
          <w:lang w:val="en-GB"/>
        </w:rPr>
        <w:t xml:space="preserve">Maastricht Principles </w:t>
      </w:r>
      <w:r w:rsidR="00984B62" w:rsidRPr="00E76806">
        <w:rPr>
          <w:rFonts w:ascii="Times New Roman" w:hAnsi="Times New Roman" w:cs="Times New Roman"/>
          <w:szCs w:val="24"/>
          <w:lang w:val="en-GB"/>
        </w:rPr>
        <w:t xml:space="preserve">have no legal status, being no more than an academic commentary, even if </w:t>
      </w:r>
      <w:r>
        <w:rPr>
          <w:rFonts w:ascii="Times New Roman" w:hAnsi="Times New Roman" w:cs="Times New Roman"/>
          <w:szCs w:val="24"/>
          <w:lang w:val="en-GB"/>
        </w:rPr>
        <w:t xml:space="preserve">they are </w:t>
      </w:r>
      <w:r w:rsidR="00984B62" w:rsidRPr="00E76806">
        <w:rPr>
          <w:rFonts w:ascii="Times New Roman" w:hAnsi="Times New Roman" w:cs="Times New Roman"/>
          <w:szCs w:val="24"/>
          <w:lang w:val="en-GB"/>
        </w:rPr>
        <w:t>presented in a form modelled on the work of the International Law Commission.</w:t>
      </w:r>
      <w:r w:rsidR="00921824" w:rsidRPr="00E76806">
        <w:rPr>
          <w:rStyle w:val="FootnoteReference"/>
          <w:rFonts w:ascii="Times New Roman" w:hAnsi="Times New Roman" w:cs="Times New Roman"/>
          <w:szCs w:val="24"/>
          <w:lang w:val="en-GB"/>
        </w:rPr>
        <w:footnoteReference w:id="19"/>
      </w:r>
      <w:r w:rsidR="00921824" w:rsidRPr="00E76806">
        <w:rPr>
          <w:rFonts w:ascii="Times New Roman" w:hAnsi="Times New Roman" w:cs="Times New Roman"/>
          <w:szCs w:val="24"/>
          <w:lang w:val="en-GB"/>
        </w:rPr>
        <w:t xml:space="preserve"> </w:t>
      </w:r>
    </w:p>
    <w:p w:rsidR="001D2E79" w:rsidRPr="00E76806" w:rsidRDefault="0083479F" w:rsidP="00F001EC">
      <w:pPr>
        <w:spacing w:line="240" w:lineRule="auto"/>
        <w:jc w:val="both"/>
        <w:rPr>
          <w:rFonts w:ascii="Times New Roman" w:hAnsi="Times New Roman" w:cs="Times New Roman"/>
          <w:lang w:val="en-GB"/>
        </w:rPr>
      </w:pPr>
      <w:r>
        <w:rPr>
          <w:rFonts w:ascii="Times New Roman" w:hAnsi="Times New Roman" w:cs="Times New Roman"/>
          <w:lang w:val="en-GB"/>
        </w:rPr>
        <w:t>20</w:t>
      </w:r>
      <w:r w:rsidR="00921824" w:rsidRPr="00E76806">
        <w:rPr>
          <w:rFonts w:ascii="Times New Roman" w:hAnsi="Times New Roman" w:cs="Times New Roman"/>
          <w:lang w:val="en-GB"/>
        </w:rPr>
        <w:t>.</w:t>
      </w:r>
      <w:r w:rsidR="001D2E79" w:rsidRPr="00E76806">
        <w:rPr>
          <w:rFonts w:ascii="Times New Roman" w:hAnsi="Times New Roman" w:cs="Times New Roman"/>
          <w:lang w:val="en-GB"/>
        </w:rPr>
        <w:t xml:space="preserve">  </w:t>
      </w:r>
      <w:proofErr w:type="gramStart"/>
      <w:r w:rsidR="001D2E79" w:rsidRPr="00E76806">
        <w:rPr>
          <w:rFonts w:ascii="Times New Roman" w:hAnsi="Times New Roman" w:cs="Times New Roman"/>
          <w:lang w:val="en-GB"/>
        </w:rPr>
        <w:t>At</w:t>
      </w:r>
      <w:proofErr w:type="gramEnd"/>
      <w:r w:rsidR="001D2E79" w:rsidRPr="00E76806">
        <w:rPr>
          <w:rFonts w:ascii="Times New Roman" w:hAnsi="Times New Roman" w:cs="Times New Roman"/>
          <w:lang w:val="en-GB"/>
        </w:rPr>
        <w:t xml:space="preserve"> para.</w:t>
      </w:r>
      <w:r w:rsidR="007B6C93">
        <w:rPr>
          <w:rFonts w:ascii="Times New Roman" w:hAnsi="Times New Roman" w:cs="Times New Roman"/>
          <w:lang w:val="en-GB"/>
        </w:rPr>
        <w:t xml:space="preserve"> </w:t>
      </w:r>
      <w:r w:rsidR="001D2E79" w:rsidRPr="00E76806">
        <w:rPr>
          <w:rFonts w:ascii="Times New Roman" w:hAnsi="Times New Roman" w:cs="Times New Roman"/>
          <w:lang w:val="en-GB"/>
        </w:rPr>
        <w:t>37, the draft GC asserts</w:t>
      </w:r>
      <w:r w:rsidR="001D2E79" w:rsidRPr="00F001EC">
        <w:rPr>
          <w:rFonts w:ascii="Times New Roman" w:hAnsi="Times New Roman" w:cs="Times New Roman"/>
          <w:lang w:val="en-GB"/>
        </w:rPr>
        <w:t xml:space="preserve">, </w:t>
      </w:r>
      <w:r w:rsidR="00B637B9" w:rsidRPr="00E76806">
        <w:rPr>
          <w:rFonts w:ascii="Times New Roman" w:hAnsi="Times New Roman" w:cs="Times New Roman"/>
          <w:lang w:val="en-GB"/>
        </w:rPr>
        <w:t>citing the ILC’s Articles on State Responsibility,</w:t>
      </w:r>
      <w:r w:rsidR="00B637B9" w:rsidRPr="00E76806">
        <w:rPr>
          <w:rStyle w:val="FootnoteReference"/>
          <w:rFonts w:ascii="Times New Roman" w:hAnsi="Times New Roman" w:cs="Times New Roman"/>
          <w:lang w:val="en-GB"/>
        </w:rPr>
        <w:footnoteReference w:id="20"/>
      </w:r>
      <w:r w:rsidR="00B637B9" w:rsidRPr="00E76806">
        <w:rPr>
          <w:rFonts w:ascii="Times New Roman" w:hAnsi="Times New Roman" w:cs="Times New Roman"/>
          <w:lang w:val="en-GB"/>
        </w:rPr>
        <w:t xml:space="preserve"> that</w:t>
      </w:r>
      <w:r w:rsidR="00B637B9" w:rsidRPr="00F001EC">
        <w:rPr>
          <w:rFonts w:ascii="Times New Roman" w:hAnsi="Times New Roman" w:cs="Times New Roman"/>
          <w:lang w:val="en-GB"/>
        </w:rPr>
        <w:t xml:space="preserve"> </w:t>
      </w:r>
      <w:r w:rsidR="001D2E79" w:rsidRPr="00F001EC">
        <w:rPr>
          <w:rFonts w:ascii="Times New Roman" w:hAnsi="Times New Roman" w:cs="Times New Roman"/>
          <w:lang w:val="en-GB"/>
        </w:rPr>
        <w:t>“</w:t>
      </w:r>
      <w:r w:rsidR="007B6C93">
        <w:rPr>
          <w:rFonts w:ascii="Times New Roman" w:hAnsi="Times New Roman" w:cs="Times New Roman"/>
          <w:lang w:val="en-GB"/>
        </w:rPr>
        <w:t>[w]</w:t>
      </w:r>
      <w:proofErr w:type="spellStart"/>
      <w:r w:rsidR="007B6C93" w:rsidRPr="00F001EC">
        <w:rPr>
          <w:rFonts w:ascii="Times New Roman" w:hAnsi="Times New Roman" w:cs="Times New Roman"/>
          <w:lang w:val="en-GB"/>
        </w:rPr>
        <w:t>hereas</w:t>
      </w:r>
      <w:proofErr w:type="spellEnd"/>
      <w:r w:rsidR="007B6C93" w:rsidRPr="00F001EC">
        <w:rPr>
          <w:rFonts w:ascii="Times New Roman" w:hAnsi="Times New Roman" w:cs="Times New Roman"/>
          <w:lang w:val="en-GB"/>
        </w:rPr>
        <w:t xml:space="preserve"> </w:t>
      </w:r>
      <w:r w:rsidR="001D2E79" w:rsidRPr="00F001EC">
        <w:rPr>
          <w:rFonts w:ascii="Times New Roman" w:hAnsi="Times New Roman" w:cs="Times New Roman"/>
          <w:lang w:val="en-GB"/>
        </w:rPr>
        <w:t>States Parties would not normally be held internationally responsible for any violation of economic, social and cultural rights which is caused directly by a private entity’s conduct, it would be in breach of its obligations under the Covenant if the violation reveals its failure to take reasonable measures that could have prevented the occurrence of the event. The responsibility of the State can be engaged in such circumstances even if other intervening causes have also played a role in the occurrence of the violation…”</w:t>
      </w:r>
      <w:r w:rsidR="001D2E79" w:rsidRPr="00E76806">
        <w:rPr>
          <w:rFonts w:ascii="Times New Roman" w:hAnsi="Times New Roman" w:cs="Times New Roman"/>
          <w:lang w:val="en-GB"/>
        </w:rPr>
        <w:t xml:space="preserve"> </w:t>
      </w:r>
    </w:p>
    <w:p w:rsidR="001D2E79" w:rsidRPr="00E76806" w:rsidRDefault="0083479F" w:rsidP="00F001EC">
      <w:pPr>
        <w:spacing w:line="240" w:lineRule="auto"/>
        <w:jc w:val="both"/>
        <w:rPr>
          <w:rFonts w:ascii="Times New Roman" w:hAnsi="Times New Roman" w:cs="Times New Roman"/>
          <w:lang w:val="en-GB"/>
        </w:rPr>
      </w:pPr>
      <w:r>
        <w:rPr>
          <w:rFonts w:ascii="Times New Roman" w:hAnsi="Times New Roman" w:cs="Times New Roman"/>
          <w:lang w:val="en-GB"/>
        </w:rPr>
        <w:t>21</w:t>
      </w:r>
      <w:r w:rsidR="001D2E79" w:rsidRPr="00E76806">
        <w:rPr>
          <w:rFonts w:ascii="Times New Roman" w:hAnsi="Times New Roman" w:cs="Times New Roman"/>
          <w:lang w:val="en-GB"/>
        </w:rPr>
        <w:t xml:space="preserve">. </w:t>
      </w:r>
      <w:r w:rsidR="00CE7151" w:rsidRPr="00E76806">
        <w:rPr>
          <w:rFonts w:ascii="Times New Roman" w:hAnsi="Times New Roman" w:cs="Times New Roman"/>
          <w:lang w:val="en-GB"/>
        </w:rPr>
        <w:t>Once again, however, t</w:t>
      </w:r>
      <w:r w:rsidR="001D2E79" w:rsidRPr="00E76806">
        <w:rPr>
          <w:rFonts w:ascii="Times New Roman" w:hAnsi="Times New Roman" w:cs="Times New Roman"/>
          <w:lang w:val="en-GB"/>
        </w:rPr>
        <w:t xml:space="preserve">his formulation </w:t>
      </w:r>
      <w:r w:rsidR="00CE7151" w:rsidRPr="00E76806">
        <w:rPr>
          <w:rFonts w:ascii="Times New Roman" w:hAnsi="Times New Roman" w:cs="Times New Roman"/>
          <w:lang w:val="en-GB"/>
        </w:rPr>
        <w:t>fails to acknowledge that jurisdiction, and hence obligations, will almost always be lacking in the home state-TNC scenario, and that the test which para.</w:t>
      </w:r>
      <w:r w:rsidR="004B6CCA">
        <w:rPr>
          <w:rFonts w:ascii="Times New Roman" w:hAnsi="Times New Roman" w:cs="Times New Roman"/>
          <w:lang w:val="en-GB"/>
        </w:rPr>
        <w:t xml:space="preserve"> </w:t>
      </w:r>
      <w:r w:rsidR="00CE7151" w:rsidRPr="00E76806">
        <w:rPr>
          <w:rFonts w:ascii="Times New Roman" w:hAnsi="Times New Roman" w:cs="Times New Roman"/>
          <w:lang w:val="en-GB"/>
        </w:rPr>
        <w:t>37</w:t>
      </w:r>
      <w:r w:rsidR="00CE7151" w:rsidRPr="00E76806">
        <w:rPr>
          <w:rFonts w:ascii="Times New Roman" w:hAnsi="Times New Roman" w:cs="Times New Roman"/>
          <w:b/>
          <w:lang w:val="en-GB"/>
        </w:rPr>
        <w:t xml:space="preserve"> </w:t>
      </w:r>
      <w:r w:rsidR="00CE7151" w:rsidRPr="00E76806">
        <w:rPr>
          <w:rFonts w:ascii="Times New Roman" w:hAnsi="Times New Roman" w:cs="Times New Roman"/>
          <w:lang w:val="en-GB"/>
        </w:rPr>
        <w:t>expresses, for responsibility based on positive obligations, is linked to specific narrow exceptions to the general presumption that jurisdiction is territorial.</w:t>
      </w:r>
    </w:p>
    <w:p w:rsidR="00AA43D0" w:rsidRPr="00E76806" w:rsidRDefault="0083479F" w:rsidP="00F001EC">
      <w:pPr>
        <w:spacing w:line="240" w:lineRule="auto"/>
        <w:jc w:val="both"/>
        <w:rPr>
          <w:rFonts w:ascii="Times New Roman" w:hAnsi="Times New Roman" w:cs="Times New Roman"/>
          <w:lang w:val="en-GB"/>
        </w:rPr>
      </w:pPr>
      <w:r>
        <w:rPr>
          <w:rFonts w:ascii="Times New Roman" w:hAnsi="Times New Roman" w:cs="Times New Roman"/>
          <w:lang w:val="en-GB"/>
        </w:rPr>
        <w:t>22</w:t>
      </w:r>
      <w:r w:rsidR="00CE7151" w:rsidRPr="00E76806">
        <w:rPr>
          <w:rFonts w:ascii="Times New Roman" w:hAnsi="Times New Roman" w:cs="Times New Roman"/>
          <w:lang w:val="en-GB"/>
        </w:rPr>
        <w:t xml:space="preserve">. </w:t>
      </w:r>
      <w:proofErr w:type="gramStart"/>
      <w:r w:rsidR="00AA43D0" w:rsidRPr="00E76806">
        <w:rPr>
          <w:rFonts w:ascii="Times New Roman" w:hAnsi="Times New Roman" w:cs="Times New Roman"/>
          <w:lang w:val="en-GB"/>
        </w:rPr>
        <w:t>At</w:t>
      </w:r>
      <w:proofErr w:type="gramEnd"/>
      <w:r w:rsidR="00AA43D0" w:rsidRPr="00E76806">
        <w:rPr>
          <w:rFonts w:ascii="Times New Roman" w:hAnsi="Times New Roman" w:cs="Times New Roman"/>
          <w:lang w:val="en-GB"/>
        </w:rPr>
        <w:t xml:space="preserve"> para.</w:t>
      </w:r>
      <w:r w:rsidR="004B6CCA">
        <w:rPr>
          <w:rFonts w:ascii="Times New Roman" w:hAnsi="Times New Roman" w:cs="Times New Roman"/>
          <w:lang w:val="en-GB"/>
        </w:rPr>
        <w:t xml:space="preserve"> </w:t>
      </w:r>
      <w:r w:rsidR="00AA43D0" w:rsidRPr="00E76806">
        <w:rPr>
          <w:rFonts w:ascii="Times New Roman" w:hAnsi="Times New Roman" w:cs="Times New Roman"/>
          <w:lang w:val="en-GB"/>
        </w:rPr>
        <w:t>39, the draft GC refers to an “Extraterritorial obligation to fulfil”. Whereas it initially describes an “expectation”</w:t>
      </w:r>
      <w:r w:rsidR="004860E6" w:rsidRPr="00E76806">
        <w:rPr>
          <w:rFonts w:ascii="Times New Roman" w:hAnsi="Times New Roman" w:cs="Times New Roman"/>
          <w:lang w:val="en-GB"/>
        </w:rPr>
        <w:t>, under CESCR,</w:t>
      </w:r>
      <w:r w:rsidR="00AA43D0" w:rsidRPr="00E76806">
        <w:rPr>
          <w:rFonts w:ascii="Times New Roman" w:hAnsi="Times New Roman" w:cs="Times New Roman"/>
          <w:lang w:val="en-GB"/>
        </w:rPr>
        <w:t xml:space="preserve"> on States Parties to take collective action through interna</w:t>
      </w:r>
      <w:r w:rsidR="004860E6" w:rsidRPr="00E76806">
        <w:rPr>
          <w:rFonts w:ascii="Times New Roman" w:hAnsi="Times New Roman" w:cs="Times New Roman"/>
          <w:lang w:val="en-GB"/>
        </w:rPr>
        <w:t>tional cooperation to fulfil economic, social and cultural</w:t>
      </w:r>
      <w:r w:rsidR="00AA43D0" w:rsidRPr="00E76806">
        <w:rPr>
          <w:rFonts w:ascii="Times New Roman" w:hAnsi="Times New Roman" w:cs="Times New Roman"/>
          <w:lang w:val="en-GB"/>
        </w:rPr>
        <w:t xml:space="preserve"> rights outside their territories</w:t>
      </w:r>
      <w:r w:rsidR="004860E6" w:rsidRPr="00E76806">
        <w:rPr>
          <w:rFonts w:ascii="Times New Roman" w:hAnsi="Times New Roman" w:cs="Times New Roman"/>
          <w:lang w:val="en-GB"/>
        </w:rPr>
        <w:t xml:space="preserve">, by para.40 this is referred to as </w:t>
      </w:r>
      <w:r w:rsidR="00AA43D0" w:rsidRPr="00E76806">
        <w:rPr>
          <w:rFonts w:ascii="Times New Roman" w:hAnsi="Times New Roman" w:cs="Times New Roman"/>
          <w:lang w:val="en-GB"/>
        </w:rPr>
        <w:t>an “obligation”</w:t>
      </w:r>
      <w:r w:rsidR="004860E6" w:rsidRPr="00E76806">
        <w:rPr>
          <w:rFonts w:ascii="Times New Roman" w:hAnsi="Times New Roman" w:cs="Times New Roman"/>
          <w:lang w:val="en-GB"/>
        </w:rPr>
        <w:t>, implying a legal status which, for reasons already stated, in reality it does not have.</w:t>
      </w:r>
    </w:p>
    <w:p w:rsidR="00E94015" w:rsidRPr="00E76806" w:rsidRDefault="00E94015" w:rsidP="00F001EC">
      <w:pPr>
        <w:spacing w:line="240" w:lineRule="auto"/>
        <w:jc w:val="both"/>
        <w:rPr>
          <w:rFonts w:ascii="Times New Roman" w:hAnsi="Times New Roman" w:cs="Times New Roman"/>
          <w:lang w:val="en-GB"/>
        </w:rPr>
      </w:pPr>
      <w:r w:rsidRPr="00E76806">
        <w:rPr>
          <w:rFonts w:ascii="Times New Roman" w:hAnsi="Times New Roman" w:cs="Times New Roman"/>
          <w:lang w:val="en-GB"/>
        </w:rPr>
        <w:lastRenderedPageBreak/>
        <w:t>2</w:t>
      </w:r>
      <w:r w:rsidR="0083479F">
        <w:rPr>
          <w:rFonts w:ascii="Times New Roman" w:hAnsi="Times New Roman" w:cs="Times New Roman"/>
          <w:lang w:val="en-GB"/>
        </w:rPr>
        <w:t>3</w:t>
      </w:r>
      <w:r w:rsidRPr="00E76806">
        <w:rPr>
          <w:rFonts w:ascii="Times New Roman" w:hAnsi="Times New Roman" w:cs="Times New Roman"/>
          <w:lang w:val="en-GB"/>
        </w:rPr>
        <w:t xml:space="preserve">. Under the heading of Remedies in Part IV, the draft GC claims, citing Article 8 of the Universal Declaration of Human Rights and CESCR’s General Comment No. 9, that States Parties “have the obligation to guarantee access to effective remedies, and to reparation…, preferably through courts” which “extends to rights violations in the context of business activities, </w:t>
      </w:r>
      <w:r w:rsidRPr="00F001EC">
        <w:rPr>
          <w:rFonts w:ascii="Times New Roman" w:hAnsi="Times New Roman" w:cs="Times New Roman"/>
          <w:lang w:val="en-GB"/>
        </w:rPr>
        <w:t>whether the harm to victims o</w:t>
      </w:r>
      <w:r w:rsidR="00A7471A" w:rsidRPr="00F001EC">
        <w:rPr>
          <w:rFonts w:ascii="Times New Roman" w:hAnsi="Times New Roman" w:cs="Times New Roman"/>
          <w:lang w:val="en-GB"/>
        </w:rPr>
        <w:t>ccurs on the territory of the State Party</w:t>
      </w:r>
      <w:r w:rsidRPr="00F001EC">
        <w:rPr>
          <w:rFonts w:ascii="Times New Roman" w:hAnsi="Times New Roman" w:cs="Times New Roman"/>
          <w:lang w:val="en-GB"/>
        </w:rPr>
        <w:t xml:space="preserve"> concerned or outside its territory</w:t>
      </w:r>
      <w:r w:rsidRPr="00E76806">
        <w:rPr>
          <w:rFonts w:ascii="Times New Roman" w:hAnsi="Times New Roman" w:cs="Times New Roman"/>
          <w:lang w:val="en-GB"/>
        </w:rPr>
        <w:t>” (para.</w:t>
      </w:r>
      <w:r w:rsidR="004B6CCA">
        <w:rPr>
          <w:rFonts w:ascii="Times New Roman" w:hAnsi="Times New Roman" w:cs="Times New Roman"/>
          <w:lang w:val="en-GB"/>
        </w:rPr>
        <w:t xml:space="preserve"> </w:t>
      </w:r>
      <w:r w:rsidRPr="00E76806">
        <w:rPr>
          <w:rFonts w:ascii="Times New Roman" w:hAnsi="Times New Roman" w:cs="Times New Roman"/>
          <w:lang w:val="en-GB"/>
        </w:rPr>
        <w:t>41)</w:t>
      </w:r>
      <w:r w:rsidR="00B637B9" w:rsidRPr="00E76806">
        <w:rPr>
          <w:rFonts w:ascii="Times New Roman" w:hAnsi="Times New Roman" w:cs="Times New Roman"/>
          <w:lang w:val="en-GB"/>
        </w:rPr>
        <w:t xml:space="preserve">, in which context it is further suggested that States Parties have a “duty to take necessary steps to address” obstacles to access to justice. </w:t>
      </w:r>
    </w:p>
    <w:p w:rsidR="00E94015" w:rsidRPr="00E76806" w:rsidRDefault="00A7471A" w:rsidP="00F001EC">
      <w:pPr>
        <w:spacing w:line="240" w:lineRule="auto"/>
        <w:jc w:val="both"/>
        <w:rPr>
          <w:rFonts w:ascii="Times New Roman" w:hAnsi="Times New Roman" w:cs="Times New Roman"/>
          <w:lang w:val="en-GB"/>
        </w:rPr>
      </w:pPr>
      <w:r w:rsidRPr="00E76806">
        <w:rPr>
          <w:rFonts w:ascii="Times New Roman" w:hAnsi="Times New Roman" w:cs="Times New Roman"/>
          <w:lang w:val="en-GB"/>
        </w:rPr>
        <w:t>2</w:t>
      </w:r>
      <w:r w:rsidR="0083479F">
        <w:rPr>
          <w:rFonts w:ascii="Times New Roman" w:hAnsi="Times New Roman" w:cs="Times New Roman"/>
          <w:lang w:val="en-GB"/>
        </w:rPr>
        <w:t>4</w:t>
      </w:r>
      <w:r w:rsidRPr="00E76806">
        <w:rPr>
          <w:rFonts w:ascii="Times New Roman" w:hAnsi="Times New Roman" w:cs="Times New Roman"/>
          <w:lang w:val="en-GB"/>
        </w:rPr>
        <w:t xml:space="preserve">. However, the right to a remedy requires the violation of a substantive right subject to protection under the relevant international instrument, which in turn requires, as seen above, state responsibility for an internationally wrongful act, </w:t>
      </w:r>
      <w:r w:rsidR="00747A56">
        <w:rPr>
          <w:rFonts w:ascii="Times New Roman" w:hAnsi="Times New Roman" w:cs="Times New Roman"/>
          <w:lang w:val="en-GB"/>
        </w:rPr>
        <w:t>and thus</w:t>
      </w:r>
      <w:r w:rsidRPr="00E76806">
        <w:rPr>
          <w:rFonts w:ascii="Times New Roman" w:hAnsi="Times New Roman" w:cs="Times New Roman"/>
          <w:lang w:val="en-GB"/>
        </w:rPr>
        <w:t xml:space="preserve"> state jurisdiction </w:t>
      </w:r>
      <w:r w:rsidR="00984B62" w:rsidRPr="00E76806">
        <w:rPr>
          <w:rFonts w:ascii="Times New Roman" w:hAnsi="Times New Roman" w:cs="Times New Roman"/>
          <w:lang w:val="en-GB"/>
        </w:rPr>
        <w:t xml:space="preserve">and </w:t>
      </w:r>
      <w:r w:rsidRPr="00E76806">
        <w:rPr>
          <w:rFonts w:ascii="Times New Roman" w:hAnsi="Times New Roman" w:cs="Times New Roman"/>
          <w:lang w:val="en-GB"/>
        </w:rPr>
        <w:t>attribut</w:t>
      </w:r>
      <w:r w:rsidR="00747A56">
        <w:rPr>
          <w:rFonts w:ascii="Times New Roman" w:hAnsi="Times New Roman" w:cs="Times New Roman"/>
          <w:lang w:val="en-GB"/>
        </w:rPr>
        <w:t>ion,</w:t>
      </w:r>
      <w:r w:rsidRPr="00E76806">
        <w:rPr>
          <w:rFonts w:ascii="Times New Roman" w:hAnsi="Times New Roman" w:cs="Times New Roman"/>
          <w:lang w:val="en-GB"/>
        </w:rPr>
        <w:t xml:space="preserve"> in the case of acts of non-state actors harming human rights. The failure to acknowledge these limitations renders the draft GC’s expression of this principle misleading. </w:t>
      </w:r>
    </w:p>
    <w:p w:rsidR="00ED289B" w:rsidRPr="00E76806" w:rsidRDefault="00B637B9" w:rsidP="00F001EC">
      <w:pPr>
        <w:spacing w:line="240" w:lineRule="auto"/>
        <w:jc w:val="both"/>
        <w:rPr>
          <w:rFonts w:ascii="Times New Roman" w:hAnsi="Times New Roman" w:cs="Times New Roman"/>
          <w:b/>
          <w:lang w:val="en-GB"/>
        </w:rPr>
      </w:pPr>
      <w:r w:rsidRPr="00E76806">
        <w:rPr>
          <w:rFonts w:ascii="Times New Roman" w:hAnsi="Times New Roman" w:cs="Times New Roman"/>
          <w:b/>
          <w:lang w:val="en-GB"/>
        </w:rPr>
        <w:t>V</w:t>
      </w:r>
      <w:r w:rsidR="00747A56">
        <w:rPr>
          <w:rFonts w:ascii="Times New Roman" w:hAnsi="Times New Roman" w:cs="Times New Roman"/>
          <w:b/>
          <w:lang w:val="en-GB"/>
        </w:rPr>
        <w:t>I</w:t>
      </w:r>
      <w:r w:rsidRPr="00E76806">
        <w:rPr>
          <w:rFonts w:ascii="Times New Roman" w:hAnsi="Times New Roman" w:cs="Times New Roman"/>
          <w:b/>
          <w:lang w:val="en-GB"/>
        </w:rPr>
        <w:t xml:space="preserve">. </w:t>
      </w:r>
      <w:r w:rsidR="00ED289B" w:rsidRPr="00E76806">
        <w:rPr>
          <w:rFonts w:ascii="Times New Roman" w:hAnsi="Times New Roman" w:cs="Times New Roman"/>
          <w:b/>
          <w:lang w:val="en-GB"/>
        </w:rPr>
        <w:t>Conclusion</w:t>
      </w:r>
    </w:p>
    <w:p w:rsidR="00C4220F" w:rsidRDefault="00ED289B" w:rsidP="00F001EC">
      <w:pPr>
        <w:spacing w:line="240" w:lineRule="auto"/>
        <w:jc w:val="both"/>
        <w:rPr>
          <w:rFonts w:ascii="Times New Roman" w:hAnsi="Times New Roman" w:cs="Times New Roman"/>
          <w:lang w:val="en-GB"/>
        </w:rPr>
      </w:pPr>
      <w:r w:rsidRPr="00E76806">
        <w:rPr>
          <w:rFonts w:ascii="Times New Roman" w:hAnsi="Times New Roman" w:cs="Times New Roman"/>
          <w:lang w:val="en-GB"/>
        </w:rPr>
        <w:t xml:space="preserve">22. </w:t>
      </w:r>
      <w:r w:rsidR="00747A56">
        <w:rPr>
          <w:rFonts w:ascii="Times New Roman" w:hAnsi="Times New Roman" w:cs="Times New Roman"/>
          <w:lang w:val="en-GB"/>
        </w:rPr>
        <w:t>There can be little doubt</w:t>
      </w:r>
      <w:r w:rsidR="00C4220F">
        <w:rPr>
          <w:rFonts w:ascii="Times New Roman" w:hAnsi="Times New Roman" w:cs="Times New Roman"/>
          <w:lang w:val="en-GB"/>
        </w:rPr>
        <w:t xml:space="preserve"> </w:t>
      </w:r>
      <w:r w:rsidR="00747A56">
        <w:rPr>
          <w:rFonts w:ascii="Times New Roman" w:hAnsi="Times New Roman" w:cs="Times New Roman"/>
          <w:lang w:val="en-GB"/>
        </w:rPr>
        <w:t xml:space="preserve">that abuses in which </w:t>
      </w:r>
      <w:r w:rsidR="00C4220F">
        <w:rPr>
          <w:rFonts w:ascii="Times New Roman" w:hAnsi="Times New Roman" w:cs="Times New Roman"/>
          <w:lang w:val="en-GB"/>
        </w:rPr>
        <w:t xml:space="preserve">transnational corporations </w:t>
      </w:r>
      <w:r w:rsidR="00747A56">
        <w:rPr>
          <w:rFonts w:ascii="Times New Roman" w:hAnsi="Times New Roman" w:cs="Times New Roman"/>
          <w:lang w:val="en-GB"/>
        </w:rPr>
        <w:t>are implicated r</w:t>
      </w:r>
      <w:r w:rsidR="00C4220F">
        <w:rPr>
          <w:rFonts w:ascii="Times New Roman" w:hAnsi="Times New Roman" w:cs="Times New Roman"/>
          <w:lang w:val="en-GB"/>
        </w:rPr>
        <w:t>emain</w:t>
      </w:r>
      <w:r w:rsidR="00747A56">
        <w:rPr>
          <w:rFonts w:ascii="Times New Roman" w:hAnsi="Times New Roman" w:cs="Times New Roman"/>
          <w:lang w:val="en-GB"/>
        </w:rPr>
        <w:t xml:space="preserve"> a </w:t>
      </w:r>
      <w:r w:rsidR="00C4220F">
        <w:rPr>
          <w:rFonts w:ascii="Times New Roman" w:hAnsi="Times New Roman" w:cs="Times New Roman"/>
          <w:lang w:val="en-GB"/>
        </w:rPr>
        <w:t>grave</w:t>
      </w:r>
      <w:r w:rsidR="00913D7F">
        <w:rPr>
          <w:rFonts w:ascii="Times New Roman" w:hAnsi="Times New Roman" w:cs="Times New Roman"/>
          <w:lang w:val="en-GB"/>
        </w:rPr>
        <w:t xml:space="preserve"> threat to</w:t>
      </w:r>
      <w:r w:rsidR="00747A56">
        <w:rPr>
          <w:rFonts w:ascii="Times New Roman" w:hAnsi="Times New Roman" w:cs="Times New Roman"/>
          <w:lang w:val="en-GB"/>
        </w:rPr>
        <w:t xml:space="preserve"> universal and effective enjoyment of human rights and that </w:t>
      </w:r>
      <w:r w:rsidR="00C4220F">
        <w:rPr>
          <w:rFonts w:ascii="Times New Roman" w:hAnsi="Times New Roman" w:cs="Times New Roman"/>
          <w:lang w:val="en-GB"/>
        </w:rPr>
        <w:t xml:space="preserve">it is incumbent on </w:t>
      </w:r>
      <w:r w:rsidR="00913D7F">
        <w:rPr>
          <w:rFonts w:ascii="Times New Roman" w:hAnsi="Times New Roman" w:cs="Times New Roman"/>
          <w:lang w:val="en-GB"/>
        </w:rPr>
        <w:t xml:space="preserve">states to </w:t>
      </w:r>
      <w:r w:rsidR="00C4220F">
        <w:rPr>
          <w:rFonts w:ascii="Times New Roman" w:hAnsi="Times New Roman" w:cs="Times New Roman"/>
          <w:lang w:val="en-GB"/>
        </w:rPr>
        <w:t xml:space="preserve">address this, as a matter of policy coherence as well as one of ethics. </w:t>
      </w:r>
    </w:p>
    <w:p w:rsidR="00BD387A" w:rsidRPr="00E76806" w:rsidRDefault="00C4220F" w:rsidP="00BD387A">
      <w:pPr>
        <w:spacing w:line="240" w:lineRule="auto"/>
        <w:jc w:val="both"/>
        <w:rPr>
          <w:rFonts w:ascii="Times New Roman" w:hAnsi="Times New Roman" w:cs="Times New Roman"/>
          <w:lang w:val="en-GB"/>
        </w:rPr>
      </w:pPr>
      <w:r>
        <w:rPr>
          <w:rFonts w:ascii="Times New Roman" w:hAnsi="Times New Roman" w:cs="Times New Roman"/>
          <w:lang w:val="en-GB"/>
        </w:rPr>
        <w:t xml:space="preserve">23. While we appreciate CESCR’s efforts to highlight this situation, </w:t>
      </w:r>
      <w:r w:rsidR="00ED289B" w:rsidRPr="00E76806">
        <w:rPr>
          <w:rFonts w:ascii="Times New Roman" w:hAnsi="Times New Roman" w:cs="Times New Roman"/>
          <w:lang w:val="en-GB"/>
        </w:rPr>
        <w:t>the draft</w:t>
      </w:r>
      <w:r w:rsidR="00913D7F">
        <w:rPr>
          <w:rFonts w:ascii="Times New Roman" w:hAnsi="Times New Roman" w:cs="Times New Roman"/>
          <w:lang w:val="en-GB"/>
        </w:rPr>
        <w:t xml:space="preserve"> </w:t>
      </w:r>
      <w:r w:rsidR="00ED289B" w:rsidRPr="00E76806">
        <w:rPr>
          <w:rFonts w:ascii="Times New Roman" w:hAnsi="Times New Roman" w:cs="Times New Roman"/>
          <w:lang w:val="en-GB"/>
        </w:rPr>
        <w:t>GC</w:t>
      </w:r>
      <w:r w:rsidR="00BD387A">
        <w:rPr>
          <w:rFonts w:ascii="Times New Roman" w:hAnsi="Times New Roman" w:cs="Times New Roman"/>
          <w:lang w:val="en-GB"/>
        </w:rPr>
        <w:t xml:space="preserve"> fails </w:t>
      </w:r>
      <w:r w:rsidR="00913D7F">
        <w:rPr>
          <w:rFonts w:ascii="Times New Roman" w:hAnsi="Times New Roman" w:cs="Times New Roman"/>
          <w:lang w:val="en-GB"/>
        </w:rPr>
        <w:t>to distinguish</w:t>
      </w:r>
      <w:r w:rsidR="00913D7F" w:rsidRPr="00E76806">
        <w:rPr>
          <w:rFonts w:ascii="Times New Roman" w:hAnsi="Times New Roman" w:cs="Times New Roman"/>
          <w:lang w:val="en-GB"/>
        </w:rPr>
        <w:t xml:space="preserve"> </w:t>
      </w:r>
      <w:r w:rsidR="00913D7F">
        <w:rPr>
          <w:rFonts w:ascii="Times New Roman" w:hAnsi="Times New Roman" w:cs="Times New Roman"/>
          <w:lang w:val="en-GB"/>
        </w:rPr>
        <w:t xml:space="preserve">the analysis of existing legal obligations from </w:t>
      </w:r>
      <w:r w:rsidR="007511E9">
        <w:rPr>
          <w:rFonts w:ascii="Times New Roman" w:hAnsi="Times New Roman" w:cs="Times New Roman"/>
          <w:lang w:val="en-GB"/>
        </w:rPr>
        <w:t xml:space="preserve">the expression of </w:t>
      </w:r>
      <w:r w:rsidR="00BD387A">
        <w:rPr>
          <w:rFonts w:ascii="Times New Roman" w:hAnsi="Times New Roman" w:cs="Times New Roman"/>
          <w:lang w:val="en-GB"/>
        </w:rPr>
        <w:t xml:space="preserve">a particular set of </w:t>
      </w:r>
      <w:r w:rsidR="00913D7F">
        <w:rPr>
          <w:rFonts w:ascii="Times New Roman" w:hAnsi="Times New Roman" w:cs="Times New Roman"/>
          <w:lang w:val="en-GB"/>
        </w:rPr>
        <w:t>views</w:t>
      </w:r>
      <w:r w:rsidR="007511E9">
        <w:rPr>
          <w:rFonts w:ascii="Times New Roman" w:hAnsi="Times New Roman" w:cs="Times New Roman"/>
          <w:lang w:val="en-GB"/>
        </w:rPr>
        <w:t>, which do not in fact enjoy the legal basis claimed for them,</w:t>
      </w:r>
      <w:r w:rsidR="002E7E55">
        <w:rPr>
          <w:rFonts w:ascii="Times New Roman" w:hAnsi="Times New Roman" w:cs="Times New Roman"/>
          <w:lang w:val="en-GB"/>
        </w:rPr>
        <w:t xml:space="preserve"> about the current state of</w:t>
      </w:r>
      <w:r w:rsidR="00913D7F">
        <w:rPr>
          <w:rFonts w:ascii="Times New Roman" w:hAnsi="Times New Roman" w:cs="Times New Roman"/>
          <w:lang w:val="en-GB"/>
        </w:rPr>
        <w:t xml:space="preserve"> human rights </w:t>
      </w:r>
      <w:r w:rsidR="00BD387A">
        <w:rPr>
          <w:rFonts w:ascii="Times New Roman" w:hAnsi="Times New Roman" w:cs="Times New Roman"/>
          <w:lang w:val="en-GB"/>
        </w:rPr>
        <w:t>law</w:t>
      </w:r>
      <w:r w:rsidR="00913D7F">
        <w:rPr>
          <w:rFonts w:ascii="Times New Roman" w:hAnsi="Times New Roman" w:cs="Times New Roman"/>
          <w:lang w:val="en-GB"/>
        </w:rPr>
        <w:t xml:space="preserve"> </w:t>
      </w:r>
      <w:r w:rsidR="002E7E55">
        <w:rPr>
          <w:rFonts w:ascii="Times New Roman" w:hAnsi="Times New Roman" w:cs="Times New Roman"/>
          <w:lang w:val="en-GB"/>
        </w:rPr>
        <w:t xml:space="preserve">and how it </w:t>
      </w:r>
      <w:r w:rsidR="00913D7F">
        <w:rPr>
          <w:rFonts w:ascii="Times New Roman" w:hAnsi="Times New Roman" w:cs="Times New Roman"/>
          <w:lang w:val="en-GB"/>
        </w:rPr>
        <w:t>should in future evolve</w:t>
      </w:r>
      <w:r w:rsidR="00BD387A">
        <w:rPr>
          <w:rFonts w:ascii="Times New Roman" w:hAnsi="Times New Roman" w:cs="Times New Roman"/>
          <w:lang w:val="en-GB"/>
        </w:rPr>
        <w:t xml:space="preserve">. </w:t>
      </w:r>
      <w:r w:rsidR="00913D7F">
        <w:rPr>
          <w:rFonts w:ascii="Times New Roman" w:hAnsi="Times New Roman" w:cs="Times New Roman"/>
          <w:lang w:val="en-GB"/>
        </w:rPr>
        <w:t xml:space="preserve"> </w:t>
      </w:r>
      <w:r w:rsidR="007511E9">
        <w:rPr>
          <w:rFonts w:ascii="Times New Roman" w:hAnsi="Times New Roman" w:cs="Times New Roman"/>
          <w:lang w:val="en-GB"/>
        </w:rPr>
        <w:t>If</w:t>
      </w:r>
      <w:r w:rsidR="00BD387A">
        <w:rPr>
          <w:rFonts w:ascii="Times New Roman" w:hAnsi="Times New Roman" w:cs="Times New Roman"/>
          <w:lang w:val="en-GB"/>
        </w:rPr>
        <w:t xml:space="preserve"> such an approach may have the virtue of promoting debate, on the other hand, </w:t>
      </w:r>
      <w:r w:rsidR="007511E9">
        <w:rPr>
          <w:rFonts w:ascii="Times New Roman" w:hAnsi="Times New Roman" w:cs="Times New Roman"/>
          <w:lang w:val="en-GB"/>
        </w:rPr>
        <w:t>it is also</w:t>
      </w:r>
      <w:r w:rsidR="00BD387A">
        <w:rPr>
          <w:rFonts w:ascii="Times New Roman" w:hAnsi="Times New Roman" w:cs="Times New Roman"/>
          <w:lang w:val="en-GB"/>
        </w:rPr>
        <w:t xml:space="preserve"> apt to cause confusion</w:t>
      </w:r>
      <w:r w:rsidR="007511E9">
        <w:rPr>
          <w:rFonts w:ascii="Times New Roman" w:hAnsi="Times New Roman" w:cs="Times New Roman"/>
          <w:lang w:val="en-GB"/>
        </w:rPr>
        <w:t>,</w:t>
      </w:r>
      <w:r w:rsidR="00BD387A">
        <w:rPr>
          <w:rFonts w:ascii="Times New Roman" w:hAnsi="Times New Roman" w:cs="Times New Roman"/>
          <w:lang w:val="en-GB"/>
        </w:rPr>
        <w:t xml:space="preserve"> </w:t>
      </w:r>
      <w:r w:rsidR="007511E9">
        <w:rPr>
          <w:rFonts w:ascii="Times New Roman" w:hAnsi="Times New Roman" w:cs="Times New Roman"/>
          <w:lang w:val="en-GB"/>
        </w:rPr>
        <w:t>and to</w:t>
      </w:r>
      <w:r w:rsidR="00BD387A">
        <w:rPr>
          <w:rFonts w:ascii="Times New Roman" w:hAnsi="Times New Roman" w:cs="Times New Roman"/>
          <w:lang w:val="en-GB"/>
        </w:rPr>
        <w:t xml:space="preserve"> </w:t>
      </w:r>
      <w:r w:rsidR="007511E9">
        <w:rPr>
          <w:rFonts w:ascii="Times New Roman" w:hAnsi="Times New Roman" w:cs="Times New Roman"/>
          <w:lang w:val="en-GB"/>
        </w:rPr>
        <w:t>undermine</w:t>
      </w:r>
      <w:r w:rsidR="00BD387A">
        <w:rPr>
          <w:rFonts w:ascii="Times New Roman" w:hAnsi="Times New Roman" w:cs="Times New Roman"/>
          <w:lang w:val="en-GB"/>
        </w:rPr>
        <w:t xml:space="preserve"> the</w:t>
      </w:r>
      <w:r w:rsidR="00643E6D">
        <w:rPr>
          <w:rFonts w:ascii="Times New Roman" w:hAnsi="Times New Roman" w:cs="Times New Roman"/>
          <w:lang w:val="en-GB"/>
        </w:rPr>
        <w:t xml:space="preserve"> authority </w:t>
      </w:r>
      <w:r w:rsidR="002E7E55">
        <w:rPr>
          <w:rFonts w:ascii="Times New Roman" w:hAnsi="Times New Roman" w:cs="Times New Roman"/>
          <w:lang w:val="en-GB"/>
        </w:rPr>
        <w:t>of</w:t>
      </w:r>
      <w:r w:rsidR="00643E6D">
        <w:rPr>
          <w:rFonts w:ascii="Times New Roman" w:hAnsi="Times New Roman" w:cs="Times New Roman"/>
          <w:lang w:val="en-GB"/>
        </w:rPr>
        <w:t xml:space="preserve"> human rights law and institutions, an outcome that is </w:t>
      </w:r>
      <w:r w:rsidR="002E7E55">
        <w:rPr>
          <w:rFonts w:ascii="Times New Roman" w:hAnsi="Times New Roman" w:cs="Times New Roman"/>
          <w:lang w:val="en-GB"/>
        </w:rPr>
        <w:t>far from being in the interest of</w:t>
      </w:r>
      <w:r w:rsidR="00643E6D">
        <w:rPr>
          <w:rFonts w:ascii="Times New Roman" w:hAnsi="Times New Roman" w:cs="Times New Roman"/>
          <w:lang w:val="en-GB"/>
        </w:rPr>
        <w:t xml:space="preserve"> </w:t>
      </w:r>
      <w:r w:rsidR="007511E9">
        <w:rPr>
          <w:rFonts w:ascii="Times New Roman" w:hAnsi="Times New Roman" w:cs="Times New Roman"/>
          <w:lang w:val="en-GB"/>
        </w:rPr>
        <w:t xml:space="preserve">the </w:t>
      </w:r>
      <w:r w:rsidR="00643E6D">
        <w:rPr>
          <w:rFonts w:ascii="Times New Roman" w:hAnsi="Times New Roman" w:cs="Times New Roman"/>
          <w:lang w:val="en-GB"/>
        </w:rPr>
        <w:t>victims</w:t>
      </w:r>
      <w:r w:rsidR="007511E9">
        <w:rPr>
          <w:rFonts w:ascii="Times New Roman" w:hAnsi="Times New Roman" w:cs="Times New Roman"/>
          <w:lang w:val="en-GB"/>
        </w:rPr>
        <w:t xml:space="preserve"> of human rights abuses</w:t>
      </w:r>
      <w:r w:rsidR="00643E6D">
        <w:rPr>
          <w:rFonts w:ascii="Times New Roman" w:hAnsi="Times New Roman" w:cs="Times New Roman"/>
          <w:lang w:val="en-GB"/>
        </w:rPr>
        <w:t>.</w:t>
      </w:r>
    </w:p>
    <w:p w:rsidR="00ED289B" w:rsidRPr="00E76806" w:rsidRDefault="00ED289B" w:rsidP="00F001EC">
      <w:pPr>
        <w:spacing w:line="240" w:lineRule="auto"/>
        <w:jc w:val="both"/>
        <w:rPr>
          <w:rFonts w:ascii="Times New Roman" w:hAnsi="Times New Roman" w:cs="Times New Roman"/>
          <w:b/>
          <w:lang w:val="en-GB"/>
        </w:rPr>
      </w:pPr>
    </w:p>
    <w:sectPr w:rsidR="00ED289B" w:rsidRPr="00E76806">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66E" w:rsidRDefault="0089666E" w:rsidP="00797711">
      <w:pPr>
        <w:spacing w:after="0" w:line="240" w:lineRule="auto"/>
      </w:pPr>
      <w:r>
        <w:separator/>
      </w:r>
    </w:p>
  </w:endnote>
  <w:endnote w:type="continuationSeparator" w:id="0">
    <w:p w:rsidR="0089666E" w:rsidRDefault="0089666E" w:rsidP="00797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617604"/>
      <w:docPartObj>
        <w:docPartGallery w:val="Page Numbers (Bottom of Page)"/>
        <w:docPartUnique/>
      </w:docPartObj>
    </w:sdtPr>
    <w:sdtEndPr>
      <w:rPr>
        <w:rFonts w:ascii="Times New Roman" w:hAnsi="Times New Roman" w:cs="Times New Roman"/>
      </w:rPr>
    </w:sdtEndPr>
    <w:sdtContent>
      <w:p w:rsidR="001D2E79" w:rsidRPr="00B438EC" w:rsidRDefault="001D2E79">
        <w:pPr>
          <w:pStyle w:val="Footer"/>
          <w:jc w:val="center"/>
          <w:rPr>
            <w:rFonts w:ascii="Times New Roman" w:hAnsi="Times New Roman" w:cs="Times New Roman"/>
          </w:rPr>
        </w:pPr>
        <w:r w:rsidRPr="00B438EC">
          <w:rPr>
            <w:rFonts w:ascii="Times New Roman" w:hAnsi="Times New Roman" w:cs="Times New Roman"/>
          </w:rPr>
          <w:fldChar w:fldCharType="begin"/>
        </w:r>
        <w:r w:rsidRPr="00B438EC">
          <w:rPr>
            <w:rFonts w:ascii="Times New Roman" w:hAnsi="Times New Roman" w:cs="Times New Roman"/>
          </w:rPr>
          <w:instrText>PAGE   \* MERGEFORMAT</w:instrText>
        </w:r>
        <w:r w:rsidRPr="00B438EC">
          <w:rPr>
            <w:rFonts w:ascii="Times New Roman" w:hAnsi="Times New Roman" w:cs="Times New Roman"/>
          </w:rPr>
          <w:fldChar w:fldCharType="separate"/>
        </w:r>
        <w:r w:rsidR="00A73C49">
          <w:rPr>
            <w:rFonts w:ascii="Times New Roman" w:hAnsi="Times New Roman" w:cs="Times New Roman"/>
            <w:noProof/>
          </w:rPr>
          <w:t>1</w:t>
        </w:r>
        <w:r w:rsidRPr="00B438EC">
          <w:rPr>
            <w:rFonts w:ascii="Times New Roman" w:hAnsi="Times New Roman" w:cs="Times New Roman"/>
          </w:rPr>
          <w:fldChar w:fldCharType="end"/>
        </w:r>
      </w:p>
    </w:sdtContent>
  </w:sdt>
  <w:p w:rsidR="001D2E79" w:rsidRDefault="001D2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66E" w:rsidRDefault="0089666E" w:rsidP="00797711">
      <w:pPr>
        <w:spacing w:after="0" w:line="240" w:lineRule="auto"/>
      </w:pPr>
      <w:r>
        <w:separator/>
      </w:r>
    </w:p>
  </w:footnote>
  <w:footnote w:type="continuationSeparator" w:id="0">
    <w:p w:rsidR="0089666E" w:rsidRDefault="0089666E" w:rsidP="00797711">
      <w:pPr>
        <w:spacing w:after="0" w:line="240" w:lineRule="auto"/>
      </w:pPr>
      <w:r>
        <w:continuationSeparator/>
      </w:r>
    </w:p>
  </w:footnote>
  <w:footnote w:id="1">
    <w:p w:rsidR="00911403" w:rsidRPr="000D074D" w:rsidRDefault="00911403" w:rsidP="00AD638A">
      <w:pPr>
        <w:pStyle w:val="FootnoteText"/>
        <w:spacing w:after="40"/>
        <w:rPr>
          <w:rFonts w:ascii="Times New Roman" w:hAnsi="Times New Roman" w:cs="Times New Roman"/>
          <w:sz w:val="18"/>
          <w:szCs w:val="18"/>
          <w:lang w:val="en-GB"/>
        </w:rPr>
      </w:pPr>
      <w:r w:rsidRPr="000D074D">
        <w:rPr>
          <w:rStyle w:val="FootnoteReference"/>
          <w:rFonts w:ascii="Times New Roman" w:hAnsi="Times New Roman" w:cs="Times New Roman"/>
          <w:sz w:val="18"/>
          <w:szCs w:val="18"/>
          <w:lang w:val="en-GB"/>
        </w:rPr>
        <w:footnoteRef/>
      </w:r>
      <w:r w:rsidRPr="000D074D">
        <w:rPr>
          <w:rFonts w:ascii="Times New Roman" w:hAnsi="Times New Roman" w:cs="Times New Roman"/>
          <w:sz w:val="18"/>
          <w:szCs w:val="18"/>
          <w:lang w:val="en-GB"/>
        </w:rPr>
        <w:t xml:space="preserve"> </w:t>
      </w:r>
      <w:proofErr w:type="gramStart"/>
      <w:r w:rsidR="00AE742E" w:rsidRPr="000D074D">
        <w:rPr>
          <w:rFonts w:ascii="Times New Roman" w:hAnsi="Times New Roman" w:cs="Times New Roman"/>
          <w:sz w:val="18"/>
          <w:szCs w:val="18"/>
          <w:lang w:val="en-GB"/>
        </w:rPr>
        <w:t>Reader in International Law, Faculty of Law, University of Cambridge.</w:t>
      </w:r>
      <w:proofErr w:type="gramEnd"/>
      <w:r w:rsidR="0005705E" w:rsidRPr="000D074D">
        <w:rPr>
          <w:rFonts w:ascii="Times New Roman" w:hAnsi="Times New Roman" w:cs="Times New Roman"/>
          <w:sz w:val="18"/>
          <w:szCs w:val="18"/>
          <w:lang w:val="en-GB"/>
        </w:rPr>
        <w:t xml:space="preserve"> </w:t>
      </w:r>
    </w:p>
  </w:footnote>
  <w:footnote w:id="2">
    <w:p w:rsidR="0005705E" w:rsidRPr="005A64D3" w:rsidRDefault="0005705E">
      <w:pPr>
        <w:pStyle w:val="FootnoteText"/>
        <w:rPr>
          <w:rFonts w:ascii="Times New Roman" w:hAnsi="Times New Roman" w:cs="Times New Roman"/>
          <w:sz w:val="18"/>
          <w:szCs w:val="18"/>
          <w:lang w:val="en-GB"/>
        </w:rPr>
      </w:pPr>
      <w:r w:rsidRPr="005A64D3">
        <w:rPr>
          <w:rStyle w:val="FootnoteReference"/>
          <w:rFonts w:ascii="Times New Roman" w:hAnsi="Times New Roman" w:cs="Times New Roman"/>
          <w:sz w:val="18"/>
          <w:szCs w:val="18"/>
          <w:lang w:val="en-GB"/>
        </w:rPr>
        <w:footnoteRef/>
      </w:r>
      <w:r w:rsidRPr="005A64D3">
        <w:rPr>
          <w:rFonts w:ascii="Times New Roman" w:hAnsi="Times New Roman" w:cs="Times New Roman"/>
          <w:sz w:val="18"/>
          <w:szCs w:val="18"/>
          <w:lang w:val="en-GB"/>
        </w:rPr>
        <w:t xml:space="preserve"> </w:t>
      </w:r>
      <w:proofErr w:type="gramStart"/>
      <w:r w:rsidRPr="000D074D">
        <w:rPr>
          <w:rFonts w:ascii="Times New Roman" w:hAnsi="Times New Roman" w:cs="Times New Roman"/>
          <w:sz w:val="18"/>
          <w:szCs w:val="18"/>
          <w:lang w:val="en-GB"/>
        </w:rPr>
        <w:t>Visiting Research Fellow, Department of International Law, University of Groningen and Strategic Adviser, Human Rights and Development Department, Danish Institute for Human Rights.</w:t>
      </w:r>
      <w:proofErr w:type="gramEnd"/>
      <w:r w:rsidRPr="000D074D">
        <w:rPr>
          <w:rFonts w:ascii="Times New Roman" w:hAnsi="Times New Roman" w:cs="Times New Roman"/>
          <w:sz w:val="18"/>
          <w:szCs w:val="18"/>
          <w:lang w:val="en-GB"/>
        </w:rPr>
        <w:t xml:space="preserve"> This submission reflects the personal views of the authors alone.</w:t>
      </w:r>
    </w:p>
  </w:footnote>
  <w:footnote w:id="3">
    <w:p w:rsidR="001D2E79" w:rsidRPr="000D074D" w:rsidRDefault="001D2E79" w:rsidP="00AD638A">
      <w:pPr>
        <w:pStyle w:val="FootnoteText"/>
        <w:spacing w:after="40"/>
        <w:rPr>
          <w:rFonts w:ascii="Times New Roman" w:hAnsi="Times New Roman" w:cs="Times New Roman"/>
          <w:sz w:val="18"/>
          <w:szCs w:val="18"/>
          <w:lang w:val="en-GB"/>
        </w:rPr>
      </w:pPr>
      <w:r w:rsidRPr="000D074D">
        <w:rPr>
          <w:rStyle w:val="FootnoteReference"/>
          <w:rFonts w:ascii="Times New Roman" w:hAnsi="Times New Roman" w:cs="Times New Roman"/>
          <w:sz w:val="18"/>
          <w:szCs w:val="18"/>
          <w:lang w:val="en-GB"/>
        </w:rPr>
        <w:footnoteRef/>
      </w:r>
      <w:r w:rsidRPr="000D074D">
        <w:rPr>
          <w:rFonts w:ascii="Times New Roman" w:hAnsi="Times New Roman" w:cs="Times New Roman"/>
          <w:sz w:val="18"/>
          <w:szCs w:val="18"/>
          <w:lang w:val="en-GB"/>
        </w:rPr>
        <w:t xml:space="preserve"> The draft GC is intended “[to clarify the] duties of the State under the [ICESCR] to ensure that the activities of businesses contribute to and do not impede the realization of economic, social and cultural rights” (para.1) and “to provide guidance on the international law obligations [of states] under the Covenant in the context of business activities” (para.4).  </w:t>
      </w:r>
    </w:p>
  </w:footnote>
  <w:footnote w:id="4">
    <w:p w:rsidR="001D2E79" w:rsidRPr="000D074D" w:rsidRDefault="001D2E79" w:rsidP="00AD638A">
      <w:pPr>
        <w:pStyle w:val="FootnoteText"/>
        <w:spacing w:after="40"/>
        <w:rPr>
          <w:rFonts w:ascii="Times New Roman" w:hAnsi="Times New Roman" w:cs="Times New Roman"/>
          <w:sz w:val="18"/>
          <w:szCs w:val="18"/>
          <w:lang w:val="en-GB"/>
        </w:rPr>
      </w:pPr>
      <w:r w:rsidRPr="000D074D">
        <w:rPr>
          <w:rStyle w:val="FootnoteReference"/>
          <w:rFonts w:ascii="Times New Roman" w:hAnsi="Times New Roman" w:cs="Times New Roman"/>
          <w:sz w:val="18"/>
          <w:szCs w:val="18"/>
          <w:lang w:val="en-GB"/>
        </w:rPr>
        <w:footnoteRef/>
      </w:r>
      <w:r w:rsidRPr="000D074D">
        <w:rPr>
          <w:rFonts w:ascii="Times New Roman" w:hAnsi="Times New Roman" w:cs="Times New Roman"/>
          <w:sz w:val="18"/>
          <w:szCs w:val="18"/>
          <w:lang w:val="en-GB"/>
        </w:rPr>
        <w:t xml:space="preserve"> </w:t>
      </w:r>
      <w:proofErr w:type="gramStart"/>
      <w:r w:rsidRPr="000D074D">
        <w:rPr>
          <w:rFonts w:ascii="Times New Roman" w:hAnsi="Times New Roman" w:cs="Times New Roman"/>
          <w:sz w:val="18"/>
          <w:szCs w:val="18"/>
          <w:lang w:val="en-GB"/>
        </w:rPr>
        <w:t xml:space="preserve">E.g. </w:t>
      </w:r>
      <w:proofErr w:type="spellStart"/>
      <w:r w:rsidRPr="000D074D">
        <w:rPr>
          <w:rFonts w:ascii="Times New Roman" w:hAnsi="Times New Roman" w:cs="Times New Roman"/>
          <w:i/>
          <w:sz w:val="18"/>
          <w:szCs w:val="18"/>
          <w:lang w:val="en-GB"/>
        </w:rPr>
        <w:t>Loizidou</w:t>
      </w:r>
      <w:proofErr w:type="spellEnd"/>
      <w:r w:rsidRPr="000D074D">
        <w:rPr>
          <w:rFonts w:ascii="Times New Roman" w:hAnsi="Times New Roman" w:cs="Times New Roman"/>
          <w:i/>
          <w:sz w:val="18"/>
          <w:szCs w:val="18"/>
          <w:lang w:val="en-GB"/>
        </w:rPr>
        <w:t xml:space="preserve"> v Turkey, </w:t>
      </w:r>
      <w:r w:rsidRPr="000D074D">
        <w:rPr>
          <w:rStyle w:val="s6b621b36"/>
          <w:rFonts w:ascii="Times New Roman" w:hAnsi="Times New Roman"/>
          <w:sz w:val="18"/>
          <w:szCs w:val="18"/>
          <w:lang w:val="en-GB"/>
        </w:rPr>
        <w:t>App.No.</w:t>
      </w:r>
      <w:r w:rsidRPr="000D074D">
        <w:rPr>
          <w:rStyle w:val="s6b621b36"/>
          <w:rFonts w:ascii="Times New Roman" w:eastAsiaTheme="majorEastAsia" w:hAnsi="Times New Roman"/>
          <w:sz w:val="18"/>
          <w:szCs w:val="18"/>
          <w:lang w:val="en-GB"/>
        </w:rPr>
        <w:t>15318/89</w:t>
      </w:r>
      <w:r w:rsidRPr="000D074D">
        <w:rPr>
          <w:rStyle w:val="s6b621b36"/>
          <w:rFonts w:ascii="Times New Roman" w:hAnsi="Times New Roman"/>
          <w:sz w:val="18"/>
          <w:szCs w:val="18"/>
          <w:lang w:val="en-GB"/>
        </w:rPr>
        <w:t xml:space="preserve">, </w:t>
      </w:r>
      <w:r w:rsidRPr="000D074D">
        <w:rPr>
          <w:rFonts w:ascii="Times New Roman" w:hAnsi="Times New Roman" w:cs="Times New Roman"/>
          <w:sz w:val="18"/>
          <w:szCs w:val="18"/>
          <w:lang w:val="en-GB"/>
        </w:rPr>
        <w:t>Judgment (Preliminary Objections), 23 March 1995, para.</w:t>
      </w:r>
      <w:proofErr w:type="gramEnd"/>
      <w:r w:rsidRPr="000D074D">
        <w:rPr>
          <w:rFonts w:ascii="Times New Roman" w:hAnsi="Times New Roman" w:cs="Times New Roman"/>
          <w:sz w:val="18"/>
          <w:szCs w:val="18"/>
          <w:lang w:val="en-GB"/>
        </w:rPr>
        <w:t xml:space="preserve"> 62, </w:t>
      </w:r>
      <w:proofErr w:type="spellStart"/>
      <w:r w:rsidRPr="000D074D">
        <w:rPr>
          <w:rFonts w:ascii="Times New Roman" w:hAnsi="Times New Roman" w:cs="Times New Roman"/>
          <w:i/>
          <w:sz w:val="18"/>
          <w:szCs w:val="18"/>
          <w:lang w:val="en-GB"/>
        </w:rPr>
        <w:t>Bankovic</w:t>
      </w:r>
      <w:proofErr w:type="spellEnd"/>
      <w:r w:rsidRPr="000D074D">
        <w:rPr>
          <w:rFonts w:ascii="Times New Roman" w:hAnsi="Times New Roman" w:cs="Times New Roman"/>
          <w:i/>
          <w:sz w:val="18"/>
          <w:szCs w:val="18"/>
          <w:lang w:val="en-GB"/>
        </w:rPr>
        <w:t xml:space="preserve"> and Others v Belgium and Others </w:t>
      </w:r>
      <w:r w:rsidRPr="000D074D">
        <w:rPr>
          <w:rFonts w:ascii="Times New Roman" w:hAnsi="Times New Roman" w:cs="Times New Roman"/>
          <w:sz w:val="18"/>
          <w:szCs w:val="18"/>
          <w:lang w:val="en-GB"/>
        </w:rPr>
        <w:t>[GC] (</w:t>
      </w:r>
      <w:proofErr w:type="spellStart"/>
      <w:r w:rsidRPr="000D074D">
        <w:rPr>
          <w:rFonts w:ascii="Times New Roman" w:hAnsi="Times New Roman" w:cs="Times New Roman"/>
          <w:sz w:val="18"/>
          <w:szCs w:val="18"/>
          <w:lang w:val="en-GB"/>
        </w:rPr>
        <w:t>dec.</w:t>
      </w:r>
      <w:proofErr w:type="spellEnd"/>
      <w:r w:rsidRPr="000D074D">
        <w:rPr>
          <w:rFonts w:ascii="Times New Roman" w:hAnsi="Times New Roman" w:cs="Times New Roman"/>
          <w:sz w:val="18"/>
          <w:szCs w:val="18"/>
          <w:lang w:val="en-GB"/>
        </w:rPr>
        <w:t xml:space="preserve">), App. No. 52207/99; ICJ, </w:t>
      </w:r>
      <w:r w:rsidRPr="000D074D">
        <w:rPr>
          <w:rFonts w:ascii="Times New Roman" w:hAnsi="Times New Roman" w:cs="Times New Roman"/>
          <w:i/>
          <w:sz w:val="18"/>
          <w:szCs w:val="18"/>
          <w:lang w:val="en-GB"/>
        </w:rPr>
        <w:t xml:space="preserve">Legal Consequences of the Construction of a Wall in the Occupied Palestinian Territory: Advisory Opinion </w:t>
      </w:r>
      <w:r w:rsidRPr="000D074D">
        <w:rPr>
          <w:rFonts w:ascii="Times New Roman" w:hAnsi="Times New Roman" w:cs="Times New Roman"/>
          <w:sz w:val="18"/>
          <w:szCs w:val="18"/>
          <w:lang w:val="en-GB"/>
        </w:rPr>
        <w:t>(9 July 2004), 136, paras.107-112;</w:t>
      </w:r>
      <w:r w:rsidRPr="000D074D">
        <w:rPr>
          <w:rFonts w:ascii="Times New Roman" w:hAnsi="Times New Roman" w:cs="Times New Roman"/>
          <w:i/>
          <w:sz w:val="18"/>
          <w:szCs w:val="18"/>
          <w:lang w:val="en-GB"/>
        </w:rPr>
        <w:t xml:space="preserve"> Armed Activities on the Territory of the Congo (Congo v Uganda)</w:t>
      </w:r>
      <w:r w:rsidRPr="000D074D">
        <w:rPr>
          <w:rFonts w:ascii="Times New Roman" w:hAnsi="Times New Roman" w:cs="Times New Roman"/>
          <w:sz w:val="18"/>
          <w:szCs w:val="18"/>
          <w:lang w:val="en-GB"/>
        </w:rPr>
        <w:t xml:space="preserve">, Judgment 19 December 2005, paras.178-180. </w:t>
      </w:r>
    </w:p>
  </w:footnote>
  <w:footnote w:id="5">
    <w:p w:rsidR="001D2E79" w:rsidRPr="000D074D" w:rsidRDefault="001D2E79" w:rsidP="00AD638A">
      <w:pPr>
        <w:pStyle w:val="FootnoteText"/>
        <w:spacing w:after="40"/>
        <w:rPr>
          <w:rFonts w:ascii="Times New Roman" w:hAnsi="Times New Roman" w:cs="Times New Roman"/>
          <w:sz w:val="18"/>
          <w:szCs w:val="18"/>
          <w:lang w:val="en-GB"/>
        </w:rPr>
      </w:pPr>
      <w:r w:rsidRPr="000D074D">
        <w:rPr>
          <w:rStyle w:val="FootnoteReference"/>
          <w:rFonts w:ascii="Times New Roman" w:hAnsi="Times New Roman" w:cs="Times New Roman"/>
          <w:sz w:val="18"/>
          <w:szCs w:val="18"/>
          <w:lang w:val="en-GB"/>
        </w:rPr>
        <w:footnoteRef/>
      </w:r>
      <w:r w:rsidRPr="000D074D">
        <w:rPr>
          <w:rFonts w:ascii="Times New Roman" w:hAnsi="Times New Roman" w:cs="Times New Roman"/>
          <w:sz w:val="18"/>
          <w:szCs w:val="18"/>
          <w:lang w:val="en-GB"/>
        </w:rPr>
        <w:t xml:space="preserve"> </w:t>
      </w:r>
      <w:proofErr w:type="gramStart"/>
      <w:r w:rsidRPr="000D074D">
        <w:rPr>
          <w:rFonts w:ascii="Times New Roman" w:hAnsi="Times New Roman" w:cs="Times New Roman"/>
          <w:sz w:val="18"/>
          <w:szCs w:val="18"/>
          <w:lang w:val="en-GB"/>
        </w:rPr>
        <w:t xml:space="preserve">E.g. </w:t>
      </w:r>
      <w:r w:rsidRPr="000D074D">
        <w:rPr>
          <w:rFonts w:ascii="Times New Roman" w:hAnsi="Times New Roman" w:cs="Times New Roman"/>
          <w:i/>
          <w:sz w:val="18"/>
          <w:szCs w:val="18"/>
          <w:lang w:val="en-GB"/>
        </w:rPr>
        <w:t>Lopez Burgos v Uruguay</w:t>
      </w:r>
      <w:r w:rsidRPr="000D074D">
        <w:rPr>
          <w:rFonts w:ascii="Times New Roman" w:hAnsi="Times New Roman" w:cs="Times New Roman"/>
          <w:sz w:val="18"/>
          <w:szCs w:val="18"/>
          <w:lang w:val="en-GB"/>
        </w:rPr>
        <w:t xml:space="preserve"> (1981) 68 ILR 29, Communication No.</w:t>
      </w:r>
      <w:proofErr w:type="gramEnd"/>
      <w:r w:rsidRPr="000D074D">
        <w:rPr>
          <w:rFonts w:ascii="Times New Roman" w:hAnsi="Times New Roman" w:cs="Times New Roman"/>
          <w:sz w:val="18"/>
          <w:szCs w:val="18"/>
          <w:lang w:val="en-GB"/>
        </w:rPr>
        <w:t xml:space="preserve"> </w:t>
      </w:r>
      <w:proofErr w:type="gramStart"/>
      <w:r w:rsidRPr="000D074D">
        <w:rPr>
          <w:rFonts w:ascii="Times New Roman" w:hAnsi="Times New Roman" w:cs="Times New Roman"/>
          <w:sz w:val="18"/>
          <w:szCs w:val="18"/>
          <w:lang w:val="en-GB"/>
        </w:rPr>
        <w:t xml:space="preserve">R12/52, UN Doc. Supp. No. 40 (A/36/40) at 176); </w:t>
      </w:r>
      <w:proofErr w:type="spellStart"/>
      <w:r w:rsidRPr="000D074D">
        <w:rPr>
          <w:rFonts w:ascii="Times New Roman" w:hAnsi="Times New Roman" w:cs="Times New Roman"/>
          <w:i/>
          <w:sz w:val="18"/>
          <w:szCs w:val="18"/>
          <w:lang w:val="en-GB"/>
        </w:rPr>
        <w:t>Celiberti</w:t>
      </w:r>
      <w:proofErr w:type="spellEnd"/>
      <w:r w:rsidRPr="000D074D">
        <w:rPr>
          <w:rFonts w:ascii="Times New Roman" w:hAnsi="Times New Roman" w:cs="Times New Roman"/>
          <w:i/>
          <w:sz w:val="18"/>
          <w:szCs w:val="18"/>
          <w:lang w:val="en-GB"/>
        </w:rPr>
        <w:t xml:space="preserve"> de </w:t>
      </w:r>
      <w:proofErr w:type="spellStart"/>
      <w:r w:rsidRPr="000D074D">
        <w:rPr>
          <w:rFonts w:ascii="Times New Roman" w:hAnsi="Times New Roman" w:cs="Times New Roman"/>
          <w:i/>
          <w:sz w:val="18"/>
          <w:szCs w:val="18"/>
          <w:lang w:val="en-GB"/>
        </w:rPr>
        <w:t>Casariego</w:t>
      </w:r>
      <w:proofErr w:type="spellEnd"/>
      <w:r w:rsidRPr="000D074D">
        <w:rPr>
          <w:rFonts w:ascii="Times New Roman" w:hAnsi="Times New Roman" w:cs="Times New Roman"/>
          <w:i/>
          <w:sz w:val="18"/>
          <w:szCs w:val="18"/>
          <w:lang w:val="en-GB"/>
        </w:rPr>
        <w:t xml:space="preserve"> v Uruguay</w:t>
      </w:r>
      <w:r w:rsidRPr="000D074D">
        <w:rPr>
          <w:rFonts w:ascii="Times New Roman" w:hAnsi="Times New Roman" w:cs="Times New Roman"/>
          <w:sz w:val="18"/>
          <w:szCs w:val="18"/>
          <w:lang w:val="en-GB"/>
        </w:rPr>
        <w:t>, Communication No.</w:t>
      </w:r>
      <w:proofErr w:type="gramEnd"/>
      <w:r w:rsidRPr="000D074D">
        <w:rPr>
          <w:rFonts w:ascii="Times New Roman" w:hAnsi="Times New Roman" w:cs="Times New Roman"/>
          <w:sz w:val="18"/>
          <w:szCs w:val="18"/>
          <w:lang w:val="en-GB"/>
        </w:rPr>
        <w:t xml:space="preserve"> R 13/57, UN Doc. </w:t>
      </w:r>
      <w:proofErr w:type="spellStart"/>
      <w:r w:rsidRPr="000D074D">
        <w:rPr>
          <w:rFonts w:ascii="Times New Roman" w:hAnsi="Times New Roman" w:cs="Times New Roman"/>
          <w:sz w:val="18"/>
          <w:szCs w:val="18"/>
          <w:lang w:val="en-GB"/>
        </w:rPr>
        <w:t>Supp</w:t>
      </w:r>
      <w:proofErr w:type="spellEnd"/>
      <w:r w:rsidRPr="000D074D">
        <w:rPr>
          <w:rFonts w:ascii="Times New Roman" w:hAnsi="Times New Roman" w:cs="Times New Roman"/>
          <w:sz w:val="18"/>
          <w:szCs w:val="18"/>
          <w:lang w:val="en-GB"/>
        </w:rPr>
        <w:t xml:space="preserve"> No. 40 (A/37/40) at 157 (1981); </w:t>
      </w:r>
      <w:proofErr w:type="spellStart"/>
      <w:r w:rsidRPr="000D074D">
        <w:rPr>
          <w:rFonts w:ascii="Times New Roman" w:hAnsi="Times New Roman" w:cs="Times New Roman"/>
          <w:i/>
          <w:sz w:val="18"/>
          <w:szCs w:val="18"/>
          <w:lang w:val="en-GB"/>
        </w:rPr>
        <w:t>Öcalan</w:t>
      </w:r>
      <w:proofErr w:type="spellEnd"/>
      <w:r w:rsidRPr="000D074D">
        <w:rPr>
          <w:rFonts w:ascii="Times New Roman" w:hAnsi="Times New Roman" w:cs="Times New Roman"/>
          <w:i/>
          <w:sz w:val="18"/>
          <w:szCs w:val="18"/>
          <w:lang w:val="en-GB"/>
        </w:rPr>
        <w:t xml:space="preserve"> v Turkey,</w:t>
      </w:r>
      <w:r w:rsidRPr="000D074D">
        <w:rPr>
          <w:rFonts w:ascii="Times New Roman" w:hAnsi="Times New Roman" w:cs="Times New Roman"/>
          <w:sz w:val="18"/>
          <w:szCs w:val="18"/>
          <w:lang w:val="en-GB"/>
        </w:rPr>
        <w:t xml:space="preserve"> App. No. 46221/99, Judgment, 12 Mar 2003, para.93,</w:t>
      </w:r>
      <w:r w:rsidRPr="000D074D">
        <w:rPr>
          <w:rFonts w:ascii="Times New Roman" w:hAnsi="Times New Roman" w:cs="Times New Roman"/>
          <w:i/>
          <w:sz w:val="18"/>
          <w:szCs w:val="18"/>
          <w:lang w:val="en-GB"/>
        </w:rPr>
        <w:t xml:space="preserve"> </w:t>
      </w:r>
      <w:proofErr w:type="spellStart"/>
      <w:r w:rsidRPr="000D074D">
        <w:rPr>
          <w:rFonts w:ascii="Times New Roman" w:hAnsi="Times New Roman" w:cs="Times New Roman"/>
          <w:i/>
          <w:sz w:val="18"/>
          <w:szCs w:val="18"/>
          <w:lang w:val="en-GB"/>
        </w:rPr>
        <w:t>Öcalan</w:t>
      </w:r>
      <w:proofErr w:type="spellEnd"/>
      <w:r w:rsidRPr="000D074D">
        <w:rPr>
          <w:rFonts w:ascii="Times New Roman" w:hAnsi="Times New Roman" w:cs="Times New Roman"/>
          <w:i/>
          <w:sz w:val="18"/>
          <w:szCs w:val="18"/>
          <w:lang w:val="en-GB"/>
        </w:rPr>
        <w:t xml:space="preserve"> v Turkey</w:t>
      </w:r>
      <w:r w:rsidRPr="000D074D">
        <w:rPr>
          <w:rFonts w:ascii="Times New Roman" w:hAnsi="Times New Roman" w:cs="Times New Roman"/>
          <w:sz w:val="18"/>
          <w:szCs w:val="18"/>
          <w:lang w:val="en-GB"/>
        </w:rPr>
        <w:t xml:space="preserve"> [GC] App. No. 46221/99,  Judgment, 12 May 2005; </w:t>
      </w:r>
      <w:r w:rsidRPr="000D074D">
        <w:rPr>
          <w:rFonts w:ascii="Times New Roman" w:hAnsi="Times New Roman" w:cs="Times New Roman"/>
          <w:i/>
          <w:sz w:val="18"/>
          <w:szCs w:val="18"/>
          <w:lang w:val="en-GB"/>
        </w:rPr>
        <w:t>Al-</w:t>
      </w:r>
      <w:proofErr w:type="spellStart"/>
      <w:r w:rsidRPr="000D074D">
        <w:rPr>
          <w:rFonts w:ascii="Times New Roman" w:hAnsi="Times New Roman" w:cs="Times New Roman"/>
          <w:i/>
          <w:sz w:val="18"/>
          <w:szCs w:val="18"/>
          <w:lang w:val="en-GB"/>
        </w:rPr>
        <w:t>Skeini</w:t>
      </w:r>
      <w:proofErr w:type="spellEnd"/>
      <w:r w:rsidRPr="000D074D">
        <w:rPr>
          <w:rFonts w:ascii="Times New Roman" w:hAnsi="Times New Roman" w:cs="Times New Roman"/>
          <w:i/>
          <w:sz w:val="18"/>
          <w:szCs w:val="18"/>
          <w:lang w:val="en-GB"/>
        </w:rPr>
        <w:t xml:space="preserve"> and others v UK </w:t>
      </w:r>
      <w:r w:rsidRPr="000D074D">
        <w:rPr>
          <w:rFonts w:ascii="Times New Roman" w:hAnsi="Times New Roman" w:cs="Times New Roman"/>
          <w:sz w:val="18"/>
          <w:szCs w:val="18"/>
          <w:lang w:val="en-GB"/>
        </w:rPr>
        <w:t>[GC]</w:t>
      </w:r>
      <w:r w:rsidRPr="000D074D">
        <w:rPr>
          <w:rFonts w:ascii="Times New Roman" w:hAnsi="Times New Roman" w:cs="Times New Roman"/>
          <w:i/>
          <w:sz w:val="18"/>
          <w:szCs w:val="18"/>
          <w:lang w:val="en-GB"/>
        </w:rPr>
        <w:t>,</w:t>
      </w:r>
      <w:r w:rsidRPr="000D074D">
        <w:rPr>
          <w:rFonts w:ascii="Times New Roman" w:hAnsi="Times New Roman" w:cs="Times New Roman"/>
          <w:sz w:val="18"/>
          <w:szCs w:val="18"/>
          <w:lang w:val="en-GB"/>
        </w:rPr>
        <w:t xml:space="preserve"> App. No.55721/07 7, Judgment, 7 July 2011.</w:t>
      </w:r>
    </w:p>
  </w:footnote>
  <w:footnote w:id="6">
    <w:p w:rsidR="001D2E79" w:rsidRPr="000D074D" w:rsidRDefault="001D2E79" w:rsidP="00AD638A">
      <w:pPr>
        <w:pStyle w:val="FootnoteText"/>
        <w:spacing w:after="40"/>
        <w:rPr>
          <w:rFonts w:ascii="Times New Roman" w:hAnsi="Times New Roman" w:cs="Times New Roman"/>
          <w:sz w:val="18"/>
          <w:szCs w:val="18"/>
          <w:lang w:val="en-GB"/>
        </w:rPr>
      </w:pPr>
      <w:r w:rsidRPr="000D074D">
        <w:rPr>
          <w:rStyle w:val="FootnoteReference"/>
          <w:rFonts w:ascii="Times New Roman" w:hAnsi="Times New Roman" w:cs="Times New Roman"/>
          <w:sz w:val="18"/>
          <w:szCs w:val="18"/>
          <w:lang w:val="en-GB"/>
        </w:rPr>
        <w:footnoteRef/>
      </w:r>
      <w:r w:rsidRPr="000D074D">
        <w:rPr>
          <w:rFonts w:ascii="Times New Roman" w:hAnsi="Times New Roman" w:cs="Times New Roman"/>
          <w:sz w:val="18"/>
          <w:szCs w:val="18"/>
          <w:lang w:val="en-GB"/>
        </w:rPr>
        <w:t xml:space="preserve"> See further, C </w:t>
      </w:r>
      <w:proofErr w:type="spellStart"/>
      <w:r w:rsidRPr="000D074D">
        <w:rPr>
          <w:rFonts w:ascii="Times New Roman" w:hAnsi="Times New Roman" w:cs="Times New Roman"/>
          <w:sz w:val="18"/>
          <w:szCs w:val="18"/>
          <w:lang w:val="en-GB"/>
        </w:rPr>
        <w:t>Methven</w:t>
      </w:r>
      <w:proofErr w:type="spellEnd"/>
      <w:r w:rsidRPr="000D074D">
        <w:rPr>
          <w:rFonts w:ascii="Times New Roman" w:hAnsi="Times New Roman" w:cs="Times New Roman"/>
          <w:sz w:val="18"/>
          <w:szCs w:val="18"/>
          <w:lang w:val="en-GB"/>
        </w:rPr>
        <w:t xml:space="preserve"> O’Brien, ”The Home State Duty to Regulate TNCs Abroad”, DIHR Matters of Concern Research Paper Series 2016/04, available at </w:t>
      </w:r>
      <w:hyperlink r:id="rId1" w:history="1">
        <w:r w:rsidRPr="000D074D">
          <w:rPr>
            <w:rStyle w:val="Hyperlink"/>
            <w:rFonts w:ascii="Times New Roman" w:hAnsi="Times New Roman" w:cs="Times New Roman"/>
            <w:sz w:val="18"/>
            <w:szCs w:val="18"/>
            <w:lang w:val="en-GB"/>
          </w:rPr>
          <w:t>https://papers.ssrn.com/sol3/papers.cfm?abstract_id=2854275</w:t>
        </w:r>
      </w:hyperlink>
      <w:r w:rsidRPr="000D074D">
        <w:rPr>
          <w:rFonts w:ascii="Times New Roman" w:hAnsi="Times New Roman" w:cs="Times New Roman"/>
          <w:sz w:val="18"/>
          <w:szCs w:val="18"/>
          <w:lang w:val="en-GB"/>
        </w:rPr>
        <w:t xml:space="preserve">; </w:t>
      </w:r>
      <w:r w:rsidR="00E076DD" w:rsidRPr="000D074D">
        <w:rPr>
          <w:rFonts w:ascii="Times New Roman" w:hAnsi="Times New Roman" w:cs="Times New Roman"/>
          <w:sz w:val="18"/>
          <w:szCs w:val="18"/>
          <w:lang w:val="en-GB"/>
        </w:rPr>
        <w:t xml:space="preserve">L Bartels, ‘‘The EU’s Human Rights Obligations in Relation to Policies with Extraterritorial Effects’ (2014) 25 </w:t>
      </w:r>
      <w:r w:rsidR="00E076DD" w:rsidRPr="00D473AD">
        <w:rPr>
          <w:rFonts w:ascii="Times New Roman" w:hAnsi="Times New Roman" w:cs="Times New Roman"/>
          <w:i/>
          <w:sz w:val="18"/>
          <w:szCs w:val="18"/>
          <w:lang w:val="en-GB"/>
        </w:rPr>
        <w:t>European Journal of International Law</w:t>
      </w:r>
      <w:r w:rsidR="00E076DD" w:rsidRPr="000D074D">
        <w:rPr>
          <w:rFonts w:ascii="Times New Roman" w:hAnsi="Times New Roman" w:cs="Times New Roman"/>
          <w:sz w:val="18"/>
          <w:szCs w:val="18"/>
          <w:lang w:val="en-GB"/>
        </w:rPr>
        <w:t xml:space="preserve"> 1071-91.</w:t>
      </w:r>
    </w:p>
  </w:footnote>
  <w:footnote w:id="7">
    <w:p w:rsidR="000F5C09" w:rsidRDefault="000F5C09">
      <w:pPr>
        <w:pStyle w:val="FootnoteText"/>
      </w:pPr>
      <w:r>
        <w:rPr>
          <w:rStyle w:val="FootnoteReference"/>
        </w:rPr>
        <w:footnoteRef/>
      </w:r>
      <w:r>
        <w:t xml:space="preserve"> </w:t>
      </w:r>
      <w:r w:rsidRPr="000D074D">
        <w:rPr>
          <w:rFonts w:ascii="Times New Roman" w:hAnsi="Times New Roman" w:cs="Times New Roman"/>
          <w:sz w:val="18"/>
          <w:szCs w:val="18"/>
          <w:lang w:val="en-GB"/>
        </w:rPr>
        <w:t xml:space="preserve">International Law Commission (ILC) </w:t>
      </w:r>
      <w:r w:rsidRPr="000D074D">
        <w:rPr>
          <w:rFonts w:ascii="Times New Roman" w:hAnsi="Times New Roman" w:cs="Times New Roman"/>
          <w:i/>
          <w:iCs/>
          <w:sz w:val="18"/>
          <w:szCs w:val="18"/>
          <w:lang w:val="en-GB"/>
        </w:rPr>
        <w:t>Draft Articles on Responsibility of States for Internationally Wrongful Acts</w:t>
      </w:r>
      <w:r w:rsidRPr="000D074D">
        <w:rPr>
          <w:rFonts w:ascii="Times New Roman" w:hAnsi="Times New Roman" w:cs="Times New Roman"/>
          <w:sz w:val="18"/>
          <w:szCs w:val="18"/>
          <w:lang w:val="en-GB"/>
        </w:rPr>
        <w:t xml:space="preserve">, </w:t>
      </w:r>
      <w:r w:rsidR="004D0AA7" w:rsidRPr="000D074D">
        <w:rPr>
          <w:rFonts w:ascii="Times New Roman" w:hAnsi="Times New Roman" w:cs="Times New Roman"/>
          <w:sz w:val="18"/>
          <w:szCs w:val="18"/>
          <w:lang w:val="en-GB"/>
        </w:rPr>
        <w:t>extract from the Report of the ILC on the work of its fifty-third session</w:t>
      </w:r>
      <w:r w:rsidR="004D0AA7">
        <w:rPr>
          <w:rFonts w:ascii="Times New Roman" w:hAnsi="Times New Roman" w:cs="Times New Roman"/>
          <w:sz w:val="18"/>
          <w:szCs w:val="18"/>
          <w:lang w:val="en-GB"/>
        </w:rPr>
        <w:t xml:space="preserve">, </w:t>
      </w:r>
      <w:r w:rsidRPr="000D074D">
        <w:rPr>
          <w:rFonts w:ascii="Times New Roman" w:hAnsi="Times New Roman" w:cs="Times New Roman"/>
          <w:sz w:val="18"/>
          <w:szCs w:val="18"/>
          <w:lang w:val="en-GB"/>
        </w:rPr>
        <w:t xml:space="preserve">November 2001, Supplement No. 10 (A/56/10), chp.IV.E.1, available at: </w:t>
      </w:r>
      <w:hyperlink r:id="rId2" w:history="1">
        <w:r w:rsidRPr="000D074D">
          <w:rPr>
            <w:rStyle w:val="Hyperlink"/>
            <w:rFonts w:ascii="Times New Roman" w:hAnsi="Times New Roman" w:cs="Times New Roman"/>
            <w:sz w:val="18"/>
            <w:szCs w:val="18"/>
            <w:lang w:val="en-GB"/>
          </w:rPr>
          <w:t>http://legal.un.org/ilc/texts/instruments/english/draft_articles/9_6_2001.pdf</w:t>
        </w:r>
      </w:hyperlink>
      <w:r w:rsidRPr="000D074D">
        <w:rPr>
          <w:rFonts w:ascii="Times New Roman" w:hAnsi="Times New Roman" w:cs="Times New Roman"/>
          <w:sz w:val="18"/>
          <w:szCs w:val="18"/>
          <w:lang w:val="en-GB"/>
        </w:rPr>
        <w:t xml:space="preserve">  (accessed </w:t>
      </w:r>
      <w:r w:rsidR="00D473AD">
        <w:rPr>
          <w:rFonts w:ascii="Times New Roman" w:hAnsi="Times New Roman" w:cs="Times New Roman"/>
          <w:sz w:val="18"/>
          <w:szCs w:val="18"/>
          <w:lang w:val="en-GB"/>
        </w:rPr>
        <w:t>19</w:t>
      </w:r>
      <w:r w:rsidRPr="000D074D">
        <w:rPr>
          <w:rFonts w:ascii="Times New Roman" w:hAnsi="Times New Roman" w:cs="Times New Roman"/>
          <w:sz w:val="18"/>
          <w:szCs w:val="18"/>
          <w:lang w:val="en-GB"/>
        </w:rPr>
        <w:t xml:space="preserve"> </w:t>
      </w:r>
      <w:r w:rsidR="00D473AD">
        <w:rPr>
          <w:rFonts w:ascii="Times New Roman" w:hAnsi="Times New Roman" w:cs="Times New Roman"/>
          <w:sz w:val="18"/>
          <w:szCs w:val="18"/>
          <w:lang w:val="en-GB"/>
        </w:rPr>
        <w:t>January 2017</w:t>
      </w:r>
      <w:r w:rsidRPr="000D074D">
        <w:rPr>
          <w:rFonts w:ascii="Times New Roman" w:hAnsi="Times New Roman" w:cs="Times New Roman"/>
          <w:sz w:val="18"/>
          <w:szCs w:val="18"/>
          <w:lang w:val="en-GB"/>
        </w:rPr>
        <w:t>)</w:t>
      </w:r>
      <w:r>
        <w:rPr>
          <w:rFonts w:ascii="Times New Roman" w:hAnsi="Times New Roman" w:cs="Times New Roman"/>
          <w:sz w:val="18"/>
          <w:szCs w:val="18"/>
          <w:lang w:val="en-GB"/>
        </w:rPr>
        <w:t xml:space="preserve">, </w:t>
      </w:r>
      <w:r w:rsidRPr="000D074D">
        <w:rPr>
          <w:rFonts w:ascii="Times New Roman" w:hAnsi="Times New Roman" w:cs="Times New Roman"/>
          <w:i/>
          <w:sz w:val="18"/>
          <w:szCs w:val="18"/>
          <w:lang w:val="en-GB"/>
        </w:rPr>
        <w:t>Chapter I</w:t>
      </w:r>
      <w:r w:rsidR="00D473AD">
        <w:rPr>
          <w:rFonts w:ascii="Times New Roman" w:hAnsi="Times New Roman" w:cs="Times New Roman"/>
          <w:i/>
          <w:sz w:val="18"/>
          <w:szCs w:val="18"/>
          <w:lang w:val="en-GB"/>
        </w:rPr>
        <w:t>, General Principles</w:t>
      </w:r>
      <w:r w:rsidRPr="000D074D">
        <w:rPr>
          <w:rFonts w:ascii="Times New Roman" w:hAnsi="Times New Roman" w:cs="Times New Roman"/>
          <w:sz w:val="18"/>
          <w:szCs w:val="18"/>
          <w:lang w:val="en-GB"/>
        </w:rPr>
        <w:t xml:space="preserve"> </w:t>
      </w:r>
      <w:r w:rsidR="00D473AD">
        <w:rPr>
          <w:rFonts w:ascii="Times New Roman" w:hAnsi="Times New Roman" w:cs="Times New Roman"/>
          <w:sz w:val="18"/>
          <w:szCs w:val="18"/>
          <w:lang w:val="en-GB"/>
        </w:rPr>
        <w:t>Article 2.</w:t>
      </w:r>
    </w:p>
  </w:footnote>
  <w:footnote w:id="8">
    <w:p w:rsidR="000577AA" w:rsidRPr="000D074D" w:rsidRDefault="000577AA" w:rsidP="000577AA">
      <w:pPr>
        <w:spacing w:after="40" w:line="240" w:lineRule="auto"/>
        <w:rPr>
          <w:rFonts w:ascii="Times New Roman" w:hAnsi="Times New Roman" w:cs="Times New Roman"/>
          <w:sz w:val="18"/>
          <w:szCs w:val="18"/>
          <w:lang w:val="en-GB"/>
        </w:rPr>
      </w:pPr>
      <w:r w:rsidRPr="000D074D">
        <w:rPr>
          <w:rStyle w:val="FootnoteReference"/>
          <w:rFonts w:ascii="Times New Roman" w:hAnsi="Times New Roman" w:cs="Times New Roman"/>
          <w:sz w:val="18"/>
          <w:szCs w:val="18"/>
          <w:lang w:val="en-GB"/>
        </w:rPr>
        <w:footnoteRef/>
      </w:r>
      <w:r w:rsidRPr="000D074D">
        <w:rPr>
          <w:rFonts w:ascii="Times New Roman" w:hAnsi="Times New Roman" w:cs="Times New Roman"/>
          <w:sz w:val="18"/>
          <w:szCs w:val="18"/>
          <w:lang w:val="en-GB"/>
        </w:rPr>
        <w:t xml:space="preserve"> Article 8, </w:t>
      </w:r>
      <w:r w:rsidRPr="000D074D">
        <w:rPr>
          <w:rFonts w:ascii="Times New Roman" w:hAnsi="Times New Roman" w:cs="Times New Roman"/>
          <w:i/>
          <w:sz w:val="18"/>
          <w:szCs w:val="18"/>
          <w:lang w:val="en-GB"/>
        </w:rPr>
        <w:t>Conduct directed or controlled by a State</w:t>
      </w:r>
      <w:r w:rsidRPr="000D074D">
        <w:rPr>
          <w:rFonts w:ascii="Times New Roman" w:hAnsi="Times New Roman" w:cs="Times New Roman"/>
          <w:sz w:val="18"/>
          <w:szCs w:val="18"/>
          <w:lang w:val="en-GB"/>
        </w:rPr>
        <w:t>, provides that: “T</w:t>
      </w:r>
      <w:r w:rsidRPr="000D074D">
        <w:rPr>
          <w:rFonts w:ascii="Times New Roman" w:hAnsi="Times New Roman" w:cs="Times New Roman"/>
          <w:sz w:val="18"/>
          <w:szCs w:val="18"/>
          <w:lang w:val="en-GB" w:eastAsia="da-DK"/>
        </w:rPr>
        <w:t>he conduct of a person or group of persons shall be considered an act of a State under international law if the person or group of persons is in fact acting on the instructions of, or under the direction or control of, that State in carrying out the conduct”</w:t>
      </w:r>
      <w:r w:rsidR="004D0AA7">
        <w:rPr>
          <w:rFonts w:ascii="Times New Roman" w:hAnsi="Times New Roman" w:cs="Times New Roman"/>
          <w:sz w:val="18"/>
          <w:szCs w:val="18"/>
          <w:lang w:val="en-GB" w:eastAsia="da-DK"/>
        </w:rPr>
        <w:t>.</w:t>
      </w:r>
      <w:r w:rsidRPr="000D074D">
        <w:rPr>
          <w:rFonts w:ascii="Times New Roman" w:hAnsi="Times New Roman" w:cs="Times New Roman"/>
          <w:sz w:val="18"/>
          <w:szCs w:val="18"/>
          <w:lang w:val="en-GB" w:eastAsia="da-DK"/>
        </w:rPr>
        <w:t xml:space="preserve">  </w:t>
      </w:r>
    </w:p>
  </w:footnote>
  <w:footnote w:id="9">
    <w:p w:rsidR="001D2E79" w:rsidRPr="000D074D" w:rsidRDefault="001D2E79" w:rsidP="00AD638A">
      <w:pPr>
        <w:pStyle w:val="FootnoteText"/>
        <w:spacing w:after="40"/>
        <w:rPr>
          <w:rFonts w:ascii="Times New Roman" w:hAnsi="Times New Roman" w:cs="Times New Roman"/>
          <w:sz w:val="18"/>
          <w:szCs w:val="18"/>
          <w:lang w:val="en-GB"/>
        </w:rPr>
      </w:pPr>
      <w:r w:rsidRPr="000D074D">
        <w:rPr>
          <w:rStyle w:val="FootnoteReference"/>
          <w:rFonts w:ascii="Times New Roman" w:hAnsi="Times New Roman" w:cs="Times New Roman"/>
          <w:sz w:val="18"/>
          <w:szCs w:val="18"/>
          <w:lang w:val="en-GB"/>
        </w:rPr>
        <w:footnoteRef/>
      </w:r>
      <w:r w:rsidRPr="000D074D">
        <w:rPr>
          <w:rFonts w:ascii="Times New Roman" w:hAnsi="Times New Roman" w:cs="Times New Roman"/>
          <w:sz w:val="18"/>
          <w:szCs w:val="18"/>
          <w:lang w:val="en-GB"/>
        </w:rPr>
        <w:t xml:space="preserve"> </w:t>
      </w:r>
      <w:r w:rsidRPr="000D074D">
        <w:rPr>
          <w:rFonts w:ascii="Times New Roman" w:hAnsi="Times New Roman" w:cs="Times New Roman"/>
          <w:i/>
          <w:sz w:val="18"/>
          <w:szCs w:val="18"/>
          <w:lang w:val="en-GB"/>
        </w:rPr>
        <w:t>Application of the Convention on the Prevention and Punishment of the Crime of Genocide (Bosnia and Herzegovina v Serbia and Montenegro),</w:t>
      </w:r>
      <w:r w:rsidRPr="000D074D">
        <w:rPr>
          <w:rFonts w:ascii="Times New Roman" w:hAnsi="Times New Roman" w:cs="Times New Roman"/>
          <w:sz w:val="18"/>
          <w:szCs w:val="18"/>
          <w:lang w:val="en-GB"/>
        </w:rPr>
        <w:t xml:space="preserve"> </w:t>
      </w:r>
      <w:r w:rsidR="00C235D3" w:rsidRPr="000D074D">
        <w:rPr>
          <w:rFonts w:ascii="Times New Roman" w:hAnsi="Times New Roman" w:cs="Times New Roman"/>
          <w:sz w:val="18"/>
          <w:szCs w:val="18"/>
          <w:lang w:val="en-GB"/>
        </w:rPr>
        <w:t>Judgment 26 February 2007</w:t>
      </w:r>
      <w:proofErr w:type="gramStart"/>
      <w:r w:rsidR="00C235D3">
        <w:rPr>
          <w:rFonts w:ascii="Times New Roman" w:hAnsi="Times New Roman" w:cs="Times New Roman"/>
          <w:sz w:val="18"/>
          <w:szCs w:val="18"/>
          <w:lang w:val="en-GB"/>
        </w:rPr>
        <w:t>,</w:t>
      </w:r>
      <w:r w:rsidRPr="000D074D">
        <w:rPr>
          <w:rFonts w:ascii="Times New Roman" w:hAnsi="Times New Roman" w:cs="Times New Roman"/>
          <w:sz w:val="18"/>
          <w:szCs w:val="18"/>
          <w:lang w:val="en-GB"/>
        </w:rPr>
        <w:t>para.406</w:t>
      </w:r>
      <w:proofErr w:type="gramEnd"/>
      <w:r w:rsidR="008D78E7">
        <w:rPr>
          <w:rFonts w:ascii="Times New Roman" w:hAnsi="Times New Roman" w:cs="Times New Roman"/>
          <w:sz w:val="18"/>
          <w:szCs w:val="18"/>
          <w:lang w:val="en-GB"/>
        </w:rPr>
        <w:t>, emphasis added</w:t>
      </w:r>
      <w:r w:rsidRPr="000D074D">
        <w:rPr>
          <w:rFonts w:ascii="Times New Roman" w:hAnsi="Times New Roman" w:cs="Times New Roman"/>
          <w:sz w:val="18"/>
          <w:szCs w:val="18"/>
          <w:lang w:val="en-GB"/>
        </w:rPr>
        <w:t>.</w:t>
      </w:r>
      <w:r w:rsidR="00EE5834" w:rsidRPr="000D074D">
        <w:rPr>
          <w:rFonts w:ascii="Times New Roman" w:hAnsi="Times New Roman" w:cs="Times New Roman"/>
          <w:sz w:val="18"/>
          <w:szCs w:val="18"/>
          <w:lang w:val="en-GB"/>
        </w:rPr>
        <w:t xml:space="preserve"> </w:t>
      </w:r>
    </w:p>
  </w:footnote>
  <w:footnote w:id="10">
    <w:p w:rsidR="001D2E79" w:rsidRPr="000D074D" w:rsidRDefault="001D2E79" w:rsidP="00AD638A">
      <w:pPr>
        <w:pStyle w:val="FootnoteText"/>
        <w:spacing w:after="40"/>
        <w:rPr>
          <w:rFonts w:ascii="Times New Roman" w:hAnsi="Times New Roman" w:cs="Times New Roman"/>
          <w:sz w:val="18"/>
          <w:szCs w:val="18"/>
          <w:lang w:val="en-GB"/>
        </w:rPr>
      </w:pPr>
      <w:r w:rsidRPr="000D074D">
        <w:rPr>
          <w:rStyle w:val="FootnoteReference"/>
          <w:rFonts w:ascii="Times New Roman" w:hAnsi="Times New Roman" w:cs="Times New Roman"/>
          <w:sz w:val="18"/>
          <w:szCs w:val="18"/>
          <w:lang w:val="en-GB"/>
        </w:rPr>
        <w:footnoteRef/>
      </w:r>
      <w:r w:rsidRPr="000D074D">
        <w:rPr>
          <w:rFonts w:ascii="Times New Roman" w:hAnsi="Times New Roman" w:cs="Times New Roman"/>
          <w:sz w:val="18"/>
          <w:szCs w:val="18"/>
          <w:lang w:val="en-GB"/>
        </w:rPr>
        <w:t xml:space="preserve"> E.g. Human Rights Committee, ‘General Comment No. 3</w:t>
      </w:r>
      <w:r w:rsidRPr="000D074D">
        <w:rPr>
          <w:rFonts w:ascii="Times New Roman" w:hAnsi="Times New Roman" w:cs="Times New Roman"/>
          <w:b/>
          <w:sz w:val="18"/>
          <w:szCs w:val="18"/>
          <w:lang w:val="en-GB"/>
        </w:rPr>
        <w:t xml:space="preserve">: </w:t>
      </w:r>
      <w:r w:rsidRPr="000D074D">
        <w:rPr>
          <w:rStyle w:val="Strong"/>
          <w:rFonts w:ascii="Times New Roman" w:hAnsi="Times New Roman" w:cs="Times New Roman"/>
          <w:b w:val="0"/>
          <w:bCs w:val="0"/>
          <w:sz w:val="18"/>
          <w:szCs w:val="18"/>
          <w:lang w:val="en-GB"/>
        </w:rPr>
        <w:t>The Nature of the General Legal Obligation Imposed on States Parties to the Covenant’</w:t>
      </w:r>
      <w:r w:rsidRPr="000D074D">
        <w:rPr>
          <w:rFonts w:ascii="Times New Roman" w:hAnsi="Times New Roman" w:cs="Times New Roman"/>
          <w:sz w:val="18"/>
          <w:szCs w:val="18"/>
          <w:lang w:val="en-GB"/>
        </w:rPr>
        <w:t xml:space="preserve"> (2004), CCPR/C/21/Rev.1/Add. </w:t>
      </w:r>
      <w:proofErr w:type="gramStart"/>
      <w:r w:rsidRPr="000D074D">
        <w:rPr>
          <w:rFonts w:ascii="Times New Roman" w:hAnsi="Times New Roman" w:cs="Times New Roman"/>
          <w:sz w:val="18"/>
          <w:szCs w:val="18"/>
          <w:lang w:val="en-GB"/>
        </w:rPr>
        <w:t xml:space="preserve">1326, para.8; </w:t>
      </w:r>
      <w:r w:rsidRPr="000D074D">
        <w:rPr>
          <w:rFonts w:ascii="Times New Roman" w:hAnsi="Times New Roman" w:cs="Times New Roman"/>
          <w:i/>
          <w:sz w:val="18"/>
          <w:szCs w:val="18"/>
          <w:lang w:val="en-GB"/>
        </w:rPr>
        <w:t>Velasquez Rodriquez</w:t>
      </w:r>
      <w:r w:rsidRPr="000D074D">
        <w:rPr>
          <w:rFonts w:ascii="Times New Roman" w:hAnsi="Times New Roman" w:cs="Times New Roman"/>
          <w:b/>
          <w:i/>
          <w:sz w:val="18"/>
          <w:szCs w:val="18"/>
          <w:lang w:val="en-GB"/>
        </w:rPr>
        <w:t xml:space="preserve"> </w:t>
      </w:r>
      <w:r w:rsidRPr="000D074D">
        <w:rPr>
          <w:rFonts w:ascii="Times New Roman" w:hAnsi="Times New Roman" w:cs="Times New Roman"/>
          <w:i/>
          <w:sz w:val="18"/>
          <w:szCs w:val="18"/>
          <w:lang w:val="en-GB"/>
        </w:rPr>
        <w:t xml:space="preserve">Case, </w:t>
      </w:r>
      <w:r w:rsidRPr="000D074D">
        <w:rPr>
          <w:rFonts w:ascii="Times New Roman" w:hAnsi="Times New Roman" w:cs="Times New Roman"/>
          <w:sz w:val="18"/>
          <w:szCs w:val="18"/>
          <w:lang w:val="en-GB"/>
        </w:rPr>
        <w:t>Judgment 29 July 1988, Inter-</w:t>
      </w:r>
      <w:proofErr w:type="spellStart"/>
      <w:r w:rsidRPr="000D074D">
        <w:rPr>
          <w:rFonts w:ascii="Times New Roman" w:hAnsi="Times New Roman" w:cs="Times New Roman"/>
          <w:sz w:val="18"/>
          <w:szCs w:val="18"/>
          <w:lang w:val="en-GB"/>
        </w:rPr>
        <w:t>Am.Ct.H.R</w:t>
      </w:r>
      <w:proofErr w:type="spellEnd"/>
      <w:r w:rsidRPr="000D074D">
        <w:rPr>
          <w:rFonts w:ascii="Times New Roman" w:hAnsi="Times New Roman" w:cs="Times New Roman"/>
          <w:sz w:val="18"/>
          <w:szCs w:val="18"/>
          <w:lang w:val="en-GB"/>
        </w:rPr>
        <w:t>.</w:t>
      </w:r>
      <w:proofErr w:type="gramEnd"/>
      <w:r w:rsidRPr="000D074D">
        <w:rPr>
          <w:rFonts w:ascii="Times New Roman" w:hAnsi="Times New Roman" w:cs="Times New Roman"/>
          <w:sz w:val="18"/>
          <w:szCs w:val="18"/>
          <w:lang w:val="en-GB"/>
        </w:rPr>
        <w:t xml:space="preserve"> </w:t>
      </w:r>
      <w:proofErr w:type="gramStart"/>
      <w:r w:rsidRPr="000D074D">
        <w:rPr>
          <w:rFonts w:ascii="Times New Roman" w:hAnsi="Times New Roman" w:cs="Times New Roman"/>
          <w:sz w:val="18"/>
          <w:szCs w:val="18"/>
          <w:lang w:val="en-GB"/>
        </w:rPr>
        <w:t>(</w:t>
      </w:r>
      <w:proofErr w:type="spellStart"/>
      <w:r w:rsidRPr="000D074D">
        <w:rPr>
          <w:rFonts w:ascii="Times New Roman" w:hAnsi="Times New Roman" w:cs="Times New Roman"/>
          <w:sz w:val="18"/>
          <w:szCs w:val="18"/>
          <w:lang w:val="en-GB"/>
        </w:rPr>
        <w:t>Ser.c</w:t>
      </w:r>
      <w:proofErr w:type="spellEnd"/>
      <w:r w:rsidRPr="000D074D">
        <w:rPr>
          <w:rFonts w:ascii="Times New Roman" w:hAnsi="Times New Roman" w:cs="Times New Roman"/>
          <w:sz w:val="18"/>
          <w:szCs w:val="18"/>
          <w:lang w:val="en-GB"/>
        </w:rPr>
        <w:t xml:space="preserve">), No.4 (1988); </w:t>
      </w:r>
      <w:r w:rsidRPr="000D074D">
        <w:rPr>
          <w:rFonts w:ascii="Times New Roman" w:hAnsi="Times New Roman" w:cs="Times New Roman"/>
          <w:i/>
          <w:sz w:val="18"/>
          <w:szCs w:val="18"/>
          <w:lang w:val="en-GB"/>
        </w:rPr>
        <w:t>X and Y v Netherlands</w:t>
      </w:r>
      <w:r w:rsidRPr="000D074D">
        <w:rPr>
          <w:rFonts w:ascii="Times New Roman" w:hAnsi="Times New Roman" w:cs="Times New Roman"/>
          <w:sz w:val="18"/>
          <w:szCs w:val="18"/>
          <w:lang w:val="en-GB"/>
        </w:rPr>
        <w:t>,</w:t>
      </w:r>
      <w:r w:rsidRPr="000D074D">
        <w:rPr>
          <w:rFonts w:ascii="Times New Roman" w:hAnsi="Times New Roman" w:cs="Times New Roman"/>
          <w:b/>
          <w:sz w:val="18"/>
          <w:szCs w:val="18"/>
          <w:lang w:val="en-GB"/>
        </w:rPr>
        <w:t xml:space="preserve"> </w:t>
      </w:r>
      <w:r w:rsidRPr="000D074D">
        <w:rPr>
          <w:rFonts w:ascii="Times New Roman" w:hAnsi="Times New Roman" w:cs="Times New Roman"/>
          <w:iCs/>
          <w:sz w:val="18"/>
          <w:szCs w:val="18"/>
          <w:lang w:val="en-GB"/>
        </w:rPr>
        <w:t>App. No. 8978/80, Judgment, 26 March 1985</w:t>
      </w:r>
      <w:r w:rsidRPr="000D074D">
        <w:rPr>
          <w:rFonts w:ascii="Times New Roman" w:hAnsi="Times New Roman" w:cs="Times New Roman"/>
          <w:sz w:val="18"/>
          <w:szCs w:val="18"/>
          <w:lang w:val="en-GB"/>
        </w:rPr>
        <w:t xml:space="preserve">, para.23; </w:t>
      </w:r>
      <w:r w:rsidRPr="000D074D">
        <w:rPr>
          <w:rFonts w:ascii="Times New Roman" w:hAnsi="Times New Roman" w:cs="Times New Roman"/>
          <w:i/>
          <w:sz w:val="18"/>
          <w:szCs w:val="18"/>
          <w:lang w:val="en-GB"/>
        </w:rPr>
        <w:t xml:space="preserve">Osman v. UK </w:t>
      </w:r>
      <w:r w:rsidRPr="000D074D">
        <w:rPr>
          <w:rFonts w:ascii="Times New Roman" w:hAnsi="Times New Roman" w:cs="Times New Roman"/>
          <w:sz w:val="18"/>
          <w:szCs w:val="18"/>
          <w:lang w:val="en-GB"/>
        </w:rPr>
        <w:t>[GC], App. No.23452/94, Judgment, 28 October 1998.</w:t>
      </w:r>
      <w:proofErr w:type="gramEnd"/>
    </w:p>
  </w:footnote>
  <w:footnote w:id="11">
    <w:p w:rsidR="001D2E79" w:rsidRPr="000D074D" w:rsidRDefault="001D2E79" w:rsidP="00AD638A">
      <w:pPr>
        <w:pStyle w:val="FootnoteText"/>
        <w:spacing w:after="40"/>
        <w:rPr>
          <w:rFonts w:ascii="Times New Roman" w:hAnsi="Times New Roman" w:cs="Times New Roman"/>
          <w:sz w:val="18"/>
          <w:szCs w:val="18"/>
          <w:lang w:val="en-GB"/>
        </w:rPr>
      </w:pPr>
      <w:r w:rsidRPr="000D074D">
        <w:rPr>
          <w:rStyle w:val="FootnoteReference"/>
          <w:rFonts w:ascii="Times New Roman" w:hAnsi="Times New Roman" w:cs="Times New Roman"/>
          <w:sz w:val="18"/>
          <w:szCs w:val="18"/>
          <w:lang w:val="en-GB"/>
        </w:rPr>
        <w:footnoteRef/>
      </w:r>
      <w:r w:rsidR="006F1153">
        <w:rPr>
          <w:rFonts w:ascii="Times New Roman" w:hAnsi="Times New Roman" w:cs="Times New Roman"/>
          <w:sz w:val="18"/>
          <w:szCs w:val="18"/>
          <w:lang w:val="en-GB"/>
        </w:rPr>
        <w:t xml:space="preserve"> E.g.</w:t>
      </w:r>
      <w:r w:rsidRPr="000D074D">
        <w:rPr>
          <w:rFonts w:ascii="Times New Roman" w:hAnsi="Times New Roman" w:cs="Times New Roman"/>
          <w:sz w:val="18"/>
          <w:szCs w:val="18"/>
          <w:lang w:val="en-GB"/>
        </w:rPr>
        <w:t xml:space="preserve"> </w:t>
      </w:r>
      <w:r w:rsidRPr="000D074D">
        <w:rPr>
          <w:rFonts w:ascii="Times New Roman" w:hAnsi="Times New Roman" w:cs="Times New Roman"/>
          <w:i/>
          <w:sz w:val="18"/>
          <w:szCs w:val="18"/>
          <w:lang w:val="en-GB"/>
        </w:rPr>
        <w:t>Ireland</w:t>
      </w:r>
      <w:r w:rsidRPr="000D074D">
        <w:rPr>
          <w:rFonts w:ascii="Times New Roman" w:hAnsi="Times New Roman" w:cs="Times New Roman"/>
          <w:i/>
          <w:spacing w:val="-6"/>
          <w:sz w:val="18"/>
          <w:szCs w:val="18"/>
          <w:lang w:val="en-GB"/>
        </w:rPr>
        <w:t xml:space="preserve"> </w:t>
      </w:r>
      <w:r w:rsidRPr="000D074D">
        <w:rPr>
          <w:rFonts w:ascii="Times New Roman" w:hAnsi="Times New Roman" w:cs="Times New Roman"/>
          <w:i/>
          <w:sz w:val="18"/>
          <w:szCs w:val="18"/>
          <w:lang w:val="en-GB"/>
        </w:rPr>
        <w:t>v.</w:t>
      </w:r>
      <w:r w:rsidRPr="000D074D">
        <w:rPr>
          <w:rFonts w:ascii="Times New Roman" w:hAnsi="Times New Roman" w:cs="Times New Roman"/>
          <w:i/>
          <w:spacing w:val="-5"/>
          <w:sz w:val="18"/>
          <w:szCs w:val="18"/>
          <w:lang w:val="en-GB"/>
        </w:rPr>
        <w:t xml:space="preserve"> </w:t>
      </w:r>
      <w:r w:rsidRPr="000D074D">
        <w:rPr>
          <w:rFonts w:ascii="Times New Roman" w:hAnsi="Times New Roman" w:cs="Times New Roman"/>
          <w:i/>
          <w:sz w:val="18"/>
          <w:szCs w:val="18"/>
          <w:lang w:val="en-GB"/>
        </w:rPr>
        <w:t xml:space="preserve">UK, </w:t>
      </w:r>
      <w:r w:rsidRPr="000D074D">
        <w:rPr>
          <w:rFonts w:ascii="Times New Roman" w:hAnsi="Times New Roman" w:cs="Times New Roman"/>
          <w:sz w:val="18"/>
          <w:szCs w:val="18"/>
          <w:lang w:val="en-GB"/>
        </w:rPr>
        <w:t>App. No.</w:t>
      </w:r>
      <w:r w:rsidRPr="000D074D">
        <w:rPr>
          <w:rStyle w:val="s6b621b36"/>
          <w:rFonts w:ascii="Times New Roman" w:hAnsi="Times New Roman"/>
          <w:sz w:val="18"/>
          <w:szCs w:val="18"/>
          <w:lang w:val="en-GB"/>
        </w:rPr>
        <w:t xml:space="preserve">5310/71, Judgment, </w:t>
      </w:r>
      <w:r w:rsidRPr="000D074D">
        <w:rPr>
          <w:rFonts w:ascii="Times New Roman" w:hAnsi="Times New Roman" w:cs="Times New Roman"/>
          <w:spacing w:val="-3"/>
          <w:sz w:val="18"/>
          <w:szCs w:val="18"/>
          <w:lang w:val="en-GB"/>
        </w:rPr>
        <w:t xml:space="preserve">18 January </w:t>
      </w:r>
      <w:r w:rsidRPr="000D074D">
        <w:rPr>
          <w:rFonts w:ascii="Times New Roman" w:hAnsi="Times New Roman" w:cs="Times New Roman"/>
          <w:sz w:val="18"/>
          <w:szCs w:val="18"/>
          <w:lang w:val="en-GB"/>
        </w:rPr>
        <w:t>1978</w:t>
      </w:r>
      <w:r w:rsidRPr="000D074D">
        <w:rPr>
          <w:rFonts w:ascii="Times New Roman" w:hAnsi="Times New Roman" w:cs="Times New Roman"/>
          <w:spacing w:val="-4"/>
          <w:sz w:val="18"/>
          <w:szCs w:val="18"/>
          <w:lang w:val="en-GB"/>
        </w:rPr>
        <w:t>,  para.</w:t>
      </w:r>
      <w:r w:rsidRPr="000D074D">
        <w:rPr>
          <w:rFonts w:ascii="Times New Roman" w:hAnsi="Times New Roman" w:cs="Times New Roman"/>
          <w:sz w:val="18"/>
          <w:szCs w:val="18"/>
          <w:lang w:val="en-GB"/>
        </w:rPr>
        <w:t>159</w:t>
      </w:r>
    </w:p>
  </w:footnote>
  <w:footnote w:id="12">
    <w:p w:rsidR="000D074D" w:rsidRPr="009447E7" w:rsidRDefault="000D074D" w:rsidP="009447E7">
      <w:pPr>
        <w:spacing w:after="0" w:line="240" w:lineRule="auto"/>
        <w:rPr>
          <w:rFonts w:ascii="Times New Roman" w:eastAsia="Times New Roman" w:hAnsi="Times New Roman" w:cs="Times New Roman"/>
          <w:sz w:val="18"/>
          <w:szCs w:val="18"/>
          <w:lang w:eastAsia="da-DK"/>
        </w:rPr>
      </w:pPr>
      <w:r w:rsidRPr="009447E7">
        <w:rPr>
          <w:rStyle w:val="FootnoteReference"/>
          <w:rFonts w:ascii="Times New Roman" w:hAnsi="Times New Roman" w:cs="Times New Roman"/>
          <w:sz w:val="18"/>
          <w:szCs w:val="18"/>
        </w:rPr>
        <w:footnoteRef/>
      </w:r>
      <w:r w:rsidRPr="009447E7">
        <w:rPr>
          <w:rFonts w:ascii="Times New Roman" w:hAnsi="Times New Roman" w:cs="Times New Roman"/>
          <w:sz w:val="18"/>
          <w:szCs w:val="18"/>
        </w:rPr>
        <w:t xml:space="preserve"> </w:t>
      </w:r>
      <w:proofErr w:type="spellStart"/>
      <w:r w:rsidRPr="009447E7">
        <w:rPr>
          <w:rFonts w:ascii="Times New Roman" w:hAnsi="Times New Roman" w:cs="Times New Roman"/>
          <w:i/>
          <w:sz w:val="18"/>
          <w:szCs w:val="18"/>
        </w:rPr>
        <w:t>F</w:t>
      </w:r>
      <w:r w:rsidRPr="009447E7">
        <w:rPr>
          <w:rFonts w:ascii="Times New Roman" w:eastAsia="Times New Roman" w:hAnsi="Times New Roman" w:cs="Times New Roman"/>
          <w:i/>
          <w:sz w:val="18"/>
          <w:szCs w:val="18"/>
          <w:lang w:eastAsia="da-DK"/>
        </w:rPr>
        <w:t>adeyeva</w:t>
      </w:r>
      <w:proofErr w:type="spellEnd"/>
      <w:r w:rsidRPr="009447E7">
        <w:rPr>
          <w:rFonts w:ascii="Times New Roman" w:eastAsia="Times New Roman" w:hAnsi="Times New Roman" w:cs="Times New Roman"/>
          <w:i/>
          <w:sz w:val="18"/>
          <w:szCs w:val="18"/>
          <w:lang w:eastAsia="da-DK"/>
        </w:rPr>
        <w:t xml:space="preserve"> v. the Russian </w:t>
      </w:r>
      <w:proofErr w:type="spellStart"/>
      <w:r w:rsidRPr="009447E7">
        <w:rPr>
          <w:rFonts w:ascii="Times New Roman" w:eastAsia="Times New Roman" w:hAnsi="Times New Roman" w:cs="Times New Roman"/>
          <w:i/>
          <w:sz w:val="18"/>
          <w:szCs w:val="18"/>
          <w:lang w:eastAsia="da-DK"/>
        </w:rPr>
        <w:t>Federation</w:t>
      </w:r>
      <w:proofErr w:type="spellEnd"/>
      <w:r w:rsidRPr="009447E7">
        <w:rPr>
          <w:rFonts w:ascii="Times New Roman" w:eastAsia="Times New Roman" w:hAnsi="Times New Roman" w:cs="Times New Roman"/>
          <w:sz w:val="18"/>
          <w:szCs w:val="18"/>
          <w:lang w:eastAsia="da-DK"/>
        </w:rPr>
        <w:t xml:space="preserve">, </w:t>
      </w:r>
      <w:proofErr w:type="spellStart"/>
      <w:r w:rsidRPr="009447E7">
        <w:rPr>
          <w:rFonts w:ascii="Times New Roman" w:eastAsia="Times New Roman" w:hAnsi="Times New Roman" w:cs="Times New Roman"/>
          <w:sz w:val="18"/>
          <w:szCs w:val="18"/>
          <w:lang w:eastAsia="da-DK"/>
        </w:rPr>
        <w:t>App</w:t>
      </w:r>
      <w:proofErr w:type="spellEnd"/>
      <w:r w:rsidRPr="009447E7">
        <w:rPr>
          <w:rFonts w:ascii="Times New Roman" w:eastAsia="Times New Roman" w:hAnsi="Times New Roman" w:cs="Times New Roman"/>
          <w:sz w:val="18"/>
          <w:szCs w:val="18"/>
          <w:lang w:eastAsia="da-DK"/>
        </w:rPr>
        <w:t xml:space="preserve">. No. </w:t>
      </w:r>
      <w:proofErr w:type="gramStart"/>
      <w:r w:rsidRPr="009447E7">
        <w:rPr>
          <w:rFonts w:ascii="Times New Roman" w:eastAsia="Times New Roman" w:hAnsi="Times New Roman" w:cs="Times New Roman"/>
          <w:sz w:val="18"/>
          <w:szCs w:val="18"/>
          <w:lang w:eastAsia="da-DK"/>
        </w:rPr>
        <w:t>55273</w:t>
      </w:r>
      <w:proofErr w:type="gramEnd"/>
      <w:r w:rsidRPr="009447E7">
        <w:rPr>
          <w:rFonts w:ascii="Times New Roman" w:eastAsia="Times New Roman" w:hAnsi="Times New Roman" w:cs="Times New Roman"/>
          <w:sz w:val="18"/>
          <w:szCs w:val="18"/>
          <w:lang w:eastAsia="da-DK"/>
        </w:rPr>
        <w:t xml:space="preserve">/00, </w:t>
      </w:r>
      <w:proofErr w:type="spellStart"/>
      <w:r w:rsidRPr="009447E7">
        <w:rPr>
          <w:rFonts w:ascii="Times New Roman" w:eastAsia="Times New Roman" w:hAnsi="Times New Roman" w:cs="Times New Roman"/>
          <w:sz w:val="18"/>
          <w:szCs w:val="18"/>
          <w:lang w:eastAsia="da-DK"/>
        </w:rPr>
        <w:t>Judgment</w:t>
      </w:r>
      <w:proofErr w:type="spellEnd"/>
      <w:r w:rsidRPr="009447E7">
        <w:rPr>
          <w:rFonts w:ascii="Times New Roman" w:eastAsia="Times New Roman" w:hAnsi="Times New Roman" w:cs="Times New Roman"/>
          <w:sz w:val="18"/>
          <w:szCs w:val="18"/>
          <w:lang w:eastAsia="da-DK"/>
        </w:rPr>
        <w:t>, 30 November 2005, para.92.</w:t>
      </w:r>
    </w:p>
  </w:footnote>
  <w:footnote w:id="13">
    <w:p w:rsidR="000D074D" w:rsidRDefault="000D074D">
      <w:pPr>
        <w:pStyle w:val="FootnoteText"/>
      </w:pPr>
      <w:r>
        <w:rPr>
          <w:rStyle w:val="FootnoteReference"/>
        </w:rPr>
        <w:footnoteRef/>
      </w:r>
      <w:r>
        <w:t xml:space="preserve"> </w:t>
      </w:r>
      <w:proofErr w:type="spellStart"/>
      <w:r w:rsidRPr="007415BA">
        <w:rPr>
          <w:rFonts w:ascii="Times New Roman" w:eastAsia="Times New Roman" w:hAnsi="Times New Roman" w:cs="Times New Roman"/>
          <w:i/>
          <w:sz w:val="18"/>
          <w:szCs w:val="18"/>
          <w:lang w:eastAsia="da-DK"/>
        </w:rPr>
        <w:t>Moldovan</w:t>
      </w:r>
      <w:proofErr w:type="spellEnd"/>
      <w:r w:rsidRPr="007415BA">
        <w:rPr>
          <w:rFonts w:ascii="Times New Roman" w:eastAsia="Times New Roman" w:hAnsi="Times New Roman" w:cs="Times New Roman"/>
          <w:i/>
          <w:sz w:val="18"/>
          <w:szCs w:val="18"/>
          <w:lang w:eastAsia="da-DK"/>
        </w:rPr>
        <w:t xml:space="preserve"> and </w:t>
      </w:r>
      <w:proofErr w:type="spellStart"/>
      <w:r w:rsidRPr="007415BA">
        <w:rPr>
          <w:rFonts w:ascii="Times New Roman" w:eastAsia="Times New Roman" w:hAnsi="Times New Roman" w:cs="Times New Roman"/>
          <w:i/>
          <w:sz w:val="18"/>
          <w:szCs w:val="18"/>
          <w:lang w:eastAsia="da-DK"/>
        </w:rPr>
        <w:t>Others</w:t>
      </w:r>
      <w:proofErr w:type="spellEnd"/>
      <w:r w:rsidRPr="007415BA">
        <w:rPr>
          <w:rFonts w:ascii="Times New Roman" w:eastAsia="Times New Roman" w:hAnsi="Times New Roman" w:cs="Times New Roman"/>
          <w:i/>
          <w:sz w:val="18"/>
          <w:szCs w:val="18"/>
          <w:lang w:eastAsia="da-DK"/>
        </w:rPr>
        <w:t xml:space="preserve"> v </w:t>
      </w:r>
      <w:proofErr w:type="spellStart"/>
      <w:r w:rsidRPr="007415BA">
        <w:rPr>
          <w:rFonts w:ascii="Times New Roman" w:eastAsia="Times New Roman" w:hAnsi="Times New Roman" w:cs="Times New Roman"/>
          <w:i/>
          <w:sz w:val="18"/>
          <w:szCs w:val="18"/>
          <w:lang w:eastAsia="da-DK"/>
        </w:rPr>
        <w:t>Romania</w:t>
      </w:r>
      <w:proofErr w:type="spellEnd"/>
      <w:r w:rsidRPr="000D074D">
        <w:rPr>
          <w:rFonts w:ascii="Times New Roman" w:eastAsia="Times New Roman" w:hAnsi="Times New Roman" w:cs="Times New Roman"/>
          <w:sz w:val="18"/>
          <w:szCs w:val="18"/>
          <w:lang w:eastAsia="da-DK"/>
        </w:rPr>
        <w:t xml:space="preserve">, </w:t>
      </w:r>
      <w:proofErr w:type="spellStart"/>
      <w:r w:rsidRPr="000D074D">
        <w:rPr>
          <w:rFonts w:ascii="Times New Roman" w:eastAsia="Times New Roman" w:hAnsi="Times New Roman" w:cs="Times New Roman"/>
          <w:sz w:val="18"/>
          <w:szCs w:val="18"/>
          <w:lang w:eastAsia="da-DK"/>
        </w:rPr>
        <w:t>App</w:t>
      </w:r>
      <w:proofErr w:type="spellEnd"/>
      <w:r w:rsidRPr="000D074D">
        <w:rPr>
          <w:rFonts w:ascii="Times New Roman" w:eastAsia="Times New Roman" w:hAnsi="Times New Roman" w:cs="Times New Roman"/>
          <w:sz w:val="18"/>
          <w:szCs w:val="18"/>
          <w:lang w:eastAsia="da-DK"/>
        </w:rPr>
        <w:t xml:space="preserve">. Nos.41138/98 and </w:t>
      </w:r>
      <w:proofErr w:type="gramStart"/>
      <w:r w:rsidRPr="000D074D">
        <w:rPr>
          <w:rFonts w:ascii="Times New Roman" w:eastAsia="Times New Roman" w:hAnsi="Times New Roman" w:cs="Times New Roman"/>
          <w:sz w:val="18"/>
          <w:szCs w:val="18"/>
          <w:lang w:eastAsia="da-DK"/>
        </w:rPr>
        <w:t>64320</w:t>
      </w:r>
      <w:proofErr w:type="gramEnd"/>
      <w:r w:rsidRPr="000D074D">
        <w:rPr>
          <w:rFonts w:ascii="Times New Roman" w:eastAsia="Times New Roman" w:hAnsi="Times New Roman" w:cs="Times New Roman"/>
          <w:sz w:val="18"/>
          <w:szCs w:val="18"/>
          <w:lang w:eastAsia="da-DK"/>
        </w:rPr>
        <w:t xml:space="preserve">/01, </w:t>
      </w:r>
      <w:proofErr w:type="spellStart"/>
      <w:r w:rsidRPr="000D074D">
        <w:rPr>
          <w:rFonts w:ascii="Times New Roman" w:eastAsia="Times New Roman" w:hAnsi="Times New Roman" w:cs="Times New Roman"/>
          <w:sz w:val="18"/>
          <w:szCs w:val="18"/>
          <w:lang w:eastAsia="da-DK"/>
        </w:rPr>
        <w:t>Judgment</w:t>
      </w:r>
      <w:proofErr w:type="spellEnd"/>
      <w:r w:rsidRPr="000D074D">
        <w:rPr>
          <w:rFonts w:ascii="Times New Roman" w:eastAsia="Times New Roman" w:hAnsi="Times New Roman" w:cs="Times New Roman"/>
          <w:sz w:val="18"/>
          <w:szCs w:val="18"/>
          <w:lang w:eastAsia="da-DK"/>
        </w:rPr>
        <w:t>, 30 November 2005, para.95</w:t>
      </w:r>
      <w:r>
        <w:rPr>
          <w:rFonts w:ascii="Times New Roman" w:eastAsia="Times New Roman" w:hAnsi="Times New Roman" w:cs="Times New Roman"/>
          <w:sz w:val="18"/>
          <w:szCs w:val="18"/>
          <w:lang w:eastAsia="da-DK"/>
        </w:rPr>
        <w:t xml:space="preserve">, </w:t>
      </w:r>
      <w:proofErr w:type="spellStart"/>
      <w:r>
        <w:rPr>
          <w:rFonts w:ascii="Times New Roman" w:eastAsia="Times New Roman" w:hAnsi="Times New Roman" w:cs="Times New Roman"/>
          <w:sz w:val="18"/>
          <w:szCs w:val="18"/>
          <w:lang w:eastAsia="da-DK"/>
        </w:rPr>
        <w:t>citing</w:t>
      </w:r>
      <w:proofErr w:type="spellEnd"/>
      <w:r>
        <w:rPr>
          <w:rFonts w:ascii="Times New Roman" w:eastAsia="Times New Roman" w:hAnsi="Times New Roman" w:cs="Times New Roman"/>
          <w:sz w:val="18"/>
          <w:szCs w:val="18"/>
          <w:lang w:eastAsia="da-DK"/>
        </w:rPr>
        <w:t xml:space="preserve"> </w:t>
      </w:r>
      <w:proofErr w:type="spellStart"/>
      <w:r w:rsidRPr="007415BA">
        <w:rPr>
          <w:rFonts w:ascii="Times New Roman" w:eastAsia="Times New Roman" w:hAnsi="Times New Roman" w:cs="Times New Roman"/>
          <w:i/>
          <w:sz w:val="18"/>
          <w:szCs w:val="18"/>
          <w:lang w:eastAsia="da-DK"/>
        </w:rPr>
        <w:t>llaşcu</w:t>
      </w:r>
      <w:proofErr w:type="spellEnd"/>
      <w:r w:rsidRPr="007415BA">
        <w:rPr>
          <w:rFonts w:ascii="Times New Roman" w:eastAsia="Times New Roman" w:hAnsi="Times New Roman" w:cs="Times New Roman"/>
          <w:i/>
          <w:sz w:val="18"/>
          <w:szCs w:val="18"/>
          <w:lang w:eastAsia="da-DK"/>
        </w:rPr>
        <w:t xml:space="preserve"> and </w:t>
      </w:r>
      <w:proofErr w:type="spellStart"/>
      <w:r w:rsidRPr="007415BA">
        <w:rPr>
          <w:rFonts w:ascii="Times New Roman" w:eastAsia="Times New Roman" w:hAnsi="Times New Roman" w:cs="Times New Roman"/>
          <w:i/>
          <w:sz w:val="18"/>
          <w:szCs w:val="18"/>
          <w:lang w:eastAsia="da-DK"/>
        </w:rPr>
        <w:t>others</w:t>
      </w:r>
      <w:proofErr w:type="spellEnd"/>
      <w:r w:rsidRPr="007415BA">
        <w:rPr>
          <w:rFonts w:ascii="Times New Roman" w:eastAsia="Times New Roman" w:hAnsi="Times New Roman" w:cs="Times New Roman"/>
          <w:i/>
          <w:sz w:val="18"/>
          <w:szCs w:val="18"/>
          <w:lang w:eastAsia="da-DK"/>
        </w:rPr>
        <w:t xml:space="preserve"> v Moldova and </w:t>
      </w:r>
      <w:proofErr w:type="spellStart"/>
      <w:r w:rsidRPr="007415BA">
        <w:rPr>
          <w:rFonts w:ascii="Times New Roman" w:eastAsia="Times New Roman" w:hAnsi="Times New Roman" w:cs="Times New Roman"/>
          <w:i/>
          <w:sz w:val="18"/>
          <w:szCs w:val="18"/>
          <w:lang w:eastAsia="da-DK"/>
        </w:rPr>
        <w:t>Russia</w:t>
      </w:r>
      <w:proofErr w:type="spellEnd"/>
      <w:r w:rsidRPr="000D074D">
        <w:rPr>
          <w:rFonts w:ascii="Times New Roman" w:eastAsia="Times New Roman" w:hAnsi="Times New Roman" w:cs="Times New Roman"/>
          <w:sz w:val="18"/>
          <w:szCs w:val="18"/>
          <w:lang w:eastAsia="da-DK"/>
        </w:rPr>
        <w:t xml:space="preserve"> [GC] </w:t>
      </w:r>
      <w:proofErr w:type="spellStart"/>
      <w:r w:rsidRPr="000D074D">
        <w:rPr>
          <w:rFonts w:ascii="Times New Roman" w:eastAsia="Times New Roman" w:hAnsi="Times New Roman" w:cs="Times New Roman"/>
          <w:sz w:val="18"/>
          <w:szCs w:val="18"/>
          <w:lang w:eastAsia="da-DK"/>
        </w:rPr>
        <w:t>App.No</w:t>
      </w:r>
      <w:proofErr w:type="spellEnd"/>
      <w:r w:rsidRPr="000D074D">
        <w:rPr>
          <w:rFonts w:ascii="Times New Roman" w:eastAsia="Times New Roman" w:hAnsi="Times New Roman" w:cs="Times New Roman"/>
          <w:sz w:val="18"/>
          <w:szCs w:val="18"/>
          <w:lang w:eastAsia="da-DK"/>
        </w:rPr>
        <w:t xml:space="preserve">. </w:t>
      </w:r>
      <w:proofErr w:type="gramStart"/>
      <w:r w:rsidRPr="000D074D">
        <w:rPr>
          <w:rFonts w:ascii="Times New Roman" w:eastAsia="Times New Roman" w:hAnsi="Times New Roman" w:cs="Times New Roman"/>
          <w:sz w:val="18"/>
          <w:szCs w:val="18"/>
          <w:lang w:eastAsia="da-DK"/>
        </w:rPr>
        <w:t>48787</w:t>
      </w:r>
      <w:proofErr w:type="gramEnd"/>
      <w:r w:rsidRPr="000D074D">
        <w:rPr>
          <w:rFonts w:ascii="Times New Roman" w:eastAsia="Times New Roman" w:hAnsi="Times New Roman" w:cs="Times New Roman"/>
          <w:sz w:val="18"/>
          <w:szCs w:val="18"/>
          <w:lang w:eastAsia="da-DK"/>
        </w:rPr>
        <w:t xml:space="preserve">/99, </w:t>
      </w:r>
      <w:proofErr w:type="spellStart"/>
      <w:r w:rsidRPr="000D074D">
        <w:rPr>
          <w:rFonts w:ascii="Times New Roman" w:eastAsia="Times New Roman" w:hAnsi="Times New Roman" w:cs="Times New Roman"/>
          <w:sz w:val="18"/>
          <w:szCs w:val="18"/>
          <w:lang w:eastAsia="da-DK"/>
        </w:rPr>
        <w:t>Judgment</w:t>
      </w:r>
      <w:proofErr w:type="spellEnd"/>
      <w:r w:rsidRPr="000D074D">
        <w:rPr>
          <w:rFonts w:ascii="Times New Roman" w:eastAsia="Times New Roman" w:hAnsi="Times New Roman" w:cs="Times New Roman"/>
          <w:sz w:val="18"/>
          <w:szCs w:val="18"/>
          <w:lang w:eastAsia="da-DK"/>
        </w:rPr>
        <w:t xml:space="preserve">, 8 </w:t>
      </w:r>
      <w:proofErr w:type="spellStart"/>
      <w:r w:rsidRPr="000D074D">
        <w:rPr>
          <w:rFonts w:ascii="Times New Roman" w:eastAsia="Times New Roman" w:hAnsi="Times New Roman" w:cs="Times New Roman"/>
          <w:sz w:val="18"/>
          <w:szCs w:val="18"/>
          <w:lang w:eastAsia="da-DK"/>
        </w:rPr>
        <w:t>July</w:t>
      </w:r>
      <w:proofErr w:type="spellEnd"/>
      <w:r w:rsidRPr="000D074D">
        <w:rPr>
          <w:rFonts w:ascii="Times New Roman" w:eastAsia="Times New Roman" w:hAnsi="Times New Roman" w:cs="Times New Roman"/>
          <w:sz w:val="18"/>
          <w:szCs w:val="18"/>
          <w:lang w:eastAsia="da-DK"/>
        </w:rPr>
        <w:t xml:space="preserve"> 2004</w:t>
      </w:r>
      <w:r w:rsidR="006515FF">
        <w:rPr>
          <w:rFonts w:ascii="Times New Roman" w:eastAsia="Times New Roman" w:hAnsi="Times New Roman" w:cs="Times New Roman"/>
          <w:sz w:val="18"/>
          <w:szCs w:val="18"/>
          <w:lang w:eastAsia="da-DK"/>
        </w:rPr>
        <w:t>.</w:t>
      </w:r>
    </w:p>
  </w:footnote>
  <w:footnote w:id="14">
    <w:p w:rsidR="004B5066" w:rsidRPr="000D074D" w:rsidRDefault="004B5066" w:rsidP="00AD638A">
      <w:pPr>
        <w:pStyle w:val="FootnoteText"/>
        <w:spacing w:after="40"/>
        <w:rPr>
          <w:rFonts w:ascii="Times New Roman" w:hAnsi="Times New Roman" w:cs="Times New Roman"/>
          <w:sz w:val="18"/>
          <w:szCs w:val="18"/>
          <w:lang w:val="en-GB"/>
        </w:rPr>
      </w:pPr>
      <w:r w:rsidRPr="000D074D">
        <w:rPr>
          <w:rStyle w:val="FootnoteReference"/>
          <w:rFonts w:ascii="Times New Roman" w:hAnsi="Times New Roman" w:cs="Times New Roman"/>
          <w:sz w:val="18"/>
          <w:szCs w:val="18"/>
          <w:lang w:val="en-GB"/>
        </w:rPr>
        <w:footnoteRef/>
      </w:r>
      <w:r w:rsidRPr="000D074D">
        <w:rPr>
          <w:rFonts w:ascii="Times New Roman" w:hAnsi="Times New Roman" w:cs="Times New Roman"/>
          <w:sz w:val="18"/>
          <w:szCs w:val="18"/>
          <w:lang w:val="en-GB"/>
        </w:rPr>
        <w:t xml:space="preserve"> B</w:t>
      </w:r>
      <w:r w:rsidR="00AD638A" w:rsidRPr="000D074D">
        <w:rPr>
          <w:rFonts w:ascii="Times New Roman" w:hAnsi="Times New Roman" w:cs="Times New Roman"/>
          <w:sz w:val="18"/>
          <w:szCs w:val="18"/>
          <w:lang w:val="en-GB"/>
        </w:rPr>
        <w:t>.</w:t>
      </w:r>
      <w:r w:rsidRPr="000D074D">
        <w:rPr>
          <w:rFonts w:ascii="Times New Roman" w:hAnsi="Times New Roman" w:cs="Times New Roman"/>
          <w:sz w:val="18"/>
          <w:szCs w:val="18"/>
          <w:lang w:val="en-GB"/>
        </w:rPr>
        <w:t xml:space="preserve"> </w:t>
      </w:r>
      <w:proofErr w:type="spellStart"/>
      <w:r w:rsidRPr="000D074D">
        <w:rPr>
          <w:rFonts w:ascii="Times New Roman" w:hAnsi="Times New Roman" w:cs="Times New Roman"/>
          <w:sz w:val="18"/>
          <w:szCs w:val="18"/>
          <w:lang w:val="en-GB"/>
        </w:rPr>
        <w:t>Simma</w:t>
      </w:r>
      <w:proofErr w:type="spellEnd"/>
      <w:r w:rsidRPr="000D074D">
        <w:rPr>
          <w:rFonts w:ascii="Times New Roman" w:hAnsi="Times New Roman" w:cs="Times New Roman"/>
          <w:sz w:val="18"/>
          <w:szCs w:val="18"/>
          <w:lang w:val="en-GB"/>
        </w:rPr>
        <w:t xml:space="preserve"> (ed</w:t>
      </w:r>
      <w:r w:rsidR="00AD638A" w:rsidRPr="000D074D">
        <w:rPr>
          <w:rFonts w:ascii="Times New Roman" w:hAnsi="Times New Roman" w:cs="Times New Roman"/>
          <w:sz w:val="18"/>
          <w:szCs w:val="18"/>
          <w:lang w:val="en-GB"/>
        </w:rPr>
        <w:t>.</w:t>
      </w:r>
      <w:r w:rsidRPr="000D074D">
        <w:rPr>
          <w:rFonts w:ascii="Times New Roman" w:hAnsi="Times New Roman" w:cs="Times New Roman"/>
          <w:sz w:val="18"/>
          <w:szCs w:val="18"/>
          <w:lang w:val="en-GB"/>
        </w:rPr>
        <w:t xml:space="preserve">), </w:t>
      </w:r>
      <w:r w:rsidRPr="000D074D">
        <w:rPr>
          <w:rFonts w:ascii="Times New Roman" w:hAnsi="Times New Roman" w:cs="Times New Roman"/>
          <w:i/>
          <w:sz w:val="18"/>
          <w:szCs w:val="18"/>
          <w:lang w:val="en-GB"/>
        </w:rPr>
        <w:t xml:space="preserve">The Charter of the United Nations – A Commentary </w:t>
      </w:r>
      <w:r w:rsidRPr="000D074D">
        <w:rPr>
          <w:rFonts w:ascii="Times New Roman" w:hAnsi="Times New Roman" w:cs="Times New Roman"/>
          <w:sz w:val="18"/>
          <w:szCs w:val="18"/>
          <w:lang w:val="en-GB"/>
        </w:rPr>
        <w:t>(Oxford University Press, Oxford, 1994), 794, cited and discussed in S</w:t>
      </w:r>
      <w:r w:rsidR="00AD638A" w:rsidRPr="000D074D">
        <w:rPr>
          <w:rFonts w:ascii="Times New Roman" w:hAnsi="Times New Roman" w:cs="Times New Roman"/>
          <w:sz w:val="18"/>
          <w:szCs w:val="18"/>
          <w:lang w:val="en-GB"/>
        </w:rPr>
        <w:t>.</w:t>
      </w:r>
      <w:r w:rsidRPr="000D074D">
        <w:rPr>
          <w:rFonts w:ascii="Times New Roman" w:hAnsi="Times New Roman" w:cs="Times New Roman"/>
          <w:sz w:val="18"/>
          <w:szCs w:val="18"/>
          <w:lang w:val="en-GB"/>
        </w:rPr>
        <w:t xml:space="preserve"> </w:t>
      </w:r>
      <w:proofErr w:type="spellStart"/>
      <w:r w:rsidRPr="000D074D">
        <w:rPr>
          <w:rFonts w:ascii="Times New Roman" w:hAnsi="Times New Roman" w:cs="Times New Roman"/>
          <w:sz w:val="18"/>
          <w:szCs w:val="18"/>
          <w:lang w:val="en-GB"/>
        </w:rPr>
        <w:t>Skogly</w:t>
      </w:r>
      <w:proofErr w:type="spellEnd"/>
      <w:r w:rsidRPr="000D074D">
        <w:rPr>
          <w:rFonts w:ascii="Times New Roman" w:hAnsi="Times New Roman" w:cs="Times New Roman"/>
          <w:sz w:val="18"/>
          <w:szCs w:val="18"/>
          <w:lang w:val="en-GB"/>
        </w:rPr>
        <w:t xml:space="preserve"> and M</w:t>
      </w:r>
      <w:r w:rsidR="00AD638A" w:rsidRPr="000D074D">
        <w:rPr>
          <w:rFonts w:ascii="Times New Roman" w:hAnsi="Times New Roman" w:cs="Times New Roman"/>
          <w:sz w:val="18"/>
          <w:szCs w:val="18"/>
          <w:lang w:val="en-GB"/>
        </w:rPr>
        <w:t>.</w:t>
      </w:r>
      <w:r w:rsidRPr="000D074D">
        <w:rPr>
          <w:rFonts w:ascii="Times New Roman" w:hAnsi="Times New Roman" w:cs="Times New Roman"/>
          <w:sz w:val="18"/>
          <w:szCs w:val="18"/>
          <w:lang w:val="en-GB"/>
        </w:rPr>
        <w:t xml:space="preserve"> </w:t>
      </w:r>
      <w:proofErr w:type="spellStart"/>
      <w:r w:rsidRPr="000D074D">
        <w:rPr>
          <w:rFonts w:ascii="Times New Roman" w:hAnsi="Times New Roman" w:cs="Times New Roman"/>
          <w:sz w:val="18"/>
          <w:szCs w:val="18"/>
          <w:lang w:val="en-GB"/>
        </w:rPr>
        <w:t>Gibney</w:t>
      </w:r>
      <w:proofErr w:type="spellEnd"/>
      <w:r w:rsidRPr="000D074D">
        <w:rPr>
          <w:rFonts w:ascii="Times New Roman" w:hAnsi="Times New Roman" w:cs="Times New Roman"/>
          <w:sz w:val="18"/>
          <w:szCs w:val="18"/>
          <w:lang w:val="en-GB"/>
        </w:rPr>
        <w:t xml:space="preserve">, </w:t>
      </w:r>
      <w:r w:rsidR="00EB4EF4">
        <w:rPr>
          <w:rFonts w:ascii="Times New Roman" w:hAnsi="Times New Roman" w:cs="Times New Roman"/>
          <w:sz w:val="18"/>
          <w:szCs w:val="18"/>
          <w:lang w:val="en-GB"/>
        </w:rPr>
        <w:t>‘</w:t>
      </w:r>
      <w:r w:rsidRPr="000D074D">
        <w:rPr>
          <w:rFonts w:ascii="Times New Roman" w:hAnsi="Times New Roman" w:cs="Times New Roman"/>
          <w:sz w:val="18"/>
          <w:szCs w:val="18"/>
          <w:lang w:val="en-GB"/>
        </w:rPr>
        <w:t>Economic Rights and Extraterritorial Obligations’ in S</w:t>
      </w:r>
      <w:r w:rsidR="00AD638A" w:rsidRPr="000D074D">
        <w:rPr>
          <w:rFonts w:ascii="Times New Roman" w:hAnsi="Times New Roman" w:cs="Times New Roman"/>
          <w:sz w:val="18"/>
          <w:szCs w:val="18"/>
          <w:lang w:val="en-GB"/>
        </w:rPr>
        <w:t>.</w:t>
      </w:r>
      <w:r w:rsidRPr="000D074D">
        <w:rPr>
          <w:rFonts w:ascii="Times New Roman" w:hAnsi="Times New Roman" w:cs="Times New Roman"/>
          <w:sz w:val="18"/>
          <w:szCs w:val="18"/>
          <w:lang w:val="en-GB"/>
        </w:rPr>
        <w:t xml:space="preserve"> </w:t>
      </w:r>
      <w:proofErr w:type="spellStart"/>
      <w:r w:rsidRPr="000D074D">
        <w:rPr>
          <w:rFonts w:ascii="Times New Roman" w:hAnsi="Times New Roman" w:cs="Times New Roman"/>
          <w:sz w:val="18"/>
          <w:szCs w:val="18"/>
          <w:lang w:val="en-GB"/>
        </w:rPr>
        <w:t>Hertl</w:t>
      </w:r>
      <w:proofErr w:type="spellEnd"/>
      <w:r w:rsidRPr="000D074D">
        <w:rPr>
          <w:rFonts w:ascii="Times New Roman" w:hAnsi="Times New Roman" w:cs="Times New Roman"/>
          <w:sz w:val="18"/>
          <w:szCs w:val="18"/>
          <w:lang w:val="en-GB"/>
        </w:rPr>
        <w:t xml:space="preserve"> and </w:t>
      </w:r>
      <w:proofErr w:type="spellStart"/>
      <w:r w:rsidRPr="000D074D">
        <w:rPr>
          <w:rFonts w:ascii="Times New Roman" w:hAnsi="Times New Roman" w:cs="Times New Roman"/>
          <w:sz w:val="18"/>
          <w:szCs w:val="18"/>
          <w:lang w:val="en-GB"/>
        </w:rPr>
        <w:t>L</w:t>
      </w:r>
      <w:r w:rsidR="00AD638A" w:rsidRPr="000D074D">
        <w:rPr>
          <w:rFonts w:ascii="Times New Roman" w:hAnsi="Times New Roman" w:cs="Times New Roman"/>
          <w:sz w:val="18"/>
          <w:szCs w:val="18"/>
          <w:lang w:val="en-GB"/>
        </w:rPr>
        <w:t>.</w:t>
      </w:r>
      <w:r w:rsidRPr="000D074D">
        <w:rPr>
          <w:rFonts w:ascii="Times New Roman" w:hAnsi="Times New Roman" w:cs="Times New Roman"/>
          <w:sz w:val="18"/>
          <w:szCs w:val="18"/>
          <w:lang w:val="en-GB"/>
        </w:rPr>
        <w:t>Minkler</w:t>
      </w:r>
      <w:proofErr w:type="spellEnd"/>
      <w:r w:rsidRPr="000D074D">
        <w:rPr>
          <w:rFonts w:ascii="Times New Roman" w:hAnsi="Times New Roman" w:cs="Times New Roman"/>
          <w:sz w:val="18"/>
          <w:szCs w:val="18"/>
          <w:lang w:val="en-GB"/>
        </w:rPr>
        <w:t xml:space="preserve">, </w:t>
      </w:r>
      <w:r w:rsidRPr="000D074D">
        <w:rPr>
          <w:rFonts w:ascii="Times New Roman" w:hAnsi="Times New Roman" w:cs="Times New Roman"/>
          <w:i/>
          <w:sz w:val="18"/>
          <w:szCs w:val="18"/>
          <w:lang w:val="en-GB"/>
        </w:rPr>
        <w:t>Economic Rights: Conceptual, Measurement, and Policy Issues</w:t>
      </w:r>
      <w:r w:rsidRPr="000D074D">
        <w:rPr>
          <w:rFonts w:ascii="Times New Roman" w:hAnsi="Times New Roman" w:cs="Times New Roman"/>
          <w:sz w:val="18"/>
          <w:szCs w:val="18"/>
          <w:lang w:val="en-GB"/>
        </w:rPr>
        <w:t xml:space="preserve"> (Cambridge University Press, Cambridge, 2007), 271.</w:t>
      </w:r>
    </w:p>
  </w:footnote>
  <w:footnote w:id="15">
    <w:p w:rsidR="001D2E79" w:rsidRPr="000D074D" w:rsidRDefault="001D2E79" w:rsidP="00AD638A">
      <w:pPr>
        <w:pStyle w:val="FootnoteText"/>
        <w:spacing w:after="40"/>
        <w:rPr>
          <w:rFonts w:ascii="Times New Roman" w:hAnsi="Times New Roman" w:cs="Times New Roman"/>
          <w:sz w:val="18"/>
          <w:szCs w:val="18"/>
          <w:lang w:val="en-GB"/>
        </w:rPr>
      </w:pPr>
      <w:r w:rsidRPr="000D074D">
        <w:rPr>
          <w:rStyle w:val="FootnoteReference"/>
          <w:rFonts w:ascii="Times New Roman" w:hAnsi="Times New Roman" w:cs="Times New Roman"/>
          <w:sz w:val="18"/>
          <w:szCs w:val="18"/>
          <w:lang w:val="en-GB"/>
        </w:rPr>
        <w:footnoteRef/>
      </w:r>
      <w:r w:rsidRPr="000D074D">
        <w:rPr>
          <w:rFonts w:ascii="Times New Roman" w:hAnsi="Times New Roman" w:cs="Times New Roman"/>
          <w:sz w:val="18"/>
          <w:szCs w:val="18"/>
          <w:lang w:val="en-GB"/>
        </w:rPr>
        <w:t xml:space="preserve"> Under the heading, “Extraterritorial obligation to protect”, the draft GC asserts that States Parties have the “obligation to prevent and redress” impacts “outside their territories of the activities and operations of business entities that are domiciled under their jurisdiction” (para.35), an obligation that “extends to any business entities over which States Parties may exercise influence by regulatory means or by the use of incentives…in accordance with the Charter of the UN and applicable international law”(para. 36). </w:t>
      </w:r>
    </w:p>
  </w:footnote>
  <w:footnote w:id="16">
    <w:p w:rsidR="00922399" w:rsidRPr="000D074D" w:rsidRDefault="00922399" w:rsidP="00AD638A">
      <w:pPr>
        <w:pStyle w:val="FootnoteText"/>
        <w:spacing w:after="40"/>
        <w:rPr>
          <w:rFonts w:ascii="Times New Roman" w:hAnsi="Times New Roman" w:cs="Times New Roman"/>
          <w:sz w:val="18"/>
          <w:szCs w:val="18"/>
          <w:lang w:val="en-GB"/>
        </w:rPr>
      </w:pPr>
      <w:r w:rsidRPr="000D074D">
        <w:rPr>
          <w:rStyle w:val="FootnoteReference"/>
          <w:rFonts w:ascii="Times New Roman" w:hAnsi="Times New Roman" w:cs="Times New Roman"/>
          <w:sz w:val="18"/>
          <w:szCs w:val="18"/>
          <w:lang w:val="en-GB"/>
        </w:rPr>
        <w:footnoteRef/>
      </w:r>
      <w:r w:rsidRPr="000D074D">
        <w:rPr>
          <w:rFonts w:ascii="Times New Roman" w:hAnsi="Times New Roman" w:cs="Times New Roman"/>
          <w:sz w:val="18"/>
          <w:szCs w:val="18"/>
          <w:lang w:val="en-GB"/>
        </w:rPr>
        <w:t xml:space="preserve"> </w:t>
      </w:r>
      <w:r w:rsidR="00AD638A" w:rsidRPr="000D074D">
        <w:rPr>
          <w:rFonts w:ascii="Times New Roman" w:hAnsi="Times New Roman" w:cs="Times New Roman"/>
          <w:sz w:val="18"/>
          <w:szCs w:val="18"/>
          <w:lang w:val="en-GB"/>
        </w:rPr>
        <w:t xml:space="preserve">G. </w:t>
      </w:r>
      <w:r w:rsidRPr="000D074D">
        <w:rPr>
          <w:rFonts w:ascii="Times New Roman" w:hAnsi="Times New Roman" w:cs="Times New Roman"/>
          <w:sz w:val="18"/>
          <w:szCs w:val="18"/>
          <w:lang w:val="en-GB"/>
        </w:rPr>
        <w:t xml:space="preserve">Nolte, ‘Third Report for the ILC Study Group on Treaties over Time’, in G. Nolte (ed.), </w:t>
      </w:r>
      <w:r w:rsidRPr="000D074D">
        <w:rPr>
          <w:rFonts w:ascii="Times New Roman" w:hAnsi="Times New Roman" w:cs="Times New Roman"/>
          <w:i/>
          <w:sz w:val="18"/>
          <w:szCs w:val="18"/>
          <w:lang w:val="en-GB"/>
        </w:rPr>
        <w:t>Treaties and Subsequent Practice</w:t>
      </w:r>
      <w:r w:rsidRPr="000D074D">
        <w:rPr>
          <w:rFonts w:ascii="Times New Roman" w:hAnsi="Times New Roman" w:cs="Times New Roman"/>
          <w:sz w:val="18"/>
          <w:szCs w:val="18"/>
          <w:lang w:val="en-GB"/>
        </w:rPr>
        <w:t xml:space="preserve"> (2013), at 384.</w:t>
      </w:r>
    </w:p>
  </w:footnote>
  <w:footnote w:id="17">
    <w:p w:rsidR="00922399" w:rsidRPr="000D074D" w:rsidRDefault="00922399" w:rsidP="00AD638A">
      <w:pPr>
        <w:pStyle w:val="FootnoteText"/>
        <w:spacing w:after="40"/>
        <w:rPr>
          <w:rFonts w:ascii="Times New Roman" w:hAnsi="Times New Roman" w:cs="Times New Roman"/>
          <w:sz w:val="18"/>
          <w:szCs w:val="18"/>
          <w:lang w:val="en-GB"/>
        </w:rPr>
      </w:pPr>
      <w:r w:rsidRPr="000D074D">
        <w:rPr>
          <w:rStyle w:val="FootnoteReference"/>
          <w:rFonts w:ascii="Times New Roman" w:hAnsi="Times New Roman" w:cs="Times New Roman"/>
          <w:sz w:val="18"/>
          <w:szCs w:val="18"/>
          <w:lang w:val="en-GB"/>
        </w:rPr>
        <w:footnoteRef/>
      </w:r>
      <w:r w:rsidRPr="000D074D">
        <w:rPr>
          <w:rFonts w:ascii="Times New Roman" w:hAnsi="Times New Roman" w:cs="Times New Roman"/>
          <w:sz w:val="18"/>
          <w:szCs w:val="18"/>
          <w:lang w:val="en-GB"/>
        </w:rPr>
        <w:t xml:space="preserve"> </w:t>
      </w:r>
      <w:r w:rsidR="00AD638A" w:rsidRPr="000D074D">
        <w:rPr>
          <w:rFonts w:ascii="Times New Roman" w:hAnsi="Times New Roman" w:cs="Times New Roman"/>
          <w:sz w:val="18"/>
          <w:szCs w:val="18"/>
          <w:lang w:val="en-GB"/>
        </w:rPr>
        <w:t xml:space="preserve">M. </w:t>
      </w:r>
      <w:r w:rsidRPr="000D074D">
        <w:rPr>
          <w:rFonts w:ascii="Times New Roman" w:hAnsi="Times New Roman" w:cs="Times New Roman"/>
          <w:sz w:val="18"/>
          <w:szCs w:val="18"/>
          <w:lang w:val="en-GB"/>
        </w:rPr>
        <w:t xml:space="preserve">Craven, ‘The Violence of Dispossession: Extra-Territoriality and Economic, Social, and Cultural Rights’, in M. </w:t>
      </w:r>
      <w:proofErr w:type="spellStart"/>
      <w:r w:rsidRPr="000D074D">
        <w:rPr>
          <w:rFonts w:ascii="Times New Roman" w:hAnsi="Times New Roman" w:cs="Times New Roman"/>
          <w:sz w:val="18"/>
          <w:szCs w:val="18"/>
          <w:lang w:val="en-GB"/>
        </w:rPr>
        <w:t>Baderin</w:t>
      </w:r>
      <w:proofErr w:type="spellEnd"/>
      <w:r w:rsidRPr="000D074D">
        <w:rPr>
          <w:rFonts w:ascii="Times New Roman" w:hAnsi="Times New Roman" w:cs="Times New Roman"/>
          <w:sz w:val="18"/>
          <w:szCs w:val="18"/>
          <w:lang w:val="en-GB"/>
        </w:rPr>
        <w:t xml:space="preserve"> and R. </w:t>
      </w:r>
      <w:proofErr w:type="spellStart"/>
      <w:r w:rsidRPr="000D074D">
        <w:rPr>
          <w:rFonts w:ascii="Times New Roman" w:hAnsi="Times New Roman" w:cs="Times New Roman"/>
          <w:sz w:val="18"/>
          <w:szCs w:val="18"/>
          <w:lang w:val="en-GB"/>
        </w:rPr>
        <w:t>McCorquodale</w:t>
      </w:r>
      <w:proofErr w:type="spellEnd"/>
      <w:r w:rsidRPr="000D074D">
        <w:rPr>
          <w:rFonts w:ascii="Times New Roman" w:hAnsi="Times New Roman" w:cs="Times New Roman"/>
          <w:sz w:val="18"/>
          <w:szCs w:val="18"/>
          <w:lang w:val="en-GB"/>
        </w:rPr>
        <w:t xml:space="preserve"> (</w:t>
      </w:r>
      <w:proofErr w:type="spellStart"/>
      <w:r w:rsidRPr="000D074D">
        <w:rPr>
          <w:rFonts w:ascii="Times New Roman" w:hAnsi="Times New Roman" w:cs="Times New Roman"/>
          <w:sz w:val="18"/>
          <w:szCs w:val="18"/>
          <w:lang w:val="en-GB"/>
        </w:rPr>
        <w:t>eds</w:t>
      </w:r>
      <w:proofErr w:type="spellEnd"/>
      <w:r w:rsidRPr="000D074D">
        <w:rPr>
          <w:rFonts w:ascii="Times New Roman" w:hAnsi="Times New Roman" w:cs="Times New Roman"/>
          <w:sz w:val="18"/>
          <w:szCs w:val="18"/>
          <w:lang w:val="en-GB"/>
        </w:rPr>
        <w:t xml:space="preserve">), </w:t>
      </w:r>
      <w:r w:rsidRPr="000D074D">
        <w:rPr>
          <w:rFonts w:ascii="Times New Roman" w:hAnsi="Times New Roman" w:cs="Times New Roman"/>
          <w:i/>
          <w:sz w:val="18"/>
          <w:szCs w:val="18"/>
          <w:lang w:val="en-GB"/>
        </w:rPr>
        <w:t>Economic, Social, and Cultural Rights in Action</w:t>
      </w:r>
      <w:r w:rsidRPr="000D074D">
        <w:rPr>
          <w:rFonts w:ascii="Times New Roman" w:hAnsi="Times New Roman" w:cs="Times New Roman"/>
          <w:sz w:val="18"/>
          <w:szCs w:val="18"/>
          <w:lang w:val="en-GB"/>
        </w:rPr>
        <w:t xml:space="preserve"> (2007), at 77.</w:t>
      </w:r>
    </w:p>
  </w:footnote>
  <w:footnote w:id="18">
    <w:p w:rsidR="00922399" w:rsidRPr="000D074D" w:rsidRDefault="00922399" w:rsidP="00AD638A">
      <w:pPr>
        <w:pStyle w:val="FootnoteText"/>
        <w:spacing w:after="40"/>
        <w:rPr>
          <w:rFonts w:ascii="Times New Roman" w:hAnsi="Times New Roman" w:cs="Times New Roman"/>
          <w:sz w:val="18"/>
          <w:szCs w:val="18"/>
          <w:lang w:val="en-GB"/>
        </w:rPr>
      </w:pPr>
      <w:r w:rsidRPr="000D074D">
        <w:rPr>
          <w:rStyle w:val="FootnoteReference"/>
          <w:rFonts w:ascii="Times New Roman" w:hAnsi="Times New Roman" w:cs="Times New Roman"/>
          <w:sz w:val="18"/>
          <w:szCs w:val="18"/>
          <w:lang w:val="en-GB"/>
        </w:rPr>
        <w:footnoteRef/>
      </w:r>
      <w:r w:rsidRPr="000D074D">
        <w:rPr>
          <w:rFonts w:ascii="Times New Roman" w:hAnsi="Times New Roman" w:cs="Times New Roman"/>
          <w:sz w:val="18"/>
          <w:szCs w:val="18"/>
          <w:lang w:val="en-GB"/>
        </w:rPr>
        <w:t xml:space="preserve"> </w:t>
      </w:r>
      <w:proofErr w:type="gramStart"/>
      <w:r w:rsidRPr="000D074D">
        <w:rPr>
          <w:rFonts w:ascii="Times New Roman" w:hAnsi="Times New Roman" w:cs="Times New Roman"/>
          <w:sz w:val="18"/>
          <w:szCs w:val="18"/>
          <w:lang w:val="en-GB"/>
        </w:rPr>
        <w:t>Commission on Human Rights, Fifty-Ninth Session, Summary Record of the 56th Meeting, E/CN.4/2003/SR.56, at para.</w:t>
      </w:r>
      <w:proofErr w:type="gramEnd"/>
      <w:r w:rsidRPr="000D074D">
        <w:rPr>
          <w:rFonts w:ascii="Times New Roman" w:hAnsi="Times New Roman" w:cs="Times New Roman"/>
          <w:sz w:val="18"/>
          <w:szCs w:val="18"/>
          <w:lang w:val="en-GB"/>
        </w:rPr>
        <w:t xml:space="preserve"> 49 (Canada, denying a ‘right’ to water in response to General Comment No 15); Commission on Human Rights, Sixtieth Session, Summary Record of the 51st Meeting, E/CN.4/2004/SR.51, at para. 84 (USA, denying that there is any international obligation in relation to a right to food), the latter referred to in Craven, </w:t>
      </w:r>
      <w:r w:rsidRPr="000D074D">
        <w:rPr>
          <w:rFonts w:ascii="Times New Roman" w:hAnsi="Times New Roman" w:cs="Times New Roman"/>
          <w:i/>
          <w:sz w:val="18"/>
          <w:szCs w:val="18"/>
          <w:lang w:val="en-GB"/>
        </w:rPr>
        <w:t xml:space="preserve">supra </w:t>
      </w:r>
      <w:r w:rsidRPr="000D074D">
        <w:rPr>
          <w:rFonts w:ascii="Times New Roman" w:hAnsi="Times New Roman" w:cs="Times New Roman"/>
          <w:sz w:val="18"/>
          <w:szCs w:val="18"/>
          <w:lang w:val="en-GB"/>
        </w:rPr>
        <w:t>note</w:t>
      </w:r>
      <w:r w:rsidR="00905C8C">
        <w:rPr>
          <w:rFonts w:ascii="Times New Roman" w:hAnsi="Times New Roman" w:cs="Times New Roman"/>
          <w:sz w:val="18"/>
          <w:szCs w:val="18"/>
          <w:lang w:val="en-GB"/>
        </w:rPr>
        <w:t xml:space="preserve"> 17</w:t>
      </w:r>
      <w:r w:rsidRPr="000D074D">
        <w:rPr>
          <w:rFonts w:ascii="Times New Roman" w:hAnsi="Times New Roman" w:cs="Times New Roman"/>
          <w:sz w:val="18"/>
          <w:szCs w:val="18"/>
          <w:lang w:val="en-GB"/>
        </w:rPr>
        <w:t>.</w:t>
      </w:r>
    </w:p>
  </w:footnote>
  <w:footnote w:id="19">
    <w:p w:rsidR="001D2E79" w:rsidRPr="000D074D" w:rsidRDefault="001D2E79" w:rsidP="00AD638A">
      <w:pPr>
        <w:pStyle w:val="FootnoteText"/>
        <w:spacing w:after="40"/>
        <w:rPr>
          <w:rFonts w:ascii="Times New Roman" w:hAnsi="Times New Roman" w:cs="Times New Roman"/>
          <w:sz w:val="18"/>
          <w:szCs w:val="18"/>
          <w:lang w:val="en-GB"/>
        </w:rPr>
      </w:pPr>
      <w:r w:rsidRPr="000D074D">
        <w:rPr>
          <w:rStyle w:val="FootnoteReference"/>
          <w:rFonts w:ascii="Times New Roman" w:hAnsi="Times New Roman" w:cs="Times New Roman"/>
          <w:sz w:val="18"/>
          <w:szCs w:val="18"/>
          <w:lang w:val="en-GB"/>
        </w:rPr>
        <w:footnoteRef/>
      </w:r>
      <w:r w:rsidRPr="000D074D">
        <w:rPr>
          <w:rFonts w:ascii="Times New Roman" w:hAnsi="Times New Roman" w:cs="Times New Roman"/>
          <w:sz w:val="18"/>
          <w:szCs w:val="18"/>
          <w:lang w:val="en-GB"/>
        </w:rPr>
        <w:t xml:space="preserve"> L. Bartels, ‘The EU’s Human Rights Obligations in Relation to Policies with Extraterritorial Effects’ (2014) 25:4 </w:t>
      </w:r>
      <w:r w:rsidRPr="000D074D">
        <w:rPr>
          <w:rFonts w:ascii="Times New Roman" w:hAnsi="Times New Roman" w:cs="Times New Roman"/>
          <w:i/>
          <w:sz w:val="18"/>
          <w:szCs w:val="18"/>
          <w:lang w:val="en-GB"/>
        </w:rPr>
        <w:t>European Journal of International Law</w:t>
      </w:r>
      <w:r w:rsidRPr="000D074D">
        <w:rPr>
          <w:rFonts w:ascii="Times New Roman" w:hAnsi="Times New Roman" w:cs="Times New Roman"/>
          <w:sz w:val="18"/>
          <w:szCs w:val="18"/>
          <w:lang w:val="en-GB"/>
        </w:rPr>
        <w:t xml:space="preserve"> 1071, 1091-2.</w:t>
      </w:r>
    </w:p>
  </w:footnote>
  <w:footnote w:id="20">
    <w:p w:rsidR="00B637B9" w:rsidRPr="000D074D" w:rsidRDefault="00B637B9" w:rsidP="00AD638A">
      <w:pPr>
        <w:pStyle w:val="FootnoteText"/>
        <w:spacing w:after="40"/>
        <w:rPr>
          <w:rFonts w:ascii="Times New Roman" w:hAnsi="Times New Roman" w:cs="Times New Roman"/>
          <w:sz w:val="18"/>
          <w:szCs w:val="18"/>
          <w:lang w:val="en-GB"/>
        </w:rPr>
      </w:pPr>
      <w:r w:rsidRPr="000D074D">
        <w:rPr>
          <w:rStyle w:val="FootnoteReference"/>
          <w:rFonts w:ascii="Times New Roman" w:hAnsi="Times New Roman" w:cs="Times New Roman"/>
          <w:sz w:val="18"/>
          <w:szCs w:val="18"/>
          <w:lang w:val="en-GB"/>
        </w:rPr>
        <w:footnoteRef/>
      </w:r>
      <w:r w:rsidRPr="000D074D">
        <w:rPr>
          <w:rFonts w:ascii="Times New Roman" w:hAnsi="Times New Roman" w:cs="Times New Roman"/>
          <w:sz w:val="18"/>
          <w:szCs w:val="18"/>
          <w:lang w:val="en-GB"/>
        </w:rPr>
        <w:t xml:space="preserve"> </w:t>
      </w:r>
      <w:proofErr w:type="gramStart"/>
      <w:r w:rsidRPr="000D074D">
        <w:rPr>
          <w:rFonts w:ascii="Times New Roman" w:hAnsi="Times New Roman" w:cs="Times New Roman"/>
          <w:sz w:val="18"/>
          <w:szCs w:val="18"/>
          <w:lang w:val="en-GB"/>
        </w:rPr>
        <w:t>Specifically Art.</w:t>
      </w:r>
      <w:proofErr w:type="gramEnd"/>
      <w:r w:rsidR="004B6CCA">
        <w:rPr>
          <w:rFonts w:ascii="Times New Roman" w:hAnsi="Times New Roman" w:cs="Times New Roman"/>
          <w:sz w:val="18"/>
          <w:szCs w:val="18"/>
          <w:lang w:val="en-GB"/>
        </w:rPr>
        <w:t xml:space="preserve"> </w:t>
      </w:r>
      <w:proofErr w:type="gramStart"/>
      <w:r w:rsidRPr="000D074D">
        <w:rPr>
          <w:rFonts w:ascii="Times New Roman" w:hAnsi="Times New Roman" w:cs="Times New Roman"/>
          <w:sz w:val="18"/>
          <w:szCs w:val="18"/>
          <w:lang w:val="en-GB"/>
        </w:rPr>
        <w:t>23,</w:t>
      </w:r>
      <w:proofErr w:type="gramEnd"/>
      <w:r w:rsidRPr="000D074D">
        <w:rPr>
          <w:rFonts w:ascii="Times New Roman" w:hAnsi="Times New Roman" w:cs="Times New Roman"/>
          <w:sz w:val="18"/>
          <w:szCs w:val="18"/>
          <w:lang w:val="en-GB"/>
        </w:rPr>
        <w:t xml:space="preserve"> comment 2: “To have been unforeseen the event must have been neither foreseen nor of an easily foreseeable kind”.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87A8A"/>
    <w:multiLevelType w:val="hybridMultilevel"/>
    <w:tmpl w:val="5EE4E860"/>
    <w:lvl w:ilvl="0" w:tplc="8CECC60C">
      <w:start w:val="5"/>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3AC1383C"/>
    <w:multiLevelType w:val="hybridMultilevel"/>
    <w:tmpl w:val="34B43D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49E057DC"/>
    <w:multiLevelType w:val="hybridMultilevel"/>
    <w:tmpl w:val="DB2011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54F04966"/>
    <w:multiLevelType w:val="hybridMultilevel"/>
    <w:tmpl w:val="BF62B3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7F8317AA"/>
    <w:multiLevelType w:val="hybridMultilevel"/>
    <w:tmpl w:val="41EEB094"/>
    <w:lvl w:ilvl="0" w:tplc="14AA4290">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9B2C4DC0">
      <w:numFmt w:val="bullet"/>
      <w:lvlText w:val=""/>
      <w:lvlJc w:val="left"/>
      <w:pPr>
        <w:ind w:left="2160" w:hanging="360"/>
      </w:pPr>
      <w:rPr>
        <w:rFonts w:ascii="Wingdings" w:eastAsiaTheme="minorHAnsi" w:hAnsi="Wingdings" w:cstheme="minorBidi" w:hint="default"/>
        <w:b w:val="0"/>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rand Bartels">
    <w15:presenceInfo w15:providerId="Windows Live" w15:userId="84bcf8e80ba2d7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5DC"/>
    <w:rsid w:val="00012385"/>
    <w:rsid w:val="00014886"/>
    <w:rsid w:val="000232B4"/>
    <w:rsid w:val="000376EA"/>
    <w:rsid w:val="00055CB5"/>
    <w:rsid w:val="0005705E"/>
    <w:rsid w:val="000577AA"/>
    <w:rsid w:val="000A298E"/>
    <w:rsid w:val="000A3F2B"/>
    <w:rsid w:val="000C0B44"/>
    <w:rsid w:val="000D074D"/>
    <w:rsid w:val="000F5C09"/>
    <w:rsid w:val="001127BB"/>
    <w:rsid w:val="00122E47"/>
    <w:rsid w:val="00144FB4"/>
    <w:rsid w:val="001530CA"/>
    <w:rsid w:val="00170DF7"/>
    <w:rsid w:val="00177312"/>
    <w:rsid w:val="00184696"/>
    <w:rsid w:val="001848A8"/>
    <w:rsid w:val="001931C9"/>
    <w:rsid w:val="001D2E79"/>
    <w:rsid w:val="001E2BC3"/>
    <w:rsid w:val="001F354C"/>
    <w:rsid w:val="001F6B1F"/>
    <w:rsid w:val="0024115D"/>
    <w:rsid w:val="002526A2"/>
    <w:rsid w:val="00256ADE"/>
    <w:rsid w:val="002E24D4"/>
    <w:rsid w:val="002E7E55"/>
    <w:rsid w:val="002F6969"/>
    <w:rsid w:val="00320196"/>
    <w:rsid w:val="003602D3"/>
    <w:rsid w:val="003824B1"/>
    <w:rsid w:val="00384441"/>
    <w:rsid w:val="00392D84"/>
    <w:rsid w:val="003A5261"/>
    <w:rsid w:val="003D7EF6"/>
    <w:rsid w:val="003F4667"/>
    <w:rsid w:val="003F6A4B"/>
    <w:rsid w:val="003F7BA3"/>
    <w:rsid w:val="004022B9"/>
    <w:rsid w:val="00402E77"/>
    <w:rsid w:val="0041118F"/>
    <w:rsid w:val="00413C0D"/>
    <w:rsid w:val="00457E2F"/>
    <w:rsid w:val="00471BBD"/>
    <w:rsid w:val="004860E6"/>
    <w:rsid w:val="004B28F3"/>
    <w:rsid w:val="004B5066"/>
    <w:rsid w:val="004B6CCA"/>
    <w:rsid w:val="004D0AA7"/>
    <w:rsid w:val="005113DD"/>
    <w:rsid w:val="00515857"/>
    <w:rsid w:val="00551D34"/>
    <w:rsid w:val="005A64D3"/>
    <w:rsid w:val="005B188A"/>
    <w:rsid w:val="005C3835"/>
    <w:rsid w:val="005D224F"/>
    <w:rsid w:val="005D417C"/>
    <w:rsid w:val="005D63FF"/>
    <w:rsid w:val="005E5C88"/>
    <w:rsid w:val="00603ECF"/>
    <w:rsid w:val="00643E6D"/>
    <w:rsid w:val="006515FF"/>
    <w:rsid w:val="006560B0"/>
    <w:rsid w:val="00681D43"/>
    <w:rsid w:val="00691B97"/>
    <w:rsid w:val="006F1153"/>
    <w:rsid w:val="006F1E34"/>
    <w:rsid w:val="0070692A"/>
    <w:rsid w:val="00742DB7"/>
    <w:rsid w:val="00747A56"/>
    <w:rsid w:val="007511E9"/>
    <w:rsid w:val="007728D0"/>
    <w:rsid w:val="007806F5"/>
    <w:rsid w:val="00785E9B"/>
    <w:rsid w:val="00792DCD"/>
    <w:rsid w:val="00794B0C"/>
    <w:rsid w:val="00797711"/>
    <w:rsid w:val="007A1F06"/>
    <w:rsid w:val="007A5BE5"/>
    <w:rsid w:val="007A6B98"/>
    <w:rsid w:val="007B6C93"/>
    <w:rsid w:val="00803C08"/>
    <w:rsid w:val="00822E1C"/>
    <w:rsid w:val="00823C06"/>
    <w:rsid w:val="0083479F"/>
    <w:rsid w:val="008704C7"/>
    <w:rsid w:val="008723E2"/>
    <w:rsid w:val="00894886"/>
    <w:rsid w:val="0089666E"/>
    <w:rsid w:val="008A6EEA"/>
    <w:rsid w:val="008C3E91"/>
    <w:rsid w:val="008D78E7"/>
    <w:rsid w:val="008F3CCA"/>
    <w:rsid w:val="008F4643"/>
    <w:rsid w:val="00902ACE"/>
    <w:rsid w:val="00905C8C"/>
    <w:rsid w:val="00907B41"/>
    <w:rsid w:val="00911403"/>
    <w:rsid w:val="00913D7F"/>
    <w:rsid w:val="00921824"/>
    <w:rsid w:val="00922399"/>
    <w:rsid w:val="0093764C"/>
    <w:rsid w:val="009447E7"/>
    <w:rsid w:val="00957951"/>
    <w:rsid w:val="009705F1"/>
    <w:rsid w:val="009716D9"/>
    <w:rsid w:val="00972987"/>
    <w:rsid w:val="00980E7D"/>
    <w:rsid w:val="00984B62"/>
    <w:rsid w:val="00A46855"/>
    <w:rsid w:val="00A50F6E"/>
    <w:rsid w:val="00A56844"/>
    <w:rsid w:val="00A73C49"/>
    <w:rsid w:val="00A7471A"/>
    <w:rsid w:val="00A768EE"/>
    <w:rsid w:val="00AA43D0"/>
    <w:rsid w:val="00AC0122"/>
    <w:rsid w:val="00AC40C4"/>
    <w:rsid w:val="00AD638A"/>
    <w:rsid w:val="00AE25DC"/>
    <w:rsid w:val="00AE742E"/>
    <w:rsid w:val="00B15E14"/>
    <w:rsid w:val="00B31121"/>
    <w:rsid w:val="00B3219B"/>
    <w:rsid w:val="00B378D0"/>
    <w:rsid w:val="00B438EC"/>
    <w:rsid w:val="00B440DE"/>
    <w:rsid w:val="00B521C4"/>
    <w:rsid w:val="00B637B9"/>
    <w:rsid w:val="00B75B29"/>
    <w:rsid w:val="00BC4976"/>
    <w:rsid w:val="00BD387A"/>
    <w:rsid w:val="00BD630A"/>
    <w:rsid w:val="00BD76FE"/>
    <w:rsid w:val="00BE643D"/>
    <w:rsid w:val="00C03980"/>
    <w:rsid w:val="00C235D3"/>
    <w:rsid w:val="00C4220F"/>
    <w:rsid w:val="00C9153B"/>
    <w:rsid w:val="00C959D9"/>
    <w:rsid w:val="00C97F9F"/>
    <w:rsid w:val="00CA0F04"/>
    <w:rsid w:val="00CA451A"/>
    <w:rsid w:val="00CA5C46"/>
    <w:rsid w:val="00CB3D8A"/>
    <w:rsid w:val="00CC11A3"/>
    <w:rsid w:val="00CE7151"/>
    <w:rsid w:val="00CF035C"/>
    <w:rsid w:val="00CF73CC"/>
    <w:rsid w:val="00D1447F"/>
    <w:rsid w:val="00D2643C"/>
    <w:rsid w:val="00D473AD"/>
    <w:rsid w:val="00D544C3"/>
    <w:rsid w:val="00DB09E4"/>
    <w:rsid w:val="00DB2EBC"/>
    <w:rsid w:val="00DE53C5"/>
    <w:rsid w:val="00DF3886"/>
    <w:rsid w:val="00E06EFC"/>
    <w:rsid w:val="00E076DD"/>
    <w:rsid w:val="00E2436E"/>
    <w:rsid w:val="00E27728"/>
    <w:rsid w:val="00E31759"/>
    <w:rsid w:val="00E76806"/>
    <w:rsid w:val="00E81368"/>
    <w:rsid w:val="00E94015"/>
    <w:rsid w:val="00E971A1"/>
    <w:rsid w:val="00EA05B6"/>
    <w:rsid w:val="00EB4EF4"/>
    <w:rsid w:val="00EC7B54"/>
    <w:rsid w:val="00ED289B"/>
    <w:rsid w:val="00EE5834"/>
    <w:rsid w:val="00F001EC"/>
    <w:rsid w:val="00F12FC6"/>
    <w:rsid w:val="00F372E2"/>
    <w:rsid w:val="00F414CE"/>
    <w:rsid w:val="00F601CC"/>
    <w:rsid w:val="00F81737"/>
    <w:rsid w:val="00FC12C2"/>
    <w:rsid w:val="00FC34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2C2"/>
  </w:style>
  <w:style w:type="paragraph" w:styleId="Heading1">
    <w:name w:val="heading 1"/>
    <w:basedOn w:val="Normal"/>
    <w:next w:val="Normal"/>
    <w:link w:val="Heading1Char"/>
    <w:uiPriority w:val="9"/>
    <w:qFormat/>
    <w:rsid w:val="00FC12C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12C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12C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C12C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FC12C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C12C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C12C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C12C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FC12C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FootnoteText"/>
    <w:next w:val="Normal"/>
    <w:autoRedefine/>
    <w:qFormat/>
    <w:rsid w:val="00FC12C2"/>
    <w:pPr>
      <w:spacing w:after="120"/>
      <w:ind w:left="272" w:hanging="272"/>
    </w:pPr>
    <w:rPr>
      <w:snapToGrid w:val="0"/>
      <w:sz w:val="18"/>
      <w:lang w:val="en-US" w:eastAsia="ja-JP"/>
    </w:rPr>
  </w:style>
  <w:style w:type="paragraph" w:styleId="FootnoteText">
    <w:name w:val="footnote text"/>
    <w:aliases w:val="fn,footnote text"/>
    <w:basedOn w:val="Normal"/>
    <w:link w:val="FootnoteTextChar"/>
    <w:uiPriority w:val="99"/>
    <w:unhideWhenUsed/>
    <w:qFormat/>
    <w:rsid w:val="00FC12C2"/>
    <w:pPr>
      <w:spacing w:after="0" w:line="240" w:lineRule="auto"/>
    </w:pPr>
    <w:rPr>
      <w:sz w:val="20"/>
      <w:szCs w:val="20"/>
    </w:rPr>
  </w:style>
  <w:style w:type="character" w:customStyle="1" w:styleId="FootnoteTextChar">
    <w:name w:val="Footnote Text Char"/>
    <w:aliases w:val="fn Char,footnote text Char"/>
    <w:basedOn w:val="DefaultParagraphFont"/>
    <w:link w:val="FootnoteText"/>
    <w:uiPriority w:val="99"/>
    <w:rsid w:val="00FC12C2"/>
    <w:rPr>
      <w:sz w:val="20"/>
      <w:szCs w:val="20"/>
      <w:lang w:val="en-GB"/>
    </w:rPr>
  </w:style>
  <w:style w:type="character" w:customStyle="1" w:styleId="Heading1Char">
    <w:name w:val="Heading 1 Char"/>
    <w:basedOn w:val="DefaultParagraphFont"/>
    <w:link w:val="Heading1"/>
    <w:uiPriority w:val="9"/>
    <w:rsid w:val="00FC12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C12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C12C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C12C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FC12C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C12C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C12C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C12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FC12C2"/>
    <w:rPr>
      <w:rFonts w:asciiTheme="majorHAnsi" w:eastAsiaTheme="majorEastAsia" w:hAnsiTheme="majorHAnsi" w:cstheme="majorBidi"/>
      <w:i/>
      <w:iCs/>
      <w:spacing w:val="5"/>
      <w:sz w:val="20"/>
      <w:szCs w:val="20"/>
    </w:rPr>
  </w:style>
  <w:style w:type="paragraph" w:styleId="TOC1">
    <w:name w:val="toc 1"/>
    <w:basedOn w:val="Normal"/>
    <w:next w:val="Normal"/>
    <w:autoRedefine/>
    <w:uiPriority w:val="39"/>
    <w:qFormat/>
    <w:rsid w:val="00FC12C2"/>
    <w:pPr>
      <w:tabs>
        <w:tab w:val="left" w:pos="480"/>
        <w:tab w:val="right" w:pos="7371"/>
      </w:tabs>
      <w:spacing w:after="120"/>
    </w:pPr>
    <w:rPr>
      <w:rFonts w:cs="Courier New"/>
      <w:bCs/>
      <w:noProof/>
      <w:sz w:val="28"/>
    </w:rPr>
  </w:style>
  <w:style w:type="paragraph" w:styleId="TOC2">
    <w:name w:val="toc 2"/>
    <w:basedOn w:val="Normal"/>
    <w:next w:val="Normal"/>
    <w:autoRedefine/>
    <w:uiPriority w:val="39"/>
    <w:qFormat/>
    <w:rsid w:val="00FC12C2"/>
    <w:pPr>
      <w:tabs>
        <w:tab w:val="left" w:pos="7371"/>
      </w:tabs>
      <w:ind w:right="1150"/>
    </w:pPr>
    <w:rPr>
      <w:iCs/>
      <w:noProof/>
      <w:snapToGrid w:val="0"/>
      <w:szCs w:val="20"/>
      <w:lang w:eastAsia="en-GB"/>
    </w:rPr>
  </w:style>
  <w:style w:type="paragraph" w:styleId="Title">
    <w:name w:val="Title"/>
    <w:basedOn w:val="Normal"/>
    <w:next w:val="Normal"/>
    <w:link w:val="TitleChar"/>
    <w:uiPriority w:val="10"/>
    <w:qFormat/>
    <w:rsid w:val="00FC12C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C12C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C12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C12C2"/>
    <w:rPr>
      <w:rFonts w:asciiTheme="majorHAnsi" w:eastAsiaTheme="majorEastAsia" w:hAnsiTheme="majorHAnsi" w:cstheme="majorBidi"/>
      <w:i/>
      <w:iCs/>
      <w:spacing w:val="13"/>
      <w:sz w:val="24"/>
      <w:szCs w:val="24"/>
    </w:rPr>
  </w:style>
  <w:style w:type="character" w:styleId="Strong">
    <w:name w:val="Strong"/>
    <w:uiPriority w:val="22"/>
    <w:qFormat/>
    <w:rsid w:val="00FC12C2"/>
    <w:rPr>
      <w:b/>
      <w:bCs/>
    </w:rPr>
  </w:style>
  <w:style w:type="character" w:styleId="Emphasis">
    <w:name w:val="Emphasis"/>
    <w:uiPriority w:val="20"/>
    <w:qFormat/>
    <w:rsid w:val="00FC12C2"/>
    <w:rPr>
      <w:b/>
      <w:bCs/>
      <w:i/>
      <w:iCs/>
      <w:spacing w:val="10"/>
      <w:bdr w:val="none" w:sz="0" w:space="0" w:color="auto"/>
      <w:shd w:val="clear" w:color="auto" w:fill="auto"/>
    </w:rPr>
  </w:style>
  <w:style w:type="paragraph" w:styleId="NoSpacing">
    <w:name w:val="No Spacing"/>
    <w:basedOn w:val="Normal"/>
    <w:link w:val="NoSpacingChar"/>
    <w:uiPriority w:val="1"/>
    <w:qFormat/>
    <w:rsid w:val="00FC12C2"/>
    <w:pPr>
      <w:spacing w:after="0" w:line="240" w:lineRule="auto"/>
    </w:pPr>
  </w:style>
  <w:style w:type="character" w:customStyle="1" w:styleId="NoSpacingChar">
    <w:name w:val="No Spacing Char"/>
    <w:basedOn w:val="DefaultParagraphFont"/>
    <w:link w:val="NoSpacing"/>
    <w:uiPriority w:val="1"/>
    <w:rsid w:val="00FC12C2"/>
  </w:style>
  <w:style w:type="paragraph" w:styleId="ListParagraph">
    <w:name w:val="List Paragraph"/>
    <w:basedOn w:val="Normal"/>
    <w:uiPriority w:val="34"/>
    <w:qFormat/>
    <w:rsid w:val="00FC12C2"/>
    <w:pPr>
      <w:ind w:left="720"/>
      <w:contextualSpacing/>
    </w:pPr>
  </w:style>
  <w:style w:type="paragraph" w:styleId="Quote">
    <w:name w:val="Quote"/>
    <w:basedOn w:val="Normal"/>
    <w:next w:val="Normal"/>
    <w:link w:val="QuoteChar"/>
    <w:uiPriority w:val="29"/>
    <w:qFormat/>
    <w:rsid w:val="00FC12C2"/>
    <w:pPr>
      <w:spacing w:before="200" w:after="0"/>
      <w:ind w:left="360" w:right="360"/>
    </w:pPr>
    <w:rPr>
      <w:i/>
      <w:iCs/>
    </w:rPr>
  </w:style>
  <w:style w:type="character" w:customStyle="1" w:styleId="QuoteChar">
    <w:name w:val="Quote Char"/>
    <w:basedOn w:val="DefaultParagraphFont"/>
    <w:link w:val="Quote"/>
    <w:uiPriority w:val="29"/>
    <w:rsid w:val="00FC12C2"/>
    <w:rPr>
      <w:i/>
      <w:iCs/>
    </w:rPr>
  </w:style>
  <w:style w:type="paragraph" w:styleId="IntenseQuote">
    <w:name w:val="Intense Quote"/>
    <w:basedOn w:val="Normal"/>
    <w:next w:val="Normal"/>
    <w:link w:val="IntenseQuoteChar"/>
    <w:uiPriority w:val="30"/>
    <w:qFormat/>
    <w:rsid w:val="00FC12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C12C2"/>
    <w:rPr>
      <w:b/>
      <w:bCs/>
      <w:i/>
      <w:iCs/>
    </w:rPr>
  </w:style>
  <w:style w:type="character" w:styleId="SubtleEmphasis">
    <w:name w:val="Subtle Emphasis"/>
    <w:uiPriority w:val="19"/>
    <w:qFormat/>
    <w:rsid w:val="00FC12C2"/>
    <w:rPr>
      <w:i/>
      <w:iCs/>
    </w:rPr>
  </w:style>
  <w:style w:type="character" w:styleId="IntenseEmphasis">
    <w:name w:val="Intense Emphasis"/>
    <w:uiPriority w:val="21"/>
    <w:qFormat/>
    <w:rsid w:val="00FC12C2"/>
    <w:rPr>
      <w:b/>
      <w:bCs/>
    </w:rPr>
  </w:style>
  <w:style w:type="character" w:styleId="SubtleReference">
    <w:name w:val="Subtle Reference"/>
    <w:uiPriority w:val="31"/>
    <w:qFormat/>
    <w:rsid w:val="00FC12C2"/>
    <w:rPr>
      <w:smallCaps/>
    </w:rPr>
  </w:style>
  <w:style w:type="character" w:styleId="IntenseReference">
    <w:name w:val="Intense Reference"/>
    <w:uiPriority w:val="32"/>
    <w:qFormat/>
    <w:rsid w:val="00FC12C2"/>
    <w:rPr>
      <w:smallCaps/>
      <w:spacing w:val="5"/>
      <w:u w:val="single"/>
    </w:rPr>
  </w:style>
  <w:style w:type="character" w:styleId="BookTitle">
    <w:name w:val="Book Title"/>
    <w:uiPriority w:val="33"/>
    <w:qFormat/>
    <w:rsid w:val="00FC12C2"/>
    <w:rPr>
      <w:i/>
      <w:iCs/>
      <w:smallCaps/>
      <w:spacing w:val="5"/>
    </w:rPr>
  </w:style>
  <w:style w:type="paragraph" w:styleId="TOCHeading">
    <w:name w:val="TOC Heading"/>
    <w:basedOn w:val="Heading1"/>
    <w:next w:val="Normal"/>
    <w:uiPriority w:val="39"/>
    <w:unhideWhenUsed/>
    <w:qFormat/>
    <w:rsid w:val="00FC12C2"/>
    <w:pPr>
      <w:outlineLvl w:val="9"/>
    </w:pPr>
    <w:rPr>
      <w:lang w:bidi="en-US"/>
    </w:rPr>
  </w:style>
  <w:style w:type="paragraph" w:styleId="Header">
    <w:name w:val="header"/>
    <w:basedOn w:val="Normal"/>
    <w:link w:val="HeaderChar"/>
    <w:uiPriority w:val="99"/>
    <w:unhideWhenUsed/>
    <w:rsid w:val="00797711"/>
    <w:pPr>
      <w:tabs>
        <w:tab w:val="center" w:pos="4819"/>
        <w:tab w:val="right" w:pos="9638"/>
      </w:tabs>
      <w:spacing w:after="0" w:line="240" w:lineRule="auto"/>
    </w:pPr>
  </w:style>
  <w:style w:type="character" w:customStyle="1" w:styleId="HeaderChar">
    <w:name w:val="Header Char"/>
    <w:basedOn w:val="DefaultParagraphFont"/>
    <w:link w:val="Header"/>
    <w:uiPriority w:val="99"/>
    <w:rsid w:val="00797711"/>
  </w:style>
  <w:style w:type="paragraph" w:styleId="Footer">
    <w:name w:val="footer"/>
    <w:basedOn w:val="Normal"/>
    <w:link w:val="FooterChar"/>
    <w:uiPriority w:val="99"/>
    <w:unhideWhenUsed/>
    <w:rsid w:val="00797711"/>
    <w:pPr>
      <w:tabs>
        <w:tab w:val="center" w:pos="4819"/>
        <w:tab w:val="right" w:pos="9638"/>
      </w:tabs>
      <w:spacing w:after="0" w:line="240" w:lineRule="auto"/>
    </w:pPr>
  </w:style>
  <w:style w:type="character" w:customStyle="1" w:styleId="FooterChar">
    <w:name w:val="Footer Char"/>
    <w:basedOn w:val="DefaultParagraphFont"/>
    <w:link w:val="Footer"/>
    <w:uiPriority w:val="99"/>
    <w:rsid w:val="00797711"/>
  </w:style>
  <w:style w:type="character" w:styleId="FootnoteReference">
    <w:name w:val="footnote reference"/>
    <w:basedOn w:val="DefaultParagraphFont"/>
    <w:uiPriority w:val="99"/>
    <w:unhideWhenUsed/>
    <w:rsid w:val="00055CB5"/>
    <w:rPr>
      <w:vertAlign w:val="superscript"/>
    </w:rPr>
  </w:style>
  <w:style w:type="character" w:customStyle="1" w:styleId="s6b621b36">
    <w:name w:val="s6b621b36"/>
    <w:basedOn w:val="DefaultParagraphFont"/>
    <w:rsid w:val="00603ECF"/>
    <w:rPr>
      <w:rFonts w:cs="Times New Roman"/>
    </w:rPr>
  </w:style>
  <w:style w:type="character" w:styleId="Hyperlink">
    <w:name w:val="Hyperlink"/>
    <w:basedOn w:val="DefaultParagraphFont"/>
    <w:uiPriority w:val="99"/>
    <w:unhideWhenUsed/>
    <w:rsid w:val="003F4667"/>
    <w:rPr>
      <w:color w:val="0000FF" w:themeColor="hyperlink"/>
      <w:u w:val="single"/>
    </w:rPr>
  </w:style>
  <w:style w:type="paragraph" w:styleId="BalloonText">
    <w:name w:val="Balloon Text"/>
    <w:basedOn w:val="Normal"/>
    <w:link w:val="BalloonTextChar"/>
    <w:uiPriority w:val="99"/>
    <w:semiHidden/>
    <w:unhideWhenUsed/>
    <w:rsid w:val="00E076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76D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A6B98"/>
    <w:rPr>
      <w:sz w:val="18"/>
      <w:szCs w:val="18"/>
    </w:rPr>
  </w:style>
  <w:style w:type="paragraph" w:styleId="CommentText">
    <w:name w:val="annotation text"/>
    <w:basedOn w:val="Normal"/>
    <w:link w:val="CommentTextChar"/>
    <w:uiPriority w:val="99"/>
    <w:semiHidden/>
    <w:unhideWhenUsed/>
    <w:rsid w:val="007A6B98"/>
    <w:pPr>
      <w:spacing w:line="240" w:lineRule="auto"/>
    </w:pPr>
    <w:rPr>
      <w:sz w:val="24"/>
      <w:szCs w:val="24"/>
    </w:rPr>
  </w:style>
  <w:style w:type="character" w:customStyle="1" w:styleId="CommentTextChar">
    <w:name w:val="Comment Text Char"/>
    <w:basedOn w:val="DefaultParagraphFont"/>
    <w:link w:val="CommentText"/>
    <w:uiPriority w:val="99"/>
    <w:semiHidden/>
    <w:rsid w:val="007A6B98"/>
    <w:rPr>
      <w:sz w:val="24"/>
      <w:szCs w:val="24"/>
    </w:rPr>
  </w:style>
  <w:style w:type="paragraph" w:styleId="CommentSubject">
    <w:name w:val="annotation subject"/>
    <w:basedOn w:val="CommentText"/>
    <w:next w:val="CommentText"/>
    <w:link w:val="CommentSubjectChar"/>
    <w:uiPriority w:val="99"/>
    <w:semiHidden/>
    <w:unhideWhenUsed/>
    <w:rsid w:val="007A6B98"/>
    <w:rPr>
      <w:b/>
      <w:bCs/>
      <w:sz w:val="20"/>
      <w:szCs w:val="20"/>
    </w:rPr>
  </w:style>
  <w:style w:type="character" w:customStyle="1" w:styleId="CommentSubjectChar">
    <w:name w:val="Comment Subject Char"/>
    <w:basedOn w:val="CommentTextChar"/>
    <w:link w:val="CommentSubject"/>
    <w:uiPriority w:val="99"/>
    <w:semiHidden/>
    <w:rsid w:val="007A6B98"/>
    <w:rPr>
      <w:b/>
      <w:bCs/>
      <w:sz w:val="20"/>
      <w:szCs w:val="20"/>
    </w:rPr>
  </w:style>
  <w:style w:type="character" w:customStyle="1" w:styleId="FootnoteTextChar1">
    <w:name w:val="Footnote Text Char1"/>
    <w:aliases w:val="fn Char1,footnote text Char1"/>
    <w:uiPriority w:val="99"/>
    <w:locked/>
    <w:rsid w:val="00922399"/>
    <w:rPr>
      <w:rFonts w:ascii="Times New Roman" w:hAnsi="Times New Roman"/>
      <w:kern w:val="20"/>
      <w:sz w:val="20"/>
      <w:szCs w:val="20"/>
      <w:u w:color="000000"/>
      <w:lang w:val="en-US" w:eastAsia="de-DE"/>
    </w:rPr>
  </w:style>
  <w:style w:type="paragraph" w:styleId="Revision">
    <w:name w:val="Revision"/>
    <w:hidden/>
    <w:uiPriority w:val="99"/>
    <w:semiHidden/>
    <w:rsid w:val="00AE742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2C2"/>
  </w:style>
  <w:style w:type="paragraph" w:styleId="Heading1">
    <w:name w:val="heading 1"/>
    <w:basedOn w:val="Normal"/>
    <w:next w:val="Normal"/>
    <w:link w:val="Heading1Char"/>
    <w:uiPriority w:val="9"/>
    <w:qFormat/>
    <w:rsid w:val="00FC12C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12C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12C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C12C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FC12C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C12C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C12C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C12C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FC12C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FootnoteText"/>
    <w:next w:val="Normal"/>
    <w:autoRedefine/>
    <w:qFormat/>
    <w:rsid w:val="00FC12C2"/>
    <w:pPr>
      <w:spacing w:after="120"/>
      <w:ind w:left="272" w:hanging="272"/>
    </w:pPr>
    <w:rPr>
      <w:snapToGrid w:val="0"/>
      <w:sz w:val="18"/>
      <w:lang w:val="en-US" w:eastAsia="ja-JP"/>
    </w:rPr>
  </w:style>
  <w:style w:type="paragraph" w:styleId="FootnoteText">
    <w:name w:val="footnote text"/>
    <w:aliases w:val="fn,footnote text"/>
    <w:basedOn w:val="Normal"/>
    <w:link w:val="FootnoteTextChar"/>
    <w:uiPriority w:val="99"/>
    <w:unhideWhenUsed/>
    <w:qFormat/>
    <w:rsid w:val="00FC12C2"/>
    <w:pPr>
      <w:spacing w:after="0" w:line="240" w:lineRule="auto"/>
    </w:pPr>
    <w:rPr>
      <w:sz w:val="20"/>
      <w:szCs w:val="20"/>
    </w:rPr>
  </w:style>
  <w:style w:type="character" w:customStyle="1" w:styleId="FootnoteTextChar">
    <w:name w:val="Footnote Text Char"/>
    <w:aliases w:val="fn Char,footnote text Char"/>
    <w:basedOn w:val="DefaultParagraphFont"/>
    <w:link w:val="FootnoteText"/>
    <w:uiPriority w:val="99"/>
    <w:rsid w:val="00FC12C2"/>
    <w:rPr>
      <w:sz w:val="20"/>
      <w:szCs w:val="20"/>
      <w:lang w:val="en-GB"/>
    </w:rPr>
  </w:style>
  <w:style w:type="character" w:customStyle="1" w:styleId="Heading1Char">
    <w:name w:val="Heading 1 Char"/>
    <w:basedOn w:val="DefaultParagraphFont"/>
    <w:link w:val="Heading1"/>
    <w:uiPriority w:val="9"/>
    <w:rsid w:val="00FC12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C12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C12C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C12C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FC12C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C12C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C12C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C12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FC12C2"/>
    <w:rPr>
      <w:rFonts w:asciiTheme="majorHAnsi" w:eastAsiaTheme="majorEastAsia" w:hAnsiTheme="majorHAnsi" w:cstheme="majorBidi"/>
      <w:i/>
      <w:iCs/>
      <w:spacing w:val="5"/>
      <w:sz w:val="20"/>
      <w:szCs w:val="20"/>
    </w:rPr>
  </w:style>
  <w:style w:type="paragraph" w:styleId="TOC1">
    <w:name w:val="toc 1"/>
    <w:basedOn w:val="Normal"/>
    <w:next w:val="Normal"/>
    <w:autoRedefine/>
    <w:uiPriority w:val="39"/>
    <w:qFormat/>
    <w:rsid w:val="00FC12C2"/>
    <w:pPr>
      <w:tabs>
        <w:tab w:val="left" w:pos="480"/>
        <w:tab w:val="right" w:pos="7371"/>
      </w:tabs>
      <w:spacing w:after="120"/>
    </w:pPr>
    <w:rPr>
      <w:rFonts w:cs="Courier New"/>
      <w:bCs/>
      <w:noProof/>
      <w:sz w:val="28"/>
    </w:rPr>
  </w:style>
  <w:style w:type="paragraph" w:styleId="TOC2">
    <w:name w:val="toc 2"/>
    <w:basedOn w:val="Normal"/>
    <w:next w:val="Normal"/>
    <w:autoRedefine/>
    <w:uiPriority w:val="39"/>
    <w:qFormat/>
    <w:rsid w:val="00FC12C2"/>
    <w:pPr>
      <w:tabs>
        <w:tab w:val="left" w:pos="7371"/>
      </w:tabs>
      <w:ind w:right="1150"/>
    </w:pPr>
    <w:rPr>
      <w:iCs/>
      <w:noProof/>
      <w:snapToGrid w:val="0"/>
      <w:szCs w:val="20"/>
      <w:lang w:eastAsia="en-GB"/>
    </w:rPr>
  </w:style>
  <w:style w:type="paragraph" w:styleId="Title">
    <w:name w:val="Title"/>
    <w:basedOn w:val="Normal"/>
    <w:next w:val="Normal"/>
    <w:link w:val="TitleChar"/>
    <w:uiPriority w:val="10"/>
    <w:qFormat/>
    <w:rsid w:val="00FC12C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C12C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C12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C12C2"/>
    <w:rPr>
      <w:rFonts w:asciiTheme="majorHAnsi" w:eastAsiaTheme="majorEastAsia" w:hAnsiTheme="majorHAnsi" w:cstheme="majorBidi"/>
      <w:i/>
      <w:iCs/>
      <w:spacing w:val="13"/>
      <w:sz w:val="24"/>
      <w:szCs w:val="24"/>
    </w:rPr>
  </w:style>
  <w:style w:type="character" w:styleId="Strong">
    <w:name w:val="Strong"/>
    <w:uiPriority w:val="22"/>
    <w:qFormat/>
    <w:rsid w:val="00FC12C2"/>
    <w:rPr>
      <w:b/>
      <w:bCs/>
    </w:rPr>
  </w:style>
  <w:style w:type="character" w:styleId="Emphasis">
    <w:name w:val="Emphasis"/>
    <w:uiPriority w:val="20"/>
    <w:qFormat/>
    <w:rsid w:val="00FC12C2"/>
    <w:rPr>
      <w:b/>
      <w:bCs/>
      <w:i/>
      <w:iCs/>
      <w:spacing w:val="10"/>
      <w:bdr w:val="none" w:sz="0" w:space="0" w:color="auto"/>
      <w:shd w:val="clear" w:color="auto" w:fill="auto"/>
    </w:rPr>
  </w:style>
  <w:style w:type="paragraph" w:styleId="NoSpacing">
    <w:name w:val="No Spacing"/>
    <w:basedOn w:val="Normal"/>
    <w:link w:val="NoSpacingChar"/>
    <w:uiPriority w:val="1"/>
    <w:qFormat/>
    <w:rsid w:val="00FC12C2"/>
    <w:pPr>
      <w:spacing w:after="0" w:line="240" w:lineRule="auto"/>
    </w:pPr>
  </w:style>
  <w:style w:type="character" w:customStyle="1" w:styleId="NoSpacingChar">
    <w:name w:val="No Spacing Char"/>
    <w:basedOn w:val="DefaultParagraphFont"/>
    <w:link w:val="NoSpacing"/>
    <w:uiPriority w:val="1"/>
    <w:rsid w:val="00FC12C2"/>
  </w:style>
  <w:style w:type="paragraph" w:styleId="ListParagraph">
    <w:name w:val="List Paragraph"/>
    <w:basedOn w:val="Normal"/>
    <w:uiPriority w:val="34"/>
    <w:qFormat/>
    <w:rsid w:val="00FC12C2"/>
    <w:pPr>
      <w:ind w:left="720"/>
      <w:contextualSpacing/>
    </w:pPr>
  </w:style>
  <w:style w:type="paragraph" w:styleId="Quote">
    <w:name w:val="Quote"/>
    <w:basedOn w:val="Normal"/>
    <w:next w:val="Normal"/>
    <w:link w:val="QuoteChar"/>
    <w:uiPriority w:val="29"/>
    <w:qFormat/>
    <w:rsid w:val="00FC12C2"/>
    <w:pPr>
      <w:spacing w:before="200" w:after="0"/>
      <w:ind w:left="360" w:right="360"/>
    </w:pPr>
    <w:rPr>
      <w:i/>
      <w:iCs/>
    </w:rPr>
  </w:style>
  <w:style w:type="character" w:customStyle="1" w:styleId="QuoteChar">
    <w:name w:val="Quote Char"/>
    <w:basedOn w:val="DefaultParagraphFont"/>
    <w:link w:val="Quote"/>
    <w:uiPriority w:val="29"/>
    <w:rsid w:val="00FC12C2"/>
    <w:rPr>
      <w:i/>
      <w:iCs/>
    </w:rPr>
  </w:style>
  <w:style w:type="paragraph" w:styleId="IntenseQuote">
    <w:name w:val="Intense Quote"/>
    <w:basedOn w:val="Normal"/>
    <w:next w:val="Normal"/>
    <w:link w:val="IntenseQuoteChar"/>
    <w:uiPriority w:val="30"/>
    <w:qFormat/>
    <w:rsid w:val="00FC12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C12C2"/>
    <w:rPr>
      <w:b/>
      <w:bCs/>
      <w:i/>
      <w:iCs/>
    </w:rPr>
  </w:style>
  <w:style w:type="character" w:styleId="SubtleEmphasis">
    <w:name w:val="Subtle Emphasis"/>
    <w:uiPriority w:val="19"/>
    <w:qFormat/>
    <w:rsid w:val="00FC12C2"/>
    <w:rPr>
      <w:i/>
      <w:iCs/>
    </w:rPr>
  </w:style>
  <w:style w:type="character" w:styleId="IntenseEmphasis">
    <w:name w:val="Intense Emphasis"/>
    <w:uiPriority w:val="21"/>
    <w:qFormat/>
    <w:rsid w:val="00FC12C2"/>
    <w:rPr>
      <w:b/>
      <w:bCs/>
    </w:rPr>
  </w:style>
  <w:style w:type="character" w:styleId="SubtleReference">
    <w:name w:val="Subtle Reference"/>
    <w:uiPriority w:val="31"/>
    <w:qFormat/>
    <w:rsid w:val="00FC12C2"/>
    <w:rPr>
      <w:smallCaps/>
    </w:rPr>
  </w:style>
  <w:style w:type="character" w:styleId="IntenseReference">
    <w:name w:val="Intense Reference"/>
    <w:uiPriority w:val="32"/>
    <w:qFormat/>
    <w:rsid w:val="00FC12C2"/>
    <w:rPr>
      <w:smallCaps/>
      <w:spacing w:val="5"/>
      <w:u w:val="single"/>
    </w:rPr>
  </w:style>
  <w:style w:type="character" w:styleId="BookTitle">
    <w:name w:val="Book Title"/>
    <w:uiPriority w:val="33"/>
    <w:qFormat/>
    <w:rsid w:val="00FC12C2"/>
    <w:rPr>
      <w:i/>
      <w:iCs/>
      <w:smallCaps/>
      <w:spacing w:val="5"/>
    </w:rPr>
  </w:style>
  <w:style w:type="paragraph" w:styleId="TOCHeading">
    <w:name w:val="TOC Heading"/>
    <w:basedOn w:val="Heading1"/>
    <w:next w:val="Normal"/>
    <w:uiPriority w:val="39"/>
    <w:unhideWhenUsed/>
    <w:qFormat/>
    <w:rsid w:val="00FC12C2"/>
    <w:pPr>
      <w:outlineLvl w:val="9"/>
    </w:pPr>
    <w:rPr>
      <w:lang w:bidi="en-US"/>
    </w:rPr>
  </w:style>
  <w:style w:type="paragraph" w:styleId="Header">
    <w:name w:val="header"/>
    <w:basedOn w:val="Normal"/>
    <w:link w:val="HeaderChar"/>
    <w:uiPriority w:val="99"/>
    <w:unhideWhenUsed/>
    <w:rsid w:val="00797711"/>
    <w:pPr>
      <w:tabs>
        <w:tab w:val="center" w:pos="4819"/>
        <w:tab w:val="right" w:pos="9638"/>
      </w:tabs>
      <w:spacing w:after="0" w:line="240" w:lineRule="auto"/>
    </w:pPr>
  </w:style>
  <w:style w:type="character" w:customStyle="1" w:styleId="HeaderChar">
    <w:name w:val="Header Char"/>
    <w:basedOn w:val="DefaultParagraphFont"/>
    <w:link w:val="Header"/>
    <w:uiPriority w:val="99"/>
    <w:rsid w:val="00797711"/>
  </w:style>
  <w:style w:type="paragraph" w:styleId="Footer">
    <w:name w:val="footer"/>
    <w:basedOn w:val="Normal"/>
    <w:link w:val="FooterChar"/>
    <w:uiPriority w:val="99"/>
    <w:unhideWhenUsed/>
    <w:rsid w:val="00797711"/>
    <w:pPr>
      <w:tabs>
        <w:tab w:val="center" w:pos="4819"/>
        <w:tab w:val="right" w:pos="9638"/>
      </w:tabs>
      <w:spacing w:after="0" w:line="240" w:lineRule="auto"/>
    </w:pPr>
  </w:style>
  <w:style w:type="character" w:customStyle="1" w:styleId="FooterChar">
    <w:name w:val="Footer Char"/>
    <w:basedOn w:val="DefaultParagraphFont"/>
    <w:link w:val="Footer"/>
    <w:uiPriority w:val="99"/>
    <w:rsid w:val="00797711"/>
  </w:style>
  <w:style w:type="character" w:styleId="FootnoteReference">
    <w:name w:val="footnote reference"/>
    <w:basedOn w:val="DefaultParagraphFont"/>
    <w:uiPriority w:val="99"/>
    <w:unhideWhenUsed/>
    <w:rsid w:val="00055CB5"/>
    <w:rPr>
      <w:vertAlign w:val="superscript"/>
    </w:rPr>
  </w:style>
  <w:style w:type="character" w:customStyle="1" w:styleId="s6b621b36">
    <w:name w:val="s6b621b36"/>
    <w:basedOn w:val="DefaultParagraphFont"/>
    <w:rsid w:val="00603ECF"/>
    <w:rPr>
      <w:rFonts w:cs="Times New Roman"/>
    </w:rPr>
  </w:style>
  <w:style w:type="character" w:styleId="Hyperlink">
    <w:name w:val="Hyperlink"/>
    <w:basedOn w:val="DefaultParagraphFont"/>
    <w:uiPriority w:val="99"/>
    <w:unhideWhenUsed/>
    <w:rsid w:val="003F4667"/>
    <w:rPr>
      <w:color w:val="0000FF" w:themeColor="hyperlink"/>
      <w:u w:val="single"/>
    </w:rPr>
  </w:style>
  <w:style w:type="paragraph" w:styleId="BalloonText">
    <w:name w:val="Balloon Text"/>
    <w:basedOn w:val="Normal"/>
    <w:link w:val="BalloonTextChar"/>
    <w:uiPriority w:val="99"/>
    <w:semiHidden/>
    <w:unhideWhenUsed/>
    <w:rsid w:val="00E076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76D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A6B98"/>
    <w:rPr>
      <w:sz w:val="18"/>
      <w:szCs w:val="18"/>
    </w:rPr>
  </w:style>
  <w:style w:type="paragraph" w:styleId="CommentText">
    <w:name w:val="annotation text"/>
    <w:basedOn w:val="Normal"/>
    <w:link w:val="CommentTextChar"/>
    <w:uiPriority w:val="99"/>
    <w:semiHidden/>
    <w:unhideWhenUsed/>
    <w:rsid w:val="007A6B98"/>
    <w:pPr>
      <w:spacing w:line="240" w:lineRule="auto"/>
    </w:pPr>
    <w:rPr>
      <w:sz w:val="24"/>
      <w:szCs w:val="24"/>
    </w:rPr>
  </w:style>
  <w:style w:type="character" w:customStyle="1" w:styleId="CommentTextChar">
    <w:name w:val="Comment Text Char"/>
    <w:basedOn w:val="DefaultParagraphFont"/>
    <w:link w:val="CommentText"/>
    <w:uiPriority w:val="99"/>
    <w:semiHidden/>
    <w:rsid w:val="007A6B98"/>
    <w:rPr>
      <w:sz w:val="24"/>
      <w:szCs w:val="24"/>
    </w:rPr>
  </w:style>
  <w:style w:type="paragraph" w:styleId="CommentSubject">
    <w:name w:val="annotation subject"/>
    <w:basedOn w:val="CommentText"/>
    <w:next w:val="CommentText"/>
    <w:link w:val="CommentSubjectChar"/>
    <w:uiPriority w:val="99"/>
    <w:semiHidden/>
    <w:unhideWhenUsed/>
    <w:rsid w:val="007A6B98"/>
    <w:rPr>
      <w:b/>
      <w:bCs/>
      <w:sz w:val="20"/>
      <w:szCs w:val="20"/>
    </w:rPr>
  </w:style>
  <w:style w:type="character" w:customStyle="1" w:styleId="CommentSubjectChar">
    <w:name w:val="Comment Subject Char"/>
    <w:basedOn w:val="CommentTextChar"/>
    <w:link w:val="CommentSubject"/>
    <w:uiPriority w:val="99"/>
    <w:semiHidden/>
    <w:rsid w:val="007A6B98"/>
    <w:rPr>
      <w:b/>
      <w:bCs/>
      <w:sz w:val="20"/>
      <w:szCs w:val="20"/>
    </w:rPr>
  </w:style>
  <w:style w:type="character" w:customStyle="1" w:styleId="FootnoteTextChar1">
    <w:name w:val="Footnote Text Char1"/>
    <w:aliases w:val="fn Char1,footnote text Char1"/>
    <w:uiPriority w:val="99"/>
    <w:locked/>
    <w:rsid w:val="00922399"/>
    <w:rPr>
      <w:rFonts w:ascii="Times New Roman" w:hAnsi="Times New Roman"/>
      <w:kern w:val="20"/>
      <w:sz w:val="20"/>
      <w:szCs w:val="20"/>
      <w:u w:color="000000"/>
      <w:lang w:val="en-US" w:eastAsia="de-DE"/>
    </w:rPr>
  </w:style>
  <w:style w:type="paragraph" w:styleId="Revision">
    <w:name w:val="Revision"/>
    <w:hidden/>
    <w:uiPriority w:val="99"/>
    <w:semiHidden/>
    <w:rsid w:val="00AE74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8208">
      <w:bodyDiv w:val="1"/>
      <w:marLeft w:val="0"/>
      <w:marRight w:val="0"/>
      <w:marTop w:val="0"/>
      <w:marBottom w:val="0"/>
      <w:divBdr>
        <w:top w:val="none" w:sz="0" w:space="0" w:color="auto"/>
        <w:left w:val="none" w:sz="0" w:space="0" w:color="auto"/>
        <w:bottom w:val="none" w:sz="0" w:space="0" w:color="auto"/>
        <w:right w:val="none" w:sz="0" w:space="0" w:color="auto"/>
      </w:divBdr>
    </w:div>
    <w:div w:id="115805091">
      <w:bodyDiv w:val="1"/>
      <w:marLeft w:val="0"/>
      <w:marRight w:val="0"/>
      <w:marTop w:val="0"/>
      <w:marBottom w:val="0"/>
      <w:divBdr>
        <w:top w:val="none" w:sz="0" w:space="0" w:color="auto"/>
        <w:left w:val="none" w:sz="0" w:space="0" w:color="auto"/>
        <w:bottom w:val="none" w:sz="0" w:space="0" w:color="auto"/>
        <w:right w:val="none" w:sz="0" w:space="0" w:color="auto"/>
      </w:divBdr>
      <w:divsChild>
        <w:div w:id="1814445139">
          <w:marLeft w:val="0"/>
          <w:marRight w:val="0"/>
          <w:marTop w:val="0"/>
          <w:marBottom w:val="0"/>
          <w:divBdr>
            <w:top w:val="none" w:sz="0" w:space="0" w:color="auto"/>
            <w:left w:val="none" w:sz="0" w:space="0" w:color="auto"/>
            <w:bottom w:val="none" w:sz="0" w:space="0" w:color="auto"/>
            <w:right w:val="none" w:sz="0" w:space="0" w:color="auto"/>
          </w:divBdr>
        </w:div>
        <w:div w:id="1638608627">
          <w:marLeft w:val="0"/>
          <w:marRight w:val="0"/>
          <w:marTop w:val="0"/>
          <w:marBottom w:val="0"/>
          <w:divBdr>
            <w:top w:val="none" w:sz="0" w:space="0" w:color="auto"/>
            <w:left w:val="none" w:sz="0" w:space="0" w:color="auto"/>
            <w:bottom w:val="none" w:sz="0" w:space="0" w:color="auto"/>
            <w:right w:val="none" w:sz="0" w:space="0" w:color="auto"/>
          </w:divBdr>
        </w:div>
        <w:div w:id="806776446">
          <w:marLeft w:val="0"/>
          <w:marRight w:val="0"/>
          <w:marTop w:val="0"/>
          <w:marBottom w:val="0"/>
          <w:divBdr>
            <w:top w:val="none" w:sz="0" w:space="0" w:color="auto"/>
            <w:left w:val="none" w:sz="0" w:space="0" w:color="auto"/>
            <w:bottom w:val="none" w:sz="0" w:space="0" w:color="auto"/>
            <w:right w:val="none" w:sz="0" w:space="0" w:color="auto"/>
          </w:divBdr>
        </w:div>
        <w:div w:id="2069457754">
          <w:marLeft w:val="0"/>
          <w:marRight w:val="0"/>
          <w:marTop w:val="0"/>
          <w:marBottom w:val="0"/>
          <w:divBdr>
            <w:top w:val="none" w:sz="0" w:space="0" w:color="auto"/>
            <w:left w:val="none" w:sz="0" w:space="0" w:color="auto"/>
            <w:bottom w:val="none" w:sz="0" w:space="0" w:color="auto"/>
            <w:right w:val="none" w:sz="0" w:space="0" w:color="auto"/>
          </w:divBdr>
        </w:div>
        <w:div w:id="2068412468">
          <w:marLeft w:val="0"/>
          <w:marRight w:val="0"/>
          <w:marTop w:val="0"/>
          <w:marBottom w:val="0"/>
          <w:divBdr>
            <w:top w:val="none" w:sz="0" w:space="0" w:color="auto"/>
            <w:left w:val="none" w:sz="0" w:space="0" w:color="auto"/>
            <w:bottom w:val="none" w:sz="0" w:space="0" w:color="auto"/>
            <w:right w:val="none" w:sz="0" w:space="0" w:color="auto"/>
          </w:divBdr>
        </w:div>
      </w:divsChild>
    </w:div>
    <w:div w:id="823470882">
      <w:bodyDiv w:val="1"/>
      <w:marLeft w:val="0"/>
      <w:marRight w:val="0"/>
      <w:marTop w:val="0"/>
      <w:marBottom w:val="0"/>
      <w:divBdr>
        <w:top w:val="none" w:sz="0" w:space="0" w:color="auto"/>
        <w:left w:val="none" w:sz="0" w:space="0" w:color="auto"/>
        <w:bottom w:val="none" w:sz="0" w:space="0" w:color="auto"/>
        <w:right w:val="none" w:sz="0" w:space="0" w:color="auto"/>
      </w:divBdr>
      <w:divsChild>
        <w:div w:id="1777553323">
          <w:marLeft w:val="0"/>
          <w:marRight w:val="0"/>
          <w:marTop w:val="0"/>
          <w:marBottom w:val="0"/>
          <w:divBdr>
            <w:top w:val="none" w:sz="0" w:space="0" w:color="auto"/>
            <w:left w:val="none" w:sz="0" w:space="0" w:color="auto"/>
            <w:bottom w:val="none" w:sz="0" w:space="0" w:color="auto"/>
            <w:right w:val="none" w:sz="0" w:space="0" w:color="auto"/>
          </w:divBdr>
        </w:div>
        <w:div w:id="2051951003">
          <w:marLeft w:val="0"/>
          <w:marRight w:val="0"/>
          <w:marTop w:val="0"/>
          <w:marBottom w:val="0"/>
          <w:divBdr>
            <w:top w:val="none" w:sz="0" w:space="0" w:color="auto"/>
            <w:left w:val="none" w:sz="0" w:space="0" w:color="auto"/>
            <w:bottom w:val="none" w:sz="0" w:space="0" w:color="auto"/>
            <w:right w:val="none" w:sz="0" w:space="0" w:color="auto"/>
          </w:divBdr>
        </w:div>
        <w:div w:id="1311255016">
          <w:marLeft w:val="0"/>
          <w:marRight w:val="0"/>
          <w:marTop w:val="0"/>
          <w:marBottom w:val="0"/>
          <w:divBdr>
            <w:top w:val="none" w:sz="0" w:space="0" w:color="auto"/>
            <w:left w:val="none" w:sz="0" w:space="0" w:color="auto"/>
            <w:bottom w:val="none" w:sz="0" w:space="0" w:color="auto"/>
            <w:right w:val="none" w:sz="0" w:space="0" w:color="auto"/>
          </w:divBdr>
        </w:div>
      </w:divsChild>
    </w:div>
    <w:div w:id="1172336983">
      <w:bodyDiv w:val="1"/>
      <w:marLeft w:val="0"/>
      <w:marRight w:val="0"/>
      <w:marTop w:val="0"/>
      <w:marBottom w:val="0"/>
      <w:divBdr>
        <w:top w:val="none" w:sz="0" w:space="0" w:color="auto"/>
        <w:left w:val="none" w:sz="0" w:space="0" w:color="auto"/>
        <w:bottom w:val="none" w:sz="0" w:space="0" w:color="auto"/>
        <w:right w:val="none" w:sz="0" w:space="0" w:color="auto"/>
      </w:divBdr>
    </w:div>
    <w:div w:id="1630626685">
      <w:bodyDiv w:val="1"/>
      <w:marLeft w:val="0"/>
      <w:marRight w:val="0"/>
      <w:marTop w:val="0"/>
      <w:marBottom w:val="0"/>
      <w:divBdr>
        <w:top w:val="none" w:sz="0" w:space="0" w:color="auto"/>
        <w:left w:val="none" w:sz="0" w:space="0" w:color="auto"/>
        <w:bottom w:val="none" w:sz="0" w:space="0" w:color="auto"/>
        <w:right w:val="none" w:sz="0" w:space="0" w:color="auto"/>
      </w:divBdr>
      <w:divsChild>
        <w:div w:id="677075491">
          <w:marLeft w:val="0"/>
          <w:marRight w:val="0"/>
          <w:marTop w:val="0"/>
          <w:marBottom w:val="0"/>
          <w:divBdr>
            <w:top w:val="none" w:sz="0" w:space="0" w:color="auto"/>
            <w:left w:val="none" w:sz="0" w:space="0" w:color="auto"/>
            <w:bottom w:val="none" w:sz="0" w:space="0" w:color="auto"/>
            <w:right w:val="none" w:sz="0" w:space="0" w:color="auto"/>
          </w:divBdr>
        </w:div>
        <w:div w:id="122189171">
          <w:marLeft w:val="0"/>
          <w:marRight w:val="0"/>
          <w:marTop w:val="0"/>
          <w:marBottom w:val="0"/>
          <w:divBdr>
            <w:top w:val="none" w:sz="0" w:space="0" w:color="auto"/>
            <w:left w:val="none" w:sz="0" w:space="0" w:color="auto"/>
            <w:bottom w:val="none" w:sz="0" w:space="0" w:color="auto"/>
            <w:right w:val="none" w:sz="0" w:space="0" w:color="auto"/>
          </w:divBdr>
        </w:div>
        <w:div w:id="1437863744">
          <w:marLeft w:val="0"/>
          <w:marRight w:val="0"/>
          <w:marTop w:val="0"/>
          <w:marBottom w:val="0"/>
          <w:divBdr>
            <w:top w:val="none" w:sz="0" w:space="0" w:color="auto"/>
            <w:left w:val="none" w:sz="0" w:space="0" w:color="auto"/>
            <w:bottom w:val="none" w:sz="0" w:space="0" w:color="auto"/>
            <w:right w:val="none" w:sz="0" w:space="0" w:color="auto"/>
          </w:divBdr>
        </w:div>
        <w:div w:id="154877979">
          <w:marLeft w:val="0"/>
          <w:marRight w:val="0"/>
          <w:marTop w:val="0"/>
          <w:marBottom w:val="0"/>
          <w:divBdr>
            <w:top w:val="none" w:sz="0" w:space="0" w:color="auto"/>
            <w:left w:val="none" w:sz="0" w:space="0" w:color="auto"/>
            <w:bottom w:val="none" w:sz="0" w:space="0" w:color="auto"/>
            <w:right w:val="none" w:sz="0" w:space="0" w:color="auto"/>
          </w:divBdr>
        </w:div>
      </w:divsChild>
    </w:div>
    <w:div w:id="16800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legal.un.org/ilc/texts/instruments/english/draft_articles/9_6_2001.pdf" TargetMode="External"/><Relationship Id="rId1" Type="http://schemas.openxmlformats.org/officeDocument/2006/relationships/hyperlink" Target="https://papers.ssrn.com/sol3/papers.cfm?abstract_id=2854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47A527-7BC3-49F5-B11D-720E8E030F0D}"/>
</file>

<file path=customXml/itemProps2.xml><?xml version="1.0" encoding="utf-8"?>
<ds:datastoreItem xmlns:ds="http://schemas.openxmlformats.org/officeDocument/2006/customXml" ds:itemID="{3806C56C-8DAA-4E34-94D8-39BA374443FA}"/>
</file>

<file path=customXml/itemProps3.xml><?xml version="1.0" encoding="utf-8"?>
<ds:datastoreItem xmlns:ds="http://schemas.openxmlformats.org/officeDocument/2006/customXml" ds:itemID="{E19DD8D1-8832-4BFB-A456-310432775EDF}"/>
</file>

<file path=customXml/itemProps4.xml><?xml version="1.0" encoding="utf-8"?>
<ds:datastoreItem xmlns:ds="http://schemas.openxmlformats.org/officeDocument/2006/customXml" ds:itemID="{7A81FE9F-0640-45B7-81DC-3300DF87101E}"/>
</file>

<file path=docProps/app.xml><?xml version="1.0" encoding="utf-8"?>
<Properties xmlns="http://schemas.openxmlformats.org/officeDocument/2006/extended-properties" xmlns:vt="http://schemas.openxmlformats.org/officeDocument/2006/docPropsVTypes">
  <Template>Normal.dotm</Template>
  <TotalTime>0</TotalTime>
  <Pages>5</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Jung Rin KIM</cp:lastModifiedBy>
  <cp:revision>2</cp:revision>
  <dcterms:created xsi:type="dcterms:W3CDTF">2017-01-24T07:54:00Z</dcterms:created>
  <dcterms:modified xsi:type="dcterms:W3CDTF">2017-01-24T07:54:00Z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