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913" w:rsidRPr="00C03590" w:rsidRDefault="00C03590" w:rsidP="00B52FF9">
      <w:pPr>
        <w:spacing w:after="0" w:line="276" w:lineRule="auto"/>
        <w:jc w:val="center"/>
        <w:rPr>
          <w:rFonts w:ascii="Corbel" w:hAnsi="Corbel"/>
          <w:b/>
          <w:smallCaps/>
          <w:color w:val="002060"/>
          <w:sz w:val="24"/>
        </w:rPr>
      </w:pPr>
      <w:bookmarkStart w:id="0" w:name="_GoBack"/>
      <w:bookmarkEnd w:id="0"/>
      <w:r w:rsidRPr="00C03590">
        <w:rPr>
          <w:rFonts w:ascii="Corbel" w:hAnsi="Corbel"/>
          <w:b/>
          <w:smallCaps/>
          <w:color w:val="002060"/>
          <w:sz w:val="24"/>
        </w:rPr>
        <w:t xml:space="preserve">La garantía del </w:t>
      </w:r>
      <w:r>
        <w:rPr>
          <w:rFonts w:ascii="Corbel" w:hAnsi="Corbel"/>
          <w:b/>
          <w:smallCaps/>
          <w:color w:val="002060"/>
          <w:sz w:val="24"/>
        </w:rPr>
        <w:t>D</w:t>
      </w:r>
      <w:r w:rsidRPr="00C03590">
        <w:rPr>
          <w:rFonts w:ascii="Corbel" w:hAnsi="Corbel"/>
          <w:b/>
          <w:smallCaps/>
          <w:color w:val="002060"/>
          <w:sz w:val="24"/>
        </w:rPr>
        <w:t xml:space="preserve">erecho a la </w:t>
      </w:r>
      <w:r>
        <w:rPr>
          <w:rFonts w:ascii="Corbel" w:hAnsi="Corbel"/>
          <w:b/>
          <w:smallCaps/>
          <w:color w:val="002060"/>
          <w:sz w:val="24"/>
        </w:rPr>
        <w:t>C</w:t>
      </w:r>
      <w:r w:rsidRPr="00C03590">
        <w:rPr>
          <w:rFonts w:ascii="Corbel" w:hAnsi="Corbel"/>
          <w:b/>
          <w:smallCaps/>
          <w:color w:val="002060"/>
          <w:sz w:val="24"/>
        </w:rPr>
        <w:t xml:space="preserve">iencia en el diseño, implementación y evaluación de la </w:t>
      </w:r>
      <w:r>
        <w:rPr>
          <w:rFonts w:ascii="Corbel" w:hAnsi="Corbel"/>
          <w:b/>
          <w:smallCaps/>
          <w:color w:val="002060"/>
          <w:sz w:val="24"/>
        </w:rPr>
        <w:t>P</w:t>
      </w:r>
      <w:r w:rsidRPr="00C03590">
        <w:rPr>
          <w:rFonts w:ascii="Corbel" w:hAnsi="Corbel"/>
          <w:b/>
          <w:smallCaps/>
          <w:color w:val="002060"/>
          <w:sz w:val="24"/>
        </w:rPr>
        <w:t xml:space="preserve">olítica de </w:t>
      </w:r>
      <w:r>
        <w:rPr>
          <w:rFonts w:ascii="Corbel" w:hAnsi="Corbel"/>
          <w:b/>
          <w:smallCaps/>
          <w:color w:val="002060"/>
          <w:sz w:val="24"/>
        </w:rPr>
        <w:t>D</w:t>
      </w:r>
      <w:r w:rsidRPr="00C03590">
        <w:rPr>
          <w:rFonts w:ascii="Corbel" w:hAnsi="Corbel"/>
          <w:b/>
          <w:smallCaps/>
          <w:color w:val="002060"/>
          <w:sz w:val="24"/>
        </w:rPr>
        <w:t>rogas</w:t>
      </w:r>
    </w:p>
    <w:p w:rsidR="00881244" w:rsidRPr="00E77A89" w:rsidRDefault="00881244" w:rsidP="00B52FF9">
      <w:pPr>
        <w:spacing w:after="0" w:line="276" w:lineRule="auto"/>
        <w:jc w:val="center"/>
        <w:rPr>
          <w:rFonts w:ascii="Corbel" w:hAnsi="Corbel"/>
          <w:color w:val="002060"/>
        </w:rPr>
      </w:pPr>
    </w:p>
    <w:p w:rsidR="00F53A08" w:rsidRDefault="00925F7C" w:rsidP="00B52FF9">
      <w:pPr>
        <w:spacing w:after="0" w:line="276" w:lineRule="auto"/>
        <w:jc w:val="both"/>
        <w:rPr>
          <w:rFonts w:ascii="Corbel" w:hAnsi="Corbel"/>
        </w:rPr>
      </w:pPr>
      <w:r w:rsidRPr="00E77A89">
        <w:rPr>
          <w:rFonts w:ascii="Corbel" w:hAnsi="Corbel"/>
        </w:rPr>
        <w:t xml:space="preserve">En el marco de </w:t>
      </w:r>
      <w:r w:rsidR="009E35B2" w:rsidRPr="00E77A89">
        <w:rPr>
          <w:rFonts w:ascii="Corbel" w:hAnsi="Corbel"/>
        </w:rPr>
        <w:t xml:space="preserve">la </w:t>
      </w:r>
      <w:r w:rsidR="009E35B2">
        <w:rPr>
          <w:rFonts w:ascii="Corbel" w:hAnsi="Corbel"/>
        </w:rPr>
        <w:t xml:space="preserve">elaboración de la </w:t>
      </w:r>
      <w:r w:rsidRPr="00E77A89">
        <w:rPr>
          <w:rFonts w:ascii="Corbel" w:hAnsi="Corbel"/>
        </w:rPr>
        <w:t>observación</w:t>
      </w:r>
      <w:r w:rsidR="00881244">
        <w:rPr>
          <w:rFonts w:ascii="Corbel" w:hAnsi="Corbel"/>
        </w:rPr>
        <w:t xml:space="preserve"> general</w:t>
      </w:r>
      <w:r w:rsidRPr="00E77A89">
        <w:rPr>
          <w:rFonts w:ascii="Corbel" w:hAnsi="Corbel"/>
        </w:rPr>
        <w:t xml:space="preserve"> del Comité de Derechos Económicos, Sociales y Culturales</w:t>
      </w:r>
      <w:r w:rsidR="004A41EB" w:rsidRPr="00E77A89">
        <w:rPr>
          <w:rFonts w:ascii="Corbel" w:hAnsi="Corbel"/>
        </w:rPr>
        <w:t xml:space="preserve"> de Naciones Unidas (en adelante, Comité DESC o Comité) </w:t>
      </w:r>
      <w:r w:rsidRPr="00E77A89">
        <w:rPr>
          <w:rFonts w:ascii="Corbel" w:hAnsi="Corbel"/>
        </w:rPr>
        <w:t xml:space="preserve">sobre el derecho a la ciencia, </w:t>
      </w:r>
      <w:r w:rsidR="00881244">
        <w:rPr>
          <w:rFonts w:ascii="Corbel" w:hAnsi="Corbel"/>
        </w:rPr>
        <w:t>presentamos la siguiente intervención</w:t>
      </w:r>
      <w:r w:rsidR="004A41EB" w:rsidRPr="00E77A89">
        <w:rPr>
          <w:rFonts w:ascii="Corbel" w:hAnsi="Corbel"/>
        </w:rPr>
        <w:t xml:space="preserve"> con el objetivo </w:t>
      </w:r>
      <w:r w:rsidRPr="00E77A89">
        <w:rPr>
          <w:rFonts w:ascii="Corbel" w:hAnsi="Corbel"/>
        </w:rPr>
        <w:t xml:space="preserve">de mostrar al Comité </w:t>
      </w:r>
      <w:r w:rsidR="00C520FD" w:rsidRPr="00E77A89">
        <w:rPr>
          <w:rFonts w:ascii="Corbel" w:hAnsi="Corbel"/>
        </w:rPr>
        <w:t>la importancia</w:t>
      </w:r>
      <w:r w:rsidRPr="00E77A89">
        <w:rPr>
          <w:rFonts w:ascii="Corbel" w:hAnsi="Corbel"/>
        </w:rPr>
        <w:t xml:space="preserve"> del derecho al beneficio científico </w:t>
      </w:r>
      <w:r w:rsidR="00C520FD" w:rsidRPr="00E77A89">
        <w:rPr>
          <w:rFonts w:ascii="Corbel" w:hAnsi="Corbel"/>
        </w:rPr>
        <w:t>en relación con</w:t>
      </w:r>
      <w:r w:rsidRPr="00E77A89">
        <w:rPr>
          <w:rFonts w:ascii="Corbel" w:hAnsi="Corbel"/>
        </w:rPr>
        <w:t xml:space="preserve"> el diseño, implementación y evaluación de políticas públicas en materia de drogas basadas en la evidencia y con enfoque de derechos humanos.</w:t>
      </w:r>
    </w:p>
    <w:p w:rsidR="00F53A08" w:rsidRPr="00E77A89" w:rsidRDefault="00F53A08" w:rsidP="00B52FF9">
      <w:pPr>
        <w:spacing w:after="0" w:line="276" w:lineRule="auto"/>
        <w:jc w:val="both"/>
        <w:rPr>
          <w:rFonts w:ascii="Corbel" w:hAnsi="Corbel"/>
        </w:rPr>
      </w:pPr>
    </w:p>
    <w:p w:rsidR="00F14913" w:rsidRPr="00E77A89" w:rsidRDefault="00163A20" w:rsidP="00B52FF9">
      <w:pPr>
        <w:spacing w:after="0" w:line="276" w:lineRule="auto"/>
        <w:jc w:val="both"/>
        <w:rPr>
          <w:rFonts w:ascii="Corbel" w:eastAsia="Corbel" w:hAnsi="Corbel" w:cs="Corbel"/>
        </w:rPr>
      </w:pPr>
      <w:r w:rsidRPr="00E77A89">
        <w:rPr>
          <w:rFonts w:ascii="Corbel" w:hAnsi="Corbel"/>
        </w:rPr>
        <w:t xml:space="preserve">El derecho al beneficio científico </w:t>
      </w:r>
      <w:r w:rsidRPr="00E77A89">
        <w:rPr>
          <w:rFonts w:ascii="Corbel" w:eastAsia="Corbel" w:hAnsi="Corbel" w:cs="Corbel"/>
        </w:rPr>
        <w:t xml:space="preserve">recoge la idea de lograr </w:t>
      </w:r>
      <w:bookmarkStart w:id="1" w:name="_Hlk504467167"/>
      <w:r w:rsidRPr="00E77A89">
        <w:rPr>
          <w:rFonts w:ascii="Corbel" w:eastAsia="Corbel" w:hAnsi="Corbel" w:cs="Corbel"/>
        </w:rPr>
        <w:t>un efecto positivo en el bienestar de las personas y la realización de los derechos humanos a partir de los resultados, las conclusiones científicas y del proceso científico, sus métodos y sus instrumento</w:t>
      </w:r>
      <w:bookmarkEnd w:id="1"/>
      <w:r w:rsidRPr="00E77A89">
        <w:rPr>
          <w:rFonts w:ascii="Corbel" w:eastAsia="Corbel" w:hAnsi="Corbel" w:cs="Corbel"/>
        </w:rPr>
        <w:t>s</w:t>
      </w:r>
      <w:r w:rsidR="005F375B" w:rsidRPr="00E77A89">
        <w:rPr>
          <w:rStyle w:val="FootnoteReference"/>
          <w:rFonts w:ascii="Corbel" w:eastAsia="Corbel" w:hAnsi="Corbel" w:cs="Corbel"/>
        </w:rPr>
        <w:footnoteReference w:id="1"/>
      </w:r>
      <w:r w:rsidRPr="00E77A89">
        <w:rPr>
          <w:rFonts w:ascii="Corbel" w:eastAsia="Corbel" w:hAnsi="Corbel" w:cs="Corbel"/>
        </w:rPr>
        <w:t>. Dicho beneficio cuenta con un andamiaje internacional que lo posiciona como un derecho humano que debe ser respetado y garantizado.</w:t>
      </w:r>
    </w:p>
    <w:p w:rsidR="00163A20" w:rsidRPr="00E77A89" w:rsidRDefault="00163A20" w:rsidP="00B52FF9">
      <w:pPr>
        <w:spacing w:after="0" w:line="276" w:lineRule="auto"/>
        <w:jc w:val="both"/>
        <w:rPr>
          <w:rFonts w:ascii="Corbel" w:eastAsia="Corbel" w:hAnsi="Corbel" w:cs="Corbel"/>
        </w:rPr>
      </w:pPr>
      <w:r w:rsidRPr="00E77A89">
        <w:rPr>
          <w:rFonts w:ascii="Corbel" w:eastAsia="Corbel" w:hAnsi="Corbel" w:cs="Corbel"/>
        </w:rPr>
        <w:t xml:space="preserve"> </w:t>
      </w:r>
    </w:p>
    <w:p w:rsidR="00163A20" w:rsidRPr="00E77A89" w:rsidRDefault="00163A20" w:rsidP="00B52FF9">
      <w:pPr>
        <w:spacing w:after="0" w:line="276" w:lineRule="auto"/>
        <w:jc w:val="both"/>
        <w:rPr>
          <w:rFonts w:ascii="Corbel" w:eastAsia="Corbel" w:hAnsi="Corbel" w:cs="Corbel"/>
        </w:rPr>
      </w:pPr>
      <w:r w:rsidRPr="00E77A89">
        <w:rPr>
          <w:rFonts w:ascii="Corbel" w:eastAsia="Corbel" w:hAnsi="Corbel" w:cs="Corbel"/>
        </w:rPr>
        <w:t xml:space="preserve">Esta protección parte de la </w:t>
      </w:r>
      <w:r w:rsidRPr="00E77A89">
        <w:rPr>
          <w:rFonts w:ascii="Corbel" w:eastAsia="Corbel" w:hAnsi="Corbel" w:cs="Corbel"/>
          <w:i/>
        </w:rPr>
        <w:t>Declaración Universal de Derechos Humanos</w:t>
      </w:r>
      <w:r w:rsidRPr="00E77A89">
        <w:rPr>
          <w:rFonts w:ascii="Corbel" w:eastAsia="Corbel" w:hAnsi="Corbel" w:cs="Corbel"/>
        </w:rPr>
        <w:t xml:space="preserve"> (DUDH), la cual contempla el derecho que tiene toda persona de participar en el progreso científico y en los beneficios </w:t>
      </w:r>
      <w:r w:rsidRPr="00E77A89">
        <w:rPr>
          <w:rFonts w:ascii="Corbel" w:eastAsia="Corbel" w:hAnsi="Corbel" w:cs="Corbel"/>
        </w:rPr>
        <w:lastRenderedPageBreak/>
        <w:t>que resulten del mismo</w:t>
      </w:r>
      <w:r w:rsidRPr="00E77A89">
        <w:rPr>
          <w:rFonts w:ascii="Corbel" w:eastAsia="Corbel" w:hAnsi="Corbel" w:cs="Corbel"/>
          <w:vertAlign w:val="superscript"/>
        </w:rPr>
        <w:footnoteReference w:id="2"/>
      </w:r>
      <w:r w:rsidRPr="00E77A89">
        <w:rPr>
          <w:rFonts w:ascii="Corbel" w:eastAsia="Corbel" w:hAnsi="Corbel" w:cs="Corbel"/>
        </w:rPr>
        <w:t xml:space="preserve">. Por su parte, el </w:t>
      </w:r>
      <w:r w:rsidRPr="00E77A89">
        <w:rPr>
          <w:rFonts w:ascii="Corbel" w:eastAsia="Corbel" w:hAnsi="Corbel" w:cs="Corbel"/>
          <w:i/>
        </w:rPr>
        <w:t xml:space="preserve">Pacto de Derechos Económicos Sociales y Culturales </w:t>
      </w:r>
      <w:r w:rsidRPr="00E77A89">
        <w:rPr>
          <w:rFonts w:ascii="Corbel" w:eastAsia="Corbel" w:hAnsi="Corbel" w:cs="Corbel"/>
        </w:rPr>
        <w:t>(PIDESC), en el numeral 1 literal b del artículo 15</w:t>
      </w:r>
      <w:r w:rsidRPr="00E77A89">
        <w:rPr>
          <w:rFonts w:ascii="Corbel" w:eastAsia="Corbel" w:hAnsi="Corbel" w:cs="Corbel"/>
          <w:vertAlign w:val="superscript"/>
        </w:rPr>
        <w:footnoteReference w:id="3"/>
      </w:r>
      <w:r w:rsidRPr="00E77A89">
        <w:rPr>
          <w:rFonts w:ascii="Corbel" w:eastAsia="Corbel" w:hAnsi="Corbel" w:cs="Corbel"/>
        </w:rPr>
        <w:t>, establece que los Estados parte reconocen el derecho de toda persona a gozar de los beneficios del progreso científico y de sus aplicaciones. Adicionalmente, establece el deber de adoptar las medidas necesarias para la conservación, el desarrollo y la difusión de la ciencia. En ese sentido,</w:t>
      </w:r>
      <w:r w:rsidRPr="00E77A89">
        <w:rPr>
          <w:rFonts w:ascii="Corbel" w:hAnsi="Corbel"/>
        </w:rPr>
        <w:t xml:space="preserve"> </w:t>
      </w:r>
      <w:r w:rsidRPr="00E77A89">
        <w:rPr>
          <w:rFonts w:ascii="Corbel" w:eastAsia="Corbel" w:hAnsi="Corbel" w:cs="Corbel"/>
        </w:rPr>
        <w:t xml:space="preserve">Farida Shaheed, </w:t>
      </w:r>
      <w:r w:rsidRPr="00E77A89">
        <w:rPr>
          <w:rFonts w:ascii="Corbel" w:eastAsia="Corbel" w:hAnsi="Corbel" w:cs="Corbel"/>
          <w:i/>
        </w:rPr>
        <w:t>Relatora Especial de Naciones Unidas sobre Derechos Culturales</w:t>
      </w:r>
      <w:r w:rsidRPr="00E77A89">
        <w:rPr>
          <w:rFonts w:ascii="Corbel" w:eastAsia="Corbel" w:hAnsi="Corbel" w:cs="Corbel"/>
        </w:rPr>
        <w:t xml:space="preserve">, ha enfatizado que este derecho </w:t>
      </w:r>
      <w:r w:rsidR="005F375B" w:rsidRPr="00E77A89">
        <w:rPr>
          <w:rFonts w:ascii="Corbel" w:eastAsia="Corbel" w:hAnsi="Corbel" w:cs="Corbel"/>
        </w:rPr>
        <w:t>busca determinar</w:t>
      </w:r>
      <w:r w:rsidRPr="00E77A89">
        <w:rPr>
          <w:rFonts w:ascii="Corbel" w:eastAsia="Corbel" w:hAnsi="Corbel" w:cs="Corbel"/>
        </w:rPr>
        <w:t xml:space="preserve"> y proteger los conocimientos, productos e instrumentos científicos; desarrollar la ciencia y la tecnología en beneficio humano y la difusión del conocimiento científico y sus aplicaciones dentro de la comunidad científica y en la sociedad en general</w:t>
      </w:r>
      <w:r w:rsidR="00DA4BC1" w:rsidRPr="00E77A89">
        <w:rPr>
          <w:rStyle w:val="FootnoteReference"/>
          <w:rFonts w:ascii="Corbel" w:eastAsia="Corbel" w:hAnsi="Corbel" w:cs="Corbel"/>
        </w:rPr>
        <w:footnoteReference w:id="4"/>
      </w:r>
      <w:r w:rsidRPr="00E77A89">
        <w:rPr>
          <w:rFonts w:ascii="Corbel" w:eastAsia="Corbel" w:hAnsi="Corbel" w:cs="Corbel"/>
        </w:rPr>
        <w:t xml:space="preserve">. </w:t>
      </w:r>
    </w:p>
    <w:p w:rsidR="00F14913" w:rsidRPr="00E77A89" w:rsidRDefault="00F14913" w:rsidP="00B52FF9">
      <w:pPr>
        <w:spacing w:after="0" w:line="276" w:lineRule="auto"/>
        <w:jc w:val="both"/>
        <w:rPr>
          <w:rFonts w:ascii="Corbel" w:hAnsi="Corbel"/>
        </w:rPr>
      </w:pPr>
    </w:p>
    <w:p w:rsidR="00163A20" w:rsidRPr="00E77A89" w:rsidRDefault="00163A20" w:rsidP="00B52FF9">
      <w:pPr>
        <w:spacing w:after="0" w:line="276" w:lineRule="auto"/>
        <w:ind w:left="2" w:hanging="2"/>
        <w:jc w:val="both"/>
        <w:rPr>
          <w:rFonts w:ascii="Corbel" w:eastAsia="Corbel" w:hAnsi="Corbel" w:cs="Corbel"/>
        </w:rPr>
      </w:pPr>
      <w:r w:rsidRPr="00E77A89">
        <w:rPr>
          <w:rFonts w:ascii="Corbel" w:eastAsia="Corbel" w:hAnsi="Corbel" w:cs="Corbel"/>
        </w:rPr>
        <w:lastRenderedPageBreak/>
        <w:t xml:space="preserve">Dentro del escenario regional, la </w:t>
      </w:r>
      <w:r w:rsidRPr="00E77A89">
        <w:rPr>
          <w:rFonts w:ascii="Corbel" w:eastAsia="Corbel" w:hAnsi="Corbel" w:cs="Corbel"/>
          <w:i/>
        </w:rPr>
        <w:t>Carta de la Organización de los Estados Americanos</w:t>
      </w:r>
      <w:r w:rsidRPr="00E77A89">
        <w:rPr>
          <w:rFonts w:ascii="Corbel" w:eastAsia="Corbel" w:hAnsi="Corbel" w:cs="Corbel"/>
        </w:rPr>
        <w:t xml:space="preserve"> (OEA), estipula que los Estados miembros “difundirán entre sí los beneficios de la ciencia y de la tecnología, promoviendo, de acuerdo con los tratados vigentes y leyes nacionales, el intercambio y el aprovechamiento de los conocimientos científicos y técnicos”</w:t>
      </w:r>
      <w:r w:rsidRPr="00E77A89">
        <w:rPr>
          <w:rFonts w:ascii="Corbel" w:eastAsia="Corbel" w:hAnsi="Corbel" w:cs="Corbel"/>
          <w:vertAlign w:val="superscript"/>
        </w:rPr>
        <w:footnoteReference w:id="5"/>
      </w:r>
      <w:r w:rsidRPr="00E77A89">
        <w:rPr>
          <w:rFonts w:ascii="Corbel" w:eastAsia="Corbel" w:hAnsi="Corbel" w:cs="Corbel"/>
        </w:rPr>
        <w:t xml:space="preserve">. En el mismo sentido, la </w:t>
      </w:r>
      <w:r w:rsidRPr="00E77A89">
        <w:rPr>
          <w:rFonts w:ascii="Corbel" w:eastAsia="Corbel" w:hAnsi="Corbel" w:cs="Corbel"/>
          <w:i/>
        </w:rPr>
        <w:t>Declaración Americana de los Derechos y Deberes del Hombre</w:t>
      </w:r>
      <w:r w:rsidRPr="00E77A89">
        <w:rPr>
          <w:rFonts w:ascii="Corbel" w:eastAsia="Corbel" w:hAnsi="Corbel" w:cs="Corbel"/>
        </w:rPr>
        <w:t xml:space="preserve"> (DADDH), establece en su artículo XIII</w:t>
      </w:r>
      <w:r w:rsidRPr="00E77A89">
        <w:rPr>
          <w:rFonts w:ascii="Corbel" w:eastAsia="Corbel" w:hAnsi="Corbel" w:cs="Corbel"/>
          <w:vertAlign w:val="superscript"/>
        </w:rPr>
        <w:footnoteReference w:id="6"/>
      </w:r>
      <w:r w:rsidRPr="00E77A89">
        <w:rPr>
          <w:rFonts w:ascii="Corbel" w:eastAsia="Corbel" w:hAnsi="Corbel" w:cs="Corbel"/>
        </w:rPr>
        <w:t xml:space="preserve"> el derecho de toda persona de disfrutar de los beneficios que resulten de los descubrimientos científicos. Asimismo, el </w:t>
      </w:r>
      <w:r w:rsidRPr="00E77A89">
        <w:rPr>
          <w:rFonts w:ascii="Corbel" w:eastAsia="Corbel" w:hAnsi="Corbel" w:cs="Corbel"/>
          <w:i/>
        </w:rPr>
        <w:t>Protocolo Adicional a la Convención Americana sobre Derechos Humanos en materia de DESC</w:t>
      </w:r>
      <w:r w:rsidRPr="00E77A89">
        <w:rPr>
          <w:rFonts w:ascii="Corbel" w:eastAsia="Corbel" w:hAnsi="Corbel" w:cs="Corbel"/>
        </w:rPr>
        <w:t xml:space="preserve"> (Protocolo de San Salvador), consagra el derecho a gozar del progreso científico y tecnológico</w:t>
      </w:r>
      <w:r w:rsidRPr="00E77A89">
        <w:rPr>
          <w:rFonts w:ascii="Corbel" w:eastAsia="Corbel" w:hAnsi="Corbel" w:cs="Corbel"/>
          <w:vertAlign w:val="superscript"/>
        </w:rPr>
        <w:footnoteReference w:id="7"/>
      </w:r>
      <w:r w:rsidRPr="00E77A89">
        <w:rPr>
          <w:rFonts w:ascii="Corbel" w:eastAsia="Corbel" w:hAnsi="Corbel" w:cs="Corbel"/>
          <w:i/>
        </w:rPr>
        <w:t xml:space="preserve">. </w:t>
      </w:r>
      <w:r w:rsidR="00881244">
        <w:rPr>
          <w:rFonts w:ascii="Corbel" w:eastAsia="Corbel" w:hAnsi="Corbel" w:cs="Corbel"/>
        </w:rPr>
        <w:t>Por su parte, la</w:t>
      </w:r>
      <w:r w:rsidR="00EA0416" w:rsidRPr="00E77A89">
        <w:rPr>
          <w:rFonts w:ascii="Corbel" w:eastAsia="Corbel" w:hAnsi="Corbel" w:cs="Corbel"/>
        </w:rPr>
        <w:t xml:space="preserve"> Declaración sobre la utilización del progreso científico y tecnológico subraya la importancia de asegurar que los resultados del progreso científico y tecnológico se usen para hacer efectivos los derechos y libertades de conformidad con la Carta de las Naciones Unidas</w:t>
      </w:r>
      <w:r w:rsidR="00EA0416" w:rsidRPr="00E77A89">
        <w:rPr>
          <w:rStyle w:val="FootnoteReference"/>
          <w:rFonts w:ascii="Corbel" w:eastAsia="Corbel" w:hAnsi="Corbel" w:cs="Corbel"/>
        </w:rPr>
        <w:footnoteReference w:id="8"/>
      </w:r>
      <w:r w:rsidR="00EA0416" w:rsidRPr="00E77A89">
        <w:rPr>
          <w:rFonts w:ascii="Corbel" w:eastAsia="Corbel" w:hAnsi="Corbel" w:cs="Corbel"/>
        </w:rPr>
        <w:t xml:space="preserve">. </w:t>
      </w:r>
    </w:p>
    <w:p w:rsidR="00F14913" w:rsidRPr="00E77A89" w:rsidRDefault="00F14913" w:rsidP="00B52FF9">
      <w:pPr>
        <w:spacing w:after="0" w:line="276" w:lineRule="auto"/>
        <w:ind w:left="2" w:hanging="2"/>
        <w:jc w:val="both"/>
        <w:rPr>
          <w:rFonts w:ascii="Corbel" w:eastAsia="Corbel" w:hAnsi="Corbel" w:cs="Corbel"/>
        </w:rPr>
      </w:pPr>
    </w:p>
    <w:p w:rsidR="00881244" w:rsidRDefault="00163A20" w:rsidP="00B52FF9">
      <w:pPr>
        <w:spacing w:after="0" w:line="276" w:lineRule="auto"/>
        <w:ind w:left="2" w:hanging="2"/>
        <w:jc w:val="both"/>
        <w:rPr>
          <w:rFonts w:ascii="Corbel" w:eastAsia="Corbel" w:hAnsi="Corbel" w:cs="Corbel"/>
        </w:rPr>
      </w:pPr>
      <w:r w:rsidRPr="00E77A89">
        <w:rPr>
          <w:rFonts w:ascii="Corbel" w:eastAsia="Corbel" w:hAnsi="Corbel" w:cs="Corbel"/>
        </w:rPr>
        <w:t xml:space="preserve">Shaheed, profundiza sobre el alcance del derecho al beneficio científico y sus limitaciones, estableciendo a modo de marco, el entendimiento de la ciencia como el “conocimiento que es verificable y refutable, en todos los campos de la investigación, incluidas las ciencias sociales, y </w:t>
      </w:r>
      <w:r w:rsidRPr="00E77A89">
        <w:rPr>
          <w:rFonts w:ascii="Corbel" w:eastAsia="Corbel" w:hAnsi="Corbel" w:cs="Corbel"/>
        </w:rPr>
        <w:lastRenderedPageBreak/>
        <w:t>que abarca toda la investigación”</w:t>
      </w:r>
      <w:r w:rsidR="00D379C0" w:rsidRPr="00E77A89">
        <w:rPr>
          <w:rStyle w:val="FootnoteReference"/>
          <w:rFonts w:ascii="Corbel" w:eastAsia="Corbel" w:hAnsi="Corbel" w:cs="Corbel"/>
        </w:rPr>
        <w:footnoteReference w:id="9"/>
      </w:r>
      <w:r w:rsidR="00DA2426">
        <w:rPr>
          <w:rFonts w:ascii="Corbel" w:eastAsia="Corbel" w:hAnsi="Corbel" w:cs="Corbel"/>
        </w:rPr>
        <w:t>,</w:t>
      </w:r>
      <w:r w:rsidRPr="00E77A89">
        <w:rPr>
          <w:rFonts w:ascii="Corbel" w:eastAsia="Corbel" w:hAnsi="Corbel" w:cs="Corbel"/>
        </w:rPr>
        <w:t xml:space="preserve"> evidencia la conexidad de este derecho en relación con otros derechos </w:t>
      </w:r>
      <w:r w:rsidR="00881244">
        <w:rPr>
          <w:rFonts w:ascii="Corbel" w:eastAsia="Corbel" w:hAnsi="Corbel" w:cs="Corbel"/>
        </w:rPr>
        <w:t xml:space="preserve"> como el  derecho a la salud, el acceso a la información, </w:t>
      </w:r>
      <w:r w:rsidRPr="00E77A89">
        <w:rPr>
          <w:rFonts w:ascii="Corbel" w:eastAsia="Corbel" w:hAnsi="Corbel" w:cs="Corbel"/>
        </w:rPr>
        <w:t xml:space="preserve"> el derecho de las personas de participar en la dirección de los asuntos públicos, el derecho de los pueblos a la libre determinación y el derecho al desarrollo, entendido como el “mejoramiento constante del bienestar de toda la población y de todos los individuos sobre la base de su participación activa, libre y significativa en el desarrollo y en la distribución justa de los beneficios que de él se derivan”</w:t>
      </w:r>
      <w:r w:rsidR="007A025F" w:rsidRPr="00E77A89">
        <w:rPr>
          <w:rStyle w:val="FootnoteReference"/>
          <w:rFonts w:ascii="Corbel" w:eastAsia="Corbel" w:hAnsi="Corbel" w:cs="Corbel"/>
        </w:rPr>
        <w:footnoteReference w:id="10"/>
      </w:r>
      <w:r w:rsidRPr="00E77A89">
        <w:rPr>
          <w:rFonts w:ascii="Corbel" w:eastAsia="Corbel" w:hAnsi="Corbel" w:cs="Corbel"/>
        </w:rPr>
        <w:t xml:space="preserve">. </w:t>
      </w:r>
    </w:p>
    <w:p w:rsidR="00881244" w:rsidRDefault="00881244" w:rsidP="00B52FF9">
      <w:pPr>
        <w:spacing w:after="0" w:line="276" w:lineRule="auto"/>
        <w:jc w:val="both"/>
        <w:rPr>
          <w:rFonts w:ascii="Corbel" w:eastAsia="Corbel" w:hAnsi="Corbel" w:cs="Corbel"/>
        </w:rPr>
      </w:pPr>
    </w:p>
    <w:p w:rsidR="008764AF" w:rsidRDefault="008764AF" w:rsidP="00B52F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after="0" w:line="276" w:lineRule="auto"/>
        <w:jc w:val="both"/>
        <w:rPr>
          <w:rFonts w:ascii="Corbel" w:hAnsi="Corbel"/>
        </w:rPr>
      </w:pPr>
      <w:r w:rsidRPr="00E77A89">
        <w:rPr>
          <w:rFonts w:ascii="Corbel" w:eastAsia="Corbel" w:hAnsi="Corbel" w:cs="Corbel"/>
        </w:rPr>
        <w:t>En cuanto a las obligaciones de los Estados en relación con est</w:t>
      </w:r>
      <w:r w:rsidR="00C8518E">
        <w:rPr>
          <w:rFonts w:ascii="Corbel" w:eastAsia="Corbel" w:hAnsi="Corbel" w:cs="Corbel"/>
        </w:rPr>
        <w:t>e derecho, la Relatora ha recomendado</w:t>
      </w:r>
      <w:r w:rsidRPr="00E77A89">
        <w:rPr>
          <w:rFonts w:ascii="Corbel" w:eastAsia="Corbel" w:hAnsi="Corbel" w:cs="Corbel"/>
        </w:rPr>
        <w:t xml:space="preserve"> a los mismos, que aseguren “</w:t>
      </w:r>
      <w:r w:rsidRPr="00E77A89">
        <w:rPr>
          <w:rFonts w:ascii="Corbel" w:hAnsi="Corbel"/>
        </w:rPr>
        <w:t>que las innovaciones esenciales para una vida digna lleguen a todos y que determinen las necesidades prioritarias de las poblaciones marginadas, en particular mediante procesos consultivos, financiación directa y facilitación de la investigación de instituciones del sector público y el sector privado dirigida a esas poblaciones”</w:t>
      </w:r>
      <w:r w:rsidRPr="00E77A89">
        <w:rPr>
          <w:rStyle w:val="FootnoteReference"/>
          <w:rFonts w:ascii="Corbel" w:hAnsi="Corbel"/>
        </w:rPr>
        <w:footnoteReference w:id="11"/>
      </w:r>
      <w:r w:rsidRPr="00E77A89">
        <w:rPr>
          <w:rFonts w:ascii="Corbel" w:hAnsi="Corbel"/>
        </w:rPr>
        <w:t>. Asimismo, recomendó que respeten, protejan y promuevan la libertad científica y el derecho a difundir libremente los resultados de las investigaciones sin consideración de fronteras, que promuevan la educación científica en todos los niveles, que aseguren la participación de individuos, comunidades y pueblos en la adopción de decisiones relativas a la ciencia y que tomen las medidas necesarias para la conservación, desarrollo y difusión de la ciencia</w:t>
      </w:r>
      <w:r w:rsidRPr="00E77A89">
        <w:rPr>
          <w:rStyle w:val="FootnoteReference"/>
          <w:rFonts w:ascii="Corbel" w:hAnsi="Corbel"/>
        </w:rPr>
        <w:footnoteReference w:id="12"/>
      </w:r>
      <w:r w:rsidRPr="00E77A89">
        <w:rPr>
          <w:rFonts w:ascii="Corbel" w:hAnsi="Corbel"/>
        </w:rPr>
        <w:t>.</w:t>
      </w:r>
    </w:p>
    <w:p w:rsidR="00881244" w:rsidRDefault="00881244" w:rsidP="00B52F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after="0" w:line="276" w:lineRule="auto"/>
        <w:jc w:val="both"/>
        <w:rPr>
          <w:rFonts w:ascii="Corbel" w:hAnsi="Corbel"/>
        </w:rPr>
      </w:pPr>
    </w:p>
    <w:p w:rsidR="00B452F4" w:rsidRDefault="00881244" w:rsidP="00B52FF9">
      <w:pPr>
        <w:spacing w:after="0" w:line="276" w:lineRule="auto"/>
        <w:ind w:left="2" w:hanging="2"/>
        <w:jc w:val="both"/>
        <w:rPr>
          <w:rFonts w:ascii="Corbel" w:eastAsia="Corbel" w:hAnsi="Corbel" w:cs="Corbel"/>
        </w:rPr>
      </w:pPr>
      <w:r>
        <w:rPr>
          <w:rFonts w:ascii="Corbel" w:eastAsia="Corbel" w:hAnsi="Corbel" w:cs="Corbel"/>
        </w:rPr>
        <w:t>En relación a la política de drogas, el derecho a la ciencia cobra especial relevancia frente a la garantía de otros derechos como el derecho a la salud y el derecho al desarrollo. La política prohibicionista de fiscalización en la materia</w:t>
      </w:r>
      <w:r w:rsidR="00E9218E">
        <w:rPr>
          <w:rFonts w:ascii="Corbel" w:eastAsia="Corbel" w:hAnsi="Corbel" w:cs="Corbel"/>
        </w:rPr>
        <w:t>,</w:t>
      </w:r>
      <w:r w:rsidR="00B452F4">
        <w:rPr>
          <w:rFonts w:ascii="Corbel" w:eastAsia="Corbel" w:hAnsi="Corbel" w:cs="Corbel"/>
        </w:rPr>
        <w:t xml:space="preserve"> se ha construido bajo una investigación científica débil, sustentando la prohibición en factores</w:t>
      </w:r>
      <w:r w:rsidR="00E9218E">
        <w:rPr>
          <w:rFonts w:ascii="Corbel" w:eastAsia="Corbel" w:hAnsi="Corbel" w:cs="Corbel"/>
        </w:rPr>
        <w:t xml:space="preserve"> de carácter político y moral</w:t>
      </w:r>
      <w:r w:rsidR="00C8518E">
        <w:rPr>
          <w:rFonts w:ascii="Corbel" w:eastAsia="Corbel" w:hAnsi="Corbel" w:cs="Corbel"/>
        </w:rPr>
        <w:t>. Dicha política ha obs</w:t>
      </w:r>
      <w:r w:rsidR="00C8518E">
        <w:rPr>
          <w:rFonts w:ascii="Corbel" w:eastAsia="Corbel" w:hAnsi="Corbel" w:cs="Corbel"/>
        </w:rPr>
        <w:lastRenderedPageBreak/>
        <w:t>taculizado la publicación y difusión de</w:t>
      </w:r>
      <w:r w:rsidR="00E9218E">
        <w:rPr>
          <w:rFonts w:ascii="Corbel" w:eastAsia="Corbel" w:hAnsi="Corbel" w:cs="Corbel"/>
        </w:rPr>
        <w:t xml:space="preserve"> investigaciones que cuestionan la lista de plantas y sustancias prohibidas dentro de las Convenciones Internacionales</w:t>
      </w:r>
      <w:r w:rsidR="00E9218E">
        <w:rPr>
          <w:rStyle w:val="FootnoteReference"/>
          <w:rFonts w:ascii="Corbel" w:eastAsia="Corbel" w:hAnsi="Corbel" w:cs="Corbel"/>
        </w:rPr>
        <w:footnoteReference w:id="13"/>
      </w:r>
      <w:r w:rsidR="00DA2426">
        <w:rPr>
          <w:rFonts w:ascii="Corbel" w:eastAsia="Corbel" w:hAnsi="Corbel" w:cs="Corbel"/>
        </w:rPr>
        <w:t>.</w:t>
      </w:r>
      <w:r w:rsidR="00E9218E">
        <w:rPr>
          <w:rFonts w:ascii="Corbel" w:eastAsia="Corbel" w:hAnsi="Corbel" w:cs="Corbel"/>
        </w:rPr>
        <w:t xml:space="preserve"> Lo </w:t>
      </w:r>
      <w:r w:rsidR="00B452F4" w:rsidRPr="00B452F4">
        <w:rPr>
          <w:rFonts w:ascii="Corbel" w:eastAsia="Corbel" w:hAnsi="Corbel" w:cs="Corbel"/>
        </w:rPr>
        <w:t>anterior, ha derivado en</w:t>
      </w:r>
      <w:r w:rsidR="00C8518E">
        <w:rPr>
          <w:rFonts w:ascii="Corbel" w:eastAsia="Corbel" w:hAnsi="Corbel" w:cs="Corbel"/>
        </w:rPr>
        <w:t xml:space="preserve"> la incorporación de</w:t>
      </w:r>
      <w:r w:rsidR="00B452F4" w:rsidRPr="00B452F4">
        <w:rPr>
          <w:rFonts w:ascii="Corbel" w:eastAsia="Corbel" w:hAnsi="Corbel" w:cs="Corbel"/>
        </w:rPr>
        <w:t xml:space="preserve"> </w:t>
      </w:r>
      <w:r w:rsidR="00DF6343">
        <w:rPr>
          <w:rFonts w:ascii="Corbel" w:eastAsia="Corbel" w:hAnsi="Corbel" w:cs="Corbel"/>
        </w:rPr>
        <w:t>políticas</w:t>
      </w:r>
      <w:r w:rsidR="00C8518E">
        <w:rPr>
          <w:rFonts w:ascii="Corbel" w:eastAsia="Corbel" w:hAnsi="Corbel" w:cs="Corbel"/>
        </w:rPr>
        <w:t xml:space="preserve"> </w:t>
      </w:r>
      <w:r w:rsidR="00B452F4" w:rsidRPr="00B452F4">
        <w:rPr>
          <w:rFonts w:ascii="Corbel" w:eastAsia="Corbel" w:hAnsi="Corbel" w:cs="Corbel"/>
        </w:rPr>
        <w:t>represivas que generan riesgos y daños en contra de las personas usuarias de drogas</w:t>
      </w:r>
      <w:r w:rsidR="00C8518E">
        <w:rPr>
          <w:rFonts w:ascii="Corbel" w:eastAsia="Corbel" w:hAnsi="Corbel" w:cs="Corbel"/>
        </w:rPr>
        <w:t xml:space="preserve"> y que no cuentan con un sólido aval científico.</w:t>
      </w:r>
    </w:p>
    <w:p w:rsidR="00B452F4" w:rsidRDefault="00B452F4" w:rsidP="00B52FF9">
      <w:pPr>
        <w:spacing w:after="0" w:line="276" w:lineRule="auto"/>
        <w:ind w:left="2" w:hanging="2"/>
        <w:jc w:val="both"/>
        <w:rPr>
          <w:rFonts w:ascii="Corbel" w:eastAsia="Corbel" w:hAnsi="Corbel" w:cs="Corbel"/>
        </w:rPr>
      </w:pPr>
    </w:p>
    <w:p w:rsidR="00881244" w:rsidRPr="00E77A89" w:rsidRDefault="00B452F4" w:rsidP="00B52FF9">
      <w:pPr>
        <w:spacing w:after="0" w:line="276" w:lineRule="auto"/>
        <w:ind w:left="2" w:hanging="2"/>
        <w:jc w:val="both"/>
        <w:rPr>
          <w:rFonts w:ascii="Corbel" w:eastAsia="Corbel" w:hAnsi="Corbel" w:cs="Corbel"/>
        </w:rPr>
      </w:pPr>
      <w:r>
        <w:rPr>
          <w:rFonts w:ascii="Corbel" w:eastAsia="Corbel" w:hAnsi="Corbel" w:cs="Corbel"/>
        </w:rPr>
        <w:t>A pesar de que los tratados internacionales incluyen la excepción</w:t>
      </w:r>
      <w:r w:rsidR="00DF6343">
        <w:rPr>
          <w:rFonts w:ascii="Corbel" w:eastAsia="Corbel" w:hAnsi="Corbel" w:cs="Corbel"/>
        </w:rPr>
        <w:t xml:space="preserve"> el</w:t>
      </w:r>
      <w:r>
        <w:rPr>
          <w:rFonts w:ascii="Corbel" w:eastAsia="Corbel" w:hAnsi="Corbel" w:cs="Corbel"/>
        </w:rPr>
        <w:t xml:space="preserve"> </w:t>
      </w:r>
      <w:r w:rsidRPr="00B452F4">
        <w:rPr>
          <w:rFonts w:ascii="Corbel" w:eastAsia="Corbel" w:hAnsi="Corbel" w:cs="Corbel"/>
          <w:i/>
        </w:rPr>
        <w:t>“fin científico”</w:t>
      </w:r>
      <w:r w:rsidR="00DF6343">
        <w:rPr>
          <w:rStyle w:val="FootnoteReference"/>
          <w:rFonts w:ascii="Corbel" w:eastAsia="Corbel" w:hAnsi="Corbel" w:cs="Corbel"/>
          <w:i/>
        </w:rPr>
        <w:footnoteReference w:id="14"/>
      </w:r>
      <w:r w:rsidRPr="00B452F4">
        <w:rPr>
          <w:rFonts w:ascii="Corbel" w:eastAsia="Corbel" w:hAnsi="Corbel" w:cs="Corbel"/>
          <w:i/>
        </w:rPr>
        <w:t xml:space="preserve"> </w:t>
      </w:r>
      <w:r>
        <w:rPr>
          <w:rFonts w:ascii="Corbel" w:eastAsia="Corbel" w:hAnsi="Corbel" w:cs="Corbel"/>
        </w:rPr>
        <w:t>en el texto de los mismos, ni el sistema internacional de fiscalización ni los Estados han potencializado la investigación científica para generar evidencia sobre</w:t>
      </w:r>
      <w:r w:rsidR="00881244">
        <w:rPr>
          <w:rFonts w:ascii="Corbel" w:eastAsia="Corbel" w:hAnsi="Corbel" w:cs="Corbel"/>
        </w:rPr>
        <w:t xml:space="preserve"> la taxonomía de las plantas declaradas ilícitas, así como de los componentes y efectos de las sustancias psicoactivas que se desprenden de las listas de los</w:t>
      </w:r>
      <w:r>
        <w:rPr>
          <w:rFonts w:ascii="Corbel" w:eastAsia="Corbel" w:hAnsi="Corbel" w:cs="Corbel"/>
        </w:rPr>
        <w:t xml:space="preserve"> Convenciones Internacionales</w:t>
      </w:r>
      <w:r w:rsidR="00EC3872">
        <w:rPr>
          <w:rFonts w:ascii="Corbel" w:eastAsia="Corbel" w:hAnsi="Corbel" w:cs="Corbel"/>
        </w:rPr>
        <w:t>.</w:t>
      </w:r>
    </w:p>
    <w:p w:rsidR="00881244" w:rsidRPr="00E77A89" w:rsidRDefault="00881244" w:rsidP="00B52F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after="0" w:line="276" w:lineRule="auto"/>
        <w:jc w:val="both"/>
        <w:rPr>
          <w:rFonts w:ascii="Corbel" w:eastAsia="Corbel" w:hAnsi="Corbel" w:cs="Corbel"/>
        </w:rPr>
      </w:pPr>
    </w:p>
    <w:p w:rsidR="00163A20" w:rsidRPr="00E77A89" w:rsidRDefault="00EC3872" w:rsidP="00B52F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after="0" w:line="276" w:lineRule="auto"/>
        <w:jc w:val="both"/>
        <w:rPr>
          <w:rFonts w:ascii="Corbel" w:eastAsia="Corbel" w:hAnsi="Corbel" w:cs="Corbel"/>
        </w:rPr>
      </w:pPr>
      <w:r>
        <w:rPr>
          <w:rFonts w:ascii="Corbel" w:eastAsia="Corbel" w:hAnsi="Corbel" w:cs="Corbel"/>
        </w:rPr>
        <w:t>La necesidad de generar evidencia científica en la materia ha sido abordada por</w:t>
      </w:r>
      <w:r w:rsidR="00A97E12" w:rsidRPr="00E77A89">
        <w:rPr>
          <w:rFonts w:ascii="Corbel" w:eastAsia="Corbel" w:hAnsi="Corbel" w:cs="Corbel"/>
        </w:rPr>
        <w:t xml:space="preserve"> l</w:t>
      </w:r>
      <w:r w:rsidR="00163A20" w:rsidRPr="00E77A89">
        <w:rPr>
          <w:rFonts w:ascii="Corbel" w:eastAsia="Corbel" w:hAnsi="Corbel" w:cs="Corbel"/>
        </w:rPr>
        <w:t xml:space="preserve">a </w:t>
      </w:r>
      <w:r w:rsidR="00163A20" w:rsidRPr="00E77A89">
        <w:rPr>
          <w:rFonts w:ascii="Corbel" w:eastAsia="Corbel" w:hAnsi="Corbel" w:cs="Corbel"/>
          <w:i/>
        </w:rPr>
        <w:t>Comisión Interamericana para el Control de Abuso de Drogas</w:t>
      </w:r>
      <w:r w:rsidR="00163A20" w:rsidRPr="00E77A89">
        <w:rPr>
          <w:rFonts w:ascii="Corbel" w:eastAsia="Corbel" w:hAnsi="Corbel" w:cs="Corbel"/>
        </w:rPr>
        <w:t xml:space="preserve"> (CICAD) ha s</w:t>
      </w:r>
      <w:r w:rsidR="00B452F4">
        <w:rPr>
          <w:rFonts w:ascii="Corbel" w:eastAsia="Corbel" w:hAnsi="Corbel" w:cs="Corbel"/>
        </w:rPr>
        <w:t>eñalado que “es preciso que se  f</w:t>
      </w:r>
      <w:r w:rsidR="00163A20" w:rsidRPr="00E77A89">
        <w:rPr>
          <w:rFonts w:ascii="Corbel" w:eastAsia="Corbel" w:hAnsi="Corbel" w:cs="Corbel"/>
        </w:rPr>
        <w:t>ortalezcan los sistemas de información que permitan hacer un debido monitoreo del problema de las drogas y también que se financie la investigación para abordar el problema de manera más eficaz”</w:t>
      </w:r>
      <w:r w:rsidR="007A025F" w:rsidRPr="00E77A89">
        <w:rPr>
          <w:rStyle w:val="FootnoteReference"/>
          <w:rFonts w:ascii="Corbel" w:eastAsia="Corbel" w:hAnsi="Corbel" w:cs="Corbel"/>
        </w:rPr>
        <w:footnoteReference w:id="15"/>
      </w:r>
      <w:r w:rsidR="00163A20" w:rsidRPr="00E77A89">
        <w:rPr>
          <w:rFonts w:ascii="Corbel" w:eastAsia="Corbel" w:hAnsi="Corbel" w:cs="Corbel"/>
        </w:rPr>
        <w:t xml:space="preserve">. Como ha establecido el grupo de personas expertas de la </w:t>
      </w:r>
      <w:r w:rsidR="00163A20" w:rsidRPr="00E77A89">
        <w:rPr>
          <w:rFonts w:ascii="Corbel" w:eastAsia="Corbel" w:hAnsi="Corbel" w:cs="Corbel"/>
          <w:i/>
        </w:rPr>
        <w:t>Coalición Nacional Asesora para la Política de Drogas en Colombia</w:t>
      </w:r>
      <w:r w:rsidR="00163A20" w:rsidRPr="00E77A89">
        <w:rPr>
          <w:rFonts w:ascii="Corbel" w:eastAsia="Corbel" w:hAnsi="Corbel" w:cs="Corbel"/>
        </w:rPr>
        <w:t>:</w:t>
      </w:r>
    </w:p>
    <w:p w:rsidR="00163A20" w:rsidRPr="00DF6343" w:rsidRDefault="00163A20" w:rsidP="00B52F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after="0" w:line="276" w:lineRule="auto"/>
        <w:ind w:left="567" w:right="474"/>
        <w:jc w:val="both"/>
        <w:rPr>
          <w:rFonts w:ascii="Corbel" w:eastAsia="Corbel" w:hAnsi="Corbel" w:cs="Corbel"/>
          <w:sz w:val="20"/>
          <w:szCs w:val="20"/>
        </w:rPr>
      </w:pPr>
      <w:r w:rsidRPr="00DF6343">
        <w:rPr>
          <w:rFonts w:ascii="Corbel" w:eastAsia="Corbel" w:hAnsi="Corbel" w:cs="Corbel"/>
          <w:sz w:val="20"/>
          <w:szCs w:val="20"/>
        </w:rPr>
        <w:t xml:space="preserve">“El diseño de una política de drogas basada en la evidencia requiere que los tomadores de decisiones fundamenten sus decisiones en los resultados de estudios y análisis que muestran cuáles políticas y programas funcionan, cuáles no, y a qué costo. Una política de drogas basada en la evidencia también requiere invertir recursos en sistemas de información y estadísticas confiables, que tengan métodos transparentes de recolección y auditorías externas que </w:t>
      </w:r>
      <w:r w:rsidRPr="00DF6343">
        <w:rPr>
          <w:rFonts w:ascii="Corbel" w:eastAsia="Corbel" w:hAnsi="Corbel" w:cs="Corbel"/>
          <w:sz w:val="20"/>
          <w:szCs w:val="20"/>
        </w:rPr>
        <w:lastRenderedPageBreak/>
        <w:t>verifiquen la veracidad de los datos y la información recabada producto de la implementación de diferentes programas.</w:t>
      </w:r>
    </w:p>
    <w:p w:rsidR="002E144B" w:rsidRPr="00DF6343" w:rsidRDefault="00163A20" w:rsidP="00B52F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after="0" w:line="276" w:lineRule="auto"/>
        <w:ind w:left="567" w:right="474"/>
        <w:jc w:val="both"/>
        <w:rPr>
          <w:rFonts w:ascii="Corbel" w:eastAsia="Corbel" w:hAnsi="Corbel" w:cs="Corbel"/>
          <w:sz w:val="20"/>
          <w:szCs w:val="20"/>
        </w:rPr>
      </w:pPr>
      <w:r w:rsidRPr="00DF6343">
        <w:rPr>
          <w:rFonts w:ascii="Corbel" w:eastAsia="Corbel" w:hAnsi="Corbel" w:cs="Corbel"/>
          <w:sz w:val="20"/>
          <w:szCs w:val="20"/>
        </w:rPr>
        <w:t>Las acciones de política frente a las drogas deberán orientarse por las evidencias más sólidas posibles, alejándose de posturas ideológicas preconcebidas que carezcan de sustento”</w:t>
      </w:r>
      <w:r w:rsidR="00A24B1C" w:rsidRPr="00DF6343">
        <w:rPr>
          <w:rStyle w:val="FootnoteReference"/>
          <w:rFonts w:ascii="Corbel" w:eastAsia="Corbel" w:hAnsi="Corbel" w:cs="Corbel"/>
          <w:sz w:val="20"/>
          <w:szCs w:val="20"/>
        </w:rPr>
        <w:footnoteReference w:id="16"/>
      </w:r>
      <w:r w:rsidRPr="00DF6343">
        <w:rPr>
          <w:rFonts w:ascii="Corbel" w:eastAsia="Corbel" w:hAnsi="Corbel" w:cs="Corbel"/>
          <w:sz w:val="20"/>
          <w:szCs w:val="20"/>
        </w:rPr>
        <w:t>.</w:t>
      </w:r>
    </w:p>
    <w:p w:rsidR="00B452F4" w:rsidRDefault="00B452F4" w:rsidP="00B52F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after="0" w:line="276" w:lineRule="auto"/>
        <w:jc w:val="both"/>
        <w:rPr>
          <w:rFonts w:ascii="Corbel" w:eastAsia="Corbel" w:hAnsi="Corbel" w:cs="Corbel"/>
        </w:rPr>
      </w:pPr>
    </w:p>
    <w:p w:rsidR="00197D32" w:rsidRPr="00E77A89" w:rsidRDefault="00B452F4" w:rsidP="00B52F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after="0" w:line="276" w:lineRule="auto"/>
        <w:jc w:val="both"/>
        <w:rPr>
          <w:rFonts w:ascii="Corbel" w:eastAsia="Corbel" w:hAnsi="Corbel" w:cs="Corbel"/>
        </w:rPr>
      </w:pPr>
      <w:r>
        <w:rPr>
          <w:rFonts w:ascii="Corbel" w:eastAsia="Corbel" w:hAnsi="Corbel" w:cs="Corbel"/>
        </w:rPr>
        <w:t xml:space="preserve">Es importante señalar que en diferentes Estados se han impulsado investigaciones que han abierto </w:t>
      </w:r>
      <w:r w:rsidR="00DA2426">
        <w:rPr>
          <w:rFonts w:ascii="Corbel" w:eastAsia="Corbel" w:hAnsi="Corbel" w:cs="Corbel"/>
        </w:rPr>
        <w:t>la</w:t>
      </w:r>
      <w:r>
        <w:rPr>
          <w:rFonts w:ascii="Corbel" w:eastAsia="Corbel" w:hAnsi="Corbel" w:cs="Corbel"/>
        </w:rPr>
        <w:t xml:space="preserve"> puerta para </w:t>
      </w:r>
      <w:r w:rsidR="00EC3872">
        <w:rPr>
          <w:rFonts w:ascii="Corbel" w:eastAsia="Corbel" w:hAnsi="Corbel" w:cs="Corbel"/>
        </w:rPr>
        <w:t>derriba</w:t>
      </w:r>
      <w:r>
        <w:rPr>
          <w:rFonts w:ascii="Corbel" w:eastAsia="Corbel" w:hAnsi="Corbel" w:cs="Corbel"/>
        </w:rPr>
        <w:t>r</w:t>
      </w:r>
      <w:r w:rsidR="00EC3872">
        <w:rPr>
          <w:rFonts w:ascii="Corbel" w:eastAsia="Corbel" w:hAnsi="Corbel" w:cs="Corbel"/>
        </w:rPr>
        <w:t xml:space="preserve"> mitos en relación a las plantas declaradas ilícitas y las sustancias psicoactivas. </w:t>
      </w:r>
      <w:r w:rsidR="00F30787" w:rsidRPr="00E77A89">
        <w:rPr>
          <w:rFonts w:ascii="Corbel" w:eastAsia="Corbel" w:hAnsi="Corbel" w:cs="Corbel"/>
        </w:rPr>
        <w:t>L</w:t>
      </w:r>
      <w:r w:rsidR="008C6B6C" w:rsidRPr="00E77A89">
        <w:rPr>
          <w:rFonts w:ascii="Corbel" w:eastAsia="Corbel" w:hAnsi="Corbel" w:cs="Corbel"/>
        </w:rPr>
        <w:t>a evide</w:t>
      </w:r>
      <w:r w:rsidR="00E9218E">
        <w:rPr>
          <w:rFonts w:ascii="Corbel" w:eastAsia="Corbel" w:hAnsi="Corbel" w:cs="Corbel"/>
        </w:rPr>
        <w:t>ncia científica disponible ha avalado</w:t>
      </w:r>
      <w:r w:rsidR="00DA2426">
        <w:rPr>
          <w:rFonts w:ascii="Corbel" w:eastAsia="Corbel" w:hAnsi="Corbel" w:cs="Corbel"/>
        </w:rPr>
        <w:t>,</w:t>
      </w:r>
      <w:r w:rsidR="00EC3872">
        <w:rPr>
          <w:rFonts w:ascii="Corbel" w:eastAsia="Corbel" w:hAnsi="Corbel" w:cs="Corbel"/>
        </w:rPr>
        <w:t xml:space="preserve"> por ejemplo,</w:t>
      </w:r>
      <w:r w:rsidR="008C6B6C" w:rsidRPr="00E77A89">
        <w:rPr>
          <w:rFonts w:ascii="Corbel" w:eastAsia="Corbel" w:hAnsi="Corbel" w:cs="Corbel"/>
        </w:rPr>
        <w:t xml:space="preserve"> el potencial terapéu</w:t>
      </w:r>
      <w:r w:rsidR="00EC3872">
        <w:rPr>
          <w:rFonts w:ascii="Corbel" w:eastAsia="Corbel" w:hAnsi="Corbel" w:cs="Corbel"/>
        </w:rPr>
        <w:t xml:space="preserve">tico del cannabis, </w:t>
      </w:r>
      <w:r w:rsidR="008C6B6C" w:rsidRPr="00E77A89">
        <w:rPr>
          <w:rFonts w:ascii="Corbel" w:eastAsia="Corbel" w:hAnsi="Corbel" w:cs="Corbel"/>
        </w:rPr>
        <w:t>en enfermedades neurológicas, enfermedades y síntomas del aparato digestivo, en el alivio del dolor crónico y en problemas de salud mental</w:t>
      </w:r>
      <w:r>
        <w:rPr>
          <w:rFonts w:ascii="Corbel" w:eastAsia="Corbel" w:hAnsi="Corbel" w:cs="Corbel"/>
        </w:rPr>
        <w:t>, lo cual ha derivado en la regulación del uso medicinal en diferentes Estados</w:t>
      </w:r>
      <w:r w:rsidR="008C6B6C" w:rsidRPr="00E77A89">
        <w:rPr>
          <w:rStyle w:val="FootnoteReference"/>
          <w:rFonts w:ascii="Corbel" w:eastAsia="Corbel" w:hAnsi="Corbel" w:cs="Corbel"/>
        </w:rPr>
        <w:footnoteReference w:id="17"/>
      </w:r>
      <w:r w:rsidR="008C6B6C" w:rsidRPr="00E77A89">
        <w:rPr>
          <w:rFonts w:ascii="Corbel" w:eastAsia="Corbel" w:hAnsi="Corbel" w:cs="Corbel"/>
        </w:rPr>
        <w:t xml:space="preserve">. Sin embargo, la inclusión de la sustancia en la Lista IV de la Convención Única de 1961 continúa restringiendo la investigación médica, por lo que </w:t>
      </w:r>
      <w:r w:rsidR="00197D32" w:rsidRPr="00E77A89">
        <w:rPr>
          <w:rFonts w:ascii="Corbel" w:eastAsia="Corbel" w:hAnsi="Corbel" w:cs="Corbel"/>
        </w:rPr>
        <w:t>el International Drug Policy</w:t>
      </w:r>
      <w:r w:rsidR="008C6B6C" w:rsidRPr="00E77A89">
        <w:rPr>
          <w:rFonts w:ascii="Corbel" w:eastAsia="Corbel" w:hAnsi="Corbel" w:cs="Corbel"/>
        </w:rPr>
        <w:t xml:space="preserve"> Consortuim (IDPC) ha señalado que “la invalidación arbitraria de sus propiedades terapéuticas sigue determinando hasta h</w:t>
      </w:r>
      <w:r w:rsidR="00EC3872">
        <w:rPr>
          <w:rFonts w:ascii="Corbel" w:eastAsia="Corbel" w:hAnsi="Corbel" w:cs="Corbel"/>
        </w:rPr>
        <w:t>oy su disponibilidad</w:t>
      </w:r>
      <w:r w:rsidR="008C6B6C" w:rsidRPr="00E77A89">
        <w:rPr>
          <w:rFonts w:ascii="Corbel" w:eastAsia="Corbel" w:hAnsi="Corbel" w:cs="Corbel"/>
        </w:rPr>
        <w:t>”</w:t>
      </w:r>
      <w:r w:rsidR="008C6B6C" w:rsidRPr="00E77A89">
        <w:rPr>
          <w:rStyle w:val="FootnoteReference"/>
          <w:rFonts w:ascii="Corbel" w:eastAsia="Corbel" w:hAnsi="Corbel" w:cs="Corbel"/>
        </w:rPr>
        <w:footnoteReference w:id="18"/>
      </w:r>
      <w:r w:rsidR="008C6B6C" w:rsidRPr="00E77A89">
        <w:rPr>
          <w:rFonts w:ascii="Corbel" w:eastAsia="Corbel" w:hAnsi="Corbel" w:cs="Corbel"/>
        </w:rPr>
        <w:t>.</w:t>
      </w:r>
      <w:r w:rsidR="00197D32" w:rsidRPr="00E77A89">
        <w:rPr>
          <w:rFonts w:ascii="Corbel" w:eastAsia="Corbel" w:hAnsi="Corbel" w:cs="Corbel"/>
        </w:rPr>
        <w:t xml:space="preserve"> </w:t>
      </w:r>
    </w:p>
    <w:p w:rsidR="00197D32" w:rsidRPr="00E77A89" w:rsidRDefault="00197D32" w:rsidP="00B52F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after="0" w:line="276" w:lineRule="auto"/>
        <w:ind w:right="49"/>
        <w:jc w:val="both"/>
        <w:rPr>
          <w:rFonts w:ascii="Corbel" w:eastAsia="Corbel" w:hAnsi="Corbel" w:cs="Corbel"/>
        </w:rPr>
      </w:pPr>
    </w:p>
    <w:p w:rsidR="00E9218E" w:rsidRDefault="00C54F4E" w:rsidP="00B52F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after="0" w:line="276" w:lineRule="auto"/>
        <w:ind w:right="49"/>
        <w:jc w:val="both"/>
        <w:rPr>
          <w:rFonts w:ascii="Corbel" w:eastAsia="Corbel" w:hAnsi="Corbel" w:cs="Corbel"/>
        </w:rPr>
      </w:pPr>
      <w:r w:rsidRPr="00E77A89">
        <w:rPr>
          <w:rFonts w:ascii="Corbel" w:eastAsia="Corbel" w:hAnsi="Corbel" w:cs="Corbel"/>
        </w:rPr>
        <w:t>En relación co</w:t>
      </w:r>
      <w:r w:rsidR="00197D32" w:rsidRPr="00E77A89">
        <w:rPr>
          <w:rFonts w:ascii="Corbel" w:eastAsia="Corbel" w:hAnsi="Corbel" w:cs="Corbel"/>
        </w:rPr>
        <w:t xml:space="preserve">n la hoja de </w:t>
      </w:r>
      <w:r w:rsidR="00B452F4" w:rsidRPr="00E77A89">
        <w:rPr>
          <w:rFonts w:ascii="Corbel" w:eastAsia="Corbel" w:hAnsi="Corbel" w:cs="Corbel"/>
        </w:rPr>
        <w:t xml:space="preserve">coca, </w:t>
      </w:r>
      <w:r w:rsidR="00B452F4">
        <w:rPr>
          <w:rFonts w:ascii="Corbel" w:eastAsia="Corbel" w:hAnsi="Corbel" w:cs="Corbel"/>
        </w:rPr>
        <w:t xml:space="preserve">se observa </w:t>
      </w:r>
      <w:r w:rsidR="00197D32" w:rsidRPr="00E77A89">
        <w:rPr>
          <w:rFonts w:ascii="Corbel" w:eastAsia="Corbel" w:hAnsi="Corbel" w:cs="Corbel"/>
        </w:rPr>
        <w:t xml:space="preserve">un rezago desproporcionado en comparación con el cannabis en materia de desarrollo de evidencia sobre sus propiedades, </w:t>
      </w:r>
      <w:r w:rsidRPr="00E77A89">
        <w:rPr>
          <w:rFonts w:ascii="Corbel" w:eastAsia="Corbel" w:hAnsi="Corbel" w:cs="Corbel"/>
        </w:rPr>
        <w:t>el desarrollo científico se ha limitado a la investigación d</w:t>
      </w:r>
      <w:r w:rsidR="00B96605" w:rsidRPr="00E77A89">
        <w:rPr>
          <w:rFonts w:ascii="Corbel" w:eastAsia="Corbel" w:hAnsi="Corbel" w:cs="Corbel"/>
        </w:rPr>
        <w:t>e un solo alcaloide</w:t>
      </w:r>
      <w:r w:rsidR="00F30787" w:rsidRPr="00E77A89">
        <w:rPr>
          <w:rFonts w:ascii="Corbel" w:eastAsia="Corbel" w:hAnsi="Corbel" w:cs="Corbel"/>
        </w:rPr>
        <w:t>:</w:t>
      </w:r>
      <w:r w:rsidR="00B96605" w:rsidRPr="00E77A89">
        <w:rPr>
          <w:rFonts w:ascii="Corbel" w:eastAsia="Corbel" w:hAnsi="Corbel" w:cs="Corbel"/>
        </w:rPr>
        <w:t xml:space="preserve"> la cocaína. En este sentido, el</w:t>
      </w:r>
      <w:r w:rsidRPr="00C54F4E">
        <w:rPr>
          <w:rFonts w:ascii="Corbel" w:eastAsia="Corbel" w:hAnsi="Corbel" w:cs="Corbel"/>
        </w:rPr>
        <w:t xml:space="preserve"> peligro </w:t>
      </w:r>
      <w:r w:rsidR="00B96605" w:rsidRPr="00E77A89">
        <w:rPr>
          <w:rFonts w:ascii="Corbel" w:eastAsia="Corbel" w:hAnsi="Corbel" w:cs="Corbel"/>
        </w:rPr>
        <w:t xml:space="preserve">abstracto </w:t>
      </w:r>
      <w:r w:rsidRPr="00C54F4E">
        <w:rPr>
          <w:rFonts w:ascii="Corbel" w:eastAsia="Corbel" w:hAnsi="Corbel" w:cs="Corbel"/>
        </w:rPr>
        <w:t xml:space="preserve">de la planta </w:t>
      </w:r>
      <w:r w:rsidR="008909E8" w:rsidRPr="00E77A89">
        <w:rPr>
          <w:rFonts w:ascii="Corbel" w:eastAsia="Corbel" w:hAnsi="Corbel" w:cs="Corbel"/>
        </w:rPr>
        <w:t>creado por</w:t>
      </w:r>
      <w:r w:rsidR="00B96605" w:rsidRPr="00E77A89">
        <w:rPr>
          <w:rFonts w:ascii="Corbel" w:eastAsia="Corbel" w:hAnsi="Corbel" w:cs="Corbel"/>
        </w:rPr>
        <w:t xml:space="preserve"> el prohibicionismo</w:t>
      </w:r>
      <w:r w:rsidRPr="00C54F4E">
        <w:rPr>
          <w:rFonts w:ascii="Corbel" w:eastAsia="Corbel" w:hAnsi="Corbel" w:cs="Corbel"/>
        </w:rPr>
        <w:t>, ha</w:t>
      </w:r>
      <w:r w:rsidR="00B96605" w:rsidRPr="00E77A89">
        <w:rPr>
          <w:rFonts w:ascii="Corbel" w:eastAsia="Corbel" w:hAnsi="Corbel" w:cs="Corbel"/>
        </w:rPr>
        <w:t xml:space="preserve"> disminuido el estudio </w:t>
      </w:r>
      <w:r w:rsidR="008909E8" w:rsidRPr="00E77A89">
        <w:rPr>
          <w:rFonts w:ascii="Corbel" w:eastAsia="Corbel" w:hAnsi="Corbel" w:cs="Corbel"/>
        </w:rPr>
        <w:t xml:space="preserve">y conocimiento </w:t>
      </w:r>
      <w:r w:rsidR="00B96605" w:rsidRPr="00E77A89">
        <w:rPr>
          <w:rFonts w:ascii="Corbel" w:eastAsia="Corbel" w:hAnsi="Corbel" w:cs="Corbel"/>
        </w:rPr>
        <w:t>de</w:t>
      </w:r>
      <w:r w:rsidRPr="00C54F4E">
        <w:rPr>
          <w:rFonts w:ascii="Corbel" w:eastAsia="Corbel" w:hAnsi="Corbel" w:cs="Corbel"/>
        </w:rPr>
        <w:t xml:space="preserve"> los beneficios que la propiedad de la planta puede generar desde el plano nutricional, medicinal </w:t>
      </w:r>
      <w:r w:rsidRPr="00C54F4E">
        <w:rPr>
          <w:rFonts w:ascii="Corbel" w:eastAsia="Corbel" w:hAnsi="Corbel" w:cs="Corbel"/>
        </w:rPr>
        <w:lastRenderedPageBreak/>
        <w:t>y agroindustrial</w:t>
      </w:r>
      <w:r w:rsidR="008909E8" w:rsidRPr="00E77A89">
        <w:rPr>
          <w:rStyle w:val="FootnoteReference"/>
          <w:rFonts w:ascii="Corbel" w:eastAsia="Corbel" w:hAnsi="Corbel" w:cs="Corbel"/>
        </w:rPr>
        <w:footnoteReference w:id="19"/>
      </w:r>
      <w:r w:rsidRPr="00C54F4E">
        <w:rPr>
          <w:rFonts w:ascii="Corbel" w:eastAsia="Corbel" w:hAnsi="Corbel" w:cs="Corbel"/>
        </w:rPr>
        <w:t>.</w:t>
      </w:r>
      <w:r w:rsidR="00B96605" w:rsidRPr="00E77A89">
        <w:rPr>
          <w:rFonts w:ascii="Corbel" w:eastAsia="Corbel" w:hAnsi="Corbel" w:cs="Corbel"/>
        </w:rPr>
        <w:t xml:space="preserve"> </w:t>
      </w:r>
      <w:r w:rsidR="008909E8" w:rsidRPr="00E77A89">
        <w:rPr>
          <w:rFonts w:ascii="Corbel" w:eastAsia="Corbel" w:hAnsi="Corbel" w:cs="Corbel"/>
        </w:rPr>
        <w:t>Asimismo,</w:t>
      </w:r>
      <w:r w:rsidR="00CE0E51" w:rsidRPr="00E77A89">
        <w:rPr>
          <w:rFonts w:ascii="Corbel" w:eastAsia="Corbel" w:hAnsi="Corbel" w:cs="Corbel"/>
        </w:rPr>
        <w:t xml:space="preserve"> </w:t>
      </w:r>
      <w:r w:rsidR="00197D32" w:rsidRPr="00E77A89">
        <w:rPr>
          <w:rFonts w:ascii="Corbel" w:eastAsia="Corbel" w:hAnsi="Corbel" w:cs="Corbel"/>
        </w:rPr>
        <w:t>la investigación científica sobre las propiedades de otro tipo de sustancias psicoactivas ha sido poco desarrollada a pesar de la existencia de estudios que evidencian</w:t>
      </w:r>
      <w:r w:rsidR="00F30787" w:rsidRPr="00E77A89">
        <w:rPr>
          <w:rFonts w:ascii="Corbel" w:eastAsia="Corbel" w:hAnsi="Corbel" w:cs="Corbel"/>
        </w:rPr>
        <w:t xml:space="preserve"> la utilidad de sustancias como el</w:t>
      </w:r>
      <w:r w:rsidR="00CE0E51" w:rsidRPr="00E77A89">
        <w:rPr>
          <w:rFonts w:ascii="Corbel" w:eastAsia="Corbel" w:hAnsi="Corbel" w:cs="Corbel"/>
        </w:rPr>
        <w:t xml:space="preserve"> MDMA</w:t>
      </w:r>
      <w:r w:rsidR="00CE0E51" w:rsidRPr="00E77A89">
        <w:rPr>
          <w:rStyle w:val="FootnoteReference"/>
          <w:rFonts w:ascii="Corbel" w:eastAsia="Corbel" w:hAnsi="Corbel" w:cs="Corbel"/>
        </w:rPr>
        <w:footnoteReference w:id="20"/>
      </w:r>
      <w:r w:rsidR="00CE0E51" w:rsidRPr="00E77A89">
        <w:rPr>
          <w:rFonts w:ascii="Corbel" w:eastAsia="Corbel" w:hAnsi="Corbel" w:cs="Corbel"/>
        </w:rPr>
        <w:t xml:space="preserve"> como herramienta para asistir psicoterapias para el tratamiento de estrés postraumático, y del LSD por su potencial para ayudar a las personas con una variedad de afecciones, principalmente en el tratamiento de la ansiedad</w:t>
      </w:r>
      <w:r w:rsidR="00CE0E51" w:rsidRPr="00E77A89">
        <w:rPr>
          <w:rStyle w:val="FootnoteReference"/>
          <w:rFonts w:ascii="Corbel" w:eastAsia="Corbel" w:hAnsi="Corbel" w:cs="Corbel"/>
        </w:rPr>
        <w:footnoteReference w:id="21"/>
      </w:r>
      <w:r w:rsidR="00CE0E51" w:rsidRPr="00E77A89">
        <w:rPr>
          <w:rFonts w:ascii="Corbel" w:eastAsia="Corbel" w:hAnsi="Corbel" w:cs="Corbel"/>
        </w:rPr>
        <w:t>.</w:t>
      </w:r>
      <w:r w:rsidR="00197D32" w:rsidRPr="00E77A89">
        <w:rPr>
          <w:rFonts w:ascii="Corbel" w:eastAsia="Corbel" w:hAnsi="Corbel" w:cs="Corbel"/>
        </w:rPr>
        <w:t xml:space="preserve"> </w:t>
      </w:r>
    </w:p>
    <w:p w:rsidR="00EC3872" w:rsidRPr="00CA05A6" w:rsidRDefault="00CA05A6" w:rsidP="00B52F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after="0" w:line="276" w:lineRule="auto"/>
        <w:ind w:right="49"/>
        <w:jc w:val="both"/>
        <w:rPr>
          <w:rFonts w:ascii="Corbel" w:eastAsia="Corbel" w:hAnsi="Corbel" w:cs="Corbel"/>
          <w:b/>
          <w:color w:val="002060"/>
        </w:rPr>
      </w:pPr>
      <w:r w:rsidRPr="00CA05A6">
        <w:rPr>
          <w:rFonts w:ascii="Corbel" w:eastAsia="Corbel" w:hAnsi="Corbel" w:cs="Corbel"/>
          <w:b/>
          <w:color w:val="002060"/>
        </w:rPr>
        <w:t>Recomendaciones:</w:t>
      </w:r>
    </w:p>
    <w:p w:rsidR="00CA05A6" w:rsidRDefault="00CA05A6" w:rsidP="00B52F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after="0" w:line="276" w:lineRule="auto"/>
        <w:ind w:right="49"/>
        <w:jc w:val="both"/>
        <w:rPr>
          <w:rFonts w:ascii="Corbel" w:eastAsia="Corbel" w:hAnsi="Corbel" w:cs="Corbel"/>
        </w:rPr>
      </w:pPr>
    </w:p>
    <w:p w:rsidR="00CA05A6" w:rsidRPr="00E82C20" w:rsidRDefault="00CA05A6" w:rsidP="00B52FF9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after="0" w:line="276" w:lineRule="auto"/>
        <w:ind w:right="49"/>
        <w:jc w:val="both"/>
        <w:rPr>
          <w:rFonts w:ascii="Corbel" w:eastAsia="Corbel" w:hAnsi="Corbel" w:cs="Corbel"/>
        </w:rPr>
      </w:pPr>
      <w:r>
        <w:rPr>
          <w:rFonts w:ascii="Corbel" w:eastAsia="Corbel" w:hAnsi="Corbel" w:cs="Corbel"/>
        </w:rPr>
        <w:t>Qu</w:t>
      </w:r>
      <w:r w:rsidR="00F53A08">
        <w:rPr>
          <w:rFonts w:ascii="Corbel" w:eastAsia="Corbel" w:hAnsi="Corbel" w:cs="Corbel"/>
        </w:rPr>
        <w:t>e</w:t>
      </w:r>
      <w:r>
        <w:rPr>
          <w:rFonts w:ascii="Corbel" w:eastAsia="Corbel" w:hAnsi="Corbel" w:cs="Corbel"/>
        </w:rPr>
        <w:t xml:space="preserve"> el Comité de Derechos Económicos, Sociales y Culturales haga visible la interacción entre el derecho a la ciencia con la generación de evidencia para evaluar la política de drogas vigente a nivel internacional, así como para diseñar e </w:t>
      </w:r>
      <w:r w:rsidR="00DF6343">
        <w:rPr>
          <w:rFonts w:ascii="Corbel" w:eastAsia="Corbel" w:hAnsi="Corbel" w:cs="Corbel"/>
        </w:rPr>
        <w:t xml:space="preserve">implementar nuevas </w:t>
      </w:r>
      <w:r>
        <w:rPr>
          <w:rFonts w:ascii="Corbel" w:eastAsia="Corbel" w:hAnsi="Corbel" w:cs="Corbel"/>
        </w:rPr>
        <w:t>políticas de drogas con enfoque de de</w:t>
      </w:r>
      <w:r w:rsidRPr="00E82C20">
        <w:rPr>
          <w:rFonts w:ascii="Corbel" w:eastAsia="Corbel" w:hAnsi="Corbel" w:cs="Corbel"/>
        </w:rPr>
        <w:t>rechos.</w:t>
      </w:r>
    </w:p>
    <w:p w:rsidR="00CA05A6" w:rsidRDefault="00CA05A6" w:rsidP="00B52FF9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after="0" w:line="276" w:lineRule="auto"/>
        <w:ind w:right="49"/>
        <w:jc w:val="both"/>
        <w:rPr>
          <w:rFonts w:ascii="Corbel" w:eastAsia="Corbel" w:hAnsi="Corbel" w:cs="Corbel"/>
        </w:rPr>
      </w:pPr>
    </w:p>
    <w:p w:rsidR="00CA05A6" w:rsidRDefault="00CA05A6" w:rsidP="00B52FF9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after="0" w:line="276" w:lineRule="auto"/>
        <w:ind w:right="49"/>
        <w:jc w:val="both"/>
        <w:rPr>
          <w:rFonts w:ascii="Corbel" w:eastAsia="Corbel" w:hAnsi="Corbel" w:cs="Corbel"/>
        </w:rPr>
      </w:pPr>
      <w:r>
        <w:rPr>
          <w:rFonts w:ascii="Corbel" w:eastAsia="Corbel" w:hAnsi="Corbel" w:cs="Corbel"/>
        </w:rPr>
        <w:t xml:space="preserve">Instar a los Estados y al sistema internacional de fiscalización de drogas a materializar la excepción </w:t>
      </w:r>
      <w:r w:rsidRPr="00F53A08">
        <w:rPr>
          <w:rFonts w:ascii="Corbel" w:eastAsia="Corbel" w:hAnsi="Corbel" w:cs="Corbel"/>
          <w:i/>
        </w:rPr>
        <w:t xml:space="preserve">“fin </w:t>
      </w:r>
      <w:r w:rsidR="00E9218E" w:rsidRPr="00F53A08">
        <w:rPr>
          <w:rFonts w:ascii="Corbel" w:eastAsia="Corbel" w:hAnsi="Corbel" w:cs="Corbel"/>
          <w:i/>
        </w:rPr>
        <w:t>científico”</w:t>
      </w:r>
      <w:r w:rsidR="00E9218E">
        <w:rPr>
          <w:rFonts w:ascii="Corbel" w:eastAsia="Corbel" w:hAnsi="Corbel" w:cs="Corbel"/>
        </w:rPr>
        <w:t xml:space="preserve"> dentro de las Convenciones Internacionales en materia de drogas para</w:t>
      </w:r>
      <w:r>
        <w:rPr>
          <w:rFonts w:ascii="Corbel" w:eastAsia="Corbel" w:hAnsi="Corbel" w:cs="Corbel"/>
        </w:rPr>
        <w:t xml:space="preserve"> p</w:t>
      </w:r>
      <w:r w:rsidR="00E9218E">
        <w:rPr>
          <w:rFonts w:ascii="Corbel" w:eastAsia="Corbel" w:hAnsi="Corbel" w:cs="Corbel"/>
        </w:rPr>
        <w:t xml:space="preserve">oder generar evidencia sólida sobre los componentes y efectos de las </w:t>
      </w:r>
      <w:r>
        <w:rPr>
          <w:rFonts w:ascii="Corbel" w:eastAsia="Corbel" w:hAnsi="Corbel" w:cs="Corbel"/>
        </w:rPr>
        <w:t xml:space="preserve">plantas declaradas ilícitas y sustancias psicoactivas prohibidas por las Convenciones Internacionales en la materia. </w:t>
      </w:r>
      <w:r w:rsidR="00E82C20">
        <w:rPr>
          <w:rFonts w:ascii="Corbel" w:eastAsia="Corbel" w:hAnsi="Corbel" w:cs="Corbel"/>
        </w:rPr>
        <w:t xml:space="preserve"> Así como a garantizar la publicidad y difusión de las investigaciones en la materia.</w:t>
      </w:r>
    </w:p>
    <w:p w:rsidR="00CA05A6" w:rsidRPr="00CA05A6" w:rsidRDefault="00CA05A6" w:rsidP="00B52FF9">
      <w:pPr>
        <w:pStyle w:val="ListParagraph"/>
        <w:spacing w:line="276" w:lineRule="auto"/>
        <w:rPr>
          <w:rFonts w:ascii="Corbel" w:eastAsia="Corbel" w:hAnsi="Corbel" w:cs="Corbel"/>
        </w:rPr>
      </w:pPr>
    </w:p>
    <w:p w:rsidR="00CA05A6" w:rsidRPr="00CA05A6" w:rsidRDefault="00CA05A6" w:rsidP="00B52FF9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after="0" w:line="276" w:lineRule="auto"/>
        <w:ind w:right="49"/>
        <w:jc w:val="both"/>
        <w:rPr>
          <w:rFonts w:ascii="Corbel" w:eastAsia="Corbel" w:hAnsi="Corbel" w:cs="Corbel"/>
        </w:rPr>
      </w:pPr>
      <w:r>
        <w:rPr>
          <w:rFonts w:ascii="Corbel" w:eastAsia="Corbel" w:hAnsi="Corbel" w:cs="Corbel"/>
        </w:rPr>
        <w:t>Exhortar a los Estados a fortalecer</w:t>
      </w:r>
      <w:r w:rsidR="00E9218E">
        <w:rPr>
          <w:rFonts w:ascii="Corbel" w:eastAsia="Corbel" w:hAnsi="Corbel" w:cs="Corbel"/>
        </w:rPr>
        <w:t xml:space="preserve"> en materia de recursos y capacidades,</w:t>
      </w:r>
      <w:r>
        <w:rPr>
          <w:rFonts w:ascii="Corbel" w:eastAsia="Corbel" w:hAnsi="Corbel" w:cs="Corbel"/>
        </w:rPr>
        <w:t xml:space="preserve"> los procesos de investigación a nivel interno sobre las potencialidades de plantas</w:t>
      </w:r>
      <w:r w:rsidR="00E82C20">
        <w:rPr>
          <w:rFonts w:ascii="Corbel" w:eastAsia="Corbel" w:hAnsi="Corbel" w:cs="Corbel"/>
        </w:rPr>
        <w:t xml:space="preserve"> declaradas ilícitas y sustancias psicoactivas</w:t>
      </w:r>
      <w:r>
        <w:rPr>
          <w:rFonts w:ascii="Corbel" w:eastAsia="Corbel" w:hAnsi="Corbel" w:cs="Corbel"/>
        </w:rPr>
        <w:t>, a fin de generar alternativas que aporten a la garantía del derecho a la salud física y psíquica de las personas.</w:t>
      </w:r>
    </w:p>
    <w:p w:rsidR="00CE0E51" w:rsidRPr="00E77A89" w:rsidRDefault="00CE0E51" w:rsidP="00B52F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after="0" w:line="276" w:lineRule="auto"/>
        <w:ind w:right="474"/>
        <w:jc w:val="both"/>
        <w:rPr>
          <w:rFonts w:ascii="Corbel" w:eastAsia="Corbel" w:hAnsi="Corbel" w:cs="Corbel"/>
        </w:rPr>
      </w:pPr>
    </w:p>
    <w:p w:rsidR="002E144B" w:rsidRDefault="002E144B" w:rsidP="00B52F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after="0" w:line="276" w:lineRule="auto"/>
        <w:ind w:right="474"/>
        <w:jc w:val="both"/>
        <w:rPr>
          <w:rFonts w:ascii="Corbel" w:eastAsia="Corbel" w:hAnsi="Corbel" w:cs="Corbel"/>
        </w:rPr>
      </w:pPr>
    </w:p>
    <w:p w:rsidR="00DA2426" w:rsidRDefault="00DA2426" w:rsidP="00B52F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after="0" w:line="276" w:lineRule="auto"/>
        <w:ind w:right="474"/>
        <w:jc w:val="both"/>
        <w:rPr>
          <w:rFonts w:ascii="Corbel" w:eastAsia="Corbel" w:hAnsi="Corbel" w:cs="Corbel"/>
        </w:rPr>
      </w:pPr>
    </w:p>
    <w:p w:rsidR="00DA2426" w:rsidRDefault="00DA2426" w:rsidP="00B52F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after="0" w:line="276" w:lineRule="auto"/>
        <w:ind w:right="474"/>
        <w:jc w:val="both"/>
        <w:rPr>
          <w:rFonts w:ascii="Corbel" w:eastAsia="Corbel" w:hAnsi="Corbel" w:cs="Corbel"/>
        </w:rPr>
      </w:pPr>
      <w:r>
        <w:rPr>
          <w:rFonts w:ascii="Corbel" w:eastAsia="Corbel" w:hAnsi="Corbel" w:cs="Corbel"/>
        </w:rPr>
        <w:t>Con el acostumbrado respeto,</w:t>
      </w:r>
    </w:p>
    <w:p w:rsidR="00DA2426" w:rsidRDefault="00DA2426" w:rsidP="00B52F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after="0" w:line="276" w:lineRule="auto"/>
        <w:ind w:right="474"/>
        <w:jc w:val="both"/>
        <w:rPr>
          <w:rFonts w:ascii="Corbel" w:eastAsia="Corbel" w:hAnsi="Corbel" w:cs="Corbel"/>
        </w:rPr>
      </w:pPr>
    </w:p>
    <w:p w:rsidR="00DA2426" w:rsidRDefault="00DA2426" w:rsidP="00B52F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after="0" w:line="276" w:lineRule="auto"/>
        <w:ind w:right="474"/>
        <w:jc w:val="both"/>
        <w:rPr>
          <w:rFonts w:ascii="Corbel" w:eastAsia="Corbel" w:hAnsi="Corbel" w:cs="Corbel"/>
        </w:rPr>
      </w:pPr>
    </w:p>
    <w:p w:rsidR="00DA2426" w:rsidRDefault="00DA2426" w:rsidP="00B52F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after="0" w:line="276" w:lineRule="auto"/>
        <w:ind w:right="474"/>
        <w:jc w:val="both"/>
        <w:rPr>
          <w:rFonts w:ascii="Corbel" w:eastAsia="Corbel" w:hAnsi="Corbel" w:cs="Corbel"/>
        </w:rPr>
      </w:pPr>
    </w:p>
    <w:p w:rsidR="00DA2426" w:rsidRDefault="00DA2426" w:rsidP="00B52F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after="0" w:line="276" w:lineRule="auto"/>
        <w:ind w:right="474"/>
        <w:jc w:val="both"/>
        <w:rPr>
          <w:rFonts w:ascii="Corbel" w:eastAsia="Corbel" w:hAnsi="Corbel" w:cs="Corbel"/>
        </w:rPr>
      </w:pPr>
    </w:p>
    <w:p w:rsidR="00DA2426" w:rsidRPr="00C03590" w:rsidRDefault="00DA2426" w:rsidP="00B52F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after="0" w:line="276" w:lineRule="auto"/>
        <w:ind w:right="474"/>
        <w:jc w:val="both"/>
        <w:rPr>
          <w:rFonts w:ascii="Corbel" w:hAnsi="Corbel"/>
          <w:b/>
          <w:smallCaps/>
          <w:color w:val="002060"/>
          <w:sz w:val="24"/>
        </w:rPr>
      </w:pPr>
      <w:r w:rsidRPr="00C03590">
        <w:rPr>
          <w:rFonts w:ascii="Corbel" w:hAnsi="Corbel"/>
          <w:b/>
          <w:smallCaps/>
          <w:color w:val="002060"/>
          <w:sz w:val="24"/>
        </w:rPr>
        <w:t>Elementa, Consultoría en Derechos</w:t>
      </w:r>
    </w:p>
    <w:p w:rsidR="00DA2426" w:rsidRPr="00C03590" w:rsidRDefault="00F90A29" w:rsidP="00B52F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after="0" w:line="276" w:lineRule="auto"/>
        <w:ind w:right="474"/>
        <w:jc w:val="both"/>
        <w:rPr>
          <w:rFonts w:ascii="Corbel" w:eastAsia="Corbel" w:hAnsi="Corbel" w:cs="Corbel"/>
          <w:sz w:val="24"/>
        </w:rPr>
      </w:pPr>
      <w:hyperlink r:id="rId8" w:history="1">
        <w:r w:rsidR="00DA2426" w:rsidRPr="00C03590">
          <w:rPr>
            <w:rStyle w:val="Hyperlink"/>
            <w:rFonts w:ascii="Corbel" w:eastAsia="Corbel" w:hAnsi="Corbel" w:cs="Corbel"/>
            <w:sz w:val="24"/>
          </w:rPr>
          <w:t>www.elementa.co</w:t>
        </w:r>
      </w:hyperlink>
    </w:p>
    <w:p w:rsidR="00DA2426" w:rsidRPr="00E77A89" w:rsidRDefault="00DA2426" w:rsidP="00B52F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after="0" w:line="276" w:lineRule="auto"/>
        <w:ind w:right="474"/>
        <w:jc w:val="both"/>
        <w:rPr>
          <w:rFonts w:ascii="Corbel" w:eastAsia="Corbel" w:hAnsi="Corbel" w:cs="Corbel"/>
        </w:rPr>
      </w:pPr>
    </w:p>
    <w:sectPr w:rsidR="00DA2426" w:rsidRPr="00E77A89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DA3" w:rsidRDefault="00954DA3" w:rsidP="00163A20">
      <w:pPr>
        <w:spacing w:after="0" w:line="240" w:lineRule="auto"/>
      </w:pPr>
      <w:r>
        <w:separator/>
      </w:r>
    </w:p>
  </w:endnote>
  <w:endnote w:type="continuationSeparator" w:id="0">
    <w:p w:rsidR="00954DA3" w:rsidRDefault="00954DA3" w:rsidP="00163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DA3" w:rsidRDefault="00954DA3" w:rsidP="00163A20">
      <w:pPr>
        <w:spacing w:after="0" w:line="240" w:lineRule="auto"/>
      </w:pPr>
      <w:r>
        <w:separator/>
      </w:r>
    </w:p>
  </w:footnote>
  <w:footnote w:type="continuationSeparator" w:id="0">
    <w:p w:rsidR="00954DA3" w:rsidRDefault="00954DA3" w:rsidP="00163A20">
      <w:pPr>
        <w:spacing w:after="0" w:line="240" w:lineRule="auto"/>
      </w:pPr>
      <w:r>
        <w:continuationSeparator/>
      </w:r>
    </w:p>
  </w:footnote>
  <w:footnote w:id="1">
    <w:p w:rsidR="002B5419" w:rsidRDefault="005F375B" w:rsidP="00C03590">
      <w:pPr>
        <w:pStyle w:val="FootnoteText"/>
        <w:jc w:val="both"/>
        <w:rPr>
          <w:rFonts w:ascii="Corbel" w:hAnsi="Corbel"/>
        </w:rPr>
      </w:pPr>
      <w:r w:rsidRPr="00E77A89">
        <w:rPr>
          <w:rStyle w:val="FootnoteReference"/>
          <w:rFonts w:ascii="Corbel" w:hAnsi="Corbel"/>
        </w:rPr>
        <w:footnoteRef/>
      </w:r>
      <w:r w:rsidRPr="00E77A89">
        <w:rPr>
          <w:rFonts w:ascii="Corbel" w:hAnsi="Corbel"/>
        </w:rPr>
        <w:t xml:space="preserve"> ONU, Asamblea General Informe de la Relatora Especial sobre los derechos culturales, Farida Shaheed. “Derecho a gozar de los beneficios del progreso científico”, A/ HRC/20/26 de 14 de mayo de 2012, párr. 24. Disponible en:</w:t>
      </w:r>
    </w:p>
    <w:p w:rsidR="005F375B" w:rsidRPr="00E77A89" w:rsidRDefault="00F90A29" w:rsidP="00C03590">
      <w:pPr>
        <w:pStyle w:val="FootnoteText"/>
        <w:jc w:val="both"/>
        <w:rPr>
          <w:rFonts w:ascii="Corbel" w:hAnsi="Corbel"/>
        </w:rPr>
      </w:pPr>
      <w:hyperlink r:id="rId1" w:history="1">
        <w:r w:rsidR="00E82FF6" w:rsidRPr="00CF0D7C">
          <w:rPr>
            <w:rStyle w:val="Hyperlink"/>
            <w:rFonts w:ascii="Corbel" w:hAnsi="Corbel"/>
          </w:rPr>
          <w:t>https://documents-dds-ny.un.org/doc/UNDOC/GEN/G12/134/94/PDF/G1213494.pdf?OpenElement</w:t>
        </w:r>
      </w:hyperlink>
      <w:r w:rsidR="00E82FF6">
        <w:rPr>
          <w:rFonts w:ascii="Corbel" w:hAnsi="Corbel"/>
        </w:rPr>
        <w:t xml:space="preserve"> </w:t>
      </w:r>
    </w:p>
  </w:footnote>
  <w:footnote w:id="2">
    <w:p w:rsidR="00163A20" w:rsidRPr="00E77A89" w:rsidRDefault="00163A20" w:rsidP="00C03590">
      <w:pPr>
        <w:pStyle w:val="FootnoteText"/>
        <w:spacing w:line="276" w:lineRule="auto"/>
        <w:jc w:val="both"/>
        <w:rPr>
          <w:rFonts w:ascii="Corbel" w:hAnsi="Corbel"/>
        </w:rPr>
      </w:pPr>
      <w:r w:rsidRPr="00E77A89">
        <w:rPr>
          <w:rStyle w:val="FootnoteReference"/>
          <w:rFonts w:ascii="Corbel" w:hAnsi="Corbel"/>
        </w:rPr>
        <w:footnoteRef/>
      </w:r>
      <w:r w:rsidRPr="00E77A89">
        <w:rPr>
          <w:rFonts w:ascii="Corbel" w:hAnsi="Corbel"/>
        </w:rPr>
        <w:t xml:space="preserve"> Artículo 27, DUDH: 1. Toda persona tiene derecho a tomar parte libremente en la vida cultural de la comunidad, a gozar de las artes y a participar en el progreso científico y en los beneficios que de él resulten.</w:t>
      </w:r>
    </w:p>
  </w:footnote>
  <w:footnote w:id="3">
    <w:p w:rsidR="00163A20" w:rsidRPr="00E77A89" w:rsidRDefault="00163A20" w:rsidP="00C03590">
      <w:pPr>
        <w:pStyle w:val="FootnoteText"/>
        <w:spacing w:line="276" w:lineRule="auto"/>
        <w:jc w:val="both"/>
        <w:rPr>
          <w:rFonts w:ascii="Corbel" w:hAnsi="Corbel"/>
        </w:rPr>
      </w:pPr>
      <w:r w:rsidRPr="00E77A89">
        <w:rPr>
          <w:rStyle w:val="FootnoteReference"/>
          <w:rFonts w:ascii="Corbel" w:hAnsi="Corbel"/>
        </w:rPr>
        <w:footnoteRef/>
      </w:r>
      <w:r w:rsidRPr="00E77A89">
        <w:rPr>
          <w:rFonts w:ascii="Corbel" w:hAnsi="Corbel"/>
        </w:rPr>
        <w:t xml:space="preserve"> Artículo 15</w:t>
      </w:r>
      <w:r w:rsidR="005F375B" w:rsidRPr="00E77A89">
        <w:rPr>
          <w:rFonts w:ascii="Corbel" w:hAnsi="Corbel"/>
        </w:rPr>
        <w:t xml:space="preserve">, PIDESC: </w:t>
      </w:r>
      <w:r w:rsidRPr="00E77A89">
        <w:rPr>
          <w:rFonts w:ascii="Corbel" w:hAnsi="Corbel"/>
        </w:rPr>
        <w:t>1. Los Estados Partes en el presente Pacto reconocen el derecho de toda persona a:</w:t>
      </w:r>
    </w:p>
    <w:p w:rsidR="00163A20" w:rsidRPr="00E77A89" w:rsidRDefault="00163A20" w:rsidP="00C03590">
      <w:pPr>
        <w:pStyle w:val="FootnoteText"/>
        <w:spacing w:line="276" w:lineRule="auto"/>
        <w:jc w:val="both"/>
        <w:rPr>
          <w:rFonts w:ascii="Corbel" w:hAnsi="Corbel"/>
        </w:rPr>
      </w:pPr>
      <w:r w:rsidRPr="00E77A89">
        <w:rPr>
          <w:rFonts w:ascii="Corbel" w:hAnsi="Corbel"/>
        </w:rPr>
        <w:t>a) Participar en la vida cultural;</w:t>
      </w:r>
    </w:p>
    <w:p w:rsidR="00163A20" w:rsidRPr="00E82FF6" w:rsidRDefault="00163A20" w:rsidP="00C03590">
      <w:pPr>
        <w:pStyle w:val="FootnoteText"/>
        <w:spacing w:line="276" w:lineRule="auto"/>
        <w:jc w:val="both"/>
        <w:rPr>
          <w:rFonts w:ascii="Corbel" w:hAnsi="Corbel"/>
          <w:b/>
          <w:u w:val="single"/>
        </w:rPr>
      </w:pPr>
      <w:r w:rsidRPr="00E82FF6">
        <w:rPr>
          <w:rFonts w:ascii="Corbel" w:hAnsi="Corbel"/>
          <w:b/>
          <w:u w:val="single"/>
        </w:rPr>
        <w:t>b) Gozar de los beneficios del progreso científico y de sus aplicaciones;</w:t>
      </w:r>
    </w:p>
    <w:p w:rsidR="00163A20" w:rsidRPr="00E77A89" w:rsidRDefault="00163A20" w:rsidP="00C03590">
      <w:pPr>
        <w:pStyle w:val="FootnoteText"/>
        <w:spacing w:line="276" w:lineRule="auto"/>
        <w:jc w:val="both"/>
        <w:rPr>
          <w:rFonts w:ascii="Corbel" w:hAnsi="Corbel"/>
        </w:rPr>
      </w:pPr>
      <w:r w:rsidRPr="00E77A89">
        <w:rPr>
          <w:rFonts w:ascii="Corbel" w:hAnsi="Corbel"/>
        </w:rPr>
        <w:t>c) Beneficiarse de la protección de los intereses morales y materiales que le correspondan por razón de las producciones científicas, literarias o artísticas de que sea autora.</w:t>
      </w:r>
    </w:p>
    <w:p w:rsidR="00163A20" w:rsidRPr="00E77A89" w:rsidRDefault="00163A20" w:rsidP="00C03590">
      <w:pPr>
        <w:pStyle w:val="FootnoteText"/>
        <w:spacing w:line="276" w:lineRule="auto"/>
        <w:jc w:val="both"/>
        <w:rPr>
          <w:rFonts w:ascii="Corbel" w:hAnsi="Corbel"/>
        </w:rPr>
      </w:pPr>
      <w:r w:rsidRPr="00E77A89">
        <w:rPr>
          <w:rFonts w:ascii="Corbel" w:hAnsi="Corbel"/>
        </w:rPr>
        <w:t>2. Entre las medidas que los Estados Partes en el presente Pacto deberán adoptar para asegurar el pleno ejercicio de este derecho, figurarán las necesarias para la conservación, el desarrollo y la difusión de la ciencia y de la cultura.</w:t>
      </w:r>
    </w:p>
    <w:p w:rsidR="00163A20" w:rsidRPr="00E77A89" w:rsidRDefault="00163A20" w:rsidP="00C03590">
      <w:pPr>
        <w:pStyle w:val="FootnoteText"/>
        <w:spacing w:line="276" w:lineRule="auto"/>
        <w:jc w:val="both"/>
        <w:rPr>
          <w:rFonts w:ascii="Corbel" w:hAnsi="Corbel"/>
        </w:rPr>
      </w:pPr>
      <w:r w:rsidRPr="00E77A89">
        <w:rPr>
          <w:rFonts w:ascii="Corbel" w:hAnsi="Corbel"/>
        </w:rPr>
        <w:t>3. Los Estados Partes en el presente Pacto se comprometen a respetar la indispensable libertad para la investigación científica y para la actividad creadora.</w:t>
      </w:r>
    </w:p>
    <w:p w:rsidR="00163A20" w:rsidRPr="00E77A89" w:rsidRDefault="00163A20" w:rsidP="00C03590">
      <w:pPr>
        <w:pStyle w:val="FootnoteText"/>
        <w:spacing w:line="276" w:lineRule="auto"/>
        <w:jc w:val="both"/>
        <w:rPr>
          <w:rFonts w:ascii="Corbel" w:hAnsi="Corbel"/>
        </w:rPr>
      </w:pPr>
      <w:r w:rsidRPr="00E77A89">
        <w:rPr>
          <w:rFonts w:ascii="Corbel" w:hAnsi="Corbel"/>
        </w:rPr>
        <w:t>4. Los Estados Partes en el presente Pacto reconocen los beneficios que derivan del fomento y desarrollo de la cooperación y de las relaciones internacionales en cuestiones científicas y culturales</w:t>
      </w:r>
      <w:r w:rsidRPr="00E77A89">
        <w:rPr>
          <w:rFonts w:ascii="Corbel" w:hAnsi="Corbel"/>
          <w:i/>
        </w:rPr>
        <w:t>.</w:t>
      </w:r>
    </w:p>
  </w:footnote>
  <w:footnote w:id="4">
    <w:p w:rsidR="00F53A08" w:rsidRDefault="00DA4BC1" w:rsidP="00C03590">
      <w:pPr>
        <w:pStyle w:val="FootnoteText"/>
        <w:jc w:val="both"/>
        <w:rPr>
          <w:rFonts w:ascii="Corbel" w:hAnsi="Corbel"/>
        </w:rPr>
      </w:pPr>
      <w:r w:rsidRPr="00E77A89">
        <w:rPr>
          <w:rStyle w:val="FootnoteReference"/>
          <w:rFonts w:ascii="Corbel" w:hAnsi="Corbel"/>
        </w:rPr>
        <w:footnoteRef/>
      </w:r>
      <w:r w:rsidRPr="00E77A89">
        <w:rPr>
          <w:rFonts w:ascii="Corbel" w:hAnsi="Corbel"/>
        </w:rPr>
        <w:t xml:space="preserve"> ONU, Asamblea General Informe de la Relatora Especial sobre los derechos culturales, Farida Shaheed. “Derecho a gozar de los beneficios del progreso científico”, A/ HRC/20/26 de 14 de mayo de 2012, párrs. 45-48. Dispo</w:t>
      </w:r>
      <w:r w:rsidR="00D379C0" w:rsidRPr="00E77A89">
        <w:rPr>
          <w:rFonts w:ascii="Corbel" w:hAnsi="Corbel"/>
        </w:rPr>
        <w:t>nible en:</w:t>
      </w:r>
    </w:p>
    <w:p w:rsidR="00DA4BC1" w:rsidRPr="00E77A89" w:rsidRDefault="00F90A29" w:rsidP="00C03590">
      <w:pPr>
        <w:pStyle w:val="FootnoteText"/>
        <w:jc w:val="both"/>
        <w:rPr>
          <w:rFonts w:ascii="Corbel" w:hAnsi="Corbel"/>
        </w:rPr>
      </w:pPr>
      <w:hyperlink r:id="rId2" w:history="1">
        <w:r w:rsidR="00E82FF6" w:rsidRPr="00CF0D7C">
          <w:rPr>
            <w:rStyle w:val="Hyperlink"/>
            <w:rFonts w:ascii="Corbel" w:hAnsi="Corbel"/>
          </w:rPr>
          <w:t>https://documents-dds-ny.un.org/doc/UNDOC/GEN/G12/134/94/PDF/G1213494.pdf?OpenElement</w:t>
        </w:r>
      </w:hyperlink>
      <w:r w:rsidR="00E82FF6">
        <w:rPr>
          <w:rFonts w:ascii="Corbel" w:hAnsi="Corbel"/>
        </w:rPr>
        <w:t xml:space="preserve"> </w:t>
      </w:r>
    </w:p>
  </w:footnote>
  <w:footnote w:id="5">
    <w:p w:rsidR="00163A20" w:rsidRPr="00E77A89" w:rsidRDefault="00163A20" w:rsidP="00C03590">
      <w:pPr>
        <w:pStyle w:val="FootnoteText"/>
        <w:spacing w:line="276" w:lineRule="auto"/>
        <w:jc w:val="both"/>
        <w:rPr>
          <w:rFonts w:ascii="Corbel" w:hAnsi="Corbel"/>
        </w:rPr>
      </w:pPr>
      <w:r w:rsidRPr="00E77A89">
        <w:rPr>
          <w:rStyle w:val="FootnoteReference"/>
          <w:rFonts w:ascii="Corbel" w:hAnsi="Corbel"/>
        </w:rPr>
        <w:footnoteRef/>
      </w:r>
      <w:r w:rsidRPr="00E77A89">
        <w:rPr>
          <w:rFonts w:ascii="Corbel" w:hAnsi="Corbel"/>
        </w:rPr>
        <w:t xml:space="preserve"> Artículo 38. Los Estados miembros difundirán entre sí los beneficios de la ciencia y de la tecnología, promoviendo, de acuerdo con los tratados vigentes y leyes nacionales, el intercambio y el aprovechamiento de los conocimientos científicos y técnicos.</w:t>
      </w:r>
    </w:p>
  </w:footnote>
  <w:footnote w:id="6">
    <w:p w:rsidR="00163A20" w:rsidRPr="00E77A89" w:rsidRDefault="00163A20" w:rsidP="00C03590">
      <w:pPr>
        <w:pStyle w:val="FootnoteText"/>
        <w:spacing w:line="276" w:lineRule="auto"/>
        <w:jc w:val="both"/>
        <w:rPr>
          <w:rFonts w:ascii="Corbel" w:hAnsi="Corbel"/>
        </w:rPr>
      </w:pPr>
      <w:r w:rsidRPr="00E77A89">
        <w:rPr>
          <w:rStyle w:val="FootnoteReference"/>
          <w:rFonts w:ascii="Corbel" w:hAnsi="Corbel"/>
        </w:rPr>
        <w:footnoteRef/>
      </w:r>
      <w:r w:rsidRPr="00E77A89">
        <w:rPr>
          <w:rFonts w:ascii="Corbel" w:hAnsi="Corbel"/>
        </w:rPr>
        <w:t xml:space="preserve"> Artículo XIII. Toda persona tiene el derecho de participar en la vida cultural de la comunidad, gozar de las artes y disfrutar de los beneficios que resulten de los progresos intelectuales y especialmente de los descubrimientos científicos. Tiene asimismo derecho a la protección de los intereses morales y materiales que le correspondan por razón de los inventos, obras literarias, científicas y artísticas de que sea autor.</w:t>
      </w:r>
    </w:p>
  </w:footnote>
  <w:footnote w:id="7">
    <w:p w:rsidR="00163A20" w:rsidRPr="00E77A89" w:rsidRDefault="00163A20" w:rsidP="00C03590">
      <w:pPr>
        <w:pStyle w:val="FootnoteText"/>
        <w:spacing w:line="276" w:lineRule="auto"/>
        <w:jc w:val="both"/>
        <w:rPr>
          <w:rFonts w:ascii="Corbel" w:hAnsi="Corbel"/>
          <w:lang w:val="es-ES_tradnl"/>
        </w:rPr>
      </w:pPr>
      <w:r w:rsidRPr="00E77A89">
        <w:rPr>
          <w:rStyle w:val="FootnoteReference"/>
          <w:rFonts w:ascii="Corbel" w:hAnsi="Corbel"/>
        </w:rPr>
        <w:footnoteRef/>
      </w:r>
      <w:r w:rsidRPr="00E77A89">
        <w:rPr>
          <w:rFonts w:ascii="Corbel" w:hAnsi="Corbel"/>
        </w:rPr>
        <w:t xml:space="preserve"> </w:t>
      </w:r>
      <w:r w:rsidRPr="00E77A89">
        <w:rPr>
          <w:rFonts w:ascii="Corbel" w:hAnsi="Corbel"/>
          <w:i/>
        </w:rPr>
        <w:t>Véase:</w:t>
      </w:r>
      <w:r w:rsidR="00F13314" w:rsidRPr="00E77A89">
        <w:rPr>
          <w:rFonts w:ascii="Corbel" w:hAnsi="Corbel"/>
        </w:rPr>
        <w:t xml:space="preserve"> </w:t>
      </w:r>
      <w:r w:rsidRPr="00E77A89">
        <w:rPr>
          <w:rFonts w:ascii="Corbel" w:hAnsi="Corbel"/>
        </w:rPr>
        <w:t>Artículo 14.1 inciso b) del Protocolo de San Salvador.</w:t>
      </w:r>
    </w:p>
  </w:footnote>
  <w:footnote w:id="8">
    <w:p w:rsidR="00F53A08" w:rsidRDefault="00EA0416" w:rsidP="00C03590">
      <w:pPr>
        <w:pStyle w:val="FootnoteText"/>
        <w:jc w:val="both"/>
        <w:rPr>
          <w:rFonts w:ascii="Corbel" w:hAnsi="Corbel"/>
        </w:rPr>
      </w:pPr>
      <w:r w:rsidRPr="00E77A89">
        <w:rPr>
          <w:rStyle w:val="FootnoteReference"/>
          <w:rFonts w:ascii="Corbel" w:hAnsi="Corbel"/>
        </w:rPr>
        <w:footnoteRef/>
      </w:r>
      <w:r w:rsidRPr="00E77A89">
        <w:rPr>
          <w:rFonts w:ascii="Corbel" w:hAnsi="Corbel"/>
        </w:rPr>
        <w:t xml:space="preserve"> ONU, Asamblea General Informe de la Relatora Especial sobre los derechos culturales, Farida Shaheed. “Derecho a gozar de los beneficios del progreso científico”, A/ HRC/20/26 de 14 de mayo de 2012, párr. 50. Disponible en:</w:t>
      </w:r>
    </w:p>
    <w:p w:rsidR="00EA0416" w:rsidRPr="00E77A89" w:rsidRDefault="00F90A29" w:rsidP="00C03590">
      <w:pPr>
        <w:pStyle w:val="FootnoteText"/>
        <w:jc w:val="both"/>
        <w:rPr>
          <w:rFonts w:ascii="Corbel" w:hAnsi="Corbel"/>
        </w:rPr>
      </w:pPr>
      <w:hyperlink r:id="rId3" w:history="1">
        <w:r w:rsidR="00E82FF6" w:rsidRPr="00CF0D7C">
          <w:rPr>
            <w:rStyle w:val="Hyperlink"/>
            <w:rFonts w:ascii="Corbel" w:hAnsi="Corbel"/>
          </w:rPr>
          <w:t>https://documents-dds-ny.un.org/doc/UNDOC/GEN/G12/134/94/PDF/G1213494.pdf?OpenElement</w:t>
        </w:r>
      </w:hyperlink>
      <w:r w:rsidR="00E82FF6">
        <w:rPr>
          <w:rFonts w:ascii="Corbel" w:hAnsi="Corbel"/>
        </w:rPr>
        <w:t xml:space="preserve"> </w:t>
      </w:r>
    </w:p>
  </w:footnote>
  <w:footnote w:id="9">
    <w:p w:rsidR="00D379C0" w:rsidRPr="00E77A89" w:rsidRDefault="00D379C0" w:rsidP="00C03590">
      <w:pPr>
        <w:pStyle w:val="FootnoteText"/>
        <w:jc w:val="both"/>
        <w:rPr>
          <w:rFonts w:ascii="Corbel" w:hAnsi="Corbel"/>
        </w:rPr>
      </w:pPr>
      <w:r w:rsidRPr="00E77A89">
        <w:rPr>
          <w:rStyle w:val="FootnoteReference"/>
          <w:rFonts w:ascii="Corbel" w:hAnsi="Corbel"/>
        </w:rPr>
        <w:footnoteRef/>
      </w:r>
      <w:r w:rsidRPr="00E77A89">
        <w:rPr>
          <w:rFonts w:ascii="Corbel" w:hAnsi="Corbel"/>
        </w:rPr>
        <w:t xml:space="preserve"> </w:t>
      </w:r>
      <w:r w:rsidR="00344173" w:rsidRPr="00E77A89">
        <w:rPr>
          <w:rFonts w:ascii="Corbel" w:hAnsi="Corbel"/>
          <w:i/>
        </w:rPr>
        <w:t>Ibídem</w:t>
      </w:r>
      <w:r w:rsidR="00344173" w:rsidRPr="00E77A89">
        <w:rPr>
          <w:rFonts w:ascii="Corbel" w:hAnsi="Corbel"/>
        </w:rPr>
        <w:t xml:space="preserve">, párr. 24. </w:t>
      </w:r>
    </w:p>
  </w:footnote>
  <w:footnote w:id="10">
    <w:p w:rsidR="007A025F" w:rsidRPr="00DF6343" w:rsidRDefault="007A025F" w:rsidP="00C03590">
      <w:pPr>
        <w:pStyle w:val="FootnoteText"/>
        <w:jc w:val="both"/>
        <w:rPr>
          <w:rFonts w:ascii="Corbel" w:hAnsi="Corbel"/>
        </w:rPr>
      </w:pPr>
      <w:r w:rsidRPr="00DF6343">
        <w:rPr>
          <w:rStyle w:val="FootnoteReference"/>
          <w:rFonts w:ascii="Corbel" w:hAnsi="Corbel"/>
        </w:rPr>
        <w:footnoteRef/>
      </w:r>
      <w:r w:rsidRPr="00DF6343">
        <w:rPr>
          <w:rFonts w:ascii="Corbel" w:hAnsi="Corbel"/>
        </w:rPr>
        <w:t xml:space="preserve"> </w:t>
      </w:r>
      <w:r w:rsidR="00B83CEF" w:rsidRPr="00DF6343">
        <w:rPr>
          <w:rFonts w:ascii="Corbel" w:hAnsi="Corbel"/>
          <w:i/>
        </w:rPr>
        <w:t>Ibídem</w:t>
      </w:r>
      <w:r w:rsidR="00B83CEF" w:rsidRPr="00DF6343">
        <w:rPr>
          <w:rFonts w:ascii="Corbel" w:hAnsi="Corbel"/>
        </w:rPr>
        <w:t xml:space="preserve">, párr. 21. </w:t>
      </w:r>
    </w:p>
  </w:footnote>
  <w:footnote w:id="11">
    <w:p w:rsidR="008764AF" w:rsidRPr="002B5419" w:rsidRDefault="008764AF" w:rsidP="00C03590">
      <w:pPr>
        <w:pStyle w:val="FootnoteText"/>
        <w:jc w:val="both"/>
        <w:rPr>
          <w:rFonts w:ascii="Corbel" w:hAnsi="Corbel"/>
          <w:lang w:val="en-US"/>
        </w:rPr>
      </w:pPr>
      <w:r w:rsidRPr="00DF6343">
        <w:rPr>
          <w:rStyle w:val="FootnoteReference"/>
          <w:rFonts w:ascii="Corbel" w:hAnsi="Corbel"/>
        </w:rPr>
        <w:footnoteRef/>
      </w:r>
      <w:r w:rsidRPr="00DF6343">
        <w:rPr>
          <w:rFonts w:ascii="Corbel" w:hAnsi="Corbel"/>
        </w:rPr>
        <w:t xml:space="preserve"> </w:t>
      </w:r>
      <w:r w:rsidR="00B83CEF" w:rsidRPr="00DF6343">
        <w:rPr>
          <w:rFonts w:ascii="Corbel" w:hAnsi="Corbel"/>
          <w:i/>
        </w:rPr>
        <w:t>Ibídem,</w:t>
      </w:r>
      <w:r w:rsidR="00B83CEF" w:rsidRPr="00DF6343">
        <w:rPr>
          <w:rFonts w:ascii="Corbel" w:hAnsi="Corbel"/>
        </w:rPr>
        <w:t xml:space="preserve"> párr.</w:t>
      </w:r>
      <w:r w:rsidR="00F14913" w:rsidRPr="00DF6343">
        <w:rPr>
          <w:rFonts w:ascii="Corbel" w:hAnsi="Corbel"/>
        </w:rPr>
        <w:t xml:space="preserve"> </w:t>
      </w:r>
      <w:r w:rsidR="00F14913" w:rsidRPr="002B5419">
        <w:rPr>
          <w:rFonts w:ascii="Corbel" w:hAnsi="Corbel"/>
          <w:lang w:val="en-US"/>
        </w:rPr>
        <w:t xml:space="preserve">74. </w:t>
      </w:r>
    </w:p>
  </w:footnote>
  <w:footnote w:id="12">
    <w:p w:rsidR="008764AF" w:rsidRPr="002B5419" w:rsidRDefault="008764AF" w:rsidP="00C03590">
      <w:pPr>
        <w:pStyle w:val="FootnoteText"/>
        <w:jc w:val="both"/>
        <w:rPr>
          <w:rFonts w:ascii="Corbel" w:hAnsi="Corbel"/>
          <w:lang w:val="en-US"/>
        </w:rPr>
      </w:pPr>
      <w:r w:rsidRPr="00DF6343">
        <w:rPr>
          <w:rStyle w:val="FootnoteReference"/>
          <w:rFonts w:ascii="Corbel" w:hAnsi="Corbel"/>
        </w:rPr>
        <w:footnoteRef/>
      </w:r>
      <w:r w:rsidRPr="002B5419">
        <w:rPr>
          <w:rFonts w:ascii="Corbel" w:hAnsi="Corbel"/>
          <w:lang w:val="en-US"/>
        </w:rPr>
        <w:t xml:space="preserve"> </w:t>
      </w:r>
      <w:r w:rsidR="00F14913" w:rsidRPr="002B5419">
        <w:rPr>
          <w:rFonts w:ascii="Corbel" w:hAnsi="Corbel"/>
          <w:i/>
          <w:lang w:val="en-US"/>
        </w:rPr>
        <w:t>Ibídem,</w:t>
      </w:r>
      <w:r w:rsidR="00F14913" w:rsidRPr="002B5419">
        <w:rPr>
          <w:rFonts w:ascii="Corbel" w:hAnsi="Corbel"/>
          <w:lang w:val="en-US"/>
        </w:rPr>
        <w:t xml:space="preserve"> párr. 74. </w:t>
      </w:r>
    </w:p>
  </w:footnote>
  <w:footnote w:id="13">
    <w:p w:rsidR="00E9218E" w:rsidRPr="00DF6343" w:rsidRDefault="00E9218E" w:rsidP="00C03590">
      <w:pPr>
        <w:pStyle w:val="FootnoteText"/>
        <w:jc w:val="both"/>
        <w:rPr>
          <w:rFonts w:ascii="Corbel" w:hAnsi="Corbel"/>
        </w:rPr>
      </w:pPr>
      <w:r w:rsidRPr="00DF6343">
        <w:rPr>
          <w:rStyle w:val="FootnoteReference"/>
          <w:rFonts w:ascii="Corbel" w:hAnsi="Corbel"/>
        </w:rPr>
        <w:footnoteRef/>
      </w:r>
      <w:r w:rsidRPr="002B5419">
        <w:rPr>
          <w:rFonts w:ascii="Corbel" w:hAnsi="Corbel"/>
          <w:lang w:val="en-US"/>
        </w:rPr>
        <w:t xml:space="preserve"> Henman, A., &amp; Meetal, P. (2009). </w:t>
      </w:r>
      <w:r w:rsidRPr="00DF6343">
        <w:rPr>
          <w:rFonts w:ascii="Corbel" w:hAnsi="Corbel"/>
          <w:i/>
          <w:iCs/>
        </w:rPr>
        <w:t xml:space="preserve">Los mitos de la coca. </w:t>
      </w:r>
      <w:r w:rsidR="00DF6343" w:rsidRPr="00DF6343">
        <w:rPr>
          <w:rFonts w:ascii="Corbel" w:hAnsi="Corbel"/>
        </w:rPr>
        <w:t>Ámsterdam</w:t>
      </w:r>
      <w:r w:rsidRPr="00DF6343">
        <w:rPr>
          <w:rFonts w:ascii="Corbel" w:hAnsi="Corbel"/>
        </w:rPr>
        <w:t xml:space="preserve">: Transnational Institute. </w:t>
      </w:r>
      <w:r w:rsidR="00E82FF6">
        <w:rPr>
          <w:rFonts w:ascii="Corbel" w:hAnsi="Corbel"/>
        </w:rPr>
        <w:t xml:space="preserve">Disponible en: </w:t>
      </w:r>
      <w:hyperlink r:id="rId4" w:history="1">
        <w:r w:rsidR="00E82FF6" w:rsidRPr="00CF0D7C">
          <w:rPr>
            <w:rStyle w:val="Hyperlink"/>
            <w:rFonts w:ascii="Corbel" w:hAnsi="Corbel"/>
          </w:rPr>
          <w:t>https://www.tni.org/files/download/losmitosdelacoca.pdf</w:t>
        </w:r>
      </w:hyperlink>
      <w:r w:rsidR="00E82FF6">
        <w:rPr>
          <w:rFonts w:ascii="Corbel" w:hAnsi="Corbel"/>
        </w:rPr>
        <w:t xml:space="preserve"> </w:t>
      </w:r>
    </w:p>
  </w:footnote>
  <w:footnote w:id="14">
    <w:p w:rsidR="00DF6343" w:rsidRDefault="00DF6343" w:rsidP="00C03590">
      <w:pPr>
        <w:pStyle w:val="FootnoteText"/>
        <w:jc w:val="both"/>
      </w:pPr>
      <w:r w:rsidRPr="00DF6343">
        <w:rPr>
          <w:rStyle w:val="FootnoteReference"/>
          <w:rFonts w:ascii="Corbel" w:hAnsi="Corbel"/>
        </w:rPr>
        <w:footnoteRef/>
      </w:r>
      <w:r w:rsidRPr="00DF6343">
        <w:rPr>
          <w:rFonts w:ascii="Corbel" w:hAnsi="Corbel"/>
        </w:rPr>
        <w:t xml:space="preserve"> Artículo de la Convención Única de </w:t>
      </w:r>
      <w:r>
        <w:rPr>
          <w:rFonts w:ascii="Corbel" w:hAnsi="Corbel"/>
        </w:rPr>
        <w:t>1961 sobr</w:t>
      </w:r>
      <w:r w:rsidRPr="00DF6343">
        <w:rPr>
          <w:rFonts w:ascii="Corbel" w:hAnsi="Corbel"/>
        </w:rPr>
        <w:t xml:space="preserve">e </w:t>
      </w:r>
      <w:r>
        <w:rPr>
          <w:rFonts w:ascii="Corbel" w:hAnsi="Corbel"/>
        </w:rPr>
        <w:t>Estupefacientes y</w:t>
      </w:r>
      <w:r w:rsidRPr="00DF6343">
        <w:rPr>
          <w:rFonts w:ascii="Corbel" w:hAnsi="Corbel"/>
        </w:rPr>
        <w:t xml:space="preserve"> Artículo 5 Convenio Sobre </w:t>
      </w:r>
      <w:r>
        <w:rPr>
          <w:rFonts w:ascii="Corbel" w:hAnsi="Corbel"/>
        </w:rPr>
        <w:t>Sustancias Psicotrópicas 1971.</w:t>
      </w:r>
    </w:p>
  </w:footnote>
  <w:footnote w:id="15">
    <w:p w:rsidR="00E82C20" w:rsidRPr="00E77A89" w:rsidRDefault="007A025F" w:rsidP="00C03590">
      <w:pPr>
        <w:pStyle w:val="FootnoteText"/>
        <w:jc w:val="both"/>
        <w:rPr>
          <w:rFonts w:ascii="Corbel" w:hAnsi="Corbel"/>
        </w:rPr>
      </w:pPr>
      <w:r w:rsidRPr="00E77A89">
        <w:rPr>
          <w:rStyle w:val="FootnoteReference"/>
          <w:rFonts w:ascii="Corbel" w:hAnsi="Corbel"/>
        </w:rPr>
        <w:footnoteRef/>
      </w:r>
      <w:r w:rsidRPr="00E77A89">
        <w:rPr>
          <w:rFonts w:ascii="Corbel" w:hAnsi="Corbel"/>
        </w:rPr>
        <w:t xml:space="preserve"> OEA. “El problema de las drogas en las Américas: Estudios. Drogas y Salud Pública”. OEA/ Ser.D/XXXV.</w:t>
      </w:r>
      <w:r w:rsidR="00E9218E">
        <w:rPr>
          <w:rFonts w:ascii="Corbel" w:hAnsi="Corbel"/>
        </w:rPr>
        <w:t xml:space="preserve">4, 2012, pág. 6. </w:t>
      </w:r>
    </w:p>
  </w:footnote>
  <w:footnote w:id="16">
    <w:p w:rsidR="00F53A08" w:rsidRDefault="00A24B1C" w:rsidP="00C03590">
      <w:pPr>
        <w:pStyle w:val="FootnoteText"/>
        <w:jc w:val="both"/>
        <w:rPr>
          <w:rFonts w:ascii="Corbel" w:hAnsi="Corbel"/>
        </w:rPr>
      </w:pPr>
      <w:r w:rsidRPr="00E77A89">
        <w:rPr>
          <w:rStyle w:val="FootnoteReference"/>
          <w:rFonts w:ascii="Corbel" w:hAnsi="Corbel"/>
        </w:rPr>
        <w:footnoteRef/>
      </w:r>
      <w:r w:rsidRPr="00E77A89">
        <w:rPr>
          <w:rFonts w:ascii="Corbel" w:hAnsi="Corbel"/>
        </w:rPr>
        <w:t xml:space="preserve"> Comisión Asesora para la Política de Drogas en Colombia. Lineamientos para </w:t>
      </w:r>
      <w:r w:rsidR="00607A7A" w:rsidRPr="00E77A89">
        <w:rPr>
          <w:rFonts w:ascii="Corbel" w:hAnsi="Corbel"/>
        </w:rPr>
        <w:t>un nuevo enfoque de la política de drogas en Colombia, mayo de 2015, Pág. 12</w:t>
      </w:r>
      <w:r w:rsidRPr="00E77A89">
        <w:rPr>
          <w:rFonts w:ascii="Corbel" w:hAnsi="Corbel"/>
        </w:rPr>
        <w:t xml:space="preserve">. Bogotá D.C.: Comisión Asesora para la Política de Drogas en Colombia. </w:t>
      </w:r>
      <w:r w:rsidR="00607A7A" w:rsidRPr="00E77A89">
        <w:rPr>
          <w:rFonts w:ascii="Corbel" w:hAnsi="Corbel"/>
        </w:rPr>
        <w:t>Disponible en:</w:t>
      </w:r>
    </w:p>
    <w:p w:rsidR="00A24B1C" w:rsidRPr="00E77A89" w:rsidRDefault="00F90A29" w:rsidP="00C03590">
      <w:pPr>
        <w:pStyle w:val="FootnoteText"/>
        <w:jc w:val="both"/>
        <w:rPr>
          <w:rFonts w:ascii="Corbel" w:hAnsi="Corbel"/>
        </w:rPr>
      </w:pPr>
      <w:hyperlink r:id="rId5" w:history="1">
        <w:r w:rsidR="00E82C20" w:rsidRPr="00CF0D7C">
          <w:rPr>
            <w:rStyle w:val="Hyperlink"/>
            <w:rFonts w:ascii="Corbel" w:hAnsi="Corbel"/>
          </w:rPr>
          <w:t>http://www.odc.gov.co/Portals/1/comision_asesora/docs/informe_final_comision_asesora_politica_drogas_colombia.pdf</w:t>
        </w:r>
      </w:hyperlink>
      <w:r w:rsidR="00E82C20">
        <w:rPr>
          <w:rFonts w:ascii="Corbel" w:hAnsi="Corbel"/>
        </w:rPr>
        <w:t xml:space="preserve"> </w:t>
      </w:r>
    </w:p>
  </w:footnote>
  <w:footnote w:id="17">
    <w:p w:rsidR="008C6B6C" w:rsidRPr="00E77A89" w:rsidRDefault="008C6B6C" w:rsidP="00C03590">
      <w:pPr>
        <w:pStyle w:val="FootnoteText"/>
        <w:jc w:val="both"/>
        <w:rPr>
          <w:rFonts w:ascii="Corbel" w:hAnsi="Corbel"/>
        </w:rPr>
      </w:pPr>
      <w:r w:rsidRPr="00E77A89">
        <w:rPr>
          <w:rStyle w:val="FootnoteReference"/>
          <w:rFonts w:ascii="Corbel" w:hAnsi="Corbel"/>
        </w:rPr>
        <w:footnoteRef/>
      </w:r>
      <w:r w:rsidRPr="00E77A89">
        <w:rPr>
          <w:rFonts w:ascii="Corbel" w:hAnsi="Corbel"/>
        </w:rPr>
        <w:t xml:space="preserve"> </w:t>
      </w:r>
      <w:r w:rsidR="00F30787" w:rsidRPr="00E77A89">
        <w:rPr>
          <w:rFonts w:ascii="Corbel" w:hAnsi="Corbel"/>
        </w:rPr>
        <w:t xml:space="preserve">IDPC, Políticas y prácticas sobre cannabis medicinal en el mundo, abril de 2018. Disponible en: </w:t>
      </w:r>
      <w:hyperlink r:id="rId6" w:history="1">
        <w:r w:rsidR="00E82C20" w:rsidRPr="00CF0D7C">
          <w:rPr>
            <w:rStyle w:val="Hyperlink"/>
            <w:rFonts w:ascii="Corbel" w:hAnsi="Corbel"/>
          </w:rPr>
          <w:t>http://fileserver.idpc.net/library/Medicinal%20cannabis%20briefing_SPA_FINAL.PDF</w:t>
        </w:r>
      </w:hyperlink>
      <w:r w:rsidR="00E82C20">
        <w:rPr>
          <w:rFonts w:ascii="Corbel" w:hAnsi="Corbel"/>
        </w:rPr>
        <w:t xml:space="preserve"> </w:t>
      </w:r>
    </w:p>
  </w:footnote>
  <w:footnote w:id="18">
    <w:p w:rsidR="008C6B6C" w:rsidRPr="00E77A89" w:rsidRDefault="008C6B6C" w:rsidP="00C03590">
      <w:pPr>
        <w:pStyle w:val="FootnoteText"/>
        <w:jc w:val="both"/>
        <w:rPr>
          <w:rFonts w:ascii="Corbel" w:hAnsi="Corbel"/>
        </w:rPr>
      </w:pPr>
      <w:r w:rsidRPr="00E77A89">
        <w:rPr>
          <w:rStyle w:val="FootnoteReference"/>
          <w:rFonts w:ascii="Corbel" w:hAnsi="Corbel"/>
        </w:rPr>
        <w:footnoteRef/>
      </w:r>
      <w:r w:rsidRPr="00E77A89">
        <w:rPr>
          <w:rFonts w:ascii="Corbel" w:hAnsi="Corbel"/>
        </w:rPr>
        <w:t xml:space="preserve"> </w:t>
      </w:r>
      <w:r w:rsidR="00F30787" w:rsidRPr="00E77A89">
        <w:rPr>
          <w:rFonts w:ascii="Corbel" w:hAnsi="Corbel"/>
          <w:i/>
        </w:rPr>
        <w:t>Ibídem.</w:t>
      </w:r>
      <w:r w:rsidR="00F30787" w:rsidRPr="00E77A89">
        <w:rPr>
          <w:rFonts w:ascii="Corbel" w:hAnsi="Corbel"/>
        </w:rPr>
        <w:t xml:space="preserve"> </w:t>
      </w:r>
    </w:p>
  </w:footnote>
  <w:footnote w:id="19">
    <w:p w:rsidR="00F53A08" w:rsidRDefault="008909E8" w:rsidP="00C03590">
      <w:pPr>
        <w:pStyle w:val="FootnoteText"/>
        <w:jc w:val="both"/>
        <w:rPr>
          <w:rFonts w:ascii="Corbel" w:hAnsi="Corbel"/>
        </w:rPr>
      </w:pPr>
      <w:r w:rsidRPr="00E77A89">
        <w:rPr>
          <w:rStyle w:val="FootnoteReference"/>
          <w:rFonts w:ascii="Corbel" w:hAnsi="Corbel"/>
        </w:rPr>
        <w:footnoteRef/>
      </w:r>
      <w:r w:rsidRPr="00E77A89">
        <w:rPr>
          <w:rFonts w:ascii="Corbel" w:hAnsi="Corbel"/>
        </w:rPr>
        <w:t xml:space="preserve"> </w:t>
      </w:r>
      <w:r w:rsidR="00C814F1" w:rsidRPr="00E77A89">
        <w:rPr>
          <w:rFonts w:ascii="Corbel" w:hAnsi="Corbel"/>
        </w:rPr>
        <w:t>Usos, impactos y derechos: Posibilidades políticas y jurídicas para la investigación</w:t>
      </w:r>
      <w:r w:rsidR="00EC3872">
        <w:rPr>
          <w:rFonts w:ascii="Corbel" w:hAnsi="Corbel"/>
        </w:rPr>
        <w:t xml:space="preserve"> de la hoja de coca en Colombia. </w:t>
      </w:r>
      <w:r w:rsidR="00EC3872" w:rsidRPr="00E77A89">
        <w:rPr>
          <w:rFonts w:ascii="Corbel" w:hAnsi="Corbel"/>
        </w:rPr>
        <w:t>Ele</w:t>
      </w:r>
      <w:r w:rsidR="00EC3872">
        <w:rPr>
          <w:rFonts w:ascii="Corbel" w:hAnsi="Corbel"/>
        </w:rPr>
        <w:t xml:space="preserve">menta, Consultoría en Derechos, </w:t>
      </w:r>
      <w:r w:rsidR="00C814F1" w:rsidRPr="00E77A89">
        <w:rPr>
          <w:rFonts w:ascii="Corbel" w:hAnsi="Corbel"/>
        </w:rPr>
        <w:t xml:space="preserve">abril de 2018. </w:t>
      </w:r>
      <w:r w:rsidR="00EC3872">
        <w:rPr>
          <w:rFonts w:ascii="Corbel" w:hAnsi="Corbel"/>
        </w:rPr>
        <w:t xml:space="preserve"> Disponible en:</w:t>
      </w:r>
    </w:p>
    <w:p w:rsidR="008909E8" w:rsidRPr="00E77A89" w:rsidRDefault="00F90A29" w:rsidP="00C03590">
      <w:pPr>
        <w:pStyle w:val="FootnoteText"/>
        <w:jc w:val="both"/>
        <w:rPr>
          <w:rFonts w:ascii="Corbel" w:hAnsi="Corbel"/>
        </w:rPr>
      </w:pPr>
      <w:hyperlink r:id="rId7" w:history="1">
        <w:r w:rsidR="00EC3872" w:rsidRPr="00CF0D7C">
          <w:rPr>
            <w:rStyle w:val="Hyperlink"/>
            <w:rFonts w:ascii="Corbel" w:hAnsi="Corbel"/>
          </w:rPr>
          <w:t>https://www.elementa.co/capitulo-5usos-impactos-y-derechos-posibilidades-politicas-y-juridicas-para-la-investigacion-de-la-hoja-de-coca-en-colombia/</w:t>
        </w:r>
      </w:hyperlink>
      <w:r w:rsidR="00EC3872">
        <w:rPr>
          <w:rFonts w:ascii="Corbel" w:hAnsi="Corbel"/>
        </w:rPr>
        <w:t xml:space="preserve">  Véase también: La industrialización de la hoja de coca. Un camino de innovación, desarrollo y paz en Colombia. Open Society Foundations. Disponible en: </w:t>
      </w:r>
      <w:hyperlink r:id="rId8" w:history="1">
        <w:r w:rsidR="00EC3872" w:rsidRPr="00CF0D7C">
          <w:rPr>
            <w:rStyle w:val="Hyperlink"/>
            <w:rFonts w:ascii="Corbel" w:hAnsi="Corbel"/>
          </w:rPr>
          <w:t>https://www.opensocietyfoundations.org/sites/default/files/path-to-innovation-evelopment-and-peace-in-colombia-es-20180521.pdf</w:t>
        </w:r>
      </w:hyperlink>
      <w:r w:rsidR="00EC3872">
        <w:rPr>
          <w:rFonts w:ascii="Corbel" w:hAnsi="Corbel"/>
        </w:rPr>
        <w:t xml:space="preserve"> </w:t>
      </w:r>
    </w:p>
  </w:footnote>
  <w:footnote w:id="20">
    <w:p w:rsidR="00CE0E51" w:rsidRPr="00E77A89" w:rsidRDefault="00CE0E51" w:rsidP="00C03590">
      <w:pPr>
        <w:pStyle w:val="FootnoteText"/>
        <w:jc w:val="both"/>
        <w:rPr>
          <w:rFonts w:ascii="Corbel" w:hAnsi="Corbel"/>
        </w:rPr>
      </w:pPr>
      <w:r w:rsidRPr="00E77A89">
        <w:rPr>
          <w:rStyle w:val="FootnoteReference"/>
          <w:rFonts w:ascii="Corbel" w:hAnsi="Corbel"/>
        </w:rPr>
        <w:footnoteRef/>
      </w:r>
      <w:r w:rsidRPr="002B5419">
        <w:rPr>
          <w:rFonts w:ascii="Corbel" w:hAnsi="Corbel"/>
          <w:lang w:val="en-US"/>
        </w:rPr>
        <w:t xml:space="preserve"> </w:t>
      </w:r>
      <w:r w:rsidR="00197D32" w:rsidRPr="002B5419">
        <w:rPr>
          <w:rFonts w:ascii="Corbel" w:hAnsi="Corbel"/>
          <w:lang w:val="en-US"/>
        </w:rPr>
        <w:t xml:space="preserve">Time, Ending America's War on Drugs Would Finally Unleash the Therapeutic Potential of Psychedelics, 30 de mayo de 2018. </w:t>
      </w:r>
      <w:r w:rsidR="00197D32" w:rsidRPr="00E77A89">
        <w:rPr>
          <w:rFonts w:ascii="Corbel" w:hAnsi="Corbel"/>
        </w:rPr>
        <w:t xml:space="preserve">Disponible en inglés en: </w:t>
      </w:r>
      <w:hyperlink r:id="rId9" w:history="1">
        <w:r w:rsidR="00F53A08" w:rsidRPr="008B4DC9">
          <w:rPr>
            <w:rStyle w:val="Hyperlink"/>
            <w:rFonts w:ascii="Corbel" w:hAnsi="Corbel"/>
          </w:rPr>
          <w:t>http://time.com/5295544/war-on-drugs-ptsd-mdma-rick-doblin/</w:t>
        </w:r>
      </w:hyperlink>
      <w:r w:rsidR="00F53A08">
        <w:rPr>
          <w:rFonts w:ascii="Corbel" w:hAnsi="Corbel"/>
        </w:rPr>
        <w:t xml:space="preserve">. </w:t>
      </w:r>
    </w:p>
  </w:footnote>
  <w:footnote w:id="21">
    <w:p w:rsidR="00CE0E51" w:rsidRPr="00E77A89" w:rsidRDefault="00CE0E51" w:rsidP="00C03590">
      <w:pPr>
        <w:pStyle w:val="FootnoteText"/>
        <w:jc w:val="both"/>
        <w:rPr>
          <w:rFonts w:ascii="Corbel" w:hAnsi="Corbel"/>
        </w:rPr>
      </w:pPr>
      <w:r w:rsidRPr="00E77A89">
        <w:rPr>
          <w:rStyle w:val="FootnoteReference"/>
          <w:rFonts w:ascii="Corbel" w:hAnsi="Corbel"/>
        </w:rPr>
        <w:footnoteRef/>
      </w:r>
      <w:r w:rsidRPr="002B5419">
        <w:rPr>
          <w:rFonts w:ascii="Corbel" w:hAnsi="Corbel"/>
          <w:lang w:val="en-US"/>
        </w:rPr>
        <w:t xml:space="preserve"> </w:t>
      </w:r>
      <w:r w:rsidRPr="002B5419">
        <w:rPr>
          <w:rFonts w:ascii="Corbel" w:eastAsia="Corbel" w:hAnsi="Corbel" w:cs="Corbel"/>
          <w:lang w:val="en-US"/>
        </w:rPr>
        <w:t xml:space="preserve">MAPS (Multidisciplinary Association for Psychedelic Studies). Our work. LSD-Assisted Psychotherapy. </w:t>
      </w:r>
      <w:r w:rsidRPr="00E77A89">
        <w:rPr>
          <w:rFonts w:ascii="Corbel" w:eastAsia="Corbel" w:hAnsi="Corbel" w:cs="Corbel"/>
        </w:rPr>
        <w:t xml:space="preserve">Disponible en inglés en: </w:t>
      </w:r>
      <w:hyperlink r:id="rId10" w:history="1">
        <w:r w:rsidR="00F53A08" w:rsidRPr="008B4DC9">
          <w:rPr>
            <w:rStyle w:val="Hyperlink"/>
            <w:rFonts w:ascii="Corbel" w:eastAsia="Corbel" w:hAnsi="Corbel" w:cs="Corbel"/>
          </w:rPr>
          <w:t>https://maps.org/research/psilo-lsd</w:t>
        </w:r>
      </w:hyperlink>
      <w:r w:rsidR="00F53A08">
        <w:rPr>
          <w:rFonts w:ascii="Corbel" w:eastAsia="Corbel" w:hAnsi="Corbel" w:cs="Corbel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14" w:rsidRDefault="002B5419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11252BE0">
          <wp:simplePos x="0" y="0"/>
          <wp:positionH relativeFrom="column">
            <wp:posOffset>4768215</wp:posOffset>
          </wp:positionH>
          <wp:positionV relativeFrom="paragraph">
            <wp:posOffset>-363855</wp:posOffset>
          </wp:positionV>
          <wp:extent cx="1688465" cy="6889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46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13314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16EF6"/>
    <w:multiLevelType w:val="hybridMultilevel"/>
    <w:tmpl w:val="3DCE5DBC"/>
    <w:lvl w:ilvl="0" w:tplc="2A0438F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80801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A1CA0"/>
    <w:multiLevelType w:val="hybridMultilevel"/>
    <w:tmpl w:val="9C665BD0"/>
    <w:lvl w:ilvl="0" w:tplc="E9BED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382F7F"/>
    <w:multiLevelType w:val="hybridMultilevel"/>
    <w:tmpl w:val="9ABEEC2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637AE"/>
    <w:multiLevelType w:val="hybridMultilevel"/>
    <w:tmpl w:val="844262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450"/>
    <w:rsid w:val="00004D8C"/>
    <w:rsid w:val="00075718"/>
    <w:rsid w:val="00163A20"/>
    <w:rsid w:val="001908EA"/>
    <w:rsid w:val="00197D32"/>
    <w:rsid w:val="00226943"/>
    <w:rsid w:val="00233AA4"/>
    <w:rsid w:val="00245BF0"/>
    <w:rsid w:val="00273F3E"/>
    <w:rsid w:val="002B5419"/>
    <w:rsid w:val="002E144B"/>
    <w:rsid w:val="002E14EF"/>
    <w:rsid w:val="003161F0"/>
    <w:rsid w:val="00344173"/>
    <w:rsid w:val="003E7D48"/>
    <w:rsid w:val="00420AAC"/>
    <w:rsid w:val="00422ADF"/>
    <w:rsid w:val="00467375"/>
    <w:rsid w:val="004A41EB"/>
    <w:rsid w:val="004C6839"/>
    <w:rsid w:val="004D51BB"/>
    <w:rsid w:val="005F375B"/>
    <w:rsid w:val="00607A7A"/>
    <w:rsid w:val="00613F4A"/>
    <w:rsid w:val="00652DF6"/>
    <w:rsid w:val="006834E1"/>
    <w:rsid w:val="006C216F"/>
    <w:rsid w:val="00710A20"/>
    <w:rsid w:val="007342C1"/>
    <w:rsid w:val="007501F0"/>
    <w:rsid w:val="007A025F"/>
    <w:rsid w:val="008764AF"/>
    <w:rsid w:val="00881244"/>
    <w:rsid w:val="008909E8"/>
    <w:rsid w:val="008B681B"/>
    <w:rsid w:val="008C6B6C"/>
    <w:rsid w:val="0092133A"/>
    <w:rsid w:val="00925F7C"/>
    <w:rsid w:val="00954DA3"/>
    <w:rsid w:val="009E35B2"/>
    <w:rsid w:val="00A24B1C"/>
    <w:rsid w:val="00A750EC"/>
    <w:rsid w:val="00A97E12"/>
    <w:rsid w:val="00AA419C"/>
    <w:rsid w:val="00AF1450"/>
    <w:rsid w:val="00B14F37"/>
    <w:rsid w:val="00B452F4"/>
    <w:rsid w:val="00B52FF9"/>
    <w:rsid w:val="00B704E6"/>
    <w:rsid w:val="00B83CEF"/>
    <w:rsid w:val="00B96605"/>
    <w:rsid w:val="00C03590"/>
    <w:rsid w:val="00C336BC"/>
    <w:rsid w:val="00C520FD"/>
    <w:rsid w:val="00C54F4E"/>
    <w:rsid w:val="00C814F1"/>
    <w:rsid w:val="00C8518E"/>
    <w:rsid w:val="00CA05A6"/>
    <w:rsid w:val="00CB4F72"/>
    <w:rsid w:val="00CE0E51"/>
    <w:rsid w:val="00D379C0"/>
    <w:rsid w:val="00DA2426"/>
    <w:rsid w:val="00DA4BC1"/>
    <w:rsid w:val="00DF6343"/>
    <w:rsid w:val="00E77A89"/>
    <w:rsid w:val="00E82C20"/>
    <w:rsid w:val="00E82FF6"/>
    <w:rsid w:val="00E9218E"/>
    <w:rsid w:val="00EA0416"/>
    <w:rsid w:val="00EC3103"/>
    <w:rsid w:val="00EC3872"/>
    <w:rsid w:val="00EC45BA"/>
    <w:rsid w:val="00F13314"/>
    <w:rsid w:val="00F14913"/>
    <w:rsid w:val="00F30787"/>
    <w:rsid w:val="00F53A08"/>
    <w:rsid w:val="00F90A29"/>
    <w:rsid w:val="00FB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4376472-E739-4C56-99A3-605D5018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63A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3A2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63A2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133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314"/>
  </w:style>
  <w:style w:type="paragraph" w:styleId="Footer">
    <w:name w:val="footer"/>
    <w:basedOn w:val="Normal"/>
    <w:link w:val="FooterChar"/>
    <w:uiPriority w:val="99"/>
    <w:unhideWhenUsed/>
    <w:rsid w:val="00F133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314"/>
  </w:style>
  <w:style w:type="character" w:styleId="Hyperlink">
    <w:name w:val="Hyperlink"/>
    <w:basedOn w:val="DefaultParagraphFont"/>
    <w:uiPriority w:val="99"/>
    <w:unhideWhenUsed/>
    <w:rsid w:val="00422AD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45BF0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53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menta.co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societyfoundations.org/sites/default/files/path-to-innovation-evelopment-and-peace-in-colombia-es-20180521.pdf" TargetMode="External"/><Relationship Id="rId3" Type="http://schemas.openxmlformats.org/officeDocument/2006/relationships/hyperlink" Target="https://documents-dds-ny.un.org/doc/UNDOC/GEN/G12/134/94/PDF/G1213494.pdf?OpenElement" TargetMode="External"/><Relationship Id="rId7" Type="http://schemas.openxmlformats.org/officeDocument/2006/relationships/hyperlink" Target="https://www.elementa.co/capitulo-5usos-impactos-y-derechos-posibilidades-politicas-y-juridicas-para-la-investigacion-de-la-hoja-de-coca-en-colombia/" TargetMode="External"/><Relationship Id="rId2" Type="http://schemas.openxmlformats.org/officeDocument/2006/relationships/hyperlink" Target="https://documents-dds-ny.un.org/doc/UNDOC/GEN/G12/134/94/PDF/G1213494.pdf?OpenElement" TargetMode="External"/><Relationship Id="rId1" Type="http://schemas.openxmlformats.org/officeDocument/2006/relationships/hyperlink" Target="https://documents-dds-ny.un.org/doc/UNDOC/GEN/G12/134/94/PDF/G1213494.pdf?OpenElement" TargetMode="External"/><Relationship Id="rId6" Type="http://schemas.openxmlformats.org/officeDocument/2006/relationships/hyperlink" Target="http://fileserver.idpc.net/library/Medicinal%20cannabis%20briefing_SPA_FINAL.PDF" TargetMode="External"/><Relationship Id="rId5" Type="http://schemas.openxmlformats.org/officeDocument/2006/relationships/hyperlink" Target="http://www.odc.gov.co/Portals/1/comision_asesora/docs/informe_final_comision_asesora_politica_drogas_colombia.pdf" TargetMode="External"/><Relationship Id="rId10" Type="http://schemas.openxmlformats.org/officeDocument/2006/relationships/hyperlink" Target="https://maps.org/research/psilo-lsd" TargetMode="External"/><Relationship Id="rId4" Type="http://schemas.openxmlformats.org/officeDocument/2006/relationships/hyperlink" Target="https://www.tni.org/files/download/losmitosdelacoca.pdf" TargetMode="External"/><Relationship Id="rId9" Type="http://schemas.openxmlformats.org/officeDocument/2006/relationships/hyperlink" Target="http://time.com/5295544/war-on-drugs-ptsd-mdma-rick-dobli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7929A1-A1CB-45BD-AFB5-07D6076786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AA9EA6-168B-42B0-959C-A2C39A88A7FA}"/>
</file>

<file path=customXml/itemProps3.xml><?xml version="1.0" encoding="utf-8"?>
<ds:datastoreItem xmlns:ds="http://schemas.openxmlformats.org/officeDocument/2006/customXml" ds:itemID="{DE44590D-540E-478B-B55A-FC9C642CECC2}"/>
</file>

<file path=customXml/itemProps4.xml><?xml version="1.0" encoding="utf-8"?>
<ds:datastoreItem xmlns:ds="http://schemas.openxmlformats.org/officeDocument/2006/customXml" ds:itemID="{660EE77F-E80D-4B96-997E-3811D1B6DC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1538</Words>
  <Characters>8773</Characters>
  <Application>Microsoft Office Word</Application>
  <DocSecurity>4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Elementa</dc:title>
  <dc:subject/>
  <dc:creator>Vincenzo Puccini</dc:creator>
  <cp:keywords/>
  <dc:description/>
  <cp:lastModifiedBy>AREVALO FLORES Carmen</cp:lastModifiedBy>
  <cp:revision>2</cp:revision>
  <dcterms:created xsi:type="dcterms:W3CDTF">2018-10-05T08:25:00Z</dcterms:created>
  <dcterms:modified xsi:type="dcterms:W3CDTF">2018-10-05T08:25:00Z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