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64215" w14:textId="6A014514" w:rsidR="006F1D3C" w:rsidRPr="00D97451" w:rsidRDefault="00706540" w:rsidP="006038AD">
      <w:pPr>
        <w:spacing w:before="240" w:after="240" w:line="360" w:lineRule="auto"/>
        <w:jc w:val="center"/>
        <w:rPr>
          <w:rFonts w:ascii="Arial" w:hAnsi="Arial" w:cs="Arial"/>
          <w:b/>
          <w:bCs/>
          <w:sz w:val="20"/>
          <w:szCs w:val="20"/>
          <w:lang w:val="en-IN"/>
        </w:rPr>
      </w:pPr>
      <w:bookmarkStart w:id="0" w:name="_GoBack"/>
      <w:bookmarkEnd w:id="0"/>
      <w:r w:rsidRPr="00D97451">
        <w:rPr>
          <w:rFonts w:ascii="Arial" w:hAnsi="Arial" w:cs="Arial"/>
          <w:b/>
          <w:bCs/>
          <w:sz w:val="20"/>
          <w:szCs w:val="20"/>
          <w:lang w:val="en-IN"/>
        </w:rPr>
        <w:t>Written Contributio</w:t>
      </w:r>
      <w:r w:rsidR="00372CD1" w:rsidRPr="00D97451">
        <w:rPr>
          <w:rFonts w:ascii="Arial" w:hAnsi="Arial" w:cs="Arial"/>
          <w:b/>
          <w:bCs/>
          <w:sz w:val="20"/>
          <w:szCs w:val="20"/>
          <w:lang w:val="en-IN"/>
        </w:rPr>
        <w:t>n to the United Nations Committee on the Economic, Social and Cultural Rights</w:t>
      </w:r>
    </w:p>
    <w:p w14:paraId="295BCF87" w14:textId="552176F1" w:rsidR="00F74B05" w:rsidRPr="00D97451" w:rsidRDefault="00442000" w:rsidP="006038AD">
      <w:pPr>
        <w:tabs>
          <w:tab w:val="left" w:pos="628"/>
          <w:tab w:val="center" w:pos="4680"/>
        </w:tabs>
        <w:spacing w:before="240" w:after="240" w:line="360" w:lineRule="auto"/>
        <w:rPr>
          <w:rFonts w:ascii="Arial" w:hAnsi="Arial" w:cs="Arial"/>
          <w:b/>
          <w:bCs/>
          <w:sz w:val="20"/>
          <w:szCs w:val="20"/>
          <w:lang w:val="en-IN"/>
        </w:rPr>
      </w:pPr>
      <w:r w:rsidRPr="00D97451">
        <w:rPr>
          <w:rFonts w:ascii="Arial" w:hAnsi="Arial" w:cs="Arial"/>
          <w:b/>
          <w:bCs/>
          <w:sz w:val="20"/>
          <w:szCs w:val="20"/>
          <w:lang w:val="en-IN"/>
        </w:rPr>
        <w:tab/>
      </w:r>
      <w:r w:rsidRPr="00D97451">
        <w:rPr>
          <w:rFonts w:ascii="Arial" w:hAnsi="Arial" w:cs="Arial"/>
          <w:b/>
          <w:bCs/>
          <w:sz w:val="20"/>
          <w:szCs w:val="20"/>
          <w:lang w:val="en-IN"/>
        </w:rPr>
        <w:tab/>
      </w:r>
      <w:r w:rsidR="00F74B05" w:rsidRPr="00D97451">
        <w:rPr>
          <w:rFonts w:ascii="Arial" w:hAnsi="Arial" w:cs="Arial"/>
          <w:b/>
          <w:bCs/>
          <w:sz w:val="20"/>
          <w:szCs w:val="20"/>
          <w:lang w:val="en-IN"/>
        </w:rPr>
        <w:t>Draft General Comment on Land and Economic, Social and Cultural Rights</w:t>
      </w:r>
    </w:p>
    <w:p w14:paraId="590162D7" w14:textId="77777777" w:rsidR="00400593" w:rsidRDefault="00400593" w:rsidP="00400593">
      <w:pPr>
        <w:spacing w:before="240" w:after="240" w:line="360" w:lineRule="auto"/>
        <w:jc w:val="center"/>
        <w:rPr>
          <w:rFonts w:ascii="Arial" w:hAnsi="Arial" w:cs="Arial"/>
          <w:b/>
          <w:bCs/>
          <w:sz w:val="20"/>
          <w:szCs w:val="20"/>
          <w:lang w:val="en-IN"/>
        </w:rPr>
      </w:pPr>
      <w:r>
        <w:rPr>
          <w:rFonts w:ascii="Arial" w:hAnsi="Arial" w:cs="Arial"/>
          <w:b/>
          <w:bCs/>
          <w:sz w:val="20"/>
          <w:szCs w:val="20"/>
          <w:lang w:val="en-IN"/>
        </w:rPr>
        <w:t>SOUTH CENTRE</w:t>
      </w:r>
      <w:r>
        <w:rPr>
          <w:rStyle w:val="FootnoteReference"/>
          <w:rFonts w:ascii="Arial" w:hAnsi="Arial" w:cs="Arial"/>
          <w:b/>
          <w:bCs/>
          <w:sz w:val="20"/>
          <w:szCs w:val="20"/>
          <w:lang w:val="en-IN"/>
        </w:rPr>
        <w:footnoteReference w:customMarkFollows="1" w:id="1"/>
        <w:t>*</w:t>
      </w:r>
    </w:p>
    <w:p w14:paraId="4387DCC4" w14:textId="7FE512DC" w:rsidR="00075AEC" w:rsidRPr="00D063A9" w:rsidRDefault="00AF37D6" w:rsidP="00CC754F">
      <w:pPr>
        <w:pBdr>
          <w:bottom w:val="single" w:sz="12" w:space="1" w:color="auto"/>
        </w:pBdr>
        <w:spacing w:before="240" w:after="240" w:line="360" w:lineRule="auto"/>
        <w:jc w:val="center"/>
        <w:rPr>
          <w:rFonts w:ascii="Arial" w:hAnsi="Arial" w:cs="Arial"/>
          <w:b/>
          <w:bCs/>
          <w:sz w:val="20"/>
          <w:szCs w:val="20"/>
          <w:lang w:val="en-IN"/>
        </w:rPr>
      </w:pPr>
      <w:r>
        <w:rPr>
          <w:rFonts w:ascii="Arial" w:hAnsi="Arial" w:cs="Arial"/>
          <w:b/>
          <w:bCs/>
          <w:sz w:val="20"/>
          <w:szCs w:val="20"/>
          <w:lang w:val="en-IN"/>
        </w:rPr>
        <w:t>26</w:t>
      </w:r>
      <w:r w:rsidR="00361F2B" w:rsidRPr="00D97451">
        <w:rPr>
          <w:rFonts w:ascii="Arial" w:hAnsi="Arial" w:cs="Arial"/>
          <w:b/>
          <w:bCs/>
          <w:sz w:val="20"/>
          <w:szCs w:val="20"/>
          <w:lang w:val="en-IN"/>
        </w:rPr>
        <w:t xml:space="preserve"> July 2021</w:t>
      </w:r>
    </w:p>
    <w:p w14:paraId="144CFA9B" w14:textId="77777777" w:rsidR="00B52DA6" w:rsidRPr="00B52DA6" w:rsidRDefault="00B52DA6" w:rsidP="006038AD">
      <w:pPr>
        <w:pStyle w:val="NormalWeb"/>
        <w:shd w:val="clear" w:color="auto" w:fill="FFFFFF"/>
        <w:spacing w:before="240" w:beforeAutospacing="0" w:after="240" w:afterAutospacing="0" w:line="360" w:lineRule="auto"/>
        <w:jc w:val="both"/>
        <w:rPr>
          <w:rFonts w:ascii="Arial" w:hAnsi="Arial" w:cs="Arial"/>
          <w:b/>
          <w:bCs/>
          <w:color w:val="000000"/>
          <w:sz w:val="18"/>
          <w:szCs w:val="18"/>
        </w:rPr>
      </w:pPr>
    </w:p>
    <w:p w14:paraId="341ABDEF" w14:textId="4BDA6477" w:rsidR="0036111F" w:rsidRPr="00B52DA6" w:rsidRDefault="0036111F" w:rsidP="006038AD">
      <w:pPr>
        <w:pStyle w:val="NormalWeb"/>
        <w:shd w:val="clear" w:color="auto" w:fill="FFFFFF"/>
        <w:spacing w:before="240" w:beforeAutospacing="0" w:after="240" w:afterAutospacing="0" w:line="360" w:lineRule="auto"/>
        <w:jc w:val="both"/>
        <w:rPr>
          <w:rFonts w:ascii="Arial" w:hAnsi="Arial" w:cs="Arial"/>
          <w:b/>
          <w:bCs/>
          <w:color w:val="000000"/>
          <w:sz w:val="18"/>
          <w:szCs w:val="18"/>
        </w:rPr>
      </w:pPr>
      <w:r w:rsidRPr="00B52DA6">
        <w:rPr>
          <w:rFonts w:ascii="Arial" w:hAnsi="Arial" w:cs="Arial"/>
          <w:b/>
          <w:bCs/>
          <w:color w:val="000000"/>
          <w:sz w:val="18"/>
          <w:szCs w:val="18"/>
        </w:rPr>
        <w:t xml:space="preserve">Introduction: </w:t>
      </w:r>
    </w:p>
    <w:p w14:paraId="3B88AE7D" w14:textId="3383C23D" w:rsidR="009C6110" w:rsidRPr="00B52DA6" w:rsidRDefault="009C6110" w:rsidP="006038AD">
      <w:pPr>
        <w:pStyle w:val="NormalWeb"/>
        <w:shd w:val="clear" w:color="auto" w:fill="FFFFFF"/>
        <w:spacing w:before="240" w:beforeAutospacing="0" w:after="240" w:afterAutospacing="0" w:line="360" w:lineRule="auto"/>
        <w:jc w:val="both"/>
        <w:rPr>
          <w:rFonts w:ascii="Arial" w:hAnsi="Arial" w:cs="Arial"/>
          <w:sz w:val="18"/>
          <w:szCs w:val="18"/>
        </w:rPr>
      </w:pPr>
      <w:r w:rsidRPr="00B52DA6">
        <w:rPr>
          <w:rFonts w:ascii="Arial" w:hAnsi="Arial" w:cs="Arial"/>
          <w:color w:val="000000"/>
          <w:sz w:val="18"/>
          <w:szCs w:val="18"/>
        </w:rPr>
        <w:t xml:space="preserve">The South Centre is an intergovernmental policy research think-tank composed of and accountable to developing country Member States. It conducts policy-oriented research on key policy development issues and supports developing countries to effectively participate in international negotiating processes that are relevant to the achievement of SDGs. The South Centre promotes the unity of the South in such </w:t>
      </w:r>
      <w:r w:rsidR="00B46D8F">
        <w:rPr>
          <w:rFonts w:ascii="Arial" w:hAnsi="Arial" w:cs="Arial"/>
          <w:color w:val="000000"/>
          <w:sz w:val="18"/>
          <w:szCs w:val="18"/>
        </w:rPr>
        <w:t>method</w:t>
      </w:r>
      <w:r w:rsidRPr="00B52DA6">
        <w:rPr>
          <w:rFonts w:ascii="Arial" w:hAnsi="Arial" w:cs="Arial"/>
          <w:color w:val="000000"/>
          <w:sz w:val="18"/>
          <w:szCs w:val="18"/>
        </w:rPr>
        <w:t>s while recognizing the diversity of national interests and priorities.</w:t>
      </w:r>
    </w:p>
    <w:p w14:paraId="1E296B49" w14:textId="624C819F" w:rsidR="009C6110" w:rsidRPr="00B52DA6" w:rsidRDefault="009C6110" w:rsidP="006038AD">
      <w:pPr>
        <w:pStyle w:val="NormalWeb"/>
        <w:shd w:val="clear" w:color="auto" w:fill="FFFFFF"/>
        <w:spacing w:before="240" w:beforeAutospacing="0" w:after="240" w:afterAutospacing="0" w:line="360" w:lineRule="auto"/>
        <w:jc w:val="both"/>
        <w:rPr>
          <w:rFonts w:ascii="Arial" w:hAnsi="Arial" w:cs="Arial"/>
          <w:color w:val="000000"/>
          <w:sz w:val="18"/>
          <w:szCs w:val="18"/>
        </w:rPr>
      </w:pPr>
      <w:r w:rsidRPr="00B52DA6">
        <w:rPr>
          <w:rFonts w:ascii="Arial" w:hAnsi="Arial" w:cs="Arial"/>
          <w:color w:val="000000"/>
          <w:sz w:val="18"/>
          <w:szCs w:val="18"/>
        </w:rPr>
        <w:t xml:space="preserve">As mentioned by the UN Committee on Economic, Social and Cultural Rights (CESCR), the purpose of the general comment is to clarify the specific obligations of States parties relating to land and the governance of tenure of land under the International Covenant on Economic, Social and Cultural Rights (ICESCR). In line with such </w:t>
      </w:r>
      <w:r w:rsidR="008C2A7E">
        <w:rPr>
          <w:rFonts w:ascii="Arial" w:hAnsi="Arial" w:cs="Arial"/>
          <w:color w:val="000000"/>
          <w:sz w:val="18"/>
          <w:szCs w:val="18"/>
        </w:rPr>
        <w:t xml:space="preserve">an </w:t>
      </w:r>
      <w:r w:rsidRPr="00B52DA6">
        <w:rPr>
          <w:rFonts w:ascii="Arial" w:hAnsi="Arial" w:cs="Arial"/>
          <w:color w:val="000000"/>
          <w:sz w:val="18"/>
          <w:szCs w:val="18"/>
        </w:rPr>
        <w:t>objective, the South Centre is keen to submit the following written contribution</w:t>
      </w:r>
      <w:r w:rsidR="00B46D8F">
        <w:rPr>
          <w:rFonts w:ascii="Arial" w:hAnsi="Arial" w:cs="Arial"/>
          <w:color w:val="000000"/>
          <w:sz w:val="18"/>
          <w:szCs w:val="18"/>
        </w:rPr>
        <w:t xml:space="preserve"> </w:t>
      </w:r>
      <w:r w:rsidRPr="00B52DA6">
        <w:rPr>
          <w:rFonts w:ascii="Arial" w:hAnsi="Arial" w:cs="Arial"/>
          <w:color w:val="000000"/>
          <w:sz w:val="18"/>
          <w:szCs w:val="18"/>
        </w:rPr>
        <w:t>to the draft general comment on Land and Economic, Social and Cultural Rights (draft general comment)</w:t>
      </w:r>
      <w:r w:rsidR="00B46D8F">
        <w:rPr>
          <w:rFonts w:ascii="Arial" w:hAnsi="Arial" w:cs="Arial"/>
          <w:color w:val="000000"/>
          <w:sz w:val="18"/>
          <w:szCs w:val="18"/>
        </w:rPr>
        <w:t>. It will</w:t>
      </w:r>
      <w:r w:rsidRPr="00B52DA6">
        <w:rPr>
          <w:rFonts w:ascii="Arial" w:hAnsi="Arial" w:cs="Arial"/>
          <w:color w:val="000000"/>
          <w:sz w:val="18"/>
          <w:szCs w:val="18"/>
        </w:rPr>
        <w:t xml:space="preserve"> consider some of the </w:t>
      </w:r>
      <w:r w:rsidRPr="00B52DA6">
        <w:rPr>
          <w:rFonts w:ascii="Arial" w:hAnsi="Arial" w:cs="Arial"/>
          <w:color w:val="000000"/>
          <w:sz w:val="18"/>
          <w:szCs w:val="18"/>
        </w:rPr>
        <w:lastRenderedPageBreak/>
        <w:t xml:space="preserve">concerns that </w:t>
      </w:r>
      <w:r w:rsidR="00B46D8F">
        <w:rPr>
          <w:rFonts w:ascii="Arial" w:hAnsi="Arial" w:cs="Arial"/>
          <w:color w:val="000000"/>
          <w:sz w:val="18"/>
          <w:szCs w:val="18"/>
        </w:rPr>
        <w:t>developing countries have raised</w:t>
      </w:r>
      <w:r w:rsidRPr="00B52DA6">
        <w:rPr>
          <w:rFonts w:ascii="Arial" w:hAnsi="Arial" w:cs="Arial"/>
          <w:color w:val="000000"/>
          <w:sz w:val="18"/>
          <w:szCs w:val="18"/>
        </w:rPr>
        <w:t xml:space="preserve"> in relation to their development realities and needs, </w:t>
      </w:r>
      <w:r w:rsidR="00D021C8">
        <w:rPr>
          <w:rFonts w:ascii="Arial" w:hAnsi="Arial" w:cs="Arial"/>
          <w:color w:val="000000"/>
          <w:sz w:val="18"/>
          <w:szCs w:val="18"/>
        </w:rPr>
        <w:t>mainly</w:t>
      </w:r>
      <w:r w:rsidRPr="00B52DA6">
        <w:rPr>
          <w:rFonts w:ascii="Arial" w:hAnsi="Arial" w:cs="Arial"/>
          <w:color w:val="000000"/>
          <w:sz w:val="18"/>
          <w:szCs w:val="18"/>
        </w:rPr>
        <w:t xml:space="preserve"> arising from the challenges they face due to the current COVID-19 pandemic crisis and the need for a fair and inclusive recovery. </w:t>
      </w:r>
    </w:p>
    <w:p w14:paraId="0DE72C54" w14:textId="70A40627" w:rsidR="0046437D" w:rsidRPr="00B52DA6" w:rsidRDefault="003F14BB" w:rsidP="006038AD">
      <w:pPr>
        <w:pStyle w:val="ListParagraph"/>
        <w:numPr>
          <w:ilvl w:val="0"/>
          <w:numId w:val="4"/>
        </w:numPr>
        <w:spacing w:before="240" w:after="240" w:line="360" w:lineRule="auto"/>
        <w:contextualSpacing w:val="0"/>
        <w:jc w:val="both"/>
        <w:rPr>
          <w:rFonts w:ascii="Arial" w:hAnsi="Arial" w:cs="Arial"/>
          <w:b/>
          <w:bCs/>
          <w:sz w:val="18"/>
          <w:szCs w:val="18"/>
          <w:lang w:val="en-GB"/>
        </w:rPr>
      </w:pPr>
      <w:r w:rsidRPr="00B52DA6">
        <w:rPr>
          <w:rFonts w:ascii="Arial" w:hAnsi="Arial" w:cs="Arial"/>
          <w:b/>
          <w:bCs/>
          <w:sz w:val="18"/>
          <w:szCs w:val="18"/>
          <w:lang w:val="en-GB"/>
        </w:rPr>
        <w:t xml:space="preserve">The right to health, </w:t>
      </w:r>
      <w:r w:rsidR="00E373B3" w:rsidRPr="00B52DA6">
        <w:rPr>
          <w:rFonts w:ascii="Arial" w:hAnsi="Arial" w:cs="Arial"/>
          <w:b/>
          <w:bCs/>
          <w:sz w:val="18"/>
          <w:szCs w:val="18"/>
          <w:lang w:val="en-GB"/>
        </w:rPr>
        <w:t>food security and access to land</w:t>
      </w:r>
    </w:p>
    <w:p w14:paraId="68CE00C9" w14:textId="319BA20A" w:rsidR="00260FDC" w:rsidRPr="00B52DA6" w:rsidRDefault="00156955" w:rsidP="006038AD">
      <w:pPr>
        <w:pStyle w:val="NormalWeb"/>
        <w:shd w:val="clear" w:color="auto" w:fill="FFFFFF"/>
        <w:spacing w:before="240" w:beforeAutospacing="0" w:after="240" w:afterAutospacing="0" w:line="360" w:lineRule="auto"/>
        <w:jc w:val="both"/>
        <w:rPr>
          <w:rFonts w:ascii="Arial" w:hAnsi="Arial" w:cs="Arial"/>
          <w:spacing w:val="-3"/>
          <w:sz w:val="18"/>
          <w:szCs w:val="18"/>
        </w:rPr>
      </w:pPr>
      <w:r w:rsidRPr="00B52DA6">
        <w:rPr>
          <w:rFonts w:ascii="Arial" w:hAnsi="Arial" w:cs="Arial"/>
          <w:spacing w:val="-3"/>
          <w:sz w:val="18"/>
          <w:szCs w:val="18"/>
        </w:rPr>
        <w:t>The world</w:t>
      </w:r>
      <w:r w:rsidR="00AA24B2">
        <w:rPr>
          <w:rFonts w:ascii="Arial" w:hAnsi="Arial" w:cs="Arial"/>
          <w:spacing w:val="-3"/>
          <w:sz w:val="18"/>
          <w:szCs w:val="18"/>
        </w:rPr>
        <w:t>'</w:t>
      </w:r>
      <w:r w:rsidRPr="00B52DA6">
        <w:rPr>
          <w:rFonts w:ascii="Arial" w:hAnsi="Arial" w:cs="Arial"/>
          <w:spacing w:val="-3"/>
          <w:sz w:val="18"/>
          <w:szCs w:val="18"/>
        </w:rPr>
        <w:t>s food systems are highly dependent on small farming</w:t>
      </w:r>
      <w:r w:rsidR="00D021C8">
        <w:rPr>
          <w:rFonts w:ascii="Arial" w:hAnsi="Arial" w:cs="Arial"/>
          <w:spacing w:val="-3"/>
          <w:sz w:val="18"/>
          <w:szCs w:val="18"/>
        </w:rPr>
        <w:t>. A</w:t>
      </w:r>
      <w:r w:rsidR="00CF47CE" w:rsidRPr="00B52DA6">
        <w:rPr>
          <w:rFonts w:ascii="Arial" w:hAnsi="Arial" w:cs="Arial"/>
          <w:spacing w:val="-3"/>
          <w:sz w:val="18"/>
          <w:szCs w:val="18"/>
        </w:rPr>
        <w:t>lmost 80 percent of food consumed in Asia and Sub-Saharan Africa</w:t>
      </w:r>
      <w:r w:rsidR="00CF47CE" w:rsidRPr="00B52DA6">
        <w:rPr>
          <w:rStyle w:val="FootnoteReference"/>
          <w:rFonts w:ascii="Arial" w:hAnsi="Arial" w:cs="Arial"/>
          <w:spacing w:val="-3"/>
          <w:sz w:val="18"/>
          <w:szCs w:val="18"/>
        </w:rPr>
        <w:footnoteReference w:id="2"/>
      </w:r>
      <w:r w:rsidR="00CF47CE" w:rsidRPr="00B52DA6">
        <w:rPr>
          <w:rFonts w:ascii="Arial" w:hAnsi="Arial" w:cs="Arial"/>
          <w:spacing w:val="-3"/>
          <w:sz w:val="18"/>
          <w:szCs w:val="18"/>
        </w:rPr>
        <w:t xml:space="preserve"> </w:t>
      </w:r>
      <w:r w:rsidR="00E953BF" w:rsidRPr="00B52DA6">
        <w:rPr>
          <w:rFonts w:ascii="Arial" w:hAnsi="Arial" w:cs="Arial"/>
          <w:spacing w:val="-3"/>
          <w:sz w:val="18"/>
          <w:szCs w:val="18"/>
        </w:rPr>
        <w:t xml:space="preserve">is </w:t>
      </w:r>
      <w:r w:rsidR="00493CA0" w:rsidRPr="00B52DA6">
        <w:rPr>
          <w:rFonts w:ascii="Arial" w:hAnsi="Arial" w:cs="Arial"/>
          <w:spacing w:val="-3"/>
          <w:sz w:val="18"/>
          <w:szCs w:val="18"/>
        </w:rPr>
        <w:t>produced by small</w:t>
      </w:r>
      <w:r w:rsidR="00D021C8">
        <w:rPr>
          <w:rFonts w:ascii="Arial" w:hAnsi="Arial" w:cs="Arial"/>
          <w:spacing w:val="-3"/>
          <w:sz w:val="18"/>
          <w:szCs w:val="18"/>
        </w:rPr>
        <w:t>-</w:t>
      </w:r>
      <w:r w:rsidR="00493CA0" w:rsidRPr="00B52DA6">
        <w:rPr>
          <w:rFonts w:ascii="Arial" w:hAnsi="Arial" w:cs="Arial"/>
          <w:spacing w:val="-3"/>
          <w:sz w:val="18"/>
          <w:szCs w:val="18"/>
        </w:rPr>
        <w:t>scale agriculture</w:t>
      </w:r>
      <w:r w:rsidR="0088040E" w:rsidRPr="00B52DA6">
        <w:rPr>
          <w:rFonts w:ascii="Arial" w:hAnsi="Arial" w:cs="Arial"/>
          <w:spacing w:val="-3"/>
          <w:sz w:val="18"/>
          <w:szCs w:val="18"/>
        </w:rPr>
        <w:t xml:space="preserve">. </w:t>
      </w:r>
      <w:r w:rsidR="00260FDC" w:rsidRPr="00B52DA6">
        <w:rPr>
          <w:rFonts w:ascii="Arial" w:hAnsi="Arial" w:cs="Arial"/>
          <w:spacing w:val="-3"/>
          <w:sz w:val="18"/>
          <w:szCs w:val="18"/>
        </w:rPr>
        <w:t xml:space="preserve">Similarly, although </w:t>
      </w:r>
      <w:r w:rsidR="00D021C8">
        <w:rPr>
          <w:rFonts w:ascii="Arial" w:hAnsi="Arial" w:cs="Arial"/>
          <w:spacing w:val="-3"/>
          <w:sz w:val="18"/>
          <w:szCs w:val="18"/>
        </w:rPr>
        <w:t>nearly</w:t>
      </w:r>
      <w:r w:rsidR="00260FDC" w:rsidRPr="00B52DA6">
        <w:rPr>
          <w:rFonts w:ascii="Arial" w:hAnsi="Arial" w:cs="Arial"/>
          <w:spacing w:val="-3"/>
          <w:sz w:val="18"/>
          <w:szCs w:val="18"/>
        </w:rPr>
        <w:t xml:space="preserve"> 1.1 billion people work in agriculture, almost 2/3 of these workers are in developing countries and belong to rural and risk-vulnerable populations.</w:t>
      </w:r>
      <w:r w:rsidR="00260FDC" w:rsidRPr="00B52DA6">
        <w:rPr>
          <w:rStyle w:val="FootnoteReference"/>
          <w:rFonts w:ascii="Arial" w:hAnsi="Arial" w:cs="Arial"/>
          <w:spacing w:val="-3"/>
          <w:sz w:val="18"/>
          <w:szCs w:val="18"/>
        </w:rPr>
        <w:footnoteReference w:id="3"/>
      </w:r>
      <w:r w:rsidR="00260FDC" w:rsidRPr="00B52DA6">
        <w:rPr>
          <w:rFonts w:ascii="Arial" w:hAnsi="Arial" w:cs="Arial"/>
          <w:spacing w:val="-3"/>
          <w:sz w:val="18"/>
          <w:szCs w:val="18"/>
        </w:rPr>
        <w:t xml:space="preserve">  D</w:t>
      </w:r>
      <w:r w:rsidRPr="00B52DA6">
        <w:rPr>
          <w:rFonts w:ascii="Arial" w:hAnsi="Arial" w:cs="Arial"/>
          <w:spacing w:val="-3"/>
          <w:sz w:val="18"/>
          <w:szCs w:val="18"/>
        </w:rPr>
        <w:t>eep economic and health crises and environmental and climate</w:t>
      </w:r>
      <w:r w:rsidR="00D021C8">
        <w:rPr>
          <w:rFonts w:ascii="Arial" w:hAnsi="Arial" w:cs="Arial"/>
          <w:spacing w:val="-3"/>
          <w:sz w:val="18"/>
          <w:szCs w:val="18"/>
        </w:rPr>
        <w:t>-</w:t>
      </w:r>
      <w:r w:rsidRPr="00B52DA6">
        <w:rPr>
          <w:rFonts w:ascii="Arial" w:hAnsi="Arial" w:cs="Arial"/>
          <w:spacing w:val="-3"/>
          <w:sz w:val="18"/>
          <w:szCs w:val="18"/>
        </w:rPr>
        <w:t>related hazard</w:t>
      </w:r>
      <w:r w:rsidR="00455FD4" w:rsidRPr="00B52DA6">
        <w:rPr>
          <w:rFonts w:ascii="Arial" w:hAnsi="Arial" w:cs="Arial"/>
          <w:spacing w:val="-3"/>
          <w:sz w:val="18"/>
          <w:szCs w:val="18"/>
        </w:rPr>
        <w:t xml:space="preserve">s </w:t>
      </w:r>
      <w:r w:rsidRPr="00B52DA6">
        <w:rPr>
          <w:rFonts w:ascii="Arial" w:hAnsi="Arial" w:cs="Arial"/>
          <w:spacing w:val="-3"/>
          <w:sz w:val="18"/>
          <w:szCs w:val="18"/>
        </w:rPr>
        <w:t>have</w:t>
      </w:r>
      <w:r w:rsidR="002315FF" w:rsidRPr="00B52DA6">
        <w:rPr>
          <w:rFonts w:ascii="Arial" w:hAnsi="Arial" w:cs="Arial"/>
          <w:spacing w:val="-3"/>
          <w:sz w:val="18"/>
          <w:szCs w:val="18"/>
        </w:rPr>
        <w:t xml:space="preserve"> acute detrimental impacts on the communities and peoples working in agriculture</w:t>
      </w:r>
      <w:r w:rsidR="00124B9E" w:rsidRPr="00B52DA6">
        <w:rPr>
          <w:rFonts w:ascii="Arial" w:hAnsi="Arial" w:cs="Arial"/>
          <w:spacing w:val="-3"/>
          <w:sz w:val="18"/>
          <w:szCs w:val="18"/>
        </w:rPr>
        <w:t xml:space="preserve"> (particularly peasants and indigenous peoples)</w:t>
      </w:r>
      <w:r w:rsidR="002315FF" w:rsidRPr="00B52DA6">
        <w:rPr>
          <w:rFonts w:ascii="Arial" w:hAnsi="Arial" w:cs="Arial"/>
          <w:spacing w:val="-3"/>
          <w:sz w:val="18"/>
          <w:szCs w:val="18"/>
        </w:rPr>
        <w:t xml:space="preserve">, and therefore </w:t>
      </w:r>
      <w:r w:rsidRPr="00B52DA6">
        <w:rPr>
          <w:rFonts w:ascii="Arial" w:hAnsi="Arial" w:cs="Arial"/>
          <w:spacing w:val="-3"/>
          <w:sz w:val="18"/>
          <w:szCs w:val="18"/>
        </w:rPr>
        <w:t>se</w:t>
      </w:r>
      <w:r w:rsidR="00D021C8">
        <w:rPr>
          <w:rFonts w:ascii="Arial" w:hAnsi="Arial" w:cs="Arial"/>
          <w:spacing w:val="-3"/>
          <w:sz w:val="18"/>
          <w:szCs w:val="18"/>
        </w:rPr>
        <w:t>vere</w:t>
      </w:r>
      <w:r w:rsidRPr="00B52DA6">
        <w:rPr>
          <w:rFonts w:ascii="Arial" w:hAnsi="Arial" w:cs="Arial"/>
          <w:spacing w:val="-3"/>
          <w:sz w:val="18"/>
          <w:szCs w:val="18"/>
        </w:rPr>
        <w:t xml:space="preserve"> effects on food production systems</w:t>
      </w:r>
      <w:r w:rsidR="00260FDC" w:rsidRPr="00B52DA6">
        <w:rPr>
          <w:rFonts w:ascii="Arial" w:hAnsi="Arial" w:cs="Arial"/>
          <w:spacing w:val="-3"/>
          <w:sz w:val="18"/>
          <w:szCs w:val="18"/>
        </w:rPr>
        <w:t xml:space="preserve"> a</w:t>
      </w:r>
      <w:r w:rsidR="002315FF" w:rsidRPr="00B52DA6">
        <w:rPr>
          <w:rFonts w:ascii="Arial" w:hAnsi="Arial" w:cs="Arial"/>
          <w:spacing w:val="-3"/>
          <w:sz w:val="18"/>
          <w:szCs w:val="18"/>
        </w:rPr>
        <w:t xml:space="preserve">nd </w:t>
      </w:r>
      <w:r w:rsidR="00754387" w:rsidRPr="00B52DA6">
        <w:rPr>
          <w:rFonts w:ascii="Arial" w:hAnsi="Arial" w:cs="Arial"/>
          <w:spacing w:val="-3"/>
          <w:sz w:val="18"/>
          <w:szCs w:val="18"/>
        </w:rPr>
        <w:t xml:space="preserve">adequate nutrition for all. </w:t>
      </w:r>
    </w:p>
    <w:p w14:paraId="4905159F" w14:textId="68410287" w:rsidR="00A95671" w:rsidRPr="00B52DA6" w:rsidRDefault="00260FDC" w:rsidP="006038AD">
      <w:pPr>
        <w:pStyle w:val="NormalWeb"/>
        <w:shd w:val="clear" w:color="auto" w:fill="FFFFFF"/>
        <w:spacing w:before="240" w:beforeAutospacing="0" w:after="240" w:afterAutospacing="0" w:line="360" w:lineRule="auto"/>
        <w:jc w:val="both"/>
        <w:rPr>
          <w:rFonts w:ascii="Arial" w:hAnsi="Arial" w:cs="Arial"/>
          <w:sz w:val="18"/>
          <w:szCs w:val="18"/>
        </w:rPr>
      </w:pPr>
      <w:r w:rsidRPr="00B52DA6">
        <w:rPr>
          <w:rFonts w:ascii="Arial" w:hAnsi="Arial" w:cs="Arial"/>
          <w:spacing w:val="-3"/>
          <w:sz w:val="18"/>
          <w:szCs w:val="18"/>
        </w:rPr>
        <w:t xml:space="preserve">The current COVID-19 pandemic is a clear example of the linkages between </w:t>
      </w:r>
      <w:r w:rsidR="00754387" w:rsidRPr="00B52DA6">
        <w:rPr>
          <w:rFonts w:ascii="Arial" w:hAnsi="Arial" w:cs="Arial"/>
          <w:spacing w:val="-3"/>
          <w:sz w:val="18"/>
          <w:szCs w:val="18"/>
        </w:rPr>
        <w:t xml:space="preserve">food security and the right of peoples and communities working in agriculture. </w:t>
      </w:r>
      <w:r w:rsidR="009916FD" w:rsidRPr="00B52DA6">
        <w:rPr>
          <w:rFonts w:ascii="Arial" w:hAnsi="Arial" w:cs="Arial"/>
          <w:spacing w:val="-3"/>
          <w:sz w:val="18"/>
          <w:szCs w:val="18"/>
        </w:rPr>
        <w:t xml:space="preserve">According to the </w:t>
      </w:r>
      <w:r w:rsidR="005535CA" w:rsidRPr="00B52DA6">
        <w:rPr>
          <w:rFonts w:ascii="Arial" w:hAnsi="Arial" w:cs="Arial"/>
          <w:spacing w:val="-3"/>
          <w:sz w:val="18"/>
          <w:szCs w:val="18"/>
        </w:rPr>
        <w:t>Food and Agriculture Organization</w:t>
      </w:r>
      <w:r w:rsidR="00387943" w:rsidRPr="00B52DA6">
        <w:rPr>
          <w:rFonts w:ascii="Arial" w:hAnsi="Arial" w:cs="Arial"/>
          <w:spacing w:val="-3"/>
          <w:sz w:val="18"/>
          <w:szCs w:val="18"/>
        </w:rPr>
        <w:t xml:space="preserve">, world </w:t>
      </w:r>
      <w:r w:rsidR="009E69CA" w:rsidRPr="00B52DA6">
        <w:rPr>
          <w:rFonts w:ascii="Arial" w:hAnsi="Arial" w:cs="Arial"/>
          <w:spacing w:val="-3"/>
          <w:sz w:val="18"/>
          <w:szCs w:val="18"/>
        </w:rPr>
        <w:t>hunger increased in 2020</w:t>
      </w:r>
      <w:r w:rsidR="00D021C8">
        <w:rPr>
          <w:rFonts w:ascii="Arial" w:hAnsi="Arial" w:cs="Arial"/>
          <w:spacing w:val="-3"/>
          <w:sz w:val="18"/>
          <w:szCs w:val="18"/>
        </w:rPr>
        <w:t>. The prevalence of undernourishment (PoU) increased from 8.4 to around 9.9 percent in just one year, heightening the challenge of achieving the Zero Hunger target</w:t>
      </w:r>
      <w:r w:rsidR="009E69CA" w:rsidRPr="00B52DA6">
        <w:rPr>
          <w:rFonts w:ascii="Arial" w:hAnsi="Arial" w:cs="Arial"/>
          <w:spacing w:val="-3"/>
          <w:sz w:val="18"/>
          <w:szCs w:val="18"/>
        </w:rPr>
        <w:t xml:space="preserve"> </w:t>
      </w:r>
      <w:r w:rsidR="00C15F19" w:rsidRPr="00BD75E2">
        <w:rPr>
          <w:rFonts w:ascii="Arial" w:hAnsi="Arial" w:cs="Arial"/>
          <w:spacing w:val="-3"/>
          <w:sz w:val="18"/>
          <w:szCs w:val="18"/>
        </w:rPr>
        <w:t>b</w:t>
      </w:r>
      <w:r w:rsidR="00C15F19">
        <w:rPr>
          <w:rFonts w:ascii="Arial" w:hAnsi="Arial" w:cs="Arial"/>
          <w:spacing w:val="-3"/>
          <w:sz w:val="18"/>
          <w:szCs w:val="18"/>
        </w:rPr>
        <w:t xml:space="preserve">y </w:t>
      </w:r>
      <w:r w:rsidR="009E69CA" w:rsidRPr="00B52DA6">
        <w:rPr>
          <w:rFonts w:ascii="Arial" w:hAnsi="Arial" w:cs="Arial"/>
          <w:spacing w:val="-3"/>
          <w:sz w:val="18"/>
          <w:szCs w:val="18"/>
        </w:rPr>
        <w:t>2030.</w:t>
      </w:r>
      <w:r w:rsidR="00387943" w:rsidRPr="00B52DA6">
        <w:rPr>
          <w:rStyle w:val="FootnoteReference"/>
          <w:rFonts w:ascii="Arial" w:hAnsi="Arial" w:cs="Arial"/>
          <w:spacing w:val="-3"/>
          <w:sz w:val="18"/>
          <w:szCs w:val="18"/>
        </w:rPr>
        <w:footnoteReference w:id="4"/>
      </w:r>
      <w:r w:rsidR="009F1B87" w:rsidRPr="00B52DA6">
        <w:rPr>
          <w:rFonts w:ascii="Arial" w:hAnsi="Arial" w:cs="Arial"/>
          <w:spacing w:val="-3"/>
          <w:sz w:val="18"/>
          <w:szCs w:val="18"/>
        </w:rPr>
        <w:t xml:space="preserve"> Compared with 2019,</w:t>
      </w:r>
      <w:r w:rsidR="00B66077" w:rsidRPr="00B52DA6">
        <w:rPr>
          <w:rFonts w:ascii="Arial" w:hAnsi="Arial" w:cs="Arial"/>
          <w:spacing w:val="-3"/>
          <w:sz w:val="18"/>
          <w:szCs w:val="18"/>
        </w:rPr>
        <w:t xml:space="preserve"> almost </w:t>
      </w:r>
      <w:r w:rsidR="009D30DC" w:rsidRPr="00B52DA6">
        <w:rPr>
          <w:rFonts w:ascii="Arial" w:hAnsi="Arial" w:cs="Arial"/>
          <w:spacing w:val="-3"/>
          <w:sz w:val="18"/>
          <w:szCs w:val="18"/>
        </w:rPr>
        <w:t xml:space="preserve">117 million more people have been affected by hunger in the </w:t>
      </w:r>
      <w:r w:rsidR="00D021C8">
        <w:rPr>
          <w:rFonts w:ascii="Arial" w:hAnsi="Arial" w:cs="Arial"/>
          <w:spacing w:val="-3"/>
          <w:sz w:val="18"/>
          <w:szCs w:val="18"/>
        </w:rPr>
        <w:t>world's most vulnerable regions</w:t>
      </w:r>
      <w:r w:rsidR="00124B9E" w:rsidRPr="00B52DA6">
        <w:rPr>
          <w:rFonts w:ascii="Arial" w:hAnsi="Arial" w:cs="Arial"/>
          <w:sz w:val="18"/>
          <w:szCs w:val="18"/>
        </w:rPr>
        <w:t xml:space="preserve">. Peasants, indigenous </w:t>
      </w:r>
      <w:r w:rsidR="006038AD" w:rsidRPr="00B52DA6">
        <w:rPr>
          <w:rFonts w:ascii="Arial" w:hAnsi="Arial" w:cs="Arial"/>
          <w:sz w:val="18"/>
          <w:szCs w:val="18"/>
        </w:rPr>
        <w:t>peoples,</w:t>
      </w:r>
      <w:r w:rsidR="00124B9E" w:rsidRPr="00B52DA6">
        <w:rPr>
          <w:rFonts w:ascii="Arial" w:hAnsi="Arial" w:cs="Arial"/>
          <w:sz w:val="18"/>
          <w:szCs w:val="18"/>
        </w:rPr>
        <w:t xml:space="preserve"> </w:t>
      </w:r>
      <w:r w:rsidR="00124B9E" w:rsidRPr="00B52DA6">
        <w:rPr>
          <w:rFonts w:ascii="Arial" w:hAnsi="Arial" w:cs="Arial"/>
          <w:sz w:val="18"/>
          <w:szCs w:val="18"/>
        </w:rPr>
        <w:lastRenderedPageBreak/>
        <w:t xml:space="preserve">and people working </w:t>
      </w:r>
      <w:r w:rsidR="00582BC2" w:rsidRPr="00B52DA6">
        <w:rPr>
          <w:rFonts w:ascii="Arial" w:hAnsi="Arial" w:cs="Arial"/>
          <w:sz w:val="18"/>
          <w:szCs w:val="18"/>
        </w:rPr>
        <w:t>in rural areas</w:t>
      </w:r>
      <w:r w:rsidR="00195461" w:rsidRPr="00B52DA6">
        <w:rPr>
          <w:rFonts w:ascii="Arial" w:hAnsi="Arial" w:cs="Arial"/>
          <w:sz w:val="18"/>
          <w:szCs w:val="18"/>
        </w:rPr>
        <w:t xml:space="preserve"> are significantly </w:t>
      </w:r>
      <w:r w:rsidR="009E3008" w:rsidRPr="00B52DA6">
        <w:rPr>
          <w:rFonts w:ascii="Arial" w:hAnsi="Arial" w:cs="Arial"/>
          <w:sz w:val="18"/>
          <w:szCs w:val="18"/>
        </w:rPr>
        <w:t>affected by these crises</w:t>
      </w:r>
      <w:r w:rsidR="00AA24B2">
        <w:rPr>
          <w:rFonts w:ascii="Arial" w:hAnsi="Arial" w:cs="Arial"/>
          <w:sz w:val="18"/>
          <w:szCs w:val="18"/>
        </w:rPr>
        <w:t>. Still,</w:t>
      </w:r>
      <w:r w:rsidR="009E3008" w:rsidRPr="00B52DA6">
        <w:rPr>
          <w:rFonts w:ascii="Arial" w:hAnsi="Arial" w:cs="Arial"/>
          <w:sz w:val="18"/>
          <w:szCs w:val="18"/>
        </w:rPr>
        <w:t xml:space="preserve"> its consequences on food security and malnutrition </w:t>
      </w:r>
      <w:r w:rsidR="00823807" w:rsidRPr="00B52DA6">
        <w:rPr>
          <w:rFonts w:ascii="Arial" w:hAnsi="Arial" w:cs="Arial"/>
          <w:sz w:val="18"/>
          <w:szCs w:val="18"/>
        </w:rPr>
        <w:t xml:space="preserve">reach </w:t>
      </w:r>
      <w:r w:rsidR="00272EBD" w:rsidRPr="00B52DA6">
        <w:rPr>
          <w:rFonts w:ascii="Arial" w:hAnsi="Arial" w:cs="Arial"/>
          <w:sz w:val="18"/>
          <w:szCs w:val="18"/>
        </w:rPr>
        <w:t>urban households, commodity markets</w:t>
      </w:r>
      <w:r w:rsidR="0036250B" w:rsidRPr="00B52DA6">
        <w:rPr>
          <w:rFonts w:ascii="Arial" w:hAnsi="Arial" w:cs="Arial"/>
          <w:sz w:val="18"/>
          <w:szCs w:val="18"/>
        </w:rPr>
        <w:t xml:space="preserve">, and the overall economy of States. </w:t>
      </w:r>
    </w:p>
    <w:p w14:paraId="638424E2" w14:textId="2C1599BD" w:rsidR="00033BB6" w:rsidRDefault="00B925D6" w:rsidP="006038AD">
      <w:pPr>
        <w:pStyle w:val="NormalWeb"/>
        <w:shd w:val="clear" w:color="auto" w:fill="FFFFFF"/>
        <w:spacing w:before="240" w:beforeAutospacing="0" w:after="240" w:afterAutospacing="0" w:line="360" w:lineRule="auto"/>
        <w:jc w:val="both"/>
        <w:rPr>
          <w:rFonts w:ascii="Arial" w:hAnsi="Arial" w:cs="Arial"/>
          <w:spacing w:val="-3"/>
          <w:sz w:val="18"/>
          <w:szCs w:val="18"/>
        </w:rPr>
      </w:pPr>
      <w:r w:rsidRPr="00B52DA6">
        <w:rPr>
          <w:rFonts w:ascii="Arial" w:hAnsi="Arial" w:cs="Arial"/>
          <w:spacing w:val="-3"/>
          <w:sz w:val="18"/>
          <w:szCs w:val="18"/>
        </w:rPr>
        <w:t xml:space="preserve">The draft </w:t>
      </w:r>
      <w:r w:rsidR="000C6DA6" w:rsidRPr="00B52DA6">
        <w:rPr>
          <w:rFonts w:ascii="Arial" w:hAnsi="Arial" w:cs="Arial"/>
          <w:spacing w:val="-3"/>
          <w:sz w:val="18"/>
          <w:szCs w:val="18"/>
        </w:rPr>
        <w:t xml:space="preserve">general comment </w:t>
      </w:r>
      <w:r w:rsidR="001E50CF" w:rsidRPr="00B52DA6">
        <w:rPr>
          <w:rFonts w:ascii="Arial" w:hAnsi="Arial" w:cs="Arial"/>
          <w:spacing w:val="-3"/>
          <w:sz w:val="18"/>
          <w:szCs w:val="18"/>
        </w:rPr>
        <w:t xml:space="preserve">recognizes the </w:t>
      </w:r>
      <w:r w:rsidR="008D0463" w:rsidRPr="00B52DA6">
        <w:rPr>
          <w:rFonts w:ascii="Arial" w:hAnsi="Arial" w:cs="Arial"/>
          <w:spacing w:val="-3"/>
          <w:sz w:val="18"/>
          <w:szCs w:val="18"/>
        </w:rPr>
        <w:t>obligation to protect and fulfi</w:t>
      </w:r>
      <w:r w:rsidR="00AA24B2">
        <w:rPr>
          <w:rFonts w:ascii="Arial" w:hAnsi="Arial" w:cs="Arial"/>
          <w:spacing w:val="-3"/>
          <w:sz w:val="18"/>
          <w:szCs w:val="18"/>
        </w:rPr>
        <w:t>l</w:t>
      </w:r>
      <w:r w:rsidR="008D0463" w:rsidRPr="00B52DA6">
        <w:rPr>
          <w:rFonts w:ascii="Arial" w:hAnsi="Arial" w:cs="Arial"/>
          <w:spacing w:val="-3"/>
          <w:sz w:val="18"/>
          <w:szCs w:val="18"/>
        </w:rPr>
        <w:t xml:space="preserve">l the right to access land, not </w:t>
      </w:r>
      <w:r w:rsidR="00AD5AE1" w:rsidRPr="00B52DA6">
        <w:rPr>
          <w:rFonts w:ascii="Arial" w:hAnsi="Arial" w:cs="Arial"/>
          <w:spacing w:val="-3"/>
          <w:sz w:val="18"/>
          <w:szCs w:val="18"/>
        </w:rPr>
        <w:t>only for legitimate tenure right holders</w:t>
      </w:r>
      <w:r w:rsidR="00E3512A" w:rsidRPr="00B52DA6">
        <w:rPr>
          <w:rFonts w:ascii="Arial" w:hAnsi="Arial" w:cs="Arial"/>
          <w:spacing w:val="-3"/>
          <w:sz w:val="18"/>
          <w:szCs w:val="18"/>
        </w:rPr>
        <w:t xml:space="preserve"> but also for </w:t>
      </w:r>
      <w:r w:rsidR="0037031E" w:rsidRPr="00B52DA6">
        <w:rPr>
          <w:rFonts w:ascii="Arial" w:hAnsi="Arial" w:cs="Arial"/>
          <w:spacing w:val="-3"/>
          <w:sz w:val="18"/>
          <w:szCs w:val="18"/>
        </w:rPr>
        <w:t>customary tenure and those at higher risk of being disposed of their land</w:t>
      </w:r>
      <w:r w:rsidR="00BB6D05" w:rsidRPr="00B52DA6">
        <w:rPr>
          <w:rFonts w:ascii="Arial" w:hAnsi="Arial" w:cs="Arial"/>
          <w:spacing w:val="-3"/>
          <w:sz w:val="18"/>
          <w:szCs w:val="18"/>
        </w:rPr>
        <w:t xml:space="preserve">, </w:t>
      </w:r>
      <w:r w:rsidR="00AA24B2">
        <w:rPr>
          <w:rFonts w:ascii="Arial" w:hAnsi="Arial" w:cs="Arial"/>
          <w:spacing w:val="-3"/>
          <w:sz w:val="18"/>
          <w:szCs w:val="18"/>
        </w:rPr>
        <w:t>main</w:t>
      </w:r>
      <w:r w:rsidR="00BB6D05" w:rsidRPr="00B52DA6">
        <w:rPr>
          <w:rFonts w:ascii="Arial" w:hAnsi="Arial" w:cs="Arial"/>
          <w:spacing w:val="-3"/>
          <w:sz w:val="18"/>
          <w:szCs w:val="18"/>
        </w:rPr>
        <w:t>ly landless</w:t>
      </w:r>
      <w:r w:rsidR="00DC65D9" w:rsidRPr="00B52DA6">
        <w:rPr>
          <w:rFonts w:ascii="Arial" w:hAnsi="Arial" w:cs="Arial"/>
          <w:spacing w:val="-3"/>
          <w:sz w:val="18"/>
          <w:szCs w:val="18"/>
        </w:rPr>
        <w:t xml:space="preserve"> persons and people </w:t>
      </w:r>
      <w:r w:rsidR="00BB6D05" w:rsidRPr="00B52DA6">
        <w:rPr>
          <w:rFonts w:ascii="Arial" w:hAnsi="Arial" w:cs="Arial"/>
          <w:spacing w:val="-3"/>
          <w:sz w:val="18"/>
          <w:szCs w:val="18"/>
        </w:rPr>
        <w:t>living in poverty.</w:t>
      </w:r>
      <w:r w:rsidR="0037031E" w:rsidRPr="00B52DA6">
        <w:rPr>
          <w:rStyle w:val="FootnoteReference"/>
          <w:rFonts w:ascii="Arial" w:hAnsi="Arial" w:cs="Arial"/>
          <w:spacing w:val="-3"/>
          <w:sz w:val="18"/>
          <w:szCs w:val="18"/>
        </w:rPr>
        <w:footnoteReference w:id="5"/>
      </w:r>
      <w:r w:rsidR="00823807" w:rsidRPr="00B52DA6">
        <w:rPr>
          <w:rFonts w:ascii="Arial" w:hAnsi="Arial" w:cs="Arial"/>
          <w:spacing w:val="-3"/>
          <w:sz w:val="18"/>
          <w:szCs w:val="18"/>
        </w:rPr>
        <w:t xml:space="preserve"> </w:t>
      </w:r>
      <w:r w:rsidR="00242F98" w:rsidRPr="00B52DA6">
        <w:rPr>
          <w:rFonts w:ascii="Arial" w:hAnsi="Arial" w:cs="Arial"/>
          <w:spacing w:val="-3"/>
          <w:sz w:val="18"/>
          <w:szCs w:val="18"/>
        </w:rPr>
        <w:t>The Committee</w:t>
      </w:r>
      <w:r w:rsidR="00AA24B2">
        <w:rPr>
          <w:rFonts w:ascii="Arial" w:hAnsi="Arial" w:cs="Arial"/>
          <w:spacing w:val="-3"/>
          <w:sz w:val="18"/>
          <w:szCs w:val="18"/>
        </w:rPr>
        <w:t>'</w:t>
      </w:r>
      <w:r w:rsidR="00242F98" w:rsidRPr="00B52DA6">
        <w:rPr>
          <w:rFonts w:ascii="Arial" w:hAnsi="Arial" w:cs="Arial"/>
          <w:spacing w:val="-3"/>
          <w:sz w:val="18"/>
          <w:szCs w:val="18"/>
        </w:rPr>
        <w:t>s jurisprudence on disproportionate evictions</w:t>
      </w:r>
      <w:r w:rsidR="000C042C" w:rsidRPr="00B52DA6">
        <w:rPr>
          <w:rFonts w:ascii="Arial" w:hAnsi="Arial" w:cs="Arial"/>
          <w:spacing w:val="-3"/>
          <w:sz w:val="18"/>
          <w:szCs w:val="18"/>
        </w:rPr>
        <w:t xml:space="preserve"> of land and housing has motivated </w:t>
      </w:r>
      <w:r w:rsidR="00AA24B2">
        <w:rPr>
          <w:rFonts w:ascii="Arial" w:hAnsi="Arial" w:cs="Arial"/>
          <w:spacing w:val="-3"/>
          <w:sz w:val="18"/>
          <w:szCs w:val="18"/>
        </w:rPr>
        <w:t>many</w:t>
      </w:r>
      <w:r w:rsidR="000C042C" w:rsidRPr="00B52DA6">
        <w:rPr>
          <w:rFonts w:ascii="Arial" w:hAnsi="Arial" w:cs="Arial"/>
          <w:spacing w:val="-3"/>
          <w:sz w:val="18"/>
          <w:szCs w:val="18"/>
        </w:rPr>
        <w:t xml:space="preserve"> reforms in legal regimes, particularly on </w:t>
      </w:r>
      <w:r w:rsidR="00AA24B2">
        <w:rPr>
          <w:rFonts w:ascii="Arial" w:hAnsi="Arial" w:cs="Arial"/>
          <w:spacing w:val="-3"/>
          <w:sz w:val="18"/>
          <w:szCs w:val="18"/>
        </w:rPr>
        <w:t>analyzing</w:t>
      </w:r>
      <w:r w:rsidR="000C042C" w:rsidRPr="00B52DA6">
        <w:rPr>
          <w:rFonts w:ascii="Arial" w:hAnsi="Arial" w:cs="Arial"/>
          <w:spacing w:val="-3"/>
          <w:sz w:val="18"/>
          <w:szCs w:val="18"/>
        </w:rPr>
        <w:t xml:space="preserve"> </w:t>
      </w:r>
      <w:r w:rsidR="00AA24B2">
        <w:rPr>
          <w:rFonts w:ascii="Arial" w:hAnsi="Arial" w:cs="Arial"/>
          <w:spacing w:val="-3"/>
          <w:sz w:val="18"/>
          <w:szCs w:val="18"/>
        </w:rPr>
        <w:t xml:space="preserve">the </w:t>
      </w:r>
      <w:r w:rsidR="000C042C" w:rsidRPr="00B52DA6">
        <w:rPr>
          <w:rFonts w:ascii="Arial" w:hAnsi="Arial" w:cs="Arial"/>
          <w:spacing w:val="-3"/>
          <w:sz w:val="18"/>
          <w:szCs w:val="18"/>
        </w:rPr>
        <w:t>proportionality of the measures and analysis of vulnerabilities of evicted persons</w:t>
      </w:r>
      <w:r w:rsidR="006D7944" w:rsidRPr="00B52DA6">
        <w:rPr>
          <w:rFonts w:ascii="Arial" w:hAnsi="Arial" w:cs="Arial"/>
          <w:spacing w:val="-3"/>
          <w:sz w:val="18"/>
          <w:szCs w:val="18"/>
        </w:rPr>
        <w:t>.</w:t>
      </w:r>
      <w:r w:rsidR="000C042C" w:rsidRPr="00B52DA6">
        <w:rPr>
          <w:rStyle w:val="FootnoteReference"/>
          <w:rFonts w:ascii="Arial" w:hAnsi="Arial" w:cs="Arial"/>
          <w:spacing w:val="-3"/>
          <w:sz w:val="18"/>
          <w:szCs w:val="18"/>
        </w:rPr>
        <w:footnoteReference w:id="6"/>
      </w:r>
      <w:r w:rsidR="006D7944" w:rsidRPr="00B52DA6">
        <w:rPr>
          <w:rFonts w:ascii="Arial" w:hAnsi="Arial" w:cs="Arial"/>
          <w:spacing w:val="-3"/>
          <w:sz w:val="18"/>
          <w:szCs w:val="18"/>
        </w:rPr>
        <w:t xml:space="preserve"> </w:t>
      </w:r>
      <w:r w:rsidR="0055366D" w:rsidRPr="00B52DA6">
        <w:rPr>
          <w:rFonts w:ascii="Arial" w:hAnsi="Arial" w:cs="Arial"/>
          <w:spacing w:val="-3"/>
          <w:sz w:val="18"/>
          <w:szCs w:val="18"/>
        </w:rPr>
        <w:t xml:space="preserve">Similarly, </w:t>
      </w:r>
      <w:r w:rsidR="00AA24B2">
        <w:rPr>
          <w:rFonts w:ascii="Arial" w:hAnsi="Arial" w:cs="Arial"/>
          <w:spacing w:val="-3"/>
          <w:sz w:val="18"/>
          <w:szCs w:val="18"/>
        </w:rPr>
        <w:t>fiscal and financial reforms could limit the livelihood of peasants and other peoples living in rural areas, and migrating to urban centers for finding other means of income becomes necessar</w:t>
      </w:r>
      <w:r w:rsidR="0055366D" w:rsidRPr="00B52DA6">
        <w:rPr>
          <w:rFonts w:ascii="Arial" w:hAnsi="Arial" w:cs="Arial"/>
          <w:spacing w:val="-3"/>
          <w:sz w:val="18"/>
          <w:szCs w:val="18"/>
        </w:rPr>
        <w:t xml:space="preserve">y. </w:t>
      </w:r>
    </w:p>
    <w:p w14:paraId="13B0DB06" w14:textId="72CAA7DF" w:rsidR="001E208F" w:rsidRPr="00B52DA6" w:rsidRDefault="00F91DDF" w:rsidP="006038AD">
      <w:pPr>
        <w:pStyle w:val="NormalWeb"/>
        <w:shd w:val="clear" w:color="auto" w:fill="FFFFFF"/>
        <w:spacing w:before="240" w:beforeAutospacing="0" w:after="240" w:afterAutospacing="0" w:line="360" w:lineRule="auto"/>
        <w:jc w:val="both"/>
        <w:rPr>
          <w:rFonts w:ascii="Arial" w:hAnsi="Arial" w:cs="Arial"/>
          <w:spacing w:val="-3"/>
          <w:sz w:val="18"/>
          <w:szCs w:val="18"/>
        </w:rPr>
      </w:pPr>
      <w:r w:rsidRPr="00B52DA6">
        <w:rPr>
          <w:rFonts w:ascii="Arial" w:hAnsi="Arial" w:cs="Arial"/>
          <w:spacing w:val="-3"/>
          <w:sz w:val="18"/>
          <w:szCs w:val="18"/>
        </w:rPr>
        <w:t>Following this line,</w:t>
      </w:r>
      <w:r w:rsidR="006D7944" w:rsidRPr="00B52DA6">
        <w:rPr>
          <w:rFonts w:ascii="Arial" w:hAnsi="Arial" w:cs="Arial"/>
          <w:spacing w:val="-3"/>
          <w:sz w:val="18"/>
          <w:szCs w:val="18"/>
        </w:rPr>
        <w:t xml:space="preserve"> it will be </w:t>
      </w:r>
      <w:r w:rsidR="007303E9">
        <w:rPr>
          <w:rFonts w:ascii="Arial" w:hAnsi="Arial" w:cs="Arial"/>
          <w:spacing w:val="-3"/>
          <w:sz w:val="18"/>
          <w:szCs w:val="18"/>
        </w:rPr>
        <w:t>essential</w:t>
      </w:r>
      <w:r w:rsidR="006D7944" w:rsidRPr="00B52DA6">
        <w:rPr>
          <w:rFonts w:ascii="Arial" w:hAnsi="Arial" w:cs="Arial"/>
          <w:spacing w:val="-3"/>
          <w:sz w:val="18"/>
          <w:szCs w:val="18"/>
        </w:rPr>
        <w:t xml:space="preserve"> to include an analysis o</w:t>
      </w:r>
      <w:r w:rsidR="007303E9">
        <w:rPr>
          <w:rFonts w:ascii="Arial" w:hAnsi="Arial" w:cs="Arial"/>
          <w:spacing w:val="-3"/>
          <w:sz w:val="18"/>
          <w:szCs w:val="18"/>
        </w:rPr>
        <w:t>f</w:t>
      </w:r>
      <w:r w:rsidR="006D7944" w:rsidRPr="00B52DA6">
        <w:rPr>
          <w:rFonts w:ascii="Arial" w:hAnsi="Arial" w:cs="Arial"/>
          <w:spacing w:val="-3"/>
          <w:sz w:val="18"/>
          <w:szCs w:val="18"/>
        </w:rPr>
        <w:t xml:space="preserve"> the </w:t>
      </w:r>
      <w:r w:rsidR="00544366" w:rsidRPr="00B52DA6">
        <w:rPr>
          <w:rFonts w:ascii="Arial" w:hAnsi="Arial" w:cs="Arial"/>
          <w:spacing w:val="-3"/>
          <w:sz w:val="18"/>
          <w:szCs w:val="18"/>
        </w:rPr>
        <w:t xml:space="preserve">policies and means required </w:t>
      </w:r>
      <w:r w:rsidR="007303E9">
        <w:rPr>
          <w:rFonts w:ascii="Arial" w:hAnsi="Arial" w:cs="Arial"/>
          <w:spacing w:val="-3"/>
          <w:sz w:val="18"/>
          <w:szCs w:val="18"/>
        </w:rPr>
        <w:t>to respond</w:t>
      </w:r>
      <w:r w:rsidR="00544366" w:rsidRPr="00B52DA6">
        <w:rPr>
          <w:rFonts w:ascii="Arial" w:hAnsi="Arial" w:cs="Arial"/>
          <w:spacing w:val="-3"/>
          <w:sz w:val="18"/>
          <w:szCs w:val="18"/>
        </w:rPr>
        <w:t xml:space="preserve"> to structural </w:t>
      </w:r>
      <w:r w:rsidR="00743363" w:rsidRPr="00B52DA6">
        <w:rPr>
          <w:rFonts w:ascii="Arial" w:hAnsi="Arial" w:cs="Arial"/>
          <w:spacing w:val="-3"/>
          <w:sz w:val="18"/>
          <w:szCs w:val="18"/>
        </w:rPr>
        <w:t xml:space="preserve">and persistent factors </w:t>
      </w:r>
      <w:r w:rsidR="002A0DD5" w:rsidRPr="00B52DA6">
        <w:rPr>
          <w:rFonts w:ascii="Arial" w:hAnsi="Arial" w:cs="Arial"/>
          <w:spacing w:val="-3"/>
          <w:sz w:val="18"/>
          <w:szCs w:val="18"/>
        </w:rPr>
        <w:t xml:space="preserve">that </w:t>
      </w:r>
      <w:r w:rsidR="007303E9">
        <w:rPr>
          <w:rFonts w:ascii="Arial" w:hAnsi="Arial" w:cs="Arial"/>
          <w:spacing w:val="-3"/>
          <w:sz w:val="18"/>
          <w:szCs w:val="18"/>
        </w:rPr>
        <w:t>limit access to land and</w:t>
      </w:r>
      <w:r w:rsidR="002A0DD5" w:rsidRPr="00B52DA6">
        <w:rPr>
          <w:rFonts w:ascii="Arial" w:hAnsi="Arial" w:cs="Arial"/>
          <w:spacing w:val="-3"/>
          <w:sz w:val="18"/>
          <w:szCs w:val="18"/>
        </w:rPr>
        <w:t xml:space="preserve"> </w:t>
      </w:r>
      <w:r w:rsidR="00DF56F1" w:rsidRPr="00B52DA6">
        <w:rPr>
          <w:rFonts w:ascii="Arial" w:hAnsi="Arial" w:cs="Arial"/>
          <w:spacing w:val="-3"/>
          <w:sz w:val="18"/>
          <w:szCs w:val="18"/>
        </w:rPr>
        <w:t xml:space="preserve">severely impact the economic, </w:t>
      </w:r>
      <w:r w:rsidR="006038AD" w:rsidRPr="00B52DA6">
        <w:rPr>
          <w:rFonts w:ascii="Arial" w:hAnsi="Arial" w:cs="Arial"/>
          <w:spacing w:val="-3"/>
          <w:sz w:val="18"/>
          <w:szCs w:val="18"/>
        </w:rPr>
        <w:t>social,</w:t>
      </w:r>
      <w:r w:rsidR="00DF56F1" w:rsidRPr="00B52DA6">
        <w:rPr>
          <w:rFonts w:ascii="Arial" w:hAnsi="Arial" w:cs="Arial"/>
          <w:spacing w:val="-3"/>
          <w:sz w:val="18"/>
          <w:szCs w:val="18"/>
        </w:rPr>
        <w:t xml:space="preserve"> and cultural rights of the m</w:t>
      </w:r>
      <w:r w:rsidR="007303E9">
        <w:rPr>
          <w:rFonts w:ascii="Arial" w:hAnsi="Arial" w:cs="Arial"/>
          <w:spacing w:val="-3"/>
          <w:sz w:val="18"/>
          <w:szCs w:val="18"/>
        </w:rPr>
        <w:t>o</w:t>
      </w:r>
      <w:r w:rsidR="00DF56F1" w:rsidRPr="00B52DA6">
        <w:rPr>
          <w:rFonts w:ascii="Arial" w:hAnsi="Arial" w:cs="Arial"/>
          <w:spacing w:val="-3"/>
          <w:sz w:val="18"/>
          <w:szCs w:val="18"/>
        </w:rPr>
        <w:t xml:space="preserve">st vulnerable. </w:t>
      </w:r>
      <w:r w:rsidR="007070B2" w:rsidRPr="00B52DA6">
        <w:rPr>
          <w:rFonts w:ascii="Arial" w:hAnsi="Arial" w:cs="Arial"/>
          <w:spacing w:val="-3"/>
          <w:sz w:val="18"/>
          <w:szCs w:val="18"/>
        </w:rPr>
        <w:t>For example, structural discrimination and inequality might g</w:t>
      </w:r>
      <w:r w:rsidR="00F01F5B" w:rsidRPr="00B52DA6">
        <w:rPr>
          <w:rFonts w:ascii="Arial" w:hAnsi="Arial" w:cs="Arial"/>
          <w:spacing w:val="-3"/>
          <w:sz w:val="18"/>
          <w:szCs w:val="18"/>
        </w:rPr>
        <w:t>ive</w:t>
      </w:r>
      <w:r w:rsidR="007070B2" w:rsidRPr="00B52DA6">
        <w:rPr>
          <w:rFonts w:ascii="Arial" w:hAnsi="Arial" w:cs="Arial"/>
          <w:spacing w:val="-3"/>
          <w:sz w:val="18"/>
          <w:szCs w:val="18"/>
        </w:rPr>
        <w:t xml:space="preserve"> rise to social conflicts with prolonged periods of </w:t>
      </w:r>
      <w:r w:rsidR="007303E9">
        <w:rPr>
          <w:rFonts w:ascii="Arial" w:hAnsi="Arial" w:cs="Arial"/>
          <w:spacing w:val="-3"/>
          <w:sz w:val="18"/>
          <w:szCs w:val="18"/>
        </w:rPr>
        <w:t>rural population displacement</w:t>
      </w:r>
      <w:r w:rsidR="001E208F" w:rsidRPr="00B52DA6">
        <w:rPr>
          <w:rFonts w:ascii="Arial" w:hAnsi="Arial" w:cs="Arial"/>
          <w:spacing w:val="-3"/>
          <w:sz w:val="18"/>
          <w:szCs w:val="18"/>
        </w:rPr>
        <w:t xml:space="preserve">. The lack of </w:t>
      </w:r>
      <w:r w:rsidR="00DF5B96" w:rsidRPr="00B52DA6">
        <w:rPr>
          <w:rFonts w:ascii="Arial" w:hAnsi="Arial" w:cs="Arial"/>
          <w:spacing w:val="-3"/>
          <w:sz w:val="18"/>
          <w:szCs w:val="18"/>
        </w:rPr>
        <w:t xml:space="preserve">capacity building and exchange of technology </w:t>
      </w:r>
      <w:r w:rsidR="00336CDB" w:rsidRPr="00B52DA6">
        <w:rPr>
          <w:rFonts w:ascii="Arial" w:hAnsi="Arial" w:cs="Arial"/>
          <w:spacing w:val="-3"/>
          <w:sz w:val="18"/>
          <w:szCs w:val="18"/>
        </w:rPr>
        <w:t>for small</w:t>
      </w:r>
      <w:r w:rsidR="007303E9">
        <w:rPr>
          <w:rFonts w:ascii="Arial" w:hAnsi="Arial" w:cs="Arial"/>
          <w:spacing w:val="-3"/>
          <w:sz w:val="18"/>
          <w:szCs w:val="18"/>
        </w:rPr>
        <w:t>-</w:t>
      </w:r>
      <w:r w:rsidR="00336CDB" w:rsidRPr="00B52DA6">
        <w:rPr>
          <w:rFonts w:ascii="Arial" w:hAnsi="Arial" w:cs="Arial"/>
          <w:spacing w:val="-3"/>
          <w:sz w:val="18"/>
          <w:szCs w:val="18"/>
        </w:rPr>
        <w:t xml:space="preserve">scale farmers </w:t>
      </w:r>
      <w:r w:rsidR="00DF5B96" w:rsidRPr="00B52DA6">
        <w:rPr>
          <w:rFonts w:ascii="Arial" w:hAnsi="Arial" w:cs="Arial"/>
          <w:spacing w:val="-3"/>
          <w:sz w:val="18"/>
          <w:szCs w:val="18"/>
        </w:rPr>
        <w:t xml:space="preserve">could also limit the </w:t>
      </w:r>
      <w:r w:rsidR="00336CDB" w:rsidRPr="00B52DA6">
        <w:rPr>
          <w:rFonts w:ascii="Arial" w:hAnsi="Arial" w:cs="Arial"/>
          <w:spacing w:val="-3"/>
          <w:sz w:val="18"/>
          <w:szCs w:val="18"/>
        </w:rPr>
        <w:t xml:space="preserve">modernization </w:t>
      </w:r>
      <w:r w:rsidR="0041357C">
        <w:rPr>
          <w:rFonts w:ascii="Arial" w:hAnsi="Arial" w:cs="Arial"/>
          <w:spacing w:val="-3"/>
          <w:sz w:val="18"/>
          <w:szCs w:val="18"/>
        </w:rPr>
        <w:t xml:space="preserve">of their cultivation methods and </w:t>
      </w:r>
      <w:r w:rsidR="00133E55">
        <w:rPr>
          <w:rFonts w:ascii="Arial" w:hAnsi="Arial" w:cs="Arial"/>
          <w:spacing w:val="-3"/>
          <w:sz w:val="18"/>
          <w:szCs w:val="18"/>
        </w:rPr>
        <w:t>improvement in productivity</w:t>
      </w:r>
      <w:r w:rsidR="0052494C" w:rsidRPr="00B52DA6">
        <w:rPr>
          <w:rFonts w:ascii="Arial" w:hAnsi="Arial" w:cs="Arial"/>
          <w:spacing w:val="-3"/>
          <w:sz w:val="18"/>
          <w:szCs w:val="18"/>
        </w:rPr>
        <w:t xml:space="preserve">, </w:t>
      </w:r>
      <w:r w:rsidR="007303E9">
        <w:rPr>
          <w:rFonts w:ascii="Arial" w:hAnsi="Arial" w:cs="Arial"/>
          <w:spacing w:val="-3"/>
          <w:sz w:val="18"/>
          <w:szCs w:val="18"/>
        </w:rPr>
        <w:t>limiting sustainable practices and</w:t>
      </w:r>
      <w:r w:rsidR="0052494C" w:rsidRPr="00B52DA6">
        <w:rPr>
          <w:rFonts w:ascii="Arial" w:hAnsi="Arial" w:cs="Arial"/>
          <w:spacing w:val="-3"/>
          <w:sz w:val="18"/>
          <w:szCs w:val="18"/>
        </w:rPr>
        <w:t xml:space="preserve"> affecting </w:t>
      </w:r>
      <w:r w:rsidR="00133E55">
        <w:rPr>
          <w:rFonts w:ascii="Arial" w:hAnsi="Arial" w:cs="Arial"/>
          <w:spacing w:val="-3"/>
          <w:sz w:val="18"/>
          <w:szCs w:val="18"/>
        </w:rPr>
        <w:t>their capacity to compete</w:t>
      </w:r>
      <w:r w:rsidR="000C041D" w:rsidRPr="00B52DA6">
        <w:rPr>
          <w:rFonts w:ascii="Arial" w:hAnsi="Arial" w:cs="Arial"/>
          <w:spacing w:val="-3"/>
          <w:sz w:val="18"/>
          <w:szCs w:val="18"/>
        </w:rPr>
        <w:t xml:space="preserve">with the industrial production of food. </w:t>
      </w:r>
    </w:p>
    <w:p w14:paraId="30ACE524" w14:textId="1351BD76" w:rsidR="00914F7F" w:rsidRPr="00B52DA6" w:rsidRDefault="000C041D" w:rsidP="006038AD">
      <w:pPr>
        <w:pStyle w:val="NormalWeb"/>
        <w:shd w:val="clear" w:color="auto" w:fill="FFFFFF"/>
        <w:spacing w:before="240" w:beforeAutospacing="0" w:after="240" w:afterAutospacing="0" w:line="360" w:lineRule="auto"/>
        <w:jc w:val="both"/>
        <w:rPr>
          <w:rFonts w:ascii="Arial" w:hAnsi="Arial" w:cs="Arial"/>
          <w:spacing w:val="-3"/>
          <w:sz w:val="18"/>
          <w:szCs w:val="18"/>
        </w:rPr>
      </w:pPr>
      <w:r w:rsidRPr="00B52DA6">
        <w:rPr>
          <w:rFonts w:ascii="Arial" w:hAnsi="Arial" w:cs="Arial"/>
          <w:spacing w:val="-3"/>
          <w:sz w:val="18"/>
          <w:szCs w:val="18"/>
        </w:rPr>
        <w:t xml:space="preserve">In addition, </w:t>
      </w:r>
      <w:r w:rsidR="009C633B" w:rsidRPr="00B52DA6">
        <w:rPr>
          <w:rFonts w:ascii="Arial" w:hAnsi="Arial" w:cs="Arial"/>
          <w:spacing w:val="-3"/>
          <w:sz w:val="18"/>
          <w:szCs w:val="18"/>
        </w:rPr>
        <w:t>as</w:t>
      </w:r>
      <w:r w:rsidR="003B5B22" w:rsidRPr="00B52DA6">
        <w:rPr>
          <w:rFonts w:ascii="Arial" w:hAnsi="Arial" w:cs="Arial"/>
          <w:spacing w:val="-3"/>
          <w:sz w:val="18"/>
          <w:szCs w:val="18"/>
        </w:rPr>
        <w:t xml:space="preserve"> rightly pointed out by the draft </w:t>
      </w:r>
      <w:r w:rsidR="0014518F" w:rsidRPr="00B52DA6">
        <w:rPr>
          <w:rFonts w:ascii="Arial" w:hAnsi="Arial" w:cs="Arial"/>
          <w:spacing w:val="-3"/>
          <w:sz w:val="18"/>
          <w:szCs w:val="18"/>
        </w:rPr>
        <w:t>general comment, the right to health may also be affec</w:t>
      </w:r>
      <w:r w:rsidR="001E208F" w:rsidRPr="00B52DA6">
        <w:rPr>
          <w:rFonts w:ascii="Arial" w:hAnsi="Arial" w:cs="Arial"/>
          <w:spacing w:val="-3"/>
          <w:sz w:val="18"/>
          <w:szCs w:val="18"/>
        </w:rPr>
        <w:t xml:space="preserve">ted </w:t>
      </w:r>
      <w:r w:rsidR="0098473A" w:rsidRPr="00B52DA6">
        <w:rPr>
          <w:rFonts w:ascii="Arial" w:hAnsi="Arial" w:cs="Arial"/>
          <w:spacing w:val="-3"/>
          <w:sz w:val="18"/>
          <w:szCs w:val="18"/>
        </w:rPr>
        <w:t xml:space="preserve">when </w:t>
      </w:r>
      <w:r w:rsidR="001E208F" w:rsidRPr="00B52DA6">
        <w:rPr>
          <w:rFonts w:ascii="Arial" w:hAnsi="Arial" w:cs="Arial"/>
          <w:spacing w:val="-3"/>
          <w:sz w:val="18"/>
          <w:szCs w:val="18"/>
        </w:rPr>
        <w:t>pesticides</w:t>
      </w:r>
      <w:r w:rsidR="00336814" w:rsidRPr="00B52DA6">
        <w:rPr>
          <w:rFonts w:ascii="Arial" w:hAnsi="Arial" w:cs="Arial"/>
          <w:spacing w:val="-3"/>
          <w:sz w:val="18"/>
          <w:szCs w:val="18"/>
        </w:rPr>
        <w:t xml:space="preserve"> </w:t>
      </w:r>
      <w:r w:rsidR="0098473A" w:rsidRPr="00B52DA6">
        <w:rPr>
          <w:rFonts w:ascii="Arial" w:hAnsi="Arial" w:cs="Arial"/>
          <w:spacing w:val="-3"/>
          <w:sz w:val="18"/>
          <w:szCs w:val="18"/>
        </w:rPr>
        <w:t xml:space="preserve">are used for </w:t>
      </w:r>
      <w:r w:rsidR="00192171" w:rsidRPr="00B52DA6">
        <w:rPr>
          <w:rFonts w:ascii="Arial" w:hAnsi="Arial" w:cs="Arial"/>
          <w:spacing w:val="-3"/>
          <w:sz w:val="18"/>
          <w:szCs w:val="18"/>
        </w:rPr>
        <w:t>industrial agriculture</w:t>
      </w:r>
      <w:r w:rsidR="002A0309">
        <w:rPr>
          <w:rFonts w:ascii="Arial" w:hAnsi="Arial" w:cs="Arial"/>
          <w:spacing w:val="-3"/>
          <w:sz w:val="18"/>
          <w:szCs w:val="18"/>
        </w:rPr>
        <w:t>.</w:t>
      </w:r>
      <w:r w:rsidR="00823AE9">
        <w:rPr>
          <w:rFonts w:ascii="Arial" w:hAnsi="Arial" w:cs="Arial"/>
          <w:spacing w:val="-3"/>
          <w:sz w:val="18"/>
          <w:szCs w:val="18"/>
        </w:rPr>
        <w:t xml:space="preserve"> A</w:t>
      </w:r>
      <w:r w:rsidR="00935B79" w:rsidRPr="00B52DA6">
        <w:rPr>
          <w:rFonts w:ascii="Arial" w:hAnsi="Arial" w:cs="Arial"/>
          <w:spacing w:val="-3"/>
          <w:sz w:val="18"/>
          <w:szCs w:val="18"/>
        </w:rPr>
        <w:t>ntimicrobial resistance (AMR)</w:t>
      </w:r>
      <w:r w:rsidR="00823AE9">
        <w:rPr>
          <w:rFonts w:ascii="Arial" w:hAnsi="Arial" w:cs="Arial"/>
          <w:spacing w:val="-3"/>
          <w:sz w:val="18"/>
          <w:szCs w:val="18"/>
        </w:rPr>
        <w:t xml:space="preserve"> also requires attention given</w:t>
      </w:r>
      <w:r w:rsidR="00935B79" w:rsidRPr="00B52DA6">
        <w:rPr>
          <w:rFonts w:ascii="Arial" w:hAnsi="Arial" w:cs="Arial"/>
          <w:spacing w:val="-3"/>
          <w:sz w:val="18"/>
          <w:szCs w:val="18"/>
        </w:rPr>
        <w:t xml:space="preserve"> the linkages between the use of antimicrobials in food production, </w:t>
      </w:r>
      <w:r w:rsidR="00F955D2" w:rsidRPr="00B52DA6">
        <w:rPr>
          <w:rFonts w:ascii="Arial" w:hAnsi="Arial" w:cs="Arial"/>
          <w:spacing w:val="-3"/>
          <w:sz w:val="18"/>
          <w:szCs w:val="18"/>
        </w:rPr>
        <w:t xml:space="preserve">the </w:t>
      </w:r>
      <w:r w:rsidR="00F955D2" w:rsidRPr="00B52DA6">
        <w:rPr>
          <w:rFonts w:ascii="Arial" w:hAnsi="Arial" w:cs="Arial"/>
          <w:spacing w:val="-3"/>
          <w:sz w:val="18"/>
          <w:szCs w:val="18"/>
        </w:rPr>
        <w:lastRenderedPageBreak/>
        <w:t xml:space="preserve">exposure of antibiotic residues </w:t>
      </w:r>
      <w:r w:rsidR="00505C9D" w:rsidRPr="00B52DA6">
        <w:rPr>
          <w:rFonts w:ascii="Arial" w:hAnsi="Arial" w:cs="Arial"/>
          <w:spacing w:val="-3"/>
          <w:sz w:val="18"/>
          <w:szCs w:val="18"/>
        </w:rPr>
        <w:t>to the environment</w:t>
      </w:r>
      <w:r w:rsidR="00823AE9">
        <w:rPr>
          <w:rFonts w:ascii="Arial" w:hAnsi="Arial" w:cs="Arial"/>
          <w:spacing w:val="-3"/>
          <w:sz w:val="18"/>
          <w:szCs w:val="18"/>
        </w:rPr>
        <w:t>,</w:t>
      </w:r>
      <w:r w:rsidR="00505C9D" w:rsidRPr="00B52DA6">
        <w:rPr>
          <w:rFonts w:ascii="Arial" w:hAnsi="Arial" w:cs="Arial"/>
          <w:spacing w:val="-3"/>
          <w:sz w:val="18"/>
          <w:szCs w:val="18"/>
        </w:rPr>
        <w:t xml:space="preserve"> and its consequences for the health of humans and ecosystems.</w:t>
      </w:r>
      <w:r w:rsidR="00884EF5" w:rsidRPr="00B52DA6">
        <w:rPr>
          <w:rFonts w:ascii="Arial" w:hAnsi="Arial" w:cs="Arial"/>
          <w:spacing w:val="-3"/>
          <w:sz w:val="18"/>
          <w:szCs w:val="18"/>
        </w:rPr>
        <w:t xml:space="preserve"> The use of antimicrobials </w:t>
      </w:r>
      <w:r w:rsidR="002667D0" w:rsidRPr="00B52DA6">
        <w:rPr>
          <w:rFonts w:ascii="Arial" w:hAnsi="Arial" w:cs="Arial"/>
          <w:spacing w:val="-3"/>
          <w:sz w:val="18"/>
          <w:szCs w:val="18"/>
        </w:rPr>
        <w:t>for non-therapeutic and growth promotion intensive agriculture might offset poor biosecurity practices</w:t>
      </w:r>
      <w:r w:rsidR="00823AE9">
        <w:rPr>
          <w:rFonts w:ascii="Arial" w:hAnsi="Arial" w:cs="Arial"/>
          <w:spacing w:val="-3"/>
          <w:sz w:val="18"/>
          <w:szCs w:val="18"/>
        </w:rPr>
        <w:t>. I</w:t>
      </w:r>
      <w:r w:rsidR="001D5675" w:rsidRPr="00B52DA6">
        <w:rPr>
          <w:rFonts w:ascii="Arial" w:hAnsi="Arial" w:cs="Arial"/>
          <w:spacing w:val="-3"/>
          <w:sz w:val="18"/>
          <w:szCs w:val="18"/>
        </w:rPr>
        <w:t>n turn</w:t>
      </w:r>
      <w:r w:rsidR="00823AE9">
        <w:rPr>
          <w:rFonts w:ascii="Arial" w:hAnsi="Arial" w:cs="Arial"/>
          <w:spacing w:val="-3"/>
          <w:sz w:val="18"/>
          <w:szCs w:val="18"/>
        </w:rPr>
        <w:t>,</w:t>
      </w:r>
      <w:r w:rsidR="001D5675" w:rsidRPr="00B52DA6">
        <w:rPr>
          <w:rFonts w:ascii="Arial" w:hAnsi="Arial" w:cs="Arial"/>
          <w:spacing w:val="-3"/>
          <w:sz w:val="18"/>
          <w:szCs w:val="18"/>
        </w:rPr>
        <w:t xml:space="preserve"> much of the antimicrobials consumed by animals is excreted, entering manure that might fertilize croplands, making the soil microbiome a potential reservoir of antibiotic-resistant genes. </w:t>
      </w:r>
      <w:r w:rsidR="00935B79" w:rsidRPr="00B52DA6">
        <w:rPr>
          <w:rFonts w:ascii="Arial" w:hAnsi="Arial" w:cs="Arial"/>
          <w:spacing w:val="-3"/>
          <w:sz w:val="18"/>
          <w:szCs w:val="18"/>
        </w:rPr>
        <w:t>Moreover, some studies have found that exposure to herbicides (glyphosate, glufosinate, and dicamba) increase</w:t>
      </w:r>
      <w:r w:rsidR="00823AE9">
        <w:rPr>
          <w:rFonts w:ascii="Arial" w:hAnsi="Arial" w:cs="Arial"/>
          <w:spacing w:val="-3"/>
          <w:sz w:val="18"/>
          <w:szCs w:val="18"/>
        </w:rPr>
        <w:t>s</w:t>
      </w:r>
      <w:r w:rsidR="00935B79" w:rsidRPr="00B52DA6">
        <w:rPr>
          <w:rFonts w:ascii="Arial" w:hAnsi="Arial" w:cs="Arial"/>
          <w:spacing w:val="-3"/>
          <w:sz w:val="18"/>
          <w:szCs w:val="18"/>
        </w:rPr>
        <w:t xml:space="preserve"> the prevalence of resistance genes and mobile genetic elements in the environment).</w:t>
      </w:r>
      <w:r w:rsidR="005B570D" w:rsidRPr="00B52DA6">
        <w:rPr>
          <w:rFonts w:ascii="Arial" w:hAnsi="Arial" w:cs="Arial"/>
          <w:spacing w:val="-3"/>
          <w:sz w:val="18"/>
          <w:szCs w:val="18"/>
          <w:vertAlign w:val="superscript"/>
        </w:rPr>
        <w:footnoteReference w:id="7"/>
      </w:r>
      <w:r w:rsidR="000D0ECB">
        <w:rPr>
          <w:rFonts w:ascii="Arial" w:hAnsi="Arial" w:cs="Arial"/>
          <w:spacing w:val="-3"/>
          <w:sz w:val="18"/>
          <w:szCs w:val="18"/>
          <w:vertAlign w:val="superscript"/>
        </w:rPr>
        <w:t xml:space="preserve"> </w:t>
      </w:r>
      <w:r w:rsidR="00031504">
        <w:rPr>
          <w:rFonts w:ascii="Arial" w:hAnsi="Arial" w:cs="Arial"/>
          <w:spacing w:val="-3"/>
          <w:sz w:val="18"/>
          <w:szCs w:val="18"/>
        </w:rPr>
        <w:t>A</w:t>
      </w:r>
      <w:r w:rsidR="003700D9" w:rsidRPr="00B52DA6">
        <w:rPr>
          <w:rFonts w:ascii="Arial" w:hAnsi="Arial" w:cs="Arial"/>
          <w:spacing w:val="-3"/>
          <w:sz w:val="18"/>
          <w:szCs w:val="18"/>
        </w:rPr>
        <w:t>ntimicrobials residues can persist in active form</w:t>
      </w:r>
      <w:r w:rsidR="000D0ECB">
        <w:rPr>
          <w:rFonts w:ascii="Arial" w:hAnsi="Arial" w:cs="Arial"/>
          <w:spacing w:val="-3"/>
          <w:sz w:val="18"/>
          <w:szCs w:val="18"/>
        </w:rPr>
        <w:t xml:space="preserve">, affecting </w:t>
      </w:r>
      <w:r w:rsidR="006D43FA">
        <w:rPr>
          <w:rFonts w:ascii="Arial" w:hAnsi="Arial" w:cs="Arial"/>
          <w:spacing w:val="-3"/>
          <w:sz w:val="18"/>
          <w:szCs w:val="18"/>
        </w:rPr>
        <w:t xml:space="preserve">nomadic pastoralism and </w:t>
      </w:r>
      <w:r w:rsidR="000D0ECB">
        <w:rPr>
          <w:rFonts w:ascii="Arial" w:hAnsi="Arial" w:cs="Arial"/>
          <w:spacing w:val="-3"/>
          <w:sz w:val="18"/>
          <w:szCs w:val="18"/>
        </w:rPr>
        <w:t>distressing the food production chain</w:t>
      </w:r>
      <w:r w:rsidR="003700D9" w:rsidRPr="00B52DA6">
        <w:rPr>
          <w:rFonts w:ascii="Arial" w:hAnsi="Arial" w:cs="Arial"/>
          <w:spacing w:val="-3"/>
          <w:sz w:val="18"/>
          <w:szCs w:val="18"/>
        </w:rPr>
        <w:t>.</w:t>
      </w:r>
      <w:r w:rsidR="003700D9" w:rsidRPr="00B52DA6">
        <w:rPr>
          <w:rFonts w:ascii="Arial" w:hAnsi="Arial" w:cs="Arial"/>
          <w:spacing w:val="-3"/>
          <w:sz w:val="18"/>
          <w:szCs w:val="18"/>
          <w:vertAlign w:val="superscript"/>
        </w:rPr>
        <w:footnoteReference w:id="8"/>
      </w:r>
      <w:r w:rsidR="000D0ECB">
        <w:rPr>
          <w:rFonts w:ascii="Arial" w:hAnsi="Arial" w:cs="Arial"/>
          <w:spacing w:val="-3"/>
          <w:sz w:val="18"/>
          <w:szCs w:val="18"/>
          <w:vertAlign w:val="superscript"/>
        </w:rPr>
        <w:t xml:space="preserve"> </w:t>
      </w:r>
      <w:r w:rsidR="00F34A6D" w:rsidRPr="00B52DA6">
        <w:rPr>
          <w:rFonts w:ascii="Arial" w:hAnsi="Arial" w:cs="Arial"/>
          <w:spacing w:val="-3"/>
          <w:sz w:val="18"/>
          <w:szCs w:val="18"/>
        </w:rPr>
        <w:t>Traditional forms of agriculture or agroecological practices that limit herbicides and antimicrobials should be supported and encouraged</w:t>
      </w:r>
      <w:r w:rsidR="004D20C5" w:rsidRPr="00B52DA6">
        <w:rPr>
          <w:rFonts w:ascii="Arial" w:hAnsi="Arial" w:cs="Arial"/>
          <w:spacing w:val="-3"/>
          <w:sz w:val="18"/>
          <w:szCs w:val="18"/>
        </w:rPr>
        <w:t xml:space="preserve">. Similarly, </w:t>
      </w:r>
      <w:r w:rsidR="00F34A6D" w:rsidRPr="00B52DA6">
        <w:rPr>
          <w:rFonts w:ascii="Arial" w:hAnsi="Arial" w:cs="Arial"/>
          <w:spacing w:val="-3"/>
          <w:sz w:val="18"/>
          <w:szCs w:val="18"/>
        </w:rPr>
        <w:t xml:space="preserve">capacity building from UN agencies, as FAO and OIE (International Organization for Animal Health), on improving biosecurity practices and preventive measures </w:t>
      </w:r>
      <w:r w:rsidR="004D20C5" w:rsidRPr="00B52DA6">
        <w:rPr>
          <w:rFonts w:ascii="Arial" w:hAnsi="Arial" w:cs="Arial"/>
          <w:spacing w:val="-3"/>
          <w:sz w:val="18"/>
          <w:szCs w:val="18"/>
        </w:rPr>
        <w:t xml:space="preserve">would be </w:t>
      </w:r>
      <w:r w:rsidR="000D0ECB">
        <w:rPr>
          <w:rFonts w:ascii="Arial" w:hAnsi="Arial" w:cs="Arial"/>
          <w:spacing w:val="-3"/>
          <w:sz w:val="18"/>
          <w:szCs w:val="18"/>
        </w:rPr>
        <w:t>essential</w:t>
      </w:r>
      <w:r w:rsidR="004D20C5" w:rsidRPr="00B52DA6">
        <w:rPr>
          <w:rFonts w:ascii="Arial" w:hAnsi="Arial" w:cs="Arial"/>
          <w:spacing w:val="-3"/>
          <w:sz w:val="18"/>
          <w:szCs w:val="18"/>
        </w:rPr>
        <w:t xml:space="preserve"> to</w:t>
      </w:r>
      <w:r w:rsidR="00F34A6D" w:rsidRPr="00B52DA6">
        <w:rPr>
          <w:rFonts w:ascii="Arial" w:hAnsi="Arial" w:cs="Arial"/>
          <w:spacing w:val="-3"/>
          <w:sz w:val="18"/>
          <w:szCs w:val="18"/>
        </w:rPr>
        <w:t xml:space="preserve"> reduce the use of antimicrobials</w:t>
      </w:r>
      <w:r w:rsidR="004D20C5" w:rsidRPr="00B52DA6">
        <w:rPr>
          <w:rFonts w:ascii="Arial" w:hAnsi="Arial" w:cs="Arial"/>
          <w:spacing w:val="-3"/>
          <w:sz w:val="18"/>
          <w:szCs w:val="18"/>
        </w:rPr>
        <w:t xml:space="preserve"> in </w:t>
      </w:r>
      <w:r w:rsidR="002F75F9" w:rsidRPr="00B52DA6">
        <w:rPr>
          <w:rFonts w:ascii="Arial" w:hAnsi="Arial" w:cs="Arial"/>
          <w:spacing w:val="-3"/>
          <w:sz w:val="18"/>
          <w:szCs w:val="18"/>
        </w:rPr>
        <w:t>food production</w:t>
      </w:r>
      <w:r w:rsidR="00F34A6D" w:rsidRPr="00B52DA6">
        <w:rPr>
          <w:rFonts w:ascii="Arial" w:hAnsi="Arial" w:cs="Arial"/>
          <w:spacing w:val="-3"/>
          <w:sz w:val="18"/>
          <w:szCs w:val="18"/>
        </w:rPr>
        <w:t xml:space="preserve"> non-therapeutic purposes</w:t>
      </w:r>
      <w:r w:rsidR="002F75F9" w:rsidRPr="00B52DA6">
        <w:rPr>
          <w:rFonts w:ascii="Arial" w:hAnsi="Arial" w:cs="Arial"/>
          <w:spacing w:val="-3"/>
          <w:sz w:val="18"/>
          <w:szCs w:val="18"/>
        </w:rPr>
        <w:t xml:space="preserve">. </w:t>
      </w:r>
    </w:p>
    <w:p w14:paraId="5115AD0C" w14:textId="2EB5BDCF" w:rsidR="00E05479" w:rsidRPr="00B52DA6" w:rsidRDefault="00E373B3" w:rsidP="006038AD">
      <w:pPr>
        <w:pStyle w:val="ListParagraph"/>
        <w:numPr>
          <w:ilvl w:val="0"/>
          <w:numId w:val="4"/>
        </w:numPr>
        <w:spacing w:before="240" w:after="240" w:line="360" w:lineRule="auto"/>
        <w:contextualSpacing w:val="0"/>
        <w:jc w:val="both"/>
        <w:rPr>
          <w:rFonts w:ascii="Arial" w:hAnsi="Arial" w:cs="Arial"/>
          <w:b/>
          <w:bCs/>
          <w:sz w:val="18"/>
          <w:szCs w:val="18"/>
          <w:lang w:val="en-GB"/>
        </w:rPr>
      </w:pPr>
      <w:r w:rsidRPr="00B52DA6">
        <w:rPr>
          <w:rFonts w:ascii="Arial" w:hAnsi="Arial" w:cs="Arial"/>
          <w:b/>
          <w:bCs/>
          <w:sz w:val="18"/>
          <w:szCs w:val="18"/>
          <w:lang w:val="en-GB"/>
        </w:rPr>
        <w:t>The</w:t>
      </w:r>
      <w:r w:rsidR="00B02147" w:rsidRPr="00B52DA6">
        <w:rPr>
          <w:rFonts w:ascii="Arial" w:hAnsi="Arial" w:cs="Arial"/>
          <w:b/>
          <w:bCs/>
          <w:sz w:val="18"/>
          <w:szCs w:val="18"/>
          <w:lang w:val="en-GB"/>
        </w:rPr>
        <w:t xml:space="preserve"> need to guarantee the</w:t>
      </w:r>
      <w:r w:rsidRPr="00B52DA6">
        <w:rPr>
          <w:rFonts w:ascii="Arial" w:hAnsi="Arial" w:cs="Arial"/>
          <w:b/>
          <w:bCs/>
          <w:sz w:val="18"/>
          <w:szCs w:val="18"/>
          <w:lang w:val="en-GB"/>
        </w:rPr>
        <w:t xml:space="preserve"> rights of peasants</w:t>
      </w:r>
      <w:r w:rsidR="00D15BF6" w:rsidRPr="00B52DA6">
        <w:rPr>
          <w:rFonts w:ascii="Arial" w:hAnsi="Arial" w:cs="Arial"/>
          <w:b/>
          <w:bCs/>
          <w:sz w:val="18"/>
          <w:szCs w:val="18"/>
          <w:lang w:val="en-GB"/>
        </w:rPr>
        <w:t xml:space="preserve"> </w:t>
      </w:r>
      <w:r w:rsidR="00124B9E" w:rsidRPr="00B52DA6">
        <w:rPr>
          <w:rFonts w:ascii="Arial" w:hAnsi="Arial" w:cs="Arial"/>
          <w:b/>
          <w:bCs/>
          <w:sz w:val="18"/>
          <w:szCs w:val="18"/>
          <w:lang w:val="en-GB"/>
        </w:rPr>
        <w:t>and human rights defenders</w:t>
      </w:r>
    </w:p>
    <w:p w14:paraId="389DB935" w14:textId="4F93D40B" w:rsidR="00E05479" w:rsidRPr="00B52DA6" w:rsidRDefault="00CB0574" w:rsidP="006038AD">
      <w:pPr>
        <w:pStyle w:val="NormalWeb"/>
        <w:spacing w:before="240" w:beforeAutospacing="0" w:after="240" w:afterAutospacing="0" w:line="360" w:lineRule="auto"/>
        <w:jc w:val="both"/>
        <w:rPr>
          <w:rFonts w:ascii="Arial" w:hAnsi="Arial" w:cs="Arial"/>
          <w:sz w:val="18"/>
          <w:szCs w:val="18"/>
          <w:lang w:val="en-GB"/>
        </w:rPr>
      </w:pPr>
      <w:r w:rsidRPr="00B52DA6">
        <w:rPr>
          <w:rFonts w:ascii="Arial" w:hAnsi="Arial" w:cs="Arial"/>
          <w:sz w:val="18"/>
          <w:szCs w:val="18"/>
          <w:lang w:val="en-GB"/>
        </w:rPr>
        <w:t>The draft general comment</w:t>
      </w:r>
      <w:r w:rsidR="0083788F" w:rsidRPr="00B52DA6">
        <w:rPr>
          <w:rFonts w:ascii="Arial" w:hAnsi="Arial" w:cs="Arial"/>
          <w:sz w:val="18"/>
          <w:szCs w:val="18"/>
          <w:lang w:val="en-GB"/>
        </w:rPr>
        <w:t xml:space="preserve"> refers </w:t>
      </w:r>
      <w:r w:rsidR="00D84020" w:rsidRPr="00B52DA6">
        <w:rPr>
          <w:rFonts w:ascii="Arial" w:hAnsi="Arial" w:cs="Arial"/>
          <w:sz w:val="18"/>
          <w:szCs w:val="18"/>
          <w:lang w:val="en-GB"/>
        </w:rPr>
        <w:t xml:space="preserve">to the right of peasants and human rights defenders as specific topics of </w:t>
      </w:r>
      <w:r w:rsidR="00DB1392" w:rsidRPr="00B52DA6">
        <w:rPr>
          <w:rFonts w:ascii="Arial" w:hAnsi="Arial" w:cs="Arial"/>
          <w:sz w:val="18"/>
          <w:szCs w:val="18"/>
          <w:lang w:val="en-GB"/>
        </w:rPr>
        <w:t xml:space="preserve">relevance </w:t>
      </w:r>
      <w:r w:rsidR="00252D83" w:rsidRPr="00B52DA6">
        <w:rPr>
          <w:rFonts w:ascii="Arial" w:hAnsi="Arial" w:cs="Arial"/>
          <w:sz w:val="18"/>
          <w:szCs w:val="18"/>
          <w:lang w:val="en-GB"/>
        </w:rPr>
        <w:t xml:space="preserve">to the implantation of the </w:t>
      </w:r>
      <w:r w:rsidR="00163246" w:rsidRPr="00B52DA6">
        <w:rPr>
          <w:rFonts w:ascii="Arial" w:hAnsi="Arial" w:cs="Arial"/>
          <w:sz w:val="18"/>
          <w:szCs w:val="18"/>
          <w:lang w:val="en-GB"/>
        </w:rPr>
        <w:t>Covenant</w:t>
      </w:r>
      <w:r w:rsidR="00252D83" w:rsidRPr="00B52DA6">
        <w:rPr>
          <w:rFonts w:ascii="Arial" w:hAnsi="Arial" w:cs="Arial"/>
          <w:sz w:val="18"/>
          <w:szCs w:val="18"/>
          <w:lang w:val="en-GB"/>
        </w:rPr>
        <w:t xml:space="preserve"> rights in land</w:t>
      </w:r>
      <w:r w:rsidR="000D0ECB">
        <w:rPr>
          <w:rFonts w:ascii="Arial" w:hAnsi="Arial" w:cs="Arial"/>
          <w:sz w:val="18"/>
          <w:szCs w:val="18"/>
          <w:lang w:val="en-GB"/>
        </w:rPr>
        <w:t>-</w:t>
      </w:r>
      <w:r w:rsidR="00252D83" w:rsidRPr="00B52DA6">
        <w:rPr>
          <w:rFonts w:ascii="Arial" w:hAnsi="Arial" w:cs="Arial"/>
          <w:sz w:val="18"/>
          <w:szCs w:val="18"/>
          <w:lang w:val="en-GB"/>
        </w:rPr>
        <w:t xml:space="preserve">related contexts. </w:t>
      </w:r>
      <w:r w:rsidR="000D0ECB">
        <w:rPr>
          <w:rFonts w:ascii="Arial" w:hAnsi="Arial" w:cs="Arial"/>
          <w:sz w:val="18"/>
          <w:szCs w:val="18"/>
          <w:lang w:val="en-GB"/>
        </w:rPr>
        <w:t>I</w:t>
      </w:r>
      <w:r w:rsidR="00252D83" w:rsidRPr="00B52DA6">
        <w:rPr>
          <w:rFonts w:ascii="Arial" w:hAnsi="Arial" w:cs="Arial"/>
          <w:sz w:val="18"/>
          <w:szCs w:val="18"/>
          <w:lang w:val="en-GB"/>
        </w:rPr>
        <w:t xml:space="preserve">n </w:t>
      </w:r>
      <w:r w:rsidR="00163246" w:rsidRPr="00B52DA6">
        <w:rPr>
          <w:rFonts w:ascii="Arial" w:hAnsi="Arial" w:cs="Arial"/>
          <w:sz w:val="18"/>
          <w:szCs w:val="18"/>
          <w:lang w:val="en-GB"/>
        </w:rPr>
        <w:t>this regard</w:t>
      </w:r>
      <w:r w:rsidR="00252D83" w:rsidRPr="00B52DA6">
        <w:rPr>
          <w:rFonts w:ascii="Arial" w:hAnsi="Arial" w:cs="Arial"/>
          <w:sz w:val="18"/>
          <w:szCs w:val="18"/>
          <w:lang w:val="en-GB"/>
        </w:rPr>
        <w:t xml:space="preserve">, it will be </w:t>
      </w:r>
      <w:r w:rsidR="000D0ECB">
        <w:rPr>
          <w:rFonts w:ascii="Arial" w:hAnsi="Arial" w:cs="Arial"/>
          <w:sz w:val="18"/>
          <w:szCs w:val="18"/>
          <w:lang w:val="en-GB"/>
        </w:rPr>
        <w:t>essential</w:t>
      </w:r>
      <w:r w:rsidR="00252D83" w:rsidRPr="00B52DA6">
        <w:rPr>
          <w:rFonts w:ascii="Arial" w:hAnsi="Arial" w:cs="Arial"/>
          <w:sz w:val="18"/>
          <w:szCs w:val="18"/>
          <w:lang w:val="en-GB"/>
        </w:rPr>
        <w:t xml:space="preserve"> to emphasize that </w:t>
      </w:r>
      <w:r w:rsidR="00D6230D" w:rsidRPr="00B52DA6">
        <w:rPr>
          <w:rFonts w:ascii="Arial" w:hAnsi="Arial" w:cs="Arial"/>
          <w:sz w:val="18"/>
          <w:szCs w:val="18"/>
          <w:lang w:val="en-GB"/>
        </w:rPr>
        <w:t xml:space="preserve">the COVID-19 related measures have increased the pressure </w:t>
      </w:r>
      <w:r w:rsidR="00163246" w:rsidRPr="00B52DA6">
        <w:rPr>
          <w:rFonts w:ascii="Arial" w:hAnsi="Arial" w:cs="Arial"/>
          <w:sz w:val="18"/>
          <w:szCs w:val="18"/>
          <w:lang w:val="en-GB"/>
        </w:rPr>
        <w:t xml:space="preserve">over food production, </w:t>
      </w:r>
      <w:r w:rsidR="000D0ECB">
        <w:rPr>
          <w:rFonts w:ascii="Arial" w:hAnsi="Arial" w:cs="Arial"/>
          <w:sz w:val="18"/>
          <w:szCs w:val="18"/>
          <w:lang w:val="en-GB"/>
        </w:rPr>
        <w:t>particularly</w:t>
      </w:r>
      <w:r w:rsidR="00163246" w:rsidRPr="00B52DA6">
        <w:rPr>
          <w:rFonts w:ascii="Arial" w:hAnsi="Arial" w:cs="Arial"/>
          <w:sz w:val="18"/>
          <w:szCs w:val="18"/>
          <w:lang w:val="en-GB"/>
        </w:rPr>
        <w:t xml:space="preserve"> the linkages between </w:t>
      </w:r>
      <w:r w:rsidR="007F3D18" w:rsidRPr="00B52DA6">
        <w:rPr>
          <w:rFonts w:ascii="Arial" w:hAnsi="Arial" w:cs="Arial"/>
          <w:sz w:val="18"/>
          <w:szCs w:val="18"/>
          <w:lang w:val="en-GB"/>
        </w:rPr>
        <w:t>urban centres and rural food producers.</w:t>
      </w:r>
      <w:r w:rsidR="007F3D18" w:rsidRPr="00B52DA6">
        <w:rPr>
          <w:rStyle w:val="FootnoteReference"/>
          <w:rFonts w:ascii="Arial" w:hAnsi="Arial" w:cs="Arial"/>
          <w:sz w:val="18"/>
          <w:szCs w:val="18"/>
          <w:lang w:val="en-GB"/>
        </w:rPr>
        <w:footnoteReference w:id="9"/>
      </w:r>
      <w:r w:rsidR="007F3D18" w:rsidRPr="00B52DA6">
        <w:rPr>
          <w:rFonts w:ascii="Arial" w:hAnsi="Arial" w:cs="Arial"/>
          <w:sz w:val="18"/>
          <w:szCs w:val="18"/>
          <w:lang w:val="en-GB"/>
        </w:rPr>
        <w:t xml:space="preserve"> </w:t>
      </w:r>
      <w:r w:rsidR="00156F37" w:rsidRPr="00B52DA6">
        <w:rPr>
          <w:rFonts w:ascii="Arial" w:hAnsi="Arial" w:cs="Arial"/>
          <w:sz w:val="18"/>
          <w:szCs w:val="18"/>
          <w:lang w:val="en-GB"/>
        </w:rPr>
        <w:t xml:space="preserve">The contribution of peasants and other people in rural areas is crucial </w:t>
      </w:r>
      <w:r w:rsidR="00AA24B2">
        <w:rPr>
          <w:rFonts w:ascii="Arial" w:hAnsi="Arial" w:cs="Arial"/>
          <w:sz w:val="18"/>
          <w:szCs w:val="18"/>
          <w:lang w:val="en-GB"/>
        </w:rPr>
        <w:t>'</w:t>
      </w:r>
      <w:r w:rsidR="00156F37" w:rsidRPr="00B52DA6">
        <w:rPr>
          <w:rFonts w:ascii="Arial" w:hAnsi="Arial" w:cs="Arial"/>
          <w:sz w:val="18"/>
          <w:szCs w:val="18"/>
          <w:lang w:val="en-GB"/>
        </w:rPr>
        <w:t>in ensuring the right to adequate food and food security.</w:t>
      </w:r>
      <w:r w:rsidR="00AA24B2">
        <w:rPr>
          <w:rFonts w:ascii="Arial" w:hAnsi="Arial" w:cs="Arial"/>
          <w:sz w:val="18"/>
          <w:szCs w:val="18"/>
          <w:lang w:val="en-GB"/>
        </w:rPr>
        <w:t>"</w:t>
      </w:r>
      <w:r w:rsidR="00156F37" w:rsidRPr="00B52DA6">
        <w:rPr>
          <w:rStyle w:val="FootnoteReference"/>
          <w:rFonts w:ascii="Arial" w:hAnsi="Arial" w:cs="Arial"/>
          <w:sz w:val="18"/>
          <w:szCs w:val="18"/>
          <w:lang w:val="en-GB"/>
        </w:rPr>
        <w:footnoteReference w:id="10"/>
      </w:r>
      <w:r w:rsidR="00156F37" w:rsidRPr="00B52DA6">
        <w:rPr>
          <w:rFonts w:ascii="Arial" w:hAnsi="Arial" w:cs="Arial"/>
          <w:sz w:val="18"/>
          <w:szCs w:val="18"/>
          <w:lang w:val="en-GB"/>
        </w:rPr>
        <w:t xml:space="preserve"> Therefore, the effective implementation of </w:t>
      </w:r>
      <w:r w:rsidR="000D0ECB">
        <w:rPr>
          <w:rFonts w:ascii="Arial" w:hAnsi="Arial" w:cs="Arial"/>
          <w:sz w:val="18"/>
          <w:szCs w:val="18"/>
          <w:lang w:val="en-GB"/>
        </w:rPr>
        <w:t>peasants and other people's rights</w:t>
      </w:r>
      <w:r w:rsidR="00156F37" w:rsidRPr="00B52DA6">
        <w:rPr>
          <w:rFonts w:ascii="Arial" w:hAnsi="Arial" w:cs="Arial"/>
          <w:sz w:val="18"/>
          <w:szCs w:val="18"/>
          <w:lang w:val="en-GB"/>
        </w:rPr>
        <w:t xml:space="preserve"> in rural areas could serve as </w:t>
      </w:r>
      <w:r w:rsidR="00156F37" w:rsidRPr="00B52DA6">
        <w:rPr>
          <w:rFonts w:ascii="Arial" w:hAnsi="Arial" w:cs="Arial"/>
          <w:sz w:val="18"/>
          <w:szCs w:val="18"/>
          <w:lang w:val="en-GB"/>
        </w:rPr>
        <w:lastRenderedPageBreak/>
        <w:t>an important example o</w:t>
      </w:r>
      <w:r w:rsidR="000D0ECB">
        <w:rPr>
          <w:rFonts w:ascii="Arial" w:hAnsi="Arial" w:cs="Arial"/>
          <w:sz w:val="18"/>
          <w:szCs w:val="18"/>
          <w:lang w:val="en-GB"/>
        </w:rPr>
        <w:t>f how international cooperation and dialogue can improve human conditions under a broader understanding of the promotion, protection, and fulfilment</w:t>
      </w:r>
      <w:r w:rsidR="00156F37" w:rsidRPr="00B52DA6">
        <w:rPr>
          <w:rFonts w:ascii="Arial" w:hAnsi="Arial" w:cs="Arial"/>
          <w:sz w:val="18"/>
          <w:szCs w:val="18"/>
          <w:lang w:val="en-GB"/>
        </w:rPr>
        <w:t xml:space="preserve"> </w:t>
      </w:r>
      <w:r w:rsidR="000D0ECB">
        <w:rPr>
          <w:rFonts w:ascii="Arial" w:hAnsi="Arial" w:cs="Arial"/>
          <w:sz w:val="18"/>
          <w:szCs w:val="18"/>
          <w:lang w:val="en-GB"/>
        </w:rPr>
        <w:t xml:space="preserve">of </w:t>
      </w:r>
      <w:r w:rsidR="00156F37" w:rsidRPr="00B52DA6">
        <w:rPr>
          <w:rFonts w:ascii="Arial" w:hAnsi="Arial" w:cs="Arial"/>
          <w:sz w:val="18"/>
          <w:szCs w:val="18"/>
          <w:lang w:val="en-GB"/>
        </w:rPr>
        <w:t>all human rights</w:t>
      </w:r>
      <w:r w:rsidR="004078A7" w:rsidRPr="00B52DA6">
        <w:rPr>
          <w:rFonts w:ascii="Arial" w:hAnsi="Arial" w:cs="Arial"/>
          <w:sz w:val="18"/>
          <w:szCs w:val="18"/>
          <w:lang w:val="en-GB"/>
        </w:rPr>
        <w:t xml:space="preserve">.  </w:t>
      </w:r>
      <w:r w:rsidR="006E4F10">
        <w:rPr>
          <w:rFonts w:ascii="Arial" w:hAnsi="Arial" w:cs="Arial"/>
          <w:sz w:val="18"/>
          <w:szCs w:val="18"/>
          <w:lang w:val="en-GB"/>
        </w:rPr>
        <w:t>Promoting</w:t>
      </w:r>
      <w:r w:rsidR="004078A7" w:rsidRPr="00B52DA6">
        <w:rPr>
          <w:rFonts w:ascii="Arial" w:hAnsi="Arial" w:cs="Arial"/>
          <w:sz w:val="18"/>
          <w:szCs w:val="18"/>
          <w:lang w:val="en-GB"/>
        </w:rPr>
        <w:t xml:space="preserve"> the rights of peasants at the domestic level </w:t>
      </w:r>
      <w:r w:rsidR="005A402E" w:rsidRPr="00B52DA6">
        <w:rPr>
          <w:rFonts w:ascii="Arial" w:hAnsi="Arial" w:cs="Arial"/>
          <w:sz w:val="18"/>
          <w:szCs w:val="18"/>
          <w:lang w:val="en-GB"/>
        </w:rPr>
        <w:t xml:space="preserve">could increase the opportunities for lowering the costs of nutritious food and </w:t>
      </w:r>
      <w:r w:rsidR="00E5415B" w:rsidRPr="00B52DA6">
        <w:rPr>
          <w:rFonts w:ascii="Arial" w:hAnsi="Arial" w:cs="Arial"/>
          <w:sz w:val="18"/>
          <w:szCs w:val="18"/>
          <w:lang w:val="en-GB"/>
        </w:rPr>
        <w:t>promote a more sustainable food supply chain</w:t>
      </w:r>
      <w:r w:rsidR="00133E55">
        <w:rPr>
          <w:rFonts w:ascii="Arial" w:hAnsi="Arial" w:cs="Arial"/>
          <w:sz w:val="18"/>
          <w:szCs w:val="18"/>
          <w:lang w:val="en-GB"/>
        </w:rPr>
        <w:t>.</w:t>
      </w:r>
      <w:r w:rsidR="00E5415B" w:rsidRPr="00B52DA6">
        <w:rPr>
          <w:rStyle w:val="FootnoteReference"/>
          <w:rFonts w:ascii="Arial" w:hAnsi="Arial" w:cs="Arial"/>
          <w:sz w:val="18"/>
          <w:szCs w:val="18"/>
          <w:lang w:val="en-GB"/>
        </w:rPr>
        <w:footnoteReference w:id="11"/>
      </w:r>
      <w:r w:rsidR="00E5415B" w:rsidRPr="00B52DA6">
        <w:rPr>
          <w:rFonts w:ascii="Arial" w:hAnsi="Arial" w:cs="Arial"/>
          <w:sz w:val="18"/>
          <w:szCs w:val="18"/>
          <w:lang w:val="en-GB"/>
        </w:rPr>
        <w:t xml:space="preserve"> </w:t>
      </w:r>
      <w:r w:rsidR="00133E55">
        <w:rPr>
          <w:rFonts w:ascii="Arial" w:hAnsi="Arial" w:cs="Arial"/>
          <w:sz w:val="18"/>
          <w:szCs w:val="18"/>
          <w:lang w:val="en-GB"/>
        </w:rPr>
        <w:t xml:space="preserve">In addition, peasans have the right to have access to land, </w:t>
      </w:r>
      <w:r w:rsidR="00133E55" w:rsidRPr="00BD75E2">
        <w:rPr>
          <w:rFonts w:ascii="Arial" w:hAnsi="Arial" w:cs="Arial"/>
          <w:sz w:val="18"/>
          <w:szCs w:val="18"/>
          <w:lang w:val="en-GB"/>
        </w:rPr>
        <w:t>pastures and forests</w:t>
      </w:r>
      <w:r w:rsidR="00133E55">
        <w:rPr>
          <w:rFonts w:ascii="Arial" w:hAnsi="Arial" w:cs="Arial"/>
          <w:sz w:val="18"/>
          <w:szCs w:val="18"/>
          <w:lang w:val="en-GB"/>
        </w:rPr>
        <w:t xml:space="preserve"> </w:t>
      </w:r>
      <w:r w:rsidR="00133E55" w:rsidRPr="00BD75E2">
        <w:rPr>
          <w:rFonts w:ascii="Arial" w:hAnsi="Arial" w:cs="Arial"/>
          <w:sz w:val="18"/>
          <w:szCs w:val="18"/>
          <w:lang w:val="en-GB"/>
        </w:rPr>
        <w:t>to achieve an adequate standard of living, to have a place to live in security, peace and dignity and to develop their cultures</w:t>
      </w:r>
      <w:r w:rsidR="00133E55">
        <w:rPr>
          <w:rFonts w:ascii="Arial" w:hAnsi="Arial" w:cs="Arial"/>
          <w:sz w:val="18"/>
          <w:szCs w:val="18"/>
          <w:lang w:val="en-GB"/>
        </w:rPr>
        <w:t xml:space="preserve"> through </w:t>
      </w:r>
      <w:r w:rsidR="006E4F10">
        <w:rPr>
          <w:rFonts w:ascii="Arial" w:hAnsi="Arial" w:cs="Arial"/>
          <w:sz w:val="18"/>
          <w:szCs w:val="18"/>
          <w:lang w:val="en-GB"/>
        </w:rPr>
        <w:t>the implementation of the</w:t>
      </w:r>
      <w:r w:rsidR="00E5415B" w:rsidRPr="00B52DA6">
        <w:rPr>
          <w:rFonts w:ascii="Arial" w:hAnsi="Arial" w:cs="Arial"/>
          <w:sz w:val="18"/>
          <w:szCs w:val="18"/>
          <w:lang w:val="en-GB"/>
        </w:rPr>
        <w:t xml:space="preserve"> United Nations Declaration of the Rights of Peasants and other people working in rural areas (UNDROP).</w:t>
      </w:r>
      <w:r w:rsidR="00876807" w:rsidRPr="00B52DA6">
        <w:rPr>
          <w:rStyle w:val="FootnoteReference"/>
          <w:rFonts w:ascii="Arial" w:hAnsi="Arial" w:cs="Arial"/>
          <w:sz w:val="18"/>
          <w:szCs w:val="18"/>
          <w:lang w:val="en-GB"/>
        </w:rPr>
        <w:footnoteReference w:id="12"/>
      </w:r>
    </w:p>
    <w:p w14:paraId="06EA9213" w14:textId="213E0FC3" w:rsidR="00D15BF6" w:rsidRPr="00B52DA6" w:rsidRDefault="00D15BF6" w:rsidP="006038AD">
      <w:pPr>
        <w:pStyle w:val="NormalWeb"/>
        <w:spacing w:before="240" w:beforeAutospacing="0" w:after="240" w:afterAutospacing="0" w:line="360" w:lineRule="auto"/>
        <w:jc w:val="both"/>
        <w:rPr>
          <w:rFonts w:ascii="Arial" w:hAnsi="Arial" w:cs="Arial"/>
          <w:sz w:val="18"/>
          <w:szCs w:val="18"/>
          <w:lang w:val="en-GB"/>
        </w:rPr>
      </w:pPr>
      <w:r w:rsidRPr="00B52DA6">
        <w:rPr>
          <w:rFonts w:ascii="Arial" w:hAnsi="Arial" w:cs="Arial"/>
          <w:sz w:val="18"/>
          <w:szCs w:val="18"/>
          <w:lang w:val="en-GB"/>
        </w:rPr>
        <w:t xml:space="preserve">On the other hand, the role of human rights defenders </w:t>
      </w:r>
      <w:r w:rsidR="00877AF7" w:rsidRPr="00B52DA6">
        <w:rPr>
          <w:rFonts w:ascii="Arial" w:hAnsi="Arial" w:cs="Arial"/>
          <w:sz w:val="18"/>
          <w:szCs w:val="18"/>
          <w:lang w:val="en-GB"/>
        </w:rPr>
        <w:t xml:space="preserve">in </w:t>
      </w:r>
      <w:r w:rsidR="006E4F10">
        <w:rPr>
          <w:rFonts w:ascii="Arial" w:hAnsi="Arial" w:cs="Arial"/>
          <w:sz w:val="18"/>
          <w:szCs w:val="18"/>
          <w:lang w:val="en-GB"/>
        </w:rPr>
        <w:t>promoting the right to land has gained relevance in the</w:t>
      </w:r>
      <w:r w:rsidR="002D0AD4" w:rsidRPr="00B52DA6">
        <w:rPr>
          <w:rFonts w:ascii="Arial" w:hAnsi="Arial" w:cs="Arial"/>
          <w:sz w:val="18"/>
          <w:szCs w:val="18"/>
          <w:lang w:val="en-GB"/>
        </w:rPr>
        <w:t xml:space="preserve"> face of increasing social repression </w:t>
      </w:r>
      <w:r w:rsidR="00D206D4" w:rsidRPr="00B52DA6">
        <w:rPr>
          <w:rFonts w:ascii="Arial" w:hAnsi="Arial" w:cs="Arial"/>
          <w:sz w:val="18"/>
          <w:szCs w:val="18"/>
          <w:lang w:val="en-GB"/>
        </w:rPr>
        <w:t xml:space="preserve">linked to </w:t>
      </w:r>
      <w:r w:rsidR="00063381" w:rsidRPr="00B52DA6">
        <w:rPr>
          <w:rFonts w:ascii="Arial" w:hAnsi="Arial" w:cs="Arial"/>
          <w:sz w:val="18"/>
          <w:szCs w:val="18"/>
          <w:lang w:val="en-GB"/>
        </w:rPr>
        <w:t xml:space="preserve">agribusiness and </w:t>
      </w:r>
      <w:r w:rsidR="001B6652" w:rsidRPr="00B52DA6">
        <w:rPr>
          <w:rFonts w:ascii="Arial" w:hAnsi="Arial" w:cs="Arial"/>
          <w:sz w:val="18"/>
          <w:szCs w:val="18"/>
          <w:lang w:val="en-GB"/>
        </w:rPr>
        <w:t>resource</w:t>
      </w:r>
      <w:r w:rsidR="006E4F10">
        <w:rPr>
          <w:rFonts w:ascii="Arial" w:hAnsi="Arial" w:cs="Arial"/>
          <w:sz w:val="18"/>
          <w:szCs w:val="18"/>
          <w:lang w:val="en-GB"/>
        </w:rPr>
        <w:t>-</w:t>
      </w:r>
      <w:r w:rsidR="001B6652" w:rsidRPr="00B52DA6">
        <w:rPr>
          <w:rFonts w:ascii="Arial" w:hAnsi="Arial" w:cs="Arial"/>
          <w:sz w:val="18"/>
          <w:szCs w:val="18"/>
          <w:lang w:val="en-GB"/>
        </w:rPr>
        <w:t>intensive business practices, particularly extractive industries.</w:t>
      </w:r>
      <w:r w:rsidR="00CB56E3" w:rsidRPr="00B52DA6">
        <w:rPr>
          <w:rFonts w:ascii="Arial" w:hAnsi="Arial" w:cs="Arial"/>
          <w:sz w:val="18"/>
          <w:szCs w:val="18"/>
          <w:lang w:val="en-GB"/>
        </w:rPr>
        <w:t xml:space="preserve"> Alt</w:t>
      </w:r>
      <w:r w:rsidR="006E4F10">
        <w:rPr>
          <w:rFonts w:ascii="Arial" w:hAnsi="Arial" w:cs="Arial"/>
          <w:sz w:val="18"/>
          <w:szCs w:val="18"/>
          <w:lang w:val="en-GB"/>
        </w:rPr>
        <w:t>hough</w:t>
      </w:r>
      <w:r w:rsidR="00CB56E3" w:rsidRPr="00B52DA6">
        <w:rPr>
          <w:rFonts w:ascii="Arial" w:hAnsi="Arial" w:cs="Arial"/>
          <w:sz w:val="18"/>
          <w:szCs w:val="18"/>
          <w:lang w:val="en-GB"/>
        </w:rPr>
        <w:t xml:space="preserve"> special emphasis </w:t>
      </w:r>
      <w:r w:rsidR="00302FE8" w:rsidRPr="00B52DA6">
        <w:rPr>
          <w:rFonts w:ascii="Arial" w:hAnsi="Arial" w:cs="Arial"/>
          <w:sz w:val="18"/>
          <w:szCs w:val="18"/>
          <w:lang w:val="en-GB"/>
        </w:rPr>
        <w:t>has been given to</w:t>
      </w:r>
      <w:r w:rsidR="00777832" w:rsidRPr="00B52DA6">
        <w:rPr>
          <w:rFonts w:ascii="Arial" w:hAnsi="Arial" w:cs="Arial"/>
          <w:sz w:val="18"/>
          <w:szCs w:val="18"/>
          <w:lang w:val="en-GB"/>
        </w:rPr>
        <w:t xml:space="preserve"> the</w:t>
      </w:r>
      <w:r w:rsidR="00302FE8" w:rsidRPr="00B52DA6">
        <w:rPr>
          <w:rFonts w:ascii="Arial" w:hAnsi="Arial" w:cs="Arial"/>
          <w:sz w:val="18"/>
          <w:szCs w:val="18"/>
          <w:lang w:val="en-GB"/>
        </w:rPr>
        <w:t xml:space="preserve"> security </w:t>
      </w:r>
      <w:r w:rsidR="00867746" w:rsidRPr="00B52DA6">
        <w:rPr>
          <w:rFonts w:ascii="Arial" w:hAnsi="Arial" w:cs="Arial"/>
          <w:sz w:val="18"/>
          <w:szCs w:val="18"/>
          <w:lang w:val="en-GB"/>
        </w:rPr>
        <w:t>facet of human rights defenders, the broader well-being of human rights defenders, their families</w:t>
      </w:r>
      <w:r w:rsidR="003C4D7F">
        <w:rPr>
          <w:rFonts w:ascii="Arial" w:hAnsi="Arial" w:cs="Arial"/>
          <w:sz w:val="18"/>
          <w:szCs w:val="18"/>
          <w:lang w:val="en-GB"/>
        </w:rPr>
        <w:t>,</w:t>
      </w:r>
      <w:r w:rsidR="00867746" w:rsidRPr="00B52DA6">
        <w:rPr>
          <w:rFonts w:ascii="Arial" w:hAnsi="Arial" w:cs="Arial"/>
          <w:sz w:val="18"/>
          <w:szCs w:val="18"/>
          <w:lang w:val="en-GB"/>
        </w:rPr>
        <w:t xml:space="preserve"> and communities do</w:t>
      </w:r>
      <w:r w:rsidR="00C1076C">
        <w:rPr>
          <w:rFonts w:ascii="Arial" w:hAnsi="Arial" w:cs="Arial"/>
          <w:sz w:val="18"/>
          <w:szCs w:val="18"/>
          <w:lang w:val="en-GB"/>
        </w:rPr>
        <w:t>es</w:t>
      </w:r>
      <w:r w:rsidR="00867746" w:rsidRPr="00B52DA6">
        <w:rPr>
          <w:rFonts w:ascii="Arial" w:hAnsi="Arial" w:cs="Arial"/>
          <w:sz w:val="18"/>
          <w:szCs w:val="18"/>
          <w:lang w:val="en-GB"/>
        </w:rPr>
        <w:t xml:space="preserve"> require attention.</w:t>
      </w:r>
      <w:r w:rsidR="00777832" w:rsidRPr="00B52DA6">
        <w:rPr>
          <w:rStyle w:val="FootnoteReference"/>
          <w:rFonts w:ascii="Arial" w:hAnsi="Arial" w:cs="Arial"/>
          <w:sz w:val="18"/>
          <w:szCs w:val="18"/>
          <w:lang w:val="en-GB"/>
        </w:rPr>
        <w:footnoteReference w:id="13"/>
      </w:r>
      <w:r w:rsidR="00D3756D" w:rsidRPr="00B52DA6">
        <w:rPr>
          <w:rFonts w:ascii="Arial" w:hAnsi="Arial" w:cs="Arial"/>
          <w:sz w:val="18"/>
          <w:szCs w:val="18"/>
          <w:lang w:val="en-GB"/>
        </w:rPr>
        <w:t xml:space="preserve"> </w:t>
      </w:r>
      <w:r w:rsidR="005A01EA" w:rsidRPr="00B52DA6">
        <w:rPr>
          <w:rFonts w:ascii="Arial" w:hAnsi="Arial" w:cs="Arial"/>
          <w:sz w:val="18"/>
          <w:szCs w:val="18"/>
          <w:lang w:val="en-GB"/>
        </w:rPr>
        <w:t xml:space="preserve">Human rights </w:t>
      </w:r>
      <w:r w:rsidR="00625910" w:rsidRPr="00B52DA6">
        <w:rPr>
          <w:rFonts w:ascii="Arial" w:hAnsi="Arial" w:cs="Arial"/>
          <w:sz w:val="18"/>
          <w:szCs w:val="18"/>
          <w:lang w:val="en-GB"/>
        </w:rPr>
        <w:t>defenders have</w:t>
      </w:r>
      <w:r w:rsidR="006E2316" w:rsidRPr="00B52DA6">
        <w:rPr>
          <w:rFonts w:ascii="Arial" w:hAnsi="Arial" w:cs="Arial"/>
          <w:sz w:val="18"/>
          <w:szCs w:val="18"/>
          <w:lang w:val="en-GB"/>
        </w:rPr>
        <w:t xml:space="preserve"> </w:t>
      </w:r>
      <w:r w:rsidR="003C4D7F">
        <w:rPr>
          <w:rFonts w:ascii="Arial" w:hAnsi="Arial" w:cs="Arial"/>
          <w:sz w:val="18"/>
          <w:szCs w:val="18"/>
          <w:lang w:val="en-GB"/>
        </w:rPr>
        <w:t>critical</w:t>
      </w:r>
      <w:r w:rsidR="006E2316" w:rsidRPr="00B52DA6">
        <w:rPr>
          <w:rFonts w:ascii="Arial" w:hAnsi="Arial" w:cs="Arial"/>
          <w:sz w:val="18"/>
          <w:szCs w:val="18"/>
          <w:lang w:val="en-GB"/>
        </w:rPr>
        <w:t xml:space="preserve"> psychological </w:t>
      </w:r>
      <w:r w:rsidR="00CC2C7D" w:rsidRPr="00B52DA6">
        <w:rPr>
          <w:rFonts w:ascii="Arial" w:hAnsi="Arial" w:cs="Arial"/>
          <w:sz w:val="18"/>
          <w:szCs w:val="18"/>
          <w:lang w:val="en-GB"/>
        </w:rPr>
        <w:t xml:space="preserve">consequences from their work, </w:t>
      </w:r>
      <w:r w:rsidR="003C4D7F">
        <w:rPr>
          <w:rFonts w:ascii="Arial" w:hAnsi="Arial" w:cs="Arial"/>
          <w:sz w:val="18"/>
          <w:szCs w:val="18"/>
          <w:lang w:val="en-GB"/>
        </w:rPr>
        <w:t>linked to the mental and emotional effects of stigmatization and constant fear</w:t>
      </w:r>
      <w:r w:rsidR="00C1076C">
        <w:rPr>
          <w:rFonts w:ascii="Arial" w:hAnsi="Arial" w:cs="Arial"/>
          <w:sz w:val="18"/>
          <w:szCs w:val="18"/>
          <w:lang w:val="en-GB"/>
        </w:rPr>
        <w:t>,</w:t>
      </w:r>
      <w:r w:rsidR="003C4D7F">
        <w:rPr>
          <w:rFonts w:ascii="Arial" w:hAnsi="Arial" w:cs="Arial"/>
          <w:sz w:val="18"/>
          <w:szCs w:val="18"/>
          <w:lang w:val="en-GB"/>
        </w:rPr>
        <w:t xml:space="preserve"> and</w:t>
      </w:r>
      <w:r w:rsidR="00CC2C7D" w:rsidRPr="00B52DA6">
        <w:rPr>
          <w:rFonts w:ascii="Arial" w:hAnsi="Arial" w:cs="Arial"/>
          <w:sz w:val="18"/>
          <w:szCs w:val="18"/>
          <w:lang w:val="en-GB"/>
        </w:rPr>
        <w:t xml:space="preserve"> the difficulties </w:t>
      </w:r>
      <w:r w:rsidR="00E61EB1" w:rsidRPr="00B52DA6">
        <w:rPr>
          <w:rFonts w:ascii="Arial" w:hAnsi="Arial" w:cs="Arial"/>
          <w:sz w:val="18"/>
          <w:szCs w:val="18"/>
          <w:lang w:val="en-GB"/>
        </w:rPr>
        <w:t>surrounding</w:t>
      </w:r>
      <w:r w:rsidR="00CC2C7D" w:rsidRPr="00B52DA6">
        <w:rPr>
          <w:rFonts w:ascii="Arial" w:hAnsi="Arial" w:cs="Arial"/>
          <w:sz w:val="18"/>
          <w:szCs w:val="18"/>
          <w:lang w:val="en-GB"/>
        </w:rPr>
        <w:t xml:space="preserve"> </w:t>
      </w:r>
      <w:r w:rsidR="00E61EB1" w:rsidRPr="00B52DA6">
        <w:rPr>
          <w:rFonts w:ascii="Arial" w:hAnsi="Arial" w:cs="Arial"/>
          <w:sz w:val="18"/>
          <w:szCs w:val="18"/>
          <w:lang w:val="en-GB"/>
        </w:rPr>
        <w:t>the financial aspects of their work</w:t>
      </w:r>
      <w:r w:rsidR="003B7CE5" w:rsidRPr="00B52DA6">
        <w:rPr>
          <w:rFonts w:ascii="Arial" w:hAnsi="Arial" w:cs="Arial"/>
          <w:sz w:val="18"/>
          <w:szCs w:val="18"/>
          <w:lang w:val="en-GB"/>
        </w:rPr>
        <w:t>.</w:t>
      </w:r>
      <w:r w:rsidR="00E61EB1" w:rsidRPr="00B52DA6">
        <w:rPr>
          <w:rStyle w:val="FootnoteReference"/>
          <w:rFonts w:ascii="Arial" w:hAnsi="Arial" w:cs="Arial"/>
          <w:sz w:val="18"/>
          <w:szCs w:val="18"/>
          <w:lang w:val="en-GB"/>
        </w:rPr>
        <w:footnoteReference w:id="14"/>
      </w:r>
      <w:r w:rsidR="0041191B" w:rsidRPr="00B52DA6">
        <w:rPr>
          <w:rFonts w:ascii="Arial" w:hAnsi="Arial" w:cs="Arial"/>
          <w:sz w:val="18"/>
          <w:szCs w:val="18"/>
          <w:lang w:val="en-GB"/>
        </w:rPr>
        <w:t xml:space="preserve"> </w:t>
      </w:r>
      <w:r w:rsidR="00B83CAD">
        <w:rPr>
          <w:rFonts w:ascii="Arial" w:hAnsi="Arial" w:cs="Arial"/>
          <w:sz w:val="18"/>
          <w:szCs w:val="18"/>
          <w:lang w:val="en-GB"/>
        </w:rPr>
        <w:t xml:space="preserve">Human rights defenders can be relocated to reduce their risk, given the number of </w:t>
      </w:r>
      <w:r w:rsidR="00804066">
        <w:rPr>
          <w:rFonts w:ascii="Arial" w:hAnsi="Arial" w:cs="Arial"/>
          <w:sz w:val="18"/>
          <w:szCs w:val="18"/>
          <w:lang w:val="en-GB"/>
        </w:rPr>
        <w:t>physical security and well-being threats</w:t>
      </w:r>
      <w:r w:rsidR="00B83CAD">
        <w:rPr>
          <w:rFonts w:ascii="Arial" w:hAnsi="Arial" w:cs="Arial"/>
          <w:sz w:val="18"/>
          <w:szCs w:val="18"/>
          <w:lang w:val="en-GB"/>
        </w:rPr>
        <w:t xml:space="preserve">. </w:t>
      </w:r>
      <w:r w:rsidR="00181226" w:rsidRPr="00B52DA6">
        <w:rPr>
          <w:rFonts w:ascii="Arial" w:hAnsi="Arial" w:cs="Arial"/>
          <w:sz w:val="18"/>
          <w:szCs w:val="18"/>
          <w:lang w:val="en-GB"/>
        </w:rPr>
        <w:t xml:space="preserve">Nonetheless, </w:t>
      </w:r>
      <w:r w:rsidR="00181226" w:rsidRPr="00B52DA6">
        <w:rPr>
          <w:rFonts w:ascii="Arial" w:hAnsi="Arial" w:cs="Arial"/>
          <w:sz w:val="18"/>
          <w:szCs w:val="18"/>
          <w:lang w:val="en-GB"/>
        </w:rPr>
        <w:lastRenderedPageBreak/>
        <w:t xml:space="preserve">such relocation </w:t>
      </w:r>
      <w:r w:rsidR="00395F6D" w:rsidRPr="00B52DA6">
        <w:rPr>
          <w:rFonts w:ascii="Arial" w:hAnsi="Arial" w:cs="Arial"/>
          <w:sz w:val="18"/>
          <w:szCs w:val="18"/>
          <w:lang w:val="en-GB"/>
        </w:rPr>
        <w:t>might</w:t>
      </w:r>
      <w:r w:rsidR="003F4DF0" w:rsidRPr="00B52DA6">
        <w:rPr>
          <w:rFonts w:ascii="Arial" w:hAnsi="Arial" w:cs="Arial"/>
          <w:sz w:val="18"/>
          <w:szCs w:val="18"/>
          <w:lang w:val="en-GB"/>
        </w:rPr>
        <w:t xml:space="preserve"> increase the struggle that human rights defenders face</w:t>
      </w:r>
      <w:r w:rsidR="003C4D7F">
        <w:rPr>
          <w:rFonts w:ascii="Arial" w:hAnsi="Arial" w:cs="Arial"/>
          <w:sz w:val="18"/>
          <w:szCs w:val="18"/>
          <w:lang w:val="en-GB"/>
        </w:rPr>
        <w:t xml:space="preserve"> regarding</w:t>
      </w:r>
      <w:r w:rsidR="003F4DF0" w:rsidRPr="00B52DA6">
        <w:rPr>
          <w:rFonts w:ascii="Arial" w:hAnsi="Arial" w:cs="Arial"/>
          <w:sz w:val="18"/>
          <w:szCs w:val="18"/>
          <w:lang w:val="en-GB"/>
        </w:rPr>
        <w:t xml:space="preserve"> </w:t>
      </w:r>
      <w:r w:rsidR="0054154B" w:rsidRPr="00B52DA6">
        <w:rPr>
          <w:rFonts w:ascii="Arial" w:hAnsi="Arial" w:cs="Arial"/>
          <w:sz w:val="18"/>
          <w:szCs w:val="18"/>
          <w:lang w:val="en-GB"/>
        </w:rPr>
        <w:t xml:space="preserve">social and cultural contexts, </w:t>
      </w:r>
      <w:r w:rsidR="00F7787F">
        <w:rPr>
          <w:rFonts w:ascii="Arial" w:hAnsi="Arial" w:cs="Arial"/>
          <w:sz w:val="18"/>
          <w:szCs w:val="18"/>
          <w:lang w:val="en-GB"/>
        </w:rPr>
        <w:t xml:space="preserve">such </w:t>
      </w:r>
      <w:r w:rsidR="0054154B" w:rsidRPr="00B52DA6">
        <w:rPr>
          <w:rFonts w:ascii="Arial" w:hAnsi="Arial" w:cs="Arial"/>
          <w:sz w:val="18"/>
          <w:szCs w:val="18"/>
          <w:lang w:val="en-GB"/>
        </w:rPr>
        <w:t>as access to education and health for their familie</w:t>
      </w:r>
      <w:r w:rsidR="002F4D94" w:rsidRPr="00B52DA6">
        <w:rPr>
          <w:rFonts w:ascii="Arial" w:hAnsi="Arial" w:cs="Arial"/>
          <w:sz w:val="18"/>
          <w:szCs w:val="18"/>
          <w:lang w:val="en-GB"/>
        </w:rPr>
        <w:t>s and housing.</w:t>
      </w:r>
      <w:r w:rsidR="00516499" w:rsidRPr="00B52DA6">
        <w:rPr>
          <w:rFonts w:ascii="Arial" w:hAnsi="Arial" w:cs="Arial"/>
          <w:sz w:val="18"/>
          <w:szCs w:val="18"/>
          <w:lang w:val="en-GB"/>
        </w:rPr>
        <w:t xml:space="preserve"> In such cases, the right</w:t>
      </w:r>
      <w:r w:rsidR="00395F6D" w:rsidRPr="00B52DA6">
        <w:rPr>
          <w:rFonts w:ascii="Arial" w:hAnsi="Arial" w:cs="Arial"/>
          <w:sz w:val="18"/>
          <w:szCs w:val="18"/>
          <w:lang w:val="en-GB"/>
        </w:rPr>
        <w:t>s</w:t>
      </w:r>
      <w:r w:rsidR="00516499" w:rsidRPr="00B52DA6">
        <w:rPr>
          <w:rFonts w:ascii="Arial" w:hAnsi="Arial" w:cs="Arial"/>
          <w:sz w:val="18"/>
          <w:szCs w:val="18"/>
          <w:lang w:val="en-GB"/>
        </w:rPr>
        <w:t xml:space="preserve"> of human rights defenders should not only be limited</w:t>
      </w:r>
      <w:r w:rsidR="00395F6D" w:rsidRPr="00B52DA6">
        <w:rPr>
          <w:rFonts w:ascii="Arial" w:hAnsi="Arial" w:cs="Arial"/>
          <w:sz w:val="18"/>
          <w:szCs w:val="18"/>
          <w:lang w:val="en-GB"/>
        </w:rPr>
        <w:t xml:space="preserve"> to physical security but also consider the </w:t>
      </w:r>
      <w:r w:rsidR="00CF586C" w:rsidRPr="00B52DA6">
        <w:rPr>
          <w:rFonts w:ascii="Arial" w:hAnsi="Arial" w:cs="Arial"/>
          <w:sz w:val="18"/>
          <w:szCs w:val="18"/>
          <w:lang w:val="en-GB"/>
        </w:rPr>
        <w:t>financial support and adequate housing arrangement to facilitate recovery</w:t>
      </w:r>
      <w:r w:rsidR="00451A4C" w:rsidRPr="00B52DA6">
        <w:rPr>
          <w:rFonts w:ascii="Arial" w:hAnsi="Arial" w:cs="Arial"/>
          <w:sz w:val="18"/>
          <w:szCs w:val="18"/>
          <w:lang w:val="en-GB"/>
        </w:rPr>
        <w:t xml:space="preserve"> and well</w:t>
      </w:r>
      <w:r w:rsidR="003C4D7F">
        <w:rPr>
          <w:rFonts w:ascii="Arial" w:hAnsi="Arial" w:cs="Arial"/>
          <w:sz w:val="18"/>
          <w:szCs w:val="18"/>
          <w:lang w:val="en-GB"/>
        </w:rPr>
        <w:t>-</w:t>
      </w:r>
      <w:r w:rsidR="00451A4C" w:rsidRPr="00B52DA6">
        <w:rPr>
          <w:rFonts w:ascii="Arial" w:hAnsi="Arial" w:cs="Arial"/>
          <w:sz w:val="18"/>
          <w:szCs w:val="18"/>
          <w:lang w:val="en-GB"/>
        </w:rPr>
        <w:t>being of them and their families.</w:t>
      </w:r>
      <w:r w:rsidR="00451A4C" w:rsidRPr="00B52DA6">
        <w:rPr>
          <w:rStyle w:val="FootnoteReference"/>
          <w:rFonts w:ascii="Arial" w:hAnsi="Arial" w:cs="Arial"/>
          <w:sz w:val="18"/>
          <w:szCs w:val="18"/>
          <w:lang w:val="en-GB"/>
        </w:rPr>
        <w:footnoteReference w:id="15"/>
      </w:r>
      <w:r w:rsidR="00451A4C" w:rsidRPr="00B52DA6">
        <w:rPr>
          <w:rFonts w:ascii="Arial" w:hAnsi="Arial" w:cs="Arial"/>
          <w:sz w:val="18"/>
          <w:szCs w:val="18"/>
          <w:lang w:val="en-GB"/>
        </w:rPr>
        <w:t xml:space="preserve"> </w:t>
      </w:r>
    </w:p>
    <w:p w14:paraId="2C2E2B1C" w14:textId="77777777" w:rsidR="007212FD" w:rsidRPr="00B52DA6" w:rsidRDefault="00EE4819" w:rsidP="006038AD">
      <w:pPr>
        <w:pStyle w:val="ListParagraph"/>
        <w:numPr>
          <w:ilvl w:val="0"/>
          <w:numId w:val="4"/>
        </w:numPr>
        <w:spacing w:before="240" w:after="240" w:line="360" w:lineRule="auto"/>
        <w:contextualSpacing w:val="0"/>
        <w:jc w:val="both"/>
        <w:rPr>
          <w:rFonts w:ascii="Arial" w:hAnsi="Arial" w:cs="Arial"/>
          <w:sz w:val="18"/>
          <w:szCs w:val="18"/>
          <w:lang w:val="en-GB"/>
        </w:rPr>
      </w:pPr>
      <w:r w:rsidRPr="00B52DA6">
        <w:rPr>
          <w:rFonts w:ascii="Arial" w:hAnsi="Arial" w:cs="Arial"/>
          <w:b/>
          <w:bCs/>
          <w:sz w:val="18"/>
          <w:szCs w:val="18"/>
          <w:lang w:val="en-GB"/>
        </w:rPr>
        <w:t>Human rights and business enterprises</w:t>
      </w:r>
    </w:p>
    <w:p w14:paraId="34C16705" w14:textId="638F7B81" w:rsidR="005C0996" w:rsidRPr="00B52DA6" w:rsidRDefault="00571518" w:rsidP="006038AD">
      <w:pPr>
        <w:spacing w:before="240" w:after="240" w:line="360" w:lineRule="auto"/>
        <w:jc w:val="both"/>
        <w:rPr>
          <w:rFonts w:ascii="Arial" w:hAnsi="Arial" w:cs="Arial"/>
          <w:sz w:val="18"/>
          <w:szCs w:val="18"/>
          <w:lang w:val="en-GB"/>
        </w:rPr>
      </w:pPr>
      <w:r w:rsidRPr="00B52DA6">
        <w:rPr>
          <w:rFonts w:ascii="Arial" w:hAnsi="Arial" w:cs="Arial"/>
          <w:sz w:val="18"/>
          <w:szCs w:val="18"/>
          <w:lang w:val="en-GB"/>
        </w:rPr>
        <w:t>Agroindustry</w:t>
      </w:r>
      <w:r w:rsidR="00FA33AE" w:rsidRPr="00B52DA6">
        <w:rPr>
          <w:rFonts w:ascii="Arial" w:hAnsi="Arial" w:cs="Arial"/>
          <w:sz w:val="18"/>
          <w:szCs w:val="18"/>
          <w:lang w:val="en-GB"/>
        </w:rPr>
        <w:t xml:space="preserve"> and </w:t>
      </w:r>
      <w:r w:rsidR="00503410" w:rsidRPr="00B52DA6">
        <w:rPr>
          <w:rFonts w:ascii="Arial" w:hAnsi="Arial" w:cs="Arial"/>
          <w:sz w:val="18"/>
          <w:szCs w:val="18"/>
          <w:lang w:val="en-GB"/>
        </w:rPr>
        <w:t>resource</w:t>
      </w:r>
      <w:r w:rsidR="003C4D7F">
        <w:rPr>
          <w:rFonts w:ascii="Arial" w:hAnsi="Arial" w:cs="Arial"/>
          <w:sz w:val="18"/>
          <w:szCs w:val="18"/>
          <w:lang w:val="en-GB"/>
        </w:rPr>
        <w:t>-</w:t>
      </w:r>
      <w:r w:rsidR="00DC4A45" w:rsidRPr="00B52DA6">
        <w:rPr>
          <w:rFonts w:ascii="Arial" w:hAnsi="Arial" w:cs="Arial"/>
          <w:sz w:val="18"/>
          <w:szCs w:val="18"/>
          <w:lang w:val="en-GB"/>
        </w:rPr>
        <w:t>intensive businesses</w:t>
      </w:r>
      <w:r w:rsidR="00454C46" w:rsidRPr="00B52DA6">
        <w:rPr>
          <w:rFonts w:ascii="Arial" w:hAnsi="Arial" w:cs="Arial"/>
          <w:sz w:val="18"/>
          <w:szCs w:val="18"/>
          <w:lang w:val="en-GB"/>
        </w:rPr>
        <w:t xml:space="preserve"> </w:t>
      </w:r>
      <w:r w:rsidR="00237BAC" w:rsidRPr="00B52DA6">
        <w:rPr>
          <w:rFonts w:ascii="Arial" w:hAnsi="Arial" w:cs="Arial"/>
          <w:sz w:val="18"/>
          <w:szCs w:val="18"/>
          <w:lang w:val="en-GB"/>
        </w:rPr>
        <w:t xml:space="preserve">have been responsible </w:t>
      </w:r>
      <w:r w:rsidR="003C4D7F">
        <w:rPr>
          <w:rFonts w:ascii="Arial" w:hAnsi="Arial" w:cs="Arial"/>
          <w:sz w:val="18"/>
          <w:szCs w:val="18"/>
          <w:lang w:val="en-GB"/>
        </w:rPr>
        <w:t xml:space="preserve">for increasing food prices and food shortages since the beginning of the century as large land transactions between 'host' governments and </w:t>
      </w:r>
      <w:r w:rsidR="00EB68ED">
        <w:rPr>
          <w:rFonts w:ascii="Arial" w:hAnsi="Arial" w:cs="Arial"/>
          <w:sz w:val="18"/>
          <w:szCs w:val="18"/>
          <w:lang w:val="en-GB"/>
        </w:rPr>
        <w:t>corporation</w:t>
      </w:r>
      <w:r w:rsidR="003C4D7F">
        <w:rPr>
          <w:rFonts w:ascii="Arial" w:hAnsi="Arial" w:cs="Arial"/>
          <w:sz w:val="18"/>
          <w:szCs w:val="18"/>
          <w:lang w:val="en-GB"/>
        </w:rPr>
        <w:t>s have included thousands of hectares, putting at risk food security and</w:t>
      </w:r>
      <w:r w:rsidR="00402DF4" w:rsidRPr="00B52DA6">
        <w:rPr>
          <w:rFonts w:ascii="Arial" w:hAnsi="Arial" w:cs="Arial"/>
          <w:sz w:val="18"/>
          <w:szCs w:val="18"/>
          <w:lang w:val="en-GB"/>
        </w:rPr>
        <w:t xml:space="preserve"> poverty</w:t>
      </w:r>
      <w:r w:rsidR="003C4D7F">
        <w:rPr>
          <w:rFonts w:ascii="Arial" w:hAnsi="Arial" w:cs="Arial"/>
          <w:sz w:val="18"/>
          <w:szCs w:val="18"/>
          <w:lang w:val="en-GB"/>
        </w:rPr>
        <w:t>,</w:t>
      </w:r>
      <w:r w:rsidR="00402DF4" w:rsidRPr="00B52DA6">
        <w:rPr>
          <w:rFonts w:ascii="Arial" w:hAnsi="Arial" w:cs="Arial"/>
          <w:sz w:val="18"/>
          <w:szCs w:val="18"/>
          <w:lang w:val="en-GB"/>
        </w:rPr>
        <w:t xml:space="preserve"> alleviation</w:t>
      </w:r>
      <w:r w:rsidR="003C4D7F">
        <w:rPr>
          <w:rFonts w:ascii="Arial" w:hAnsi="Arial" w:cs="Arial"/>
          <w:sz w:val="18"/>
          <w:szCs w:val="18"/>
          <w:lang w:val="en-GB"/>
        </w:rPr>
        <w:t>,</w:t>
      </w:r>
      <w:r w:rsidR="00402DF4" w:rsidRPr="00B52DA6">
        <w:rPr>
          <w:rFonts w:ascii="Arial" w:hAnsi="Arial" w:cs="Arial"/>
          <w:sz w:val="18"/>
          <w:szCs w:val="18"/>
          <w:lang w:val="en-GB"/>
        </w:rPr>
        <w:t xml:space="preserve"> and sustainable livelihoods.</w:t>
      </w:r>
      <w:r w:rsidR="00402DF4" w:rsidRPr="00B52DA6">
        <w:rPr>
          <w:rStyle w:val="FootnoteReference"/>
          <w:rFonts w:ascii="Arial" w:hAnsi="Arial" w:cs="Arial"/>
          <w:sz w:val="18"/>
          <w:szCs w:val="18"/>
          <w:lang w:val="en-GB"/>
        </w:rPr>
        <w:footnoteReference w:id="16"/>
      </w:r>
      <w:r w:rsidR="00402DF4" w:rsidRPr="00B52DA6">
        <w:rPr>
          <w:rFonts w:ascii="Arial" w:hAnsi="Arial" w:cs="Arial"/>
          <w:sz w:val="18"/>
          <w:szCs w:val="18"/>
          <w:lang w:val="en-GB"/>
        </w:rPr>
        <w:t xml:space="preserve"> </w:t>
      </w:r>
      <w:r w:rsidR="00D13F41" w:rsidRPr="00B52DA6">
        <w:rPr>
          <w:rFonts w:ascii="Arial" w:hAnsi="Arial" w:cs="Arial"/>
          <w:sz w:val="18"/>
          <w:szCs w:val="18"/>
          <w:lang w:val="en-GB"/>
        </w:rPr>
        <w:t>Although</w:t>
      </w:r>
      <w:r w:rsidR="00454C46" w:rsidRPr="00B52DA6">
        <w:rPr>
          <w:rFonts w:ascii="Arial" w:hAnsi="Arial" w:cs="Arial"/>
          <w:sz w:val="18"/>
          <w:szCs w:val="18"/>
          <w:lang w:val="en-GB"/>
        </w:rPr>
        <w:t xml:space="preserve"> corporate social responsibility (CSR) </w:t>
      </w:r>
      <w:r w:rsidR="00EB68ED">
        <w:rPr>
          <w:rFonts w:ascii="Arial" w:hAnsi="Arial" w:cs="Arial"/>
          <w:sz w:val="18"/>
          <w:szCs w:val="18"/>
          <w:lang w:val="en-GB"/>
        </w:rPr>
        <w:t>intends to</w:t>
      </w:r>
      <w:r w:rsidR="00D13F41" w:rsidRPr="00B52DA6">
        <w:rPr>
          <w:rFonts w:ascii="Arial" w:hAnsi="Arial" w:cs="Arial"/>
          <w:sz w:val="18"/>
          <w:szCs w:val="18"/>
          <w:lang w:val="en-GB"/>
        </w:rPr>
        <w:t xml:space="preserve"> create sustainable and responsible business practices</w:t>
      </w:r>
      <w:r w:rsidR="00EB68ED">
        <w:rPr>
          <w:rFonts w:ascii="Arial" w:hAnsi="Arial" w:cs="Arial"/>
          <w:sz w:val="18"/>
          <w:szCs w:val="18"/>
          <w:lang w:val="en-GB"/>
        </w:rPr>
        <w:t>,</w:t>
      </w:r>
      <w:r w:rsidR="00D13F41" w:rsidRPr="00B52DA6">
        <w:rPr>
          <w:rFonts w:ascii="Arial" w:hAnsi="Arial" w:cs="Arial"/>
          <w:sz w:val="18"/>
          <w:szCs w:val="18"/>
          <w:lang w:val="en-GB"/>
        </w:rPr>
        <w:t xml:space="preserve"> CSR has</w:t>
      </w:r>
      <w:r w:rsidR="00454C46" w:rsidRPr="00B52DA6">
        <w:rPr>
          <w:rFonts w:ascii="Arial" w:hAnsi="Arial" w:cs="Arial"/>
          <w:sz w:val="18"/>
          <w:szCs w:val="18"/>
          <w:lang w:val="en-GB"/>
        </w:rPr>
        <w:t xml:space="preserve"> not been able to cope with the dynamics of economic globalization</w:t>
      </w:r>
      <w:r w:rsidR="00EB68ED">
        <w:rPr>
          <w:rFonts w:ascii="Arial" w:hAnsi="Arial" w:cs="Arial"/>
          <w:sz w:val="18"/>
          <w:szCs w:val="18"/>
          <w:lang w:val="en-GB"/>
        </w:rPr>
        <w:t xml:space="preserve"> where </w:t>
      </w:r>
      <w:r w:rsidR="00454C46" w:rsidRPr="00B52DA6">
        <w:rPr>
          <w:rFonts w:ascii="Arial" w:hAnsi="Arial" w:cs="Arial"/>
          <w:sz w:val="18"/>
          <w:szCs w:val="18"/>
          <w:lang w:val="en-GB"/>
        </w:rPr>
        <w:t xml:space="preserve">the </w:t>
      </w:r>
      <w:r w:rsidR="003C4D7F">
        <w:rPr>
          <w:rFonts w:ascii="Arial" w:hAnsi="Arial" w:cs="Arial"/>
          <w:sz w:val="18"/>
          <w:szCs w:val="18"/>
          <w:lang w:val="en-GB"/>
        </w:rPr>
        <w:t>wealthi</w:t>
      </w:r>
      <w:r w:rsidR="00454C46" w:rsidRPr="00B52DA6">
        <w:rPr>
          <w:rFonts w:ascii="Arial" w:hAnsi="Arial" w:cs="Arial"/>
          <w:sz w:val="18"/>
          <w:szCs w:val="18"/>
          <w:lang w:val="en-GB"/>
        </w:rPr>
        <w:t xml:space="preserve">est 1% of the population has accumulated more wealth than the </w:t>
      </w:r>
      <w:r w:rsidR="00F7787F">
        <w:rPr>
          <w:rFonts w:ascii="Arial" w:hAnsi="Arial" w:cs="Arial"/>
          <w:sz w:val="18"/>
          <w:szCs w:val="18"/>
          <w:lang w:val="en-GB"/>
        </w:rPr>
        <w:t xml:space="preserve">rest of the </w:t>
      </w:r>
      <w:r w:rsidR="00454C46" w:rsidRPr="00B52DA6">
        <w:rPr>
          <w:rFonts w:ascii="Arial" w:hAnsi="Arial" w:cs="Arial"/>
          <w:sz w:val="18"/>
          <w:szCs w:val="18"/>
          <w:lang w:val="en-GB"/>
        </w:rPr>
        <w:t>whole world</w:t>
      </w:r>
      <w:r w:rsidR="003C4D7F">
        <w:rPr>
          <w:rFonts w:ascii="Arial" w:hAnsi="Arial" w:cs="Arial"/>
          <w:sz w:val="18"/>
          <w:szCs w:val="18"/>
          <w:lang w:val="en-GB"/>
        </w:rPr>
        <w:t xml:space="preserve">. </w:t>
      </w:r>
      <w:r w:rsidR="00454C46" w:rsidRPr="00B52DA6">
        <w:rPr>
          <w:rFonts w:ascii="Arial" w:hAnsi="Arial" w:cs="Arial"/>
          <w:sz w:val="18"/>
          <w:szCs w:val="18"/>
          <w:lang w:val="en-GB"/>
        </w:rPr>
        <w:t xml:space="preserve">40% of the global wealth </w:t>
      </w:r>
      <w:r w:rsidR="003C4D7F">
        <w:rPr>
          <w:rFonts w:ascii="Arial" w:hAnsi="Arial" w:cs="Arial"/>
          <w:sz w:val="18"/>
          <w:szCs w:val="18"/>
          <w:lang w:val="en-GB"/>
        </w:rPr>
        <w:t>concentrates</w:t>
      </w:r>
      <w:r w:rsidR="00454C46" w:rsidRPr="00B52DA6">
        <w:rPr>
          <w:rFonts w:ascii="Arial" w:hAnsi="Arial" w:cs="Arial"/>
          <w:sz w:val="18"/>
          <w:szCs w:val="18"/>
          <w:lang w:val="en-GB"/>
        </w:rPr>
        <w:t xml:space="preserve"> in 147 transnational corporations. </w:t>
      </w:r>
    </w:p>
    <w:p w14:paraId="5D6F1659" w14:textId="699C9559" w:rsidR="003467A0" w:rsidRPr="00B52DA6" w:rsidRDefault="007212FD" w:rsidP="006038AD">
      <w:pPr>
        <w:spacing w:before="240" w:after="240" w:line="360" w:lineRule="auto"/>
        <w:jc w:val="both"/>
        <w:rPr>
          <w:rFonts w:ascii="Arial" w:hAnsi="Arial" w:cs="Arial"/>
          <w:sz w:val="18"/>
          <w:szCs w:val="18"/>
          <w:lang w:val="en-GB"/>
        </w:rPr>
      </w:pPr>
      <w:r w:rsidRPr="00B52DA6">
        <w:rPr>
          <w:rFonts w:ascii="Arial" w:hAnsi="Arial" w:cs="Arial"/>
          <w:sz w:val="18"/>
          <w:szCs w:val="18"/>
          <w:lang w:val="en-GB"/>
        </w:rPr>
        <w:t xml:space="preserve">Nevertheless, the effects of agroindustry </w:t>
      </w:r>
      <w:r w:rsidR="00BF2E13" w:rsidRPr="00B52DA6">
        <w:rPr>
          <w:rFonts w:ascii="Arial" w:hAnsi="Arial" w:cs="Arial"/>
          <w:sz w:val="18"/>
          <w:szCs w:val="18"/>
          <w:lang w:val="en-GB"/>
        </w:rPr>
        <w:t xml:space="preserve">are </w:t>
      </w:r>
      <w:r w:rsidRPr="00B52DA6">
        <w:rPr>
          <w:rFonts w:ascii="Arial" w:hAnsi="Arial" w:cs="Arial"/>
          <w:sz w:val="18"/>
          <w:szCs w:val="18"/>
          <w:lang w:val="en-GB"/>
        </w:rPr>
        <w:t xml:space="preserve">not limited to land </w:t>
      </w:r>
      <w:r w:rsidR="006038AD" w:rsidRPr="00B52DA6">
        <w:rPr>
          <w:rFonts w:ascii="Arial" w:hAnsi="Arial" w:cs="Arial"/>
          <w:sz w:val="18"/>
          <w:szCs w:val="18"/>
          <w:lang w:val="en-GB"/>
        </w:rPr>
        <w:t>ownership but</w:t>
      </w:r>
      <w:r w:rsidR="007F22ED" w:rsidRPr="00B52DA6">
        <w:rPr>
          <w:rFonts w:ascii="Arial" w:hAnsi="Arial" w:cs="Arial"/>
          <w:sz w:val="18"/>
          <w:szCs w:val="18"/>
          <w:lang w:val="en-GB"/>
        </w:rPr>
        <w:t xml:space="preserve"> ha</w:t>
      </w:r>
      <w:r w:rsidR="003C4D7F">
        <w:rPr>
          <w:rFonts w:ascii="Arial" w:hAnsi="Arial" w:cs="Arial"/>
          <w:sz w:val="18"/>
          <w:szCs w:val="18"/>
          <w:lang w:val="en-GB"/>
        </w:rPr>
        <w:t>ve also impacted rural workers' live</w:t>
      </w:r>
      <w:r w:rsidR="007F22ED" w:rsidRPr="00B52DA6">
        <w:rPr>
          <w:rFonts w:ascii="Arial" w:hAnsi="Arial" w:cs="Arial"/>
          <w:sz w:val="18"/>
          <w:szCs w:val="18"/>
          <w:lang w:val="en-GB"/>
        </w:rPr>
        <w:t xml:space="preserve">s. </w:t>
      </w:r>
      <w:r w:rsidR="00BA1C57">
        <w:rPr>
          <w:rFonts w:ascii="Arial" w:hAnsi="Arial" w:cs="Arial"/>
          <w:sz w:val="18"/>
          <w:szCs w:val="18"/>
          <w:lang w:val="en-GB"/>
        </w:rPr>
        <w:t>The f</w:t>
      </w:r>
      <w:r w:rsidR="007F22ED" w:rsidRPr="00B52DA6">
        <w:rPr>
          <w:rFonts w:ascii="Arial" w:hAnsi="Arial" w:cs="Arial"/>
          <w:sz w:val="18"/>
          <w:szCs w:val="18"/>
          <w:lang w:val="en-GB"/>
        </w:rPr>
        <w:t xml:space="preserve">inancial processes required for food production are not linked with the territory where </w:t>
      </w:r>
      <w:r w:rsidR="00BA1C57">
        <w:rPr>
          <w:rFonts w:ascii="Arial" w:hAnsi="Arial" w:cs="Arial"/>
          <w:sz w:val="18"/>
          <w:szCs w:val="18"/>
          <w:lang w:val="en-GB"/>
        </w:rPr>
        <w:t>production oc</w:t>
      </w:r>
      <w:r w:rsidR="00F843C5">
        <w:rPr>
          <w:rFonts w:ascii="Arial" w:hAnsi="Arial" w:cs="Arial"/>
          <w:sz w:val="18"/>
          <w:szCs w:val="18"/>
          <w:lang w:val="en-GB"/>
        </w:rPr>
        <w:t>cu</w:t>
      </w:r>
      <w:r w:rsidR="00BA1C57">
        <w:rPr>
          <w:rFonts w:ascii="Arial" w:hAnsi="Arial" w:cs="Arial"/>
          <w:sz w:val="18"/>
          <w:szCs w:val="18"/>
          <w:lang w:val="en-GB"/>
        </w:rPr>
        <w:t>rs</w:t>
      </w:r>
      <w:r w:rsidR="003C4D7F">
        <w:rPr>
          <w:rFonts w:ascii="Arial" w:hAnsi="Arial" w:cs="Arial"/>
          <w:sz w:val="18"/>
          <w:szCs w:val="18"/>
          <w:lang w:val="en-GB"/>
        </w:rPr>
        <w:t>. O</w:t>
      </w:r>
      <w:r w:rsidR="007F22ED" w:rsidRPr="00B52DA6">
        <w:rPr>
          <w:rFonts w:ascii="Arial" w:hAnsi="Arial" w:cs="Arial"/>
          <w:sz w:val="18"/>
          <w:szCs w:val="18"/>
          <w:lang w:val="en-GB"/>
        </w:rPr>
        <w:t>n the contrary</w:t>
      </w:r>
      <w:r w:rsidR="003C4D7F">
        <w:rPr>
          <w:rFonts w:ascii="Arial" w:hAnsi="Arial" w:cs="Arial"/>
          <w:sz w:val="18"/>
          <w:szCs w:val="18"/>
          <w:lang w:val="en-GB"/>
        </w:rPr>
        <w:t>,</w:t>
      </w:r>
      <w:r w:rsidR="007F22ED" w:rsidRPr="00B52DA6">
        <w:rPr>
          <w:rFonts w:ascii="Arial" w:hAnsi="Arial" w:cs="Arial"/>
          <w:sz w:val="18"/>
          <w:szCs w:val="18"/>
          <w:lang w:val="en-GB"/>
        </w:rPr>
        <w:t xml:space="preserve"> </w:t>
      </w:r>
      <w:r w:rsidR="001B6FF8" w:rsidRPr="00B52DA6">
        <w:rPr>
          <w:rFonts w:ascii="Arial" w:hAnsi="Arial" w:cs="Arial"/>
          <w:sz w:val="18"/>
          <w:szCs w:val="18"/>
          <w:lang w:val="en-GB"/>
        </w:rPr>
        <w:t xml:space="preserve">financing processes are detached from </w:t>
      </w:r>
      <w:r w:rsidR="00ED145E" w:rsidRPr="00B52DA6">
        <w:rPr>
          <w:rFonts w:ascii="Arial" w:hAnsi="Arial" w:cs="Arial"/>
          <w:sz w:val="18"/>
          <w:szCs w:val="18"/>
          <w:lang w:val="en-GB"/>
        </w:rPr>
        <w:t>rural and local structure</w:t>
      </w:r>
      <w:r w:rsidR="00BA1C57">
        <w:rPr>
          <w:rFonts w:ascii="Arial" w:hAnsi="Arial" w:cs="Arial"/>
          <w:sz w:val="18"/>
          <w:szCs w:val="18"/>
          <w:lang w:val="en-GB"/>
        </w:rPr>
        <w:t>s</w:t>
      </w:r>
      <w:r w:rsidR="00ED145E" w:rsidRPr="00B52DA6">
        <w:rPr>
          <w:rFonts w:ascii="Arial" w:hAnsi="Arial" w:cs="Arial"/>
          <w:sz w:val="18"/>
          <w:szCs w:val="18"/>
          <w:lang w:val="en-GB"/>
        </w:rPr>
        <w:t>, which creates more speculative pressures on markets and products</w:t>
      </w:r>
      <w:r w:rsidR="006D7157" w:rsidRPr="00B52DA6">
        <w:rPr>
          <w:rFonts w:ascii="Arial" w:hAnsi="Arial" w:cs="Arial"/>
          <w:sz w:val="18"/>
          <w:szCs w:val="18"/>
          <w:lang w:val="en-GB"/>
        </w:rPr>
        <w:t>,</w:t>
      </w:r>
      <w:r w:rsidR="00ED145E" w:rsidRPr="00B52DA6">
        <w:rPr>
          <w:rStyle w:val="FootnoteReference"/>
          <w:rFonts w:ascii="Arial" w:hAnsi="Arial" w:cs="Arial"/>
          <w:sz w:val="18"/>
          <w:szCs w:val="18"/>
          <w:lang w:val="en-GB"/>
        </w:rPr>
        <w:footnoteReference w:id="17"/>
      </w:r>
      <w:r w:rsidR="006D7157" w:rsidRPr="00B52DA6">
        <w:rPr>
          <w:rFonts w:ascii="Arial" w:hAnsi="Arial" w:cs="Arial"/>
          <w:sz w:val="18"/>
          <w:szCs w:val="18"/>
          <w:lang w:val="en-GB"/>
        </w:rPr>
        <w:t xml:space="preserve"> </w:t>
      </w:r>
      <w:r w:rsidR="00F7787F">
        <w:rPr>
          <w:rFonts w:ascii="Arial" w:hAnsi="Arial" w:cs="Arial"/>
          <w:sz w:val="18"/>
          <w:szCs w:val="18"/>
          <w:lang w:val="en-GB"/>
        </w:rPr>
        <w:t xml:space="preserve">thereby </w:t>
      </w:r>
      <w:r w:rsidR="006D7157" w:rsidRPr="00B52DA6">
        <w:rPr>
          <w:rFonts w:ascii="Arial" w:hAnsi="Arial" w:cs="Arial"/>
          <w:sz w:val="18"/>
          <w:szCs w:val="18"/>
          <w:lang w:val="en-GB"/>
        </w:rPr>
        <w:t>limiting access to finance for small producers and increasing land inequality.</w:t>
      </w:r>
    </w:p>
    <w:p w14:paraId="5F700BB1" w14:textId="6991F0F6" w:rsidR="004D122F" w:rsidRPr="00B52DA6" w:rsidRDefault="00F843C5" w:rsidP="006038AD">
      <w:pPr>
        <w:spacing w:before="240" w:after="240" w:line="360" w:lineRule="auto"/>
        <w:jc w:val="both"/>
        <w:rPr>
          <w:rFonts w:ascii="Arial" w:hAnsi="Arial" w:cs="Arial"/>
          <w:sz w:val="18"/>
          <w:szCs w:val="18"/>
          <w:lang w:val="en-GB"/>
        </w:rPr>
      </w:pPr>
      <w:r>
        <w:rPr>
          <w:rFonts w:ascii="Arial" w:hAnsi="Arial" w:cs="Arial"/>
          <w:sz w:val="18"/>
          <w:szCs w:val="18"/>
          <w:lang w:val="en-GB"/>
        </w:rPr>
        <w:lastRenderedPageBreak/>
        <w:t>G</w:t>
      </w:r>
      <w:r w:rsidR="004D122F" w:rsidRPr="00B52DA6">
        <w:rPr>
          <w:rFonts w:ascii="Arial" w:hAnsi="Arial" w:cs="Arial"/>
          <w:sz w:val="18"/>
          <w:szCs w:val="18"/>
          <w:lang w:val="en-GB"/>
        </w:rPr>
        <w:t>iven the significant role that the private sector plays in</w:t>
      </w:r>
      <w:r w:rsidR="003467A0" w:rsidRPr="00B52DA6">
        <w:rPr>
          <w:rFonts w:ascii="Arial" w:hAnsi="Arial" w:cs="Arial"/>
          <w:sz w:val="18"/>
          <w:szCs w:val="18"/>
          <w:lang w:val="en-GB"/>
        </w:rPr>
        <w:t xml:space="preserve"> </w:t>
      </w:r>
      <w:r w:rsidR="00C1671D">
        <w:rPr>
          <w:rFonts w:ascii="Arial" w:hAnsi="Arial" w:cs="Arial"/>
          <w:sz w:val="18"/>
          <w:szCs w:val="18"/>
          <w:lang w:val="en-GB"/>
        </w:rPr>
        <w:t>the appropriation of</w:t>
      </w:r>
      <w:r w:rsidR="003467A0" w:rsidRPr="00B52DA6">
        <w:rPr>
          <w:rFonts w:ascii="Arial" w:hAnsi="Arial" w:cs="Arial"/>
          <w:sz w:val="18"/>
          <w:szCs w:val="18"/>
          <w:lang w:val="en-GB"/>
        </w:rPr>
        <w:t xml:space="preserve"> land </w:t>
      </w:r>
      <w:r w:rsidR="004D122F" w:rsidRPr="00B52DA6">
        <w:rPr>
          <w:rFonts w:ascii="Arial" w:hAnsi="Arial" w:cs="Arial"/>
          <w:sz w:val="18"/>
          <w:szCs w:val="18"/>
          <w:lang w:val="en-GB"/>
        </w:rPr>
        <w:t xml:space="preserve">and the exploitation of natural resources, it is </w:t>
      </w:r>
      <w:r w:rsidR="00BA1C57">
        <w:rPr>
          <w:rFonts w:ascii="Arial" w:hAnsi="Arial" w:cs="Arial"/>
          <w:sz w:val="18"/>
          <w:szCs w:val="18"/>
          <w:lang w:val="en-GB"/>
        </w:rPr>
        <w:t>vital</w:t>
      </w:r>
      <w:r w:rsidR="004D122F" w:rsidRPr="00B52DA6">
        <w:rPr>
          <w:rFonts w:ascii="Arial" w:hAnsi="Arial" w:cs="Arial"/>
          <w:sz w:val="18"/>
          <w:szCs w:val="18"/>
          <w:lang w:val="en-GB"/>
        </w:rPr>
        <w:t xml:space="preserve"> to continue the negotiations for the adoption of a legally binding instrument on business and human rights</w:t>
      </w:r>
      <w:r w:rsidR="004D122F" w:rsidRPr="00B52DA6">
        <w:rPr>
          <w:rFonts w:ascii="Arial" w:hAnsi="Arial" w:cs="Arial"/>
          <w:sz w:val="18"/>
          <w:szCs w:val="18"/>
          <w:vertAlign w:val="superscript"/>
        </w:rPr>
        <w:footnoteReference w:id="18"/>
      </w:r>
      <w:r w:rsidR="004D122F" w:rsidRPr="00B52DA6">
        <w:rPr>
          <w:rFonts w:ascii="Arial" w:hAnsi="Arial" w:cs="Arial"/>
          <w:sz w:val="18"/>
          <w:szCs w:val="18"/>
          <w:lang w:val="en-GB"/>
        </w:rPr>
        <w:t xml:space="preserve"> while promoting the implementation of the United Nations Guiding Principles on Business and Human Rights (UNGPs).</w:t>
      </w:r>
      <w:r w:rsidR="004D122F" w:rsidRPr="00B52DA6">
        <w:rPr>
          <w:rFonts w:ascii="Arial" w:hAnsi="Arial" w:cs="Arial"/>
          <w:sz w:val="18"/>
          <w:szCs w:val="18"/>
          <w:vertAlign w:val="superscript"/>
        </w:rPr>
        <w:footnoteReference w:id="19"/>
      </w:r>
      <w:r w:rsidR="004D122F" w:rsidRPr="00B52DA6">
        <w:rPr>
          <w:rFonts w:ascii="Arial" w:hAnsi="Arial" w:cs="Arial"/>
          <w:sz w:val="18"/>
          <w:szCs w:val="18"/>
          <w:vertAlign w:val="superscript"/>
          <w:lang w:val="en-GB"/>
        </w:rPr>
        <w:t xml:space="preserve"> </w:t>
      </w:r>
      <w:r w:rsidR="0007073F">
        <w:rPr>
          <w:rFonts w:ascii="Arial" w:hAnsi="Arial" w:cs="Arial"/>
          <w:sz w:val="18"/>
          <w:szCs w:val="18"/>
          <w:lang w:val="en-GB"/>
        </w:rPr>
        <w:t>P</w:t>
      </w:r>
      <w:r w:rsidR="004D122F" w:rsidRPr="00B52DA6">
        <w:rPr>
          <w:rFonts w:ascii="Arial" w:hAnsi="Arial" w:cs="Arial"/>
          <w:sz w:val="18"/>
          <w:szCs w:val="18"/>
          <w:lang w:val="en-GB"/>
        </w:rPr>
        <w:t xml:space="preserve">rivate actors </w:t>
      </w:r>
      <w:r w:rsidR="0007073F">
        <w:rPr>
          <w:rFonts w:ascii="Arial" w:hAnsi="Arial" w:cs="Arial"/>
          <w:sz w:val="18"/>
          <w:szCs w:val="18"/>
          <w:lang w:val="en-GB"/>
        </w:rPr>
        <w:t xml:space="preserve">must adopt a corporate culture based on respect for human rights and establish adequate measures for </w:t>
      </w:r>
      <w:r w:rsidR="00F7787F">
        <w:rPr>
          <w:rFonts w:ascii="Arial" w:hAnsi="Arial" w:cs="Arial"/>
          <w:sz w:val="18"/>
          <w:szCs w:val="18"/>
          <w:lang w:val="en-GB"/>
        </w:rPr>
        <w:t xml:space="preserve">compliance with human rights obligations, incuding </w:t>
      </w:r>
      <w:r w:rsidR="0007073F">
        <w:rPr>
          <w:rFonts w:ascii="Arial" w:hAnsi="Arial" w:cs="Arial"/>
          <w:sz w:val="18"/>
          <w:szCs w:val="18"/>
          <w:lang w:val="en-GB"/>
        </w:rPr>
        <w:t>the prevention, mitigation</w:t>
      </w:r>
      <w:r w:rsidR="004D122F" w:rsidRPr="00B52DA6">
        <w:rPr>
          <w:rFonts w:ascii="Arial" w:hAnsi="Arial" w:cs="Arial"/>
          <w:sz w:val="18"/>
          <w:szCs w:val="18"/>
          <w:lang w:val="en-GB"/>
        </w:rPr>
        <w:t xml:space="preserve"> and remediation of human rights abuses.</w:t>
      </w:r>
      <w:r w:rsidR="004D122F" w:rsidRPr="00B52DA6">
        <w:rPr>
          <w:rFonts w:ascii="Arial" w:hAnsi="Arial" w:cs="Arial"/>
          <w:sz w:val="18"/>
          <w:szCs w:val="18"/>
          <w:vertAlign w:val="superscript"/>
        </w:rPr>
        <w:footnoteReference w:id="20"/>
      </w:r>
      <w:r w:rsidR="00212635" w:rsidRPr="00B52DA6">
        <w:rPr>
          <w:rFonts w:ascii="Arial" w:hAnsi="Arial" w:cs="Arial"/>
          <w:sz w:val="18"/>
          <w:szCs w:val="18"/>
          <w:vertAlign w:val="superscript"/>
        </w:rPr>
        <w:t xml:space="preserve"> </w:t>
      </w:r>
      <w:r w:rsidR="004D122F" w:rsidRPr="00B52DA6">
        <w:rPr>
          <w:rFonts w:ascii="Arial" w:hAnsi="Arial" w:cs="Arial"/>
          <w:sz w:val="18"/>
          <w:szCs w:val="18"/>
          <w:lang w:val="en-GB"/>
        </w:rPr>
        <w:t xml:space="preserve">The effective recognition of the right to development could provide an </w:t>
      </w:r>
      <w:r w:rsidR="0007073F">
        <w:rPr>
          <w:rFonts w:ascii="Arial" w:hAnsi="Arial" w:cs="Arial"/>
          <w:sz w:val="18"/>
          <w:szCs w:val="18"/>
          <w:lang w:val="en-GB"/>
        </w:rPr>
        <w:t>essential</w:t>
      </w:r>
      <w:r w:rsidR="004D122F" w:rsidRPr="00B52DA6">
        <w:rPr>
          <w:rFonts w:ascii="Arial" w:hAnsi="Arial" w:cs="Arial"/>
          <w:sz w:val="18"/>
          <w:szCs w:val="18"/>
          <w:lang w:val="en-GB"/>
        </w:rPr>
        <w:t xml:space="preserve"> basis for </w:t>
      </w:r>
      <w:r w:rsidR="0007073F">
        <w:rPr>
          <w:rFonts w:ascii="Arial" w:hAnsi="Arial" w:cs="Arial"/>
          <w:sz w:val="18"/>
          <w:szCs w:val="18"/>
          <w:lang w:val="en-GB"/>
        </w:rPr>
        <w:t>developing</w:t>
      </w:r>
      <w:r w:rsidR="004D122F" w:rsidRPr="00B52DA6">
        <w:rPr>
          <w:rFonts w:ascii="Arial" w:hAnsi="Arial" w:cs="Arial"/>
          <w:sz w:val="18"/>
          <w:szCs w:val="18"/>
          <w:lang w:val="en-GB"/>
        </w:rPr>
        <w:t xml:space="preserve"> public policies and international cooperation towards the full enjoyment of human rights and </w:t>
      </w:r>
      <w:r w:rsidR="0007073F">
        <w:rPr>
          <w:rFonts w:ascii="Arial" w:hAnsi="Arial" w:cs="Arial"/>
          <w:sz w:val="18"/>
          <w:szCs w:val="18"/>
          <w:lang w:val="en-GB"/>
        </w:rPr>
        <w:t>reducing</w:t>
      </w:r>
      <w:r w:rsidR="004D122F" w:rsidRPr="00B52DA6">
        <w:rPr>
          <w:rFonts w:ascii="Arial" w:hAnsi="Arial" w:cs="Arial"/>
          <w:sz w:val="18"/>
          <w:szCs w:val="18"/>
          <w:lang w:val="en-GB"/>
        </w:rPr>
        <w:t xml:space="preserve"> poverty and inequalities</w:t>
      </w:r>
      <w:r w:rsidR="00C51442" w:rsidRPr="00B52DA6">
        <w:rPr>
          <w:rFonts w:ascii="Arial" w:hAnsi="Arial" w:cs="Arial"/>
          <w:sz w:val="18"/>
          <w:szCs w:val="18"/>
          <w:lang w:val="en-GB"/>
        </w:rPr>
        <w:t>.</w:t>
      </w:r>
    </w:p>
    <w:p w14:paraId="0B6579C4" w14:textId="6CE5DD16" w:rsidR="00857000" w:rsidRPr="00B52DA6" w:rsidRDefault="00AC2CAC" w:rsidP="006038AD">
      <w:pPr>
        <w:pStyle w:val="ListParagraph"/>
        <w:numPr>
          <w:ilvl w:val="0"/>
          <w:numId w:val="4"/>
        </w:numPr>
        <w:spacing w:before="240" w:after="240" w:line="360" w:lineRule="auto"/>
        <w:contextualSpacing w:val="0"/>
        <w:jc w:val="both"/>
        <w:rPr>
          <w:rFonts w:ascii="Arial" w:hAnsi="Arial" w:cs="Arial"/>
          <w:b/>
          <w:bCs/>
          <w:sz w:val="18"/>
          <w:szCs w:val="18"/>
          <w:lang w:val="en-GB"/>
        </w:rPr>
      </w:pPr>
      <w:r w:rsidRPr="00B52DA6">
        <w:rPr>
          <w:rFonts w:ascii="Arial" w:hAnsi="Arial" w:cs="Arial"/>
          <w:b/>
          <w:bCs/>
          <w:sz w:val="18"/>
          <w:szCs w:val="18"/>
          <w:lang w:val="en-GB"/>
        </w:rPr>
        <w:t>Just transition, climate change and access to land</w:t>
      </w:r>
    </w:p>
    <w:p w14:paraId="0ACA43E1" w14:textId="4B2376AB" w:rsidR="00AF7060" w:rsidRPr="00B52DA6" w:rsidRDefault="003E4822" w:rsidP="006038AD">
      <w:pPr>
        <w:pStyle w:val="NormalWeb"/>
        <w:shd w:val="clear" w:color="auto" w:fill="FFFFFF"/>
        <w:spacing w:before="240" w:beforeAutospacing="0" w:after="240" w:afterAutospacing="0" w:line="360" w:lineRule="auto"/>
        <w:jc w:val="both"/>
        <w:rPr>
          <w:rFonts w:ascii="Arial" w:hAnsi="Arial" w:cs="Arial"/>
          <w:sz w:val="18"/>
          <w:szCs w:val="18"/>
        </w:rPr>
      </w:pPr>
      <w:r w:rsidRPr="00B52DA6">
        <w:rPr>
          <w:rFonts w:ascii="Arial" w:hAnsi="Arial" w:cs="Arial"/>
          <w:sz w:val="18"/>
          <w:szCs w:val="18"/>
          <w:lang w:val="en-GB"/>
        </w:rPr>
        <w:t>The international community has widely recogni</w:t>
      </w:r>
      <w:r w:rsidR="0007073F">
        <w:rPr>
          <w:rFonts w:ascii="Arial" w:hAnsi="Arial" w:cs="Arial"/>
          <w:sz w:val="18"/>
          <w:szCs w:val="18"/>
          <w:lang w:val="en-GB"/>
        </w:rPr>
        <w:t>s</w:t>
      </w:r>
      <w:r w:rsidRPr="00B52DA6">
        <w:rPr>
          <w:rFonts w:ascii="Arial" w:hAnsi="Arial" w:cs="Arial"/>
          <w:sz w:val="18"/>
          <w:szCs w:val="18"/>
          <w:lang w:val="en-GB"/>
        </w:rPr>
        <w:t xml:space="preserve">ed that mitigation and adaptation to address the effects of climate change require an </w:t>
      </w:r>
      <w:r w:rsidR="00AA24B2">
        <w:rPr>
          <w:rFonts w:ascii="Arial" w:hAnsi="Arial" w:cs="Arial"/>
          <w:sz w:val="18"/>
          <w:szCs w:val="18"/>
          <w:lang w:val="en-GB"/>
        </w:rPr>
        <w:t>"</w:t>
      </w:r>
      <w:r w:rsidRPr="00B52DA6">
        <w:rPr>
          <w:rFonts w:ascii="Arial" w:hAnsi="Arial" w:cs="Arial"/>
          <w:sz w:val="18"/>
          <w:szCs w:val="18"/>
          <w:lang w:val="en-GB"/>
        </w:rPr>
        <w:t xml:space="preserve">enhanced action in an effective and appropriate international response </w:t>
      </w:r>
      <w:r w:rsidR="00FC7268">
        <w:rPr>
          <w:rFonts w:ascii="Arial" w:hAnsi="Arial" w:cs="Arial"/>
          <w:sz w:val="18"/>
          <w:szCs w:val="18"/>
          <w:lang w:val="en-GB"/>
        </w:rPr>
        <w:t>following</w:t>
      </w:r>
      <w:r w:rsidRPr="00B52DA6">
        <w:rPr>
          <w:rFonts w:ascii="Arial" w:hAnsi="Arial" w:cs="Arial"/>
          <w:sz w:val="18"/>
          <w:szCs w:val="18"/>
          <w:lang w:val="en-GB"/>
        </w:rPr>
        <w:t xml:space="preserve"> their common but differentiated responsibilities and respective capabilities.</w:t>
      </w:r>
      <w:r w:rsidR="00AA24B2">
        <w:rPr>
          <w:rFonts w:ascii="Arial" w:hAnsi="Arial" w:cs="Arial"/>
          <w:sz w:val="18"/>
          <w:szCs w:val="18"/>
          <w:lang w:val="en-GB"/>
        </w:rPr>
        <w:t>"</w:t>
      </w:r>
      <w:r w:rsidRPr="00B52DA6">
        <w:rPr>
          <w:rStyle w:val="FootnoteReference"/>
          <w:rFonts w:ascii="Arial" w:hAnsi="Arial" w:cs="Arial"/>
          <w:sz w:val="18"/>
          <w:szCs w:val="18"/>
          <w:lang w:val="en-GB"/>
        </w:rPr>
        <w:footnoteReference w:id="21"/>
      </w:r>
      <w:r w:rsidRPr="00B52DA6">
        <w:rPr>
          <w:rFonts w:ascii="Arial" w:hAnsi="Arial" w:cs="Arial"/>
          <w:sz w:val="18"/>
          <w:szCs w:val="18"/>
          <w:lang w:val="en-GB"/>
        </w:rPr>
        <w:t xml:space="preserve"> </w:t>
      </w:r>
      <w:r w:rsidR="006038AD" w:rsidRPr="00B52DA6">
        <w:rPr>
          <w:rFonts w:ascii="Arial" w:hAnsi="Arial" w:cs="Arial"/>
          <w:sz w:val="18"/>
          <w:szCs w:val="18"/>
          <w:lang w:val="en-GB"/>
        </w:rPr>
        <w:t xml:space="preserve">Developing </w:t>
      </w:r>
      <w:r w:rsidR="00857000" w:rsidRPr="00B52DA6">
        <w:rPr>
          <w:rFonts w:ascii="Arial" w:hAnsi="Arial" w:cs="Arial"/>
          <w:sz w:val="18"/>
          <w:szCs w:val="18"/>
        </w:rPr>
        <w:t xml:space="preserve">countries </w:t>
      </w:r>
      <w:r w:rsidR="00FC7268">
        <w:rPr>
          <w:rFonts w:ascii="Arial" w:hAnsi="Arial" w:cs="Arial"/>
          <w:sz w:val="18"/>
          <w:szCs w:val="18"/>
        </w:rPr>
        <w:t>face development challenges linked</w:t>
      </w:r>
      <w:r w:rsidR="003816F6" w:rsidRPr="00B52DA6">
        <w:rPr>
          <w:rFonts w:ascii="Arial" w:hAnsi="Arial" w:cs="Arial"/>
          <w:sz w:val="18"/>
          <w:szCs w:val="18"/>
        </w:rPr>
        <w:t xml:space="preserve"> to c</w:t>
      </w:r>
      <w:r w:rsidR="00857000" w:rsidRPr="00B52DA6">
        <w:rPr>
          <w:rFonts w:ascii="Arial" w:hAnsi="Arial" w:cs="Arial"/>
          <w:sz w:val="18"/>
          <w:szCs w:val="18"/>
        </w:rPr>
        <w:t>hronic food insecurity and malnutrition, natural resource degradation and climate change</w:t>
      </w:r>
      <w:r w:rsidR="003816F6" w:rsidRPr="00B52DA6">
        <w:rPr>
          <w:rFonts w:ascii="Arial" w:hAnsi="Arial" w:cs="Arial"/>
          <w:sz w:val="18"/>
          <w:szCs w:val="18"/>
        </w:rPr>
        <w:t xml:space="preserve">, and just transition to renewable energies. </w:t>
      </w:r>
      <w:r w:rsidR="00AF7060" w:rsidRPr="00B52DA6">
        <w:rPr>
          <w:rFonts w:ascii="Arial" w:hAnsi="Arial" w:cs="Arial"/>
          <w:sz w:val="18"/>
          <w:szCs w:val="18"/>
        </w:rPr>
        <w:t xml:space="preserve">Indeed, </w:t>
      </w:r>
      <w:r w:rsidR="00C51442" w:rsidRPr="00B52DA6">
        <w:rPr>
          <w:rFonts w:ascii="Arial" w:hAnsi="Arial" w:cs="Arial"/>
          <w:sz w:val="18"/>
          <w:szCs w:val="18"/>
        </w:rPr>
        <w:t xml:space="preserve">climate variability and extremes </w:t>
      </w:r>
      <w:r w:rsidR="00F3248D" w:rsidRPr="00B52DA6">
        <w:rPr>
          <w:rFonts w:ascii="Arial" w:hAnsi="Arial" w:cs="Arial"/>
          <w:sz w:val="18"/>
          <w:szCs w:val="18"/>
        </w:rPr>
        <w:t>are not only threat</w:t>
      </w:r>
      <w:r w:rsidR="00FC7268">
        <w:rPr>
          <w:rFonts w:ascii="Arial" w:hAnsi="Arial" w:cs="Arial"/>
          <w:sz w:val="18"/>
          <w:szCs w:val="18"/>
        </w:rPr>
        <w:t>en</w:t>
      </w:r>
      <w:r w:rsidR="00F3248D" w:rsidRPr="00B52DA6">
        <w:rPr>
          <w:rFonts w:ascii="Arial" w:hAnsi="Arial" w:cs="Arial"/>
          <w:sz w:val="18"/>
          <w:szCs w:val="18"/>
        </w:rPr>
        <w:t xml:space="preserve">ing food security and </w:t>
      </w:r>
      <w:r w:rsidR="006038AD" w:rsidRPr="00B52DA6">
        <w:rPr>
          <w:rFonts w:ascii="Arial" w:hAnsi="Arial" w:cs="Arial"/>
          <w:sz w:val="18"/>
          <w:szCs w:val="18"/>
        </w:rPr>
        <w:t>nutrition but</w:t>
      </w:r>
      <w:r w:rsidR="00F3248D" w:rsidRPr="00B52DA6">
        <w:rPr>
          <w:rFonts w:ascii="Arial" w:hAnsi="Arial" w:cs="Arial"/>
          <w:sz w:val="18"/>
          <w:szCs w:val="18"/>
        </w:rPr>
        <w:t xml:space="preserve"> </w:t>
      </w:r>
      <w:r w:rsidR="0082101F" w:rsidRPr="00B52DA6">
        <w:rPr>
          <w:rFonts w:ascii="Arial" w:hAnsi="Arial" w:cs="Arial"/>
          <w:sz w:val="18"/>
          <w:szCs w:val="18"/>
        </w:rPr>
        <w:t xml:space="preserve">can also trigger human displacement and migration and increase poverty, </w:t>
      </w:r>
      <w:r w:rsidR="006038AD" w:rsidRPr="00B52DA6">
        <w:rPr>
          <w:rFonts w:ascii="Arial" w:hAnsi="Arial" w:cs="Arial"/>
          <w:sz w:val="18"/>
          <w:szCs w:val="18"/>
        </w:rPr>
        <w:t>inequality,</w:t>
      </w:r>
      <w:r w:rsidR="0082101F" w:rsidRPr="00B52DA6">
        <w:rPr>
          <w:rFonts w:ascii="Arial" w:hAnsi="Arial" w:cs="Arial"/>
          <w:sz w:val="18"/>
          <w:szCs w:val="18"/>
        </w:rPr>
        <w:t xml:space="preserve"> and vulnerability.</w:t>
      </w:r>
      <w:r w:rsidR="0082101F" w:rsidRPr="00B52DA6">
        <w:rPr>
          <w:rStyle w:val="FootnoteReference"/>
          <w:rFonts w:ascii="Arial" w:hAnsi="Arial" w:cs="Arial"/>
          <w:sz w:val="18"/>
          <w:szCs w:val="18"/>
        </w:rPr>
        <w:footnoteReference w:id="22"/>
      </w:r>
      <w:r w:rsidR="0082101F" w:rsidRPr="00B52DA6">
        <w:rPr>
          <w:rFonts w:ascii="Arial" w:hAnsi="Arial" w:cs="Arial"/>
          <w:sz w:val="18"/>
          <w:szCs w:val="18"/>
        </w:rPr>
        <w:t xml:space="preserve"> </w:t>
      </w:r>
    </w:p>
    <w:p w14:paraId="16B954B1" w14:textId="7584FFA8" w:rsidR="00D74419" w:rsidRDefault="004C198E" w:rsidP="006038AD">
      <w:pPr>
        <w:spacing w:before="240" w:after="240" w:line="360" w:lineRule="auto"/>
        <w:jc w:val="both"/>
        <w:rPr>
          <w:rFonts w:ascii="Arial" w:hAnsi="Arial" w:cs="Arial"/>
          <w:sz w:val="18"/>
          <w:szCs w:val="18"/>
          <w:lang w:val="en-GB"/>
        </w:rPr>
      </w:pPr>
      <w:r w:rsidRPr="00B52DA6">
        <w:rPr>
          <w:rFonts w:ascii="Arial" w:hAnsi="Arial" w:cs="Arial"/>
          <w:sz w:val="18"/>
          <w:szCs w:val="18"/>
        </w:rPr>
        <w:lastRenderedPageBreak/>
        <w:t>While t</w:t>
      </w:r>
      <w:r w:rsidR="007A513C" w:rsidRPr="00B52DA6">
        <w:rPr>
          <w:rFonts w:ascii="Arial" w:hAnsi="Arial" w:cs="Arial"/>
          <w:sz w:val="18"/>
          <w:szCs w:val="18"/>
          <w:lang w:val="en-GB"/>
        </w:rPr>
        <w:t>he production of and access to renewable energy to address environmental degradation and povert</w:t>
      </w:r>
      <w:r w:rsidR="00061317" w:rsidRPr="00B52DA6">
        <w:rPr>
          <w:rFonts w:ascii="Arial" w:hAnsi="Arial" w:cs="Arial"/>
          <w:sz w:val="18"/>
          <w:szCs w:val="18"/>
          <w:lang w:val="en-GB"/>
        </w:rPr>
        <w:t>y</w:t>
      </w:r>
      <w:r w:rsidR="007A513C" w:rsidRPr="00B52DA6">
        <w:rPr>
          <w:rStyle w:val="FootnoteReference"/>
          <w:rFonts w:ascii="Arial" w:hAnsi="Arial" w:cs="Arial"/>
          <w:sz w:val="18"/>
          <w:szCs w:val="18"/>
          <w:lang w:val="en-GB"/>
        </w:rPr>
        <w:footnoteReference w:id="23"/>
      </w:r>
      <w:r w:rsidR="00061317" w:rsidRPr="00B52DA6">
        <w:rPr>
          <w:rFonts w:ascii="Arial" w:hAnsi="Arial" w:cs="Arial"/>
          <w:sz w:val="18"/>
          <w:szCs w:val="18"/>
          <w:lang w:val="en-GB"/>
        </w:rPr>
        <w:t xml:space="preserve"> is one solution, it brings with it several challenges d</w:t>
      </w:r>
      <w:r w:rsidR="007A513C" w:rsidRPr="00B52DA6">
        <w:rPr>
          <w:rFonts w:ascii="Arial" w:hAnsi="Arial" w:cs="Arial"/>
          <w:sz w:val="18"/>
          <w:szCs w:val="18"/>
          <w:lang w:val="en-GB"/>
        </w:rPr>
        <w:t>irectly link</w:t>
      </w:r>
      <w:r w:rsidR="00F7787F">
        <w:rPr>
          <w:rFonts w:ascii="Arial" w:hAnsi="Arial" w:cs="Arial"/>
          <w:sz w:val="18"/>
          <w:szCs w:val="18"/>
          <w:lang w:val="en-GB"/>
        </w:rPr>
        <w:t>ed</w:t>
      </w:r>
      <w:r w:rsidR="007A513C" w:rsidRPr="00B52DA6">
        <w:rPr>
          <w:rFonts w:ascii="Arial" w:hAnsi="Arial" w:cs="Arial"/>
          <w:sz w:val="18"/>
          <w:szCs w:val="18"/>
          <w:lang w:val="en-GB"/>
        </w:rPr>
        <w:t xml:space="preserve"> to access to land. Energy transition, particularly in the renewable sector, </w:t>
      </w:r>
      <w:r w:rsidR="00061317" w:rsidRPr="00B52DA6">
        <w:rPr>
          <w:rFonts w:ascii="Arial" w:hAnsi="Arial" w:cs="Arial"/>
          <w:sz w:val="18"/>
          <w:szCs w:val="18"/>
          <w:lang w:val="en-GB"/>
        </w:rPr>
        <w:t>is</w:t>
      </w:r>
      <w:r w:rsidR="007A513C" w:rsidRPr="00B52DA6">
        <w:rPr>
          <w:rFonts w:ascii="Arial" w:hAnsi="Arial" w:cs="Arial"/>
          <w:sz w:val="18"/>
          <w:szCs w:val="18"/>
          <w:lang w:val="en-GB"/>
        </w:rPr>
        <w:t xml:space="preserve"> land-intensive</w:t>
      </w:r>
      <w:r w:rsidR="00FC7268">
        <w:rPr>
          <w:rFonts w:ascii="Arial" w:hAnsi="Arial" w:cs="Arial"/>
          <w:sz w:val="18"/>
          <w:szCs w:val="18"/>
          <w:lang w:val="en-GB"/>
        </w:rPr>
        <w:t>,</w:t>
      </w:r>
      <w:r w:rsidR="007A513C" w:rsidRPr="00B52DA6">
        <w:rPr>
          <w:rFonts w:ascii="Arial" w:hAnsi="Arial" w:cs="Arial"/>
          <w:sz w:val="18"/>
          <w:szCs w:val="18"/>
          <w:lang w:val="en-GB"/>
        </w:rPr>
        <w:t xml:space="preserve"> and </w:t>
      </w:r>
      <w:r w:rsidR="00FC7268">
        <w:rPr>
          <w:rFonts w:ascii="Arial" w:hAnsi="Arial" w:cs="Arial"/>
          <w:sz w:val="18"/>
          <w:szCs w:val="18"/>
          <w:lang w:val="en-GB"/>
        </w:rPr>
        <w:t>it</w:t>
      </w:r>
      <w:r w:rsidR="007A513C" w:rsidRPr="00B52DA6">
        <w:rPr>
          <w:rFonts w:ascii="Arial" w:hAnsi="Arial" w:cs="Arial"/>
          <w:sz w:val="18"/>
          <w:szCs w:val="18"/>
          <w:lang w:val="en-GB"/>
        </w:rPr>
        <w:t xml:space="preserve"> could present a threat for people and communities that depend on land for their survival. Moreover, a baseline study focusing on the impacts of renewable energies on human rights has shown that less than 50% of companies have not included any human rights commitment in their internal policies.</w:t>
      </w:r>
      <w:r w:rsidR="007A513C" w:rsidRPr="00B52DA6">
        <w:rPr>
          <w:rStyle w:val="FootnoteReference"/>
          <w:rFonts w:ascii="Arial" w:hAnsi="Arial" w:cs="Arial"/>
          <w:sz w:val="18"/>
          <w:szCs w:val="18"/>
          <w:lang w:val="en-GB"/>
        </w:rPr>
        <w:footnoteReference w:id="24"/>
      </w:r>
      <w:r w:rsidR="007A513C" w:rsidRPr="00B52DA6">
        <w:rPr>
          <w:rFonts w:ascii="Arial" w:hAnsi="Arial" w:cs="Arial"/>
          <w:sz w:val="18"/>
          <w:szCs w:val="18"/>
          <w:lang w:val="en-GB"/>
        </w:rPr>
        <w:t xml:space="preserve"> </w:t>
      </w:r>
      <w:r w:rsidR="00E752CD" w:rsidRPr="00B52DA6">
        <w:rPr>
          <w:rFonts w:ascii="Arial" w:hAnsi="Arial" w:cs="Arial"/>
          <w:sz w:val="18"/>
          <w:szCs w:val="18"/>
          <w:lang w:val="en-GB"/>
        </w:rPr>
        <w:t xml:space="preserve">Therefore, it would be necessary to </w:t>
      </w:r>
      <w:r w:rsidR="006038AD" w:rsidRPr="00B52DA6">
        <w:rPr>
          <w:rFonts w:ascii="Arial" w:hAnsi="Arial" w:cs="Arial"/>
          <w:sz w:val="18"/>
          <w:szCs w:val="18"/>
        </w:rPr>
        <w:t>promote</w:t>
      </w:r>
      <w:r w:rsidR="00E752CD" w:rsidRPr="00B52DA6">
        <w:rPr>
          <w:rFonts w:ascii="Arial" w:hAnsi="Arial" w:cs="Arial"/>
          <w:sz w:val="18"/>
          <w:szCs w:val="18"/>
        </w:rPr>
        <w:t xml:space="preserve"> a just transition that </w:t>
      </w:r>
      <w:r w:rsidR="0041357C">
        <w:rPr>
          <w:rFonts w:ascii="Arial" w:hAnsi="Arial" w:cs="Arial"/>
          <w:sz w:val="18"/>
          <w:szCs w:val="18"/>
        </w:rPr>
        <w:t xml:space="preserve">preserves the right to land and </w:t>
      </w:r>
      <w:r w:rsidR="00E752CD" w:rsidRPr="00B52DA6">
        <w:rPr>
          <w:rFonts w:ascii="Arial" w:hAnsi="Arial" w:cs="Arial"/>
          <w:sz w:val="18"/>
          <w:szCs w:val="18"/>
        </w:rPr>
        <w:t xml:space="preserve">abides with the </w:t>
      </w:r>
      <w:r w:rsidR="00411325" w:rsidRPr="00B52DA6">
        <w:rPr>
          <w:rFonts w:ascii="Arial" w:hAnsi="Arial" w:cs="Arial"/>
          <w:sz w:val="18"/>
          <w:szCs w:val="18"/>
          <w:lang w:val="en-GB"/>
        </w:rPr>
        <w:t>principles of transparency and inclusiveness</w:t>
      </w:r>
      <w:r w:rsidR="00FC7268">
        <w:rPr>
          <w:rFonts w:ascii="Arial" w:hAnsi="Arial" w:cs="Arial"/>
          <w:sz w:val="18"/>
          <w:szCs w:val="18"/>
          <w:lang w:val="en-GB"/>
        </w:rPr>
        <w:t xml:space="preserve">. </w:t>
      </w:r>
    </w:p>
    <w:p w14:paraId="71CE3B93" w14:textId="7C662C9C" w:rsidR="00281E84" w:rsidRPr="00B52DA6" w:rsidRDefault="00FC7268" w:rsidP="006038AD">
      <w:pPr>
        <w:spacing w:before="240" w:after="240" w:line="360" w:lineRule="auto"/>
        <w:jc w:val="both"/>
        <w:rPr>
          <w:rFonts w:ascii="Arial" w:hAnsi="Arial" w:cs="Arial"/>
          <w:sz w:val="18"/>
          <w:szCs w:val="18"/>
          <w:lang w:val="en-GB"/>
        </w:rPr>
      </w:pPr>
      <w:r>
        <w:rPr>
          <w:rFonts w:ascii="Arial" w:hAnsi="Arial" w:cs="Arial"/>
          <w:sz w:val="18"/>
          <w:szCs w:val="18"/>
          <w:lang w:val="en-GB"/>
        </w:rPr>
        <w:t>E</w:t>
      </w:r>
      <w:r w:rsidR="00411325" w:rsidRPr="00B52DA6">
        <w:rPr>
          <w:rFonts w:ascii="Arial" w:hAnsi="Arial" w:cs="Arial"/>
          <w:sz w:val="18"/>
          <w:szCs w:val="18"/>
          <w:lang w:val="en-GB"/>
        </w:rPr>
        <w:t>ngag</w:t>
      </w:r>
      <w:r>
        <w:rPr>
          <w:rFonts w:ascii="Arial" w:hAnsi="Arial" w:cs="Arial"/>
          <w:sz w:val="18"/>
          <w:szCs w:val="18"/>
          <w:lang w:val="en-GB"/>
        </w:rPr>
        <w:t xml:space="preserve">ing </w:t>
      </w:r>
      <w:r w:rsidR="00411325" w:rsidRPr="00B52DA6">
        <w:rPr>
          <w:rFonts w:ascii="Arial" w:hAnsi="Arial" w:cs="Arial"/>
          <w:sz w:val="18"/>
          <w:szCs w:val="18"/>
          <w:lang w:val="en-GB"/>
        </w:rPr>
        <w:t>collaboration at all levels of public decision making and pay</w:t>
      </w:r>
      <w:r>
        <w:rPr>
          <w:rFonts w:ascii="Arial" w:hAnsi="Arial" w:cs="Arial"/>
          <w:sz w:val="18"/>
          <w:szCs w:val="18"/>
          <w:lang w:val="en-GB"/>
        </w:rPr>
        <w:t>ing</w:t>
      </w:r>
      <w:r w:rsidR="00411325" w:rsidRPr="00B52DA6">
        <w:rPr>
          <w:rFonts w:ascii="Arial" w:hAnsi="Arial" w:cs="Arial"/>
          <w:sz w:val="18"/>
          <w:szCs w:val="18"/>
          <w:lang w:val="en-GB"/>
        </w:rPr>
        <w:t xml:space="preserve"> particular attention </w:t>
      </w:r>
      <w:r w:rsidR="00242668">
        <w:rPr>
          <w:rFonts w:ascii="Arial" w:hAnsi="Arial" w:cs="Arial"/>
          <w:sz w:val="18"/>
          <w:szCs w:val="18"/>
          <w:lang w:val="en-GB"/>
        </w:rPr>
        <w:t>to</w:t>
      </w:r>
      <w:r w:rsidR="00411325" w:rsidRPr="00B52DA6">
        <w:rPr>
          <w:rFonts w:ascii="Arial" w:hAnsi="Arial" w:cs="Arial"/>
          <w:sz w:val="18"/>
          <w:szCs w:val="18"/>
          <w:lang w:val="en-GB"/>
        </w:rPr>
        <w:t xml:space="preserve"> the participation of grassroot</w:t>
      </w:r>
      <w:r>
        <w:rPr>
          <w:rFonts w:ascii="Arial" w:hAnsi="Arial" w:cs="Arial"/>
          <w:sz w:val="18"/>
          <w:szCs w:val="18"/>
          <w:lang w:val="en-GB"/>
        </w:rPr>
        <w:t>s</w:t>
      </w:r>
      <w:r w:rsidR="00411325" w:rsidRPr="00B52DA6">
        <w:rPr>
          <w:rFonts w:ascii="Arial" w:hAnsi="Arial" w:cs="Arial"/>
          <w:sz w:val="18"/>
          <w:szCs w:val="18"/>
          <w:lang w:val="en-GB"/>
        </w:rPr>
        <w:t xml:space="preserve"> and vulnerable groups</w:t>
      </w:r>
      <w:r w:rsidR="00242668">
        <w:rPr>
          <w:rFonts w:ascii="Arial" w:hAnsi="Arial" w:cs="Arial"/>
          <w:sz w:val="18"/>
          <w:szCs w:val="18"/>
          <w:lang w:val="en-GB"/>
        </w:rPr>
        <w:t xml:space="preserve"> </w:t>
      </w:r>
      <w:r w:rsidR="00411325" w:rsidRPr="00B52DA6">
        <w:rPr>
          <w:rFonts w:ascii="Arial" w:hAnsi="Arial" w:cs="Arial"/>
          <w:sz w:val="18"/>
          <w:szCs w:val="18"/>
          <w:lang w:val="en-GB"/>
        </w:rPr>
        <w:t xml:space="preserve">can play a </w:t>
      </w:r>
      <w:r w:rsidR="00242668">
        <w:rPr>
          <w:rFonts w:ascii="Arial" w:hAnsi="Arial" w:cs="Arial"/>
          <w:sz w:val="18"/>
          <w:szCs w:val="18"/>
          <w:lang w:val="en-GB"/>
        </w:rPr>
        <w:t>crucial</w:t>
      </w:r>
      <w:r w:rsidR="00411325" w:rsidRPr="00B52DA6">
        <w:rPr>
          <w:rFonts w:ascii="Arial" w:hAnsi="Arial" w:cs="Arial"/>
          <w:sz w:val="18"/>
          <w:szCs w:val="18"/>
          <w:lang w:val="en-GB"/>
        </w:rPr>
        <w:t xml:space="preserve"> role </w:t>
      </w:r>
      <w:r w:rsidR="00D74419">
        <w:rPr>
          <w:rFonts w:ascii="Arial" w:hAnsi="Arial" w:cs="Arial"/>
          <w:sz w:val="18"/>
          <w:szCs w:val="18"/>
          <w:lang w:val="en-GB"/>
        </w:rPr>
        <w:t xml:space="preserve">to realize the right to access land </w:t>
      </w:r>
      <w:r w:rsidR="00411325" w:rsidRPr="00B52DA6">
        <w:rPr>
          <w:rFonts w:ascii="Arial" w:hAnsi="Arial" w:cs="Arial"/>
          <w:sz w:val="18"/>
          <w:szCs w:val="18"/>
          <w:lang w:val="en-GB"/>
        </w:rPr>
        <w:t>through the exchange of relevant experiences</w:t>
      </w:r>
      <w:r w:rsidR="00D74419">
        <w:rPr>
          <w:rFonts w:ascii="Arial" w:hAnsi="Arial" w:cs="Arial"/>
          <w:sz w:val="18"/>
          <w:szCs w:val="18"/>
          <w:lang w:val="en-GB"/>
        </w:rPr>
        <w:t xml:space="preserve"> and </w:t>
      </w:r>
      <w:r w:rsidR="00411325" w:rsidRPr="00B52DA6">
        <w:rPr>
          <w:rFonts w:ascii="Arial" w:hAnsi="Arial" w:cs="Arial"/>
          <w:sz w:val="18"/>
          <w:szCs w:val="18"/>
          <w:lang w:val="en-GB"/>
        </w:rPr>
        <w:t xml:space="preserve">good </w:t>
      </w:r>
      <w:r w:rsidR="006038AD" w:rsidRPr="00B52DA6">
        <w:rPr>
          <w:rFonts w:ascii="Arial" w:hAnsi="Arial" w:cs="Arial"/>
          <w:sz w:val="18"/>
          <w:szCs w:val="18"/>
          <w:lang w:val="en-GB"/>
        </w:rPr>
        <w:t>practices,</w:t>
      </w:r>
      <w:r w:rsidR="00411325" w:rsidRPr="00B52DA6">
        <w:rPr>
          <w:rFonts w:ascii="Arial" w:hAnsi="Arial" w:cs="Arial"/>
          <w:sz w:val="18"/>
          <w:szCs w:val="18"/>
          <w:lang w:val="en-GB"/>
        </w:rPr>
        <w:t xml:space="preserve"> and the provision of innovative solutions for tackling the unique challenges faced by developing and least developed countries</w:t>
      </w:r>
      <w:r w:rsidR="00D063A9" w:rsidRPr="00B52DA6">
        <w:rPr>
          <w:rFonts w:ascii="Arial" w:hAnsi="Arial" w:cs="Arial"/>
          <w:sz w:val="18"/>
          <w:szCs w:val="18"/>
          <w:lang w:val="en-GB"/>
        </w:rPr>
        <w:t xml:space="preserve"> in this area</w:t>
      </w:r>
      <w:r w:rsidR="00411325" w:rsidRPr="00B52DA6">
        <w:rPr>
          <w:rFonts w:ascii="Arial" w:hAnsi="Arial" w:cs="Arial"/>
          <w:sz w:val="18"/>
          <w:szCs w:val="18"/>
          <w:lang w:val="en-GB"/>
        </w:rPr>
        <w:t>.</w:t>
      </w:r>
    </w:p>
    <w:p w14:paraId="40EDE14A" w14:textId="77777777" w:rsidR="002F75F9" w:rsidRPr="00B52DA6" w:rsidRDefault="002F75F9" w:rsidP="006038AD">
      <w:pPr>
        <w:spacing w:before="240" w:after="240" w:line="360" w:lineRule="auto"/>
        <w:jc w:val="both"/>
        <w:rPr>
          <w:rFonts w:ascii="Arial" w:hAnsi="Arial" w:cs="Arial"/>
          <w:b/>
          <w:bCs/>
          <w:sz w:val="18"/>
          <w:szCs w:val="18"/>
        </w:rPr>
      </w:pPr>
    </w:p>
    <w:sectPr w:rsidR="002F75F9" w:rsidRPr="00B52DA6" w:rsidSect="006F1D3C">
      <w:footerReference w:type="default" r:id="rId8"/>
      <w:headerReference w:type="first" r:id="rId9"/>
      <w:foot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71816" w14:textId="77777777" w:rsidR="001136D3" w:rsidRDefault="001136D3" w:rsidP="004A5ABA">
      <w:pPr>
        <w:spacing w:after="0" w:line="240" w:lineRule="auto"/>
      </w:pPr>
      <w:r>
        <w:separator/>
      </w:r>
    </w:p>
  </w:endnote>
  <w:endnote w:type="continuationSeparator" w:id="0">
    <w:p w14:paraId="56508AC3" w14:textId="77777777" w:rsidR="001136D3" w:rsidRDefault="001136D3" w:rsidP="004A5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643393237"/>
      <w:docPartObj>
        <w:docPartGallery w:val="Page Numbers (Bottom of Page)"/>
        <w:docPartUnique/>
      </w:docPartObj>
    </w:sdtPr>
    <w:sdtEndPr>
      <w:rPr>
        <w:noProof/>
      </w:rPr>
    </w:sdtEndPr>
    <w:sdtContent>
      <w:p w14:paraId="73133808" w14:textId="5F5B61DC" w:rsidR="00D063A9" w:rsidRPr="00BF45BC" w:rsidRDefault="00CB46FD" w:rsidP="00BF45BC">
        <w:pPr>
          <w:pStyle w:val="Footer"/>
          <w:jc w:val="center"/>
          <w:rPr>
            <w:rFonts w:ascii="Arial" w:hAnsi="Arial" w:cs="Arial"/>
            <w:sz w:val="18"/>
            <w:szCs w:val="18"/>
          </w:rPr>
        </w:pPr>
        <w:r w:rsidRPr="00BF45BC">
          <w:rPr>
            <w:rFonts w:ascii="Arial" w:hAnsi="Arial" w:cs="Arial"/>
            <w:sz w:val="18"/>
            <w:szCs w:val="18"/>
          </w:rPr>
          <w:fldChar w:fldCharType="begin"/>
        </w:r>
        <w:r w:rsidRPr="00BF45BC">
          <w:rPr>
            <w:rFonts w:ascii="Arial" w:hAnsi="Arial" w:cs="Arial"/>
            <w:sz w:val="18"/>
            <w:szCs w:val="18"/>
          </w:rPr>
          <w:instrText xml:space="preserve"> PAGE   \* MERGEFORMAT </w:instrText>
        </w:r>
        <w:r w:rsidRPr="00BF45BC">
          <w:rPr>
            <w:rFonts w:ascii="Arial" w:hAnsi="Arial" w:cs="Arial"/>
            <w:sz w:val="18"/>
            <w:szCs w:val="18"/>
          </w:rPr>
          <w:fldChar w:fldCharType="separate"/>
        </w:r>
        <w:r w:rsidR="005D0D6B">
          <w:rPr>
            <w:rFonts w:ascii="Arial" w:hAnsi="Arial" w:cs="Arial"/>
            <w:noProof/>
            <w:sz w:val="18"/>
            <w:szCs w:val="18"/>
          </w:rPr>
          <w:t>2</w:t>
        </w:r>
        <w:r w:rsidRPr="00BF45BC">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956089519"/>
      <w:docPartObj>
        <w:docPartGallery w:val="Page Numbers (Bottom of Page)"/>
        <w:docPartUnique/>
      </w:docPartObj>
    </w:sdtPr>
    <w:sdtEndPr>
      <w:rPr>
        <w:noProof/>
      </w:rPr>
    </w:sdtEndPr>
    <w:sdtContent>
      <w:p w14:paraId="67EB6704" w14:textId="2D230849" w:rsidR="00D063A9" w:rsidRPr="00D063A9" w:rsidRDefault="00D063A9" w:rsidP="00D063A9">
        <w:pPr>
          <w:pStyle w:val="Footer"/>
          <w:jc w:val="center"/>
          <w:rPr>
            <w:rFonts w:ascii="Arial" w:hAnsi="Arial" w:cs="Arial"/>
            <w:sz w:val="18"/>
            <w:szCs w:val="18"/>
          </w:rPr>
        </w:pPr>
        <w:r w:rsidRPr="00D063A9">
          <w:rPr>
            <w:rFonts w:ascii="Arial" w:hAnsi="Arial" w:cs="Arial"/>
            <w:sz w:val="18"/>
            <w:szCs w:val="18"/>
          </w:rPr>
          <w:fldChar w:fldCharType="begin"/>
        </w:r>
        <w:r w:rsidRPr="00D063A9">
          <w:rPr>
            <w:rFonts w:ascii="Arial" w:hAnsi="Arial" w:cs="Arial"/>
            <w:sz w:val="18"/>
            <w:szCs w:val="18"/>
          </w:rPr>
          <w:instrText xml:space="preserve"> PAGE   \* MERGEFORMAT </w:instrText>
        </w:r>
        <w:r w:rsidRPr="00D063A9">
          <w:rPr>
            <w:rFonts w:ascii="Arial" w:hAnsi="Arial" w:cs="Arial"/>
            <w:sz w:val="18"/>
            <w:szCs w:val="18"/>
          </w:rPr>
          <w:fldChar w:fldCharType="separate"/>
        </w:r>
        <w:r w:rsidR="005D0D6B">
          <w:rPr>
            <w:rFonts w:ascii="Arial" w:hAnsi="Arial" w:cs="Arial"/>
            <w:noProof/>
            <w:sz w:val="18"/>
            <w:szCs w:val="18"/>
          </w:rPr>
          <w:t>1</w:t>
        </w:r>
        <w:r w:rsidRPr="00D063A9">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62DF9" w14:textId="77777777" w:rsidR="001136D3" w:rsidRDefault="001136D3" w:rsidP="004A5ABA">
      <w:pPr>
        <w:spacing w:after="0" w:line="240" w:lineRule="auto"/>
      </w:pPr>
      <w:r>
        <w:separator/>
      </w:r>
    </w:p>
  </w:footnote>
  <w:footnote w:type="continuationSeparator" w:id="0">
    <w:p w14:paraId="79D5F1B2" w14:textId="77777777" w:rsidR="001136D3" w:rsidRDefault="001136D3" w:rsidP="004A5ABA">
      <w:pPr>
        <w:spacing w:after="0" w:line="240" w:lineRule="auto"/>
      </w:pPr>
      <w:r>
        <w:continuationSeparator/>
      </w:r>
    </w:p>
  </w:footnote>
  <w:footnote w:id="1">
    <w:p w14:paraId="2539C965" w14:textId="77777777" w:rsidR="00400593" w:rsidRDefault="00400593" w:rsidP="00400593">
      <w:pPr>
        <w:pStyle w:val="FootnoteText"/>
        <w:rPr>
          <w:rFonts w:ascii="Arial" w:hAnsi="Arial" w:cs="Arial"/>
          <w:sz w:val="16"/>
          <w:szCs w:val="16"/>
        </w:rPr>
      </w:pPr>
      <w:r>
        <w:rPr>
          <w:rStyle w:val="FootnoteReference"/>
          <w:rFonts w:ascii="Arial" w:hAnsi="Arial" w:cs="Arial"/>
        </w:rPr>
        <w:t>*</w:t>
      </w:r>
      <w:r>
        <w:rPr>
          <w:rFonts w:ascii="Arial" w:hAnsi="Arial" w:cs="Arial"/>
          <w:sz w:val="16"/>
          <w:szCs w:val="16"/>
        </w:rPr>
        <w:t xml:space="preserve"> For more information please contact Mr. Daniel Uribe Terán (uribe@southcentre.int), Lead Programme Officer of the Sutainable Development and Climate Change Programme, South Centre.</w:t>
      </w:r>
    </w:p>
  </w:footnote>
  <w:footnote w:id="2">
    <w:p w14:paraId="5DBA3D5C" w14:textId="77777777" w:rsidR="00CF47CE" w:rsidRPr="00031504" w:rsidRDefault="00CF47CE" w:rsidP="00D13F41">
      <w:pPr>
        <w:pStyle w:val="FootnoteText"/>
        <w:jc w:val="both"/>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See: Kanayo F. Nwanze, </w:t>
      </w:r>
      <w:r w:rsidRPr="00031504">
        <w:rPr>
          <w:rFonts w:ascii="Arial" w:hAnsi="Arial" w:cs="Arial"/>
          <w:i/>
          <w:iCs/>
          <w:sz w:val="16"/>
          <w:szCs w:val="16"/>
        </w:rPr>
        <w:t>Viewpoint: Smallholders can feed the world</w:t>
      </w:r>
      <w:r w:rsidRPr="00031504">
        <w:rPr>
          <w:rFonts w:ascii="Arial" w:hAnsi="Arial" w:cs="Arial"/>
          <w:sz w:val="16"/>
          <w:szCs w:val="16"/>
        </w:rPr>
        <w:t xml:space="preserve">, International Fund for Agricultural Development, available in </w:t>
      </w:r>
      <w:hyperlink r:id="rId1" w:anchor=":~:text=There%20are%20some%20500%20million,Asia%20and%20sub%2DSaharan%20Africa" w:history="1">
        <w:r w:rsidRPr="00031504">
          <w:rPr>
            <w:rStyle w:val="Hyperlink"/>
            <w:rFonts w:ascii="Arial" w:hAnsi="Arial" w:cs="Arial"/>
            <w:sz w:val="16"/>
            <w:szCs w:val="16"/>
          </w:rPr>
          <w:t>https://www.ifad.org/documents/38714170/40706188/Smallholders+can+feed+the+world_e.pdf/460ca6c2-7621-40d8-9f79-a56f6f8fa75e#:~:text=There%20are%20some%20500%20million,Asia%20and%20sub%2DSaharan%20Africa</w:t>
        </w:r>
      </w:hyperlink>
      <w:r w:rsidRPr="00031504">
        <w:rPr>
          <w:rFonts w:ascii="Arial" w:hAnsi="Arial" w:cs="Arial"/>
          <w:sz w:val="16"/>
          <w:szCs w:val="16"/>
        </w:rPr>
        <w:t>. (accessed on 15 July 2021).</w:t>
      </w:r>
    </w:p>
  </w:footnote>
  <w:footnote w:id="3">
    <w:p w14:paraId="2795EFFA" w14:textId="77777777" w:rsidR="00260FDC" w:rsidRPr="00031504" w:rsidRDefault="00260FDC" w:rsidP="00D13F41">
      <w:pPr>
        <w:pStyle w:val="FootnoteText"/>
        <w:jc w:val="both"/>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See: </w:t>
      </w:r>
      <w:hyperlink r:id="rId2" w:tooltip="Posts by Emily Cassidy" w:history="1">
        <w:r w:rsidRPr="00031504">
          <w:rPr>
            <w:rStyle w:val="Hyperlink"/>
            <w:rFonts w:ascii="Arial" w:hAnsi="Arial" w:cs="Arial"/>
            <w:color w:val="auto"/>
            <w:sz w:val="16"/>
            <w:szCs w:val="16"/>
            <w:u w:val="none"/>
            <w:shd w:val="clear" w:color="auto" w:fill="FFFFFF"/>
          </w:rPr>
          <w:t>Emily Cassidy</w:t>
        </w:r>
      </w:hyperlink>
      <w:r w:rsidRPr="00031504">
        <w:rPr>
          <w:rFonts w:ascii="Arial" w:hAnsi="Arial" w:cs="Arial"/>
          <w:sz w:val="16"/>
          <w:szCs w:val="16"/>
          <w:shd w:val="clear" w:color="auto" w:fill="FFFFFF"/>
        </w:rPr>
        <w:t> and </w:t>
      </w:r>
      <w:hyperlink r:id="rId3" w:tooltip="Posts by Amelia Snyder" w:history="1">
        <w:r w:rsidRPr="00031504">
          <w:rPr>
            <w:rStyle w:val="Hyperlink"/>
            <w:rFonts w:ascii="Arial" w:hAnsi="Arial" w:cs="Arial"/>
            <w:color w:val="auto"/>
            <w:sz w:val="16"/>
            <w:szCs w:val="16"/>
            <w:u w:val="none"/>
            <w:shd w:val="clear" w:color="auto" w:fill="FFFFFF"/>
          </w:rPr>
          <w:t>Amelia Snyder</w:t>
        </w:r>
      </w:hyperlink>
      <w:r w:rsidRPr="00031504">
        <w:rPr>
          <w:rFonts w:ascii="Arial" w:hAnsi="Arial" w:cs="Arial"/>
          <w:sz w:val="16"/>
          <w:szCs w:val="16"/>
        </w:rPr>
        <w:t xml:space="preserve">, </w:t>
      </w:r>
      <w:r w:rsidRPr="00031504">
        <w:rPr>
          <w:rFonts w:ascii="Arial" w:hAnsi="Arial" w:cs="Arial"/>
          <w:i/>
          <w:iCs/>
          <w:sz w:val="16"/>
          <w:szCs w:val="16"/>
        </w:rPr>
        <w:t>Map of the Month: How many people work in agriculture</w:t>
      </w:r>
      <w:r w:rsidRPr="00031504">
        <w:rPr>
          <w:rFonts w:ascii="Arial" w:hAnsi="Arial" w:cs="Arial"/>
          <w:sz w:val="16"/>
          <w:szCs w:val="16"/>
        </w:rPr>
        <w:t xml:space="preserve">, ResourceWatch (2019) available in </w:t>
      </w:r>
      <w:hyperlink r:id="rId4" w:history="1">
        <w:r w:rsidRPr="00031504">
          <w:rPr>
            <w:rStyle w:val="Hyperlink"/>
            <w:rFonts w:ascii="Arial" w:hAnsi="Arial" w:cs="Arial"/>
            <w:sz w:val="16"/>
            <w:szCs w:val="16"/>
          </w:rPr>
          <w:t>https://blog.resourcewatch.org/2019/05/30/map-of-the-month-how-many-people-work-in-agriculture/</w:t>
        </w:r>
      </w:hyperlink>
      <w:r w:rsidRPr="00031504">
        <w:rPr>
          <w:rFonts w:ascii="Arial" w:hAnsi="Arial" w:cs="Arial"/>
          <w:sz w:val="16"/>
          <w:szCs w:val="16"/>
        </w:rPr>
        <w:t xml:space="preserve"> (accessed on 15 July 2021). </w:t>
      </w:r>
    </w:p>
  </w:footnote>
  <w:footnote w:id="4">
    <w:p w14:paraId="05E018FE" w14:textId="3702554B" w:rsidR="00387943" w:rsidRPr="00031504" w:rsidRDefault="00387943" w:rsidP="00D13F41">
      <w:pPr>
        <w:pStyle w:val="FootnoteText"/>
        <w:jc w:val="both"/>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w:t>
      </w:r>
      <w:r w:rsidR="00D83735" w:rsidRPr="00031504">
        <w:rPr>
          <w:rFonts w:ascii="Arial" w:hAnsi="Arial" w:cs="Arial"/>
          <w:sz w:val="16"/>
          <w:szCs w:val="16"/>
        </w:rPr>
        <w:t xml:space="preserve">FAO, IFAD, UNICEF, WFP and WHO, </w:t>
      </w:r>
      <w:r w:rsidR="00DB0797" w:rsidRPr="00031504">
        <w:rPr>
          <w:rFonts w:ascii="Arial" w:hAnsi="Arial" w:cs="Arial"/>
          <w:i/>
          <w:iCs/>
          <w:sz w:val="16"/>
          <w:szCs w:val="16"/>
        </w:rPr>
        <w:t xml:space="preserve">The State of Food Security and Nutrition in the World 2021, Transforming food systems for food security, improved nutrition and affordable healthy diets for all </w:t>
      </w:r>
      <w:r w:rsidR="00DB0797" w:rsidRPr="00031504">
        <w:rPr>
          <w:rFonts w:ascii="Arial" w:hAnsi="Arial" w:cs="Arial"/>
          <w:sz w:val="16"/>
          <w:szCs w:val="16"/>
        </w:rPr>
        <w:t>(2021)</w:t>
      </w:r>
      <w:r w:rsidR="00DB0797" w:rsidRPr="00031504">
        <w:rPr>
          <w:rFonts w:ascii="Arial" w:hAnsi="Arial" w:cs="Arial"/>
          <w:i/>
          <w:iCs/>
          <w:sz w:val="16"/>
          <w:szCs w:val="16"/>
        </w:rPr>
        <w:t xml:space="preserve"> </w:t>
      </w:r>
      <w:r w:rsidR="00DB0797" w:rsidRPr="00031504">
        <w:rPr>
          <w:rFonts w:ascii="Arial" w:hAnsi="Arial" w:cs="Arial"/>
          <w:sz w:val="16"/>
          <w:szCs w:val="16"/>
        </w:rPr>
        <w:t>in</w:t>
      </w:r>
      <w:r w:rsidR="00402E89" w:rsidRPr="00031504">
        <w:rPr>
          <w:rFonts w:ascii="Arial" w:hAnsi="Arial" w:cs="Arial"/>
          <w:sz w:val="16"/>
          <w:szCs w:val="16"/>
        </w:rPr>
        <w:t xml:space="preserve"> available in </w:t>
      </w:r>
      <w:hyperlink r:id="rId5" w:history="1">
        <w:r w:rsidR="00402E89" w:rsidRPr="00031504">
          <w:rPr>
            <w:rStyle w:val="Hyperlink"/>
            <w:rFonts w:ascii="Arial" w:hAnsi="Arial" w:cs="Arial"/>
            <w:sz w:val="16"/>
            <w:szCs w:val="16"/>
          </w:rPr>
          <w:t>http://www.fao.org/3/cb4474en/cb4474en.pdf</w:t>
        </w:r>
      </w:hyperlink>
      <w:r w:rsidR="00402E89" w:rsidRPr="00031504">
        <w:rPr>
          <w:rFonts w:ascii="Arial" w:hAnsi="Arial" w:cs="Arial"/>
          <w:sz w:val="16"/>
          <w:szCs w:val="16"/>
        </w:rPr>
        <w:t xml:space="preserve"> </w:t>
      </w:r>
      <w:r w:rsidR="009354E1" w:rsidRPr="00031504">
        <w:rPr>
          <w:rFonts w:ascii="Arial" w:hAnsi="Arial" w:cs="Arial"/>
          <w:sz w:val="16"/>
          <w:szCs w:val="16"/>
        </w:rPr>
        <w:t xml:space="preserve">(accessed on </w:t>
      </w:r>
      <w:r w:rsidR="00B66077" w:rsidRPr="00031504">
        <w:rPr>
          <w:rFonts w:ascii="Arial" w:hAnsi="Arial" w:cs="Arial"/>
          <w:sz w:val="16"/>
          <w:szCs w:val="16"/>
        </w:rPr>
        <w:t xml:space="preserve">15 July 2021). </w:t>
      </w:r>
    </w:p>
  </w:footnote>
  <w:footnote w:id="5">
    <w:p w14:paraId="59465CC4" w14:textId="02693864" w:rsidR="0037031E" w:rsidRPr="00031504" w:rsidRDefault="0037031E" w:rsidP="00D13F41">
      <w:pPr>
        <w:pStyle w:val="FootnoteText"/>
        <w:jc w:val="both"/>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w:t>
      </w:r>
      <w:r w:rsidR="00BB6D05" w:rsidRPr="00031504">
        <w:rPr>
          <w:rFonts w:ascii="Arial" w:hAnsi="Arial" w:cs="Arial"/>
          <w:sz w:val="16"/>
          <w:szCs w:val="16"/>
        </w:rPr>
        <w:t xml:space="preserve">See: </w:t>
      </w:r>
      <w:r w:rsidR="009D299E" w:rsidRPr="00031504">
        <w:rPr>
          <w:rFonts w:ascii="Arial" w:hAnsi="Arial" w:cs="Arial"/>
          <w:sz w:val="16"/>
          <w:szCs w:val="16"/>
        </w:rPr>
        <w:t>Committee on Economic, Social and Cultural Rights, General Comment No. 26 on land and economic social and cultural rights (draft), UN Doc. E/C.12/69</w:t>
      </w:r>
      <w:r w:rsidR="000027C3" w:rsidRPr="00031504">
        <w:rPr>
          <w:rFonts w:ascii="Arial" w:hAnsi="Arial" w:cs="Arial"/>
          <w:sz w:val="16"/>
          <w:szCs w:val="16"/>
        </w:rPr>
        <w:t xml:space="preserve">/R.2 (2021), para. </w:t>
      </w:r>
      <w:r w:rsidR="00030E4A" w:rsidRPr="00031504">
        <w:rPr>
          <w:rFonts w:ascii="Arial" w:hAnsi="Arial" w:cs="Arial"/>
          <w:sz w:val="16"/>
          <w:szCs w:val="16"/>
        </w:rPr>
        <w:t>15</w:t>
      </w:r>
      <w:r w:rsidR="00775E53" w:rsidRPr="00031504">
        <w:rPr>
          <w:rFonts w:ascii="Arial" w:hAnsi="Arial" w:cs="Arial"/>
          <w:sz w:val="16"/>
          <w:szCs w:val="16"/>
        </w:rPr>
        <w:t xml:space="preserve">, 19, </w:t>
      </w:r>
      <w:r w:rsidR="003B0CA2" w:rsidRPr="00031504">
        <w:rPr>
          <w:rFonts w:ascii="Arial" w:hAnsi="Arial" w:cs="Arial"/>
          <w:sz w:val="16"/>
          <w:szCs w:val="16"/>
        </w:rPr>
        <w:t>2</w:t>
      </w:r>
      <w:r w:rsidR="00775E53" w:rsidRPr="00031504">
        <w:rPr>
          <w:rFonts w:ascii="Arial" w:hAnsi="Arial" w:cs="Arial"/>
          <w:sz w:val="16"/>
          <w:szCs w:val="16"/>
        </w:rPr>
        <w:t>9-</w:t>
      </w:r>
      <w:r w:rsidR="003B0CA2" w:rsidRPr="00031504">
        <w:rPr>
          <w:rFonts w:ascii="Arial" w:hAnsi="Arial" w:cs="Arial"/>
          <w:sz w:val="16"/>
          <w:szCs w:val="16"/>
        </w:rPr>
        <w:t>3</w:t>
      </w:r>
      <w:r w:rsidR="00775E53" w:rsidRPr="00031504">
        <w:rPr>
          <w:rFonts w:ascii="Arial" w:hAnsi="Arial" w:cs="Arial"/>
          <w:sz w:val="16"/>
          <w:szCs w:val="16"/>
        </w:rPr>
        <w:t xml:space="preserve">7 </w:t>
      </w:r>
      <w:r w:rsidR="003B0CA2" w:rsidRPr="00031504">
        <w:rPr>
          <w:rFonts w:ascii="Arial" w:hAnsi="Arial" w:cs="Arial"/>
          <w:sz w:val="16"/>
          <w:szCs w:val="16"/>
        </w:rPr>
        <w:t xml:space="preserve">and </w:t>
      </w:r>
      <w:r w:rsidR="00BC0024" w:rsidRPr="00031504">
        <w:rPr>
          <w:rFonts w:ascii="Arial" w:hAnsi="Arial" w:cs="Arial"/>
          <w:sz w:val="16"/>
          <w:szCs w:val="16"/>
        </w:rPr>
        <w:t xml:space="preserve">46. </w:t>
      </w:r>
    </w:p>
  </w:footnote>
  <w:footnote w:id="6">
    <w:p w14:paraId="28566943" w14:textId="0E57ED42" w:rsidR="000C042C" w:rsidRPr="00031504" w:rsidRDefault="000C042C" w:rsidP="00D13F41">
      <w:pPr>
        <w:pStyle w:val="FootnoteText"/>
        <w:jc w:val="both"/>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See: </w:t>
      </w:r>
      <w:r w:rsidR="0006274A" w:rsidRPr="00031504">
        <w:rPr>
          <w:rFonts w:ascii="Arial" w:hAnsi="Arial" w:cs="Arial"/>
          <w:sz w:val="16"/>
          <w:szCs w:val="16"/>
        </w:rPr>
        <w:t xml:space="preserve">Committee on Economic, Social and Cultural Rights, </w:t>
      </w:r>
      <w:r w:rsidR="004B4690" w:rsidRPr="00031504">
        <w:rPr>
          <w:rFonts w:ascii="Arial" w:hAnsi="Arial" w:cs="Arial"/>
          <w:sz w:val="16"/>
          <w:szCs w:val="16"/>
        </w:rPr>
        <w:t xml:space="preserve">Communication No. 85/2018, UN Doc. E/C.12/69/D/85/2018 (2021) and </w:t>
      </w:r>
      <w:r w:rsidR="00854499" w:rsidRPr="00031504">
        <w:rPr>
          <w:rFonts w:ascii="Arial" w:hAnsi="Arial" w:cs="Arial"/>
          <w:sz w:val="16"/>
          <w:szCs w:val="16"/>
        </w:rPr>
        <w:t xml:space="preserve">Communication No. 20/18, UN Doc. </w:t>
      </w:r>
      <w:r w:rsidR="00B21CBA" w:rsidRPr="00031504">
        <w:rPr>
          <w:rFonts w:ascii="Arial" w:hAnsi="Arial" w:cs="Arial"/>
          <w:sz w:val="16"/>
          <w:szCs w:val="16"/>
        </w:rPr>
        <w:t>E/C.12/67/D/52/2018</w:t>
      </w:r>
      <w:r w:rsidR="00A83FD4" w:rsidRPr="00031504">
        <w:rPr>
          <w:rFonts w:ascii="Arial" w:hAnsi="Arial" w:cs="Arial"/>
          <w:sz w:val="16"/>
          <w:szCs w:val="16"/>
        </w:rPr>
        <w:t xml:space="preserve"> (2020) </w:t>
      </w:r>
      <w:r w:rsidR="00996912" w:rsidRPr="00031504">
        <w:rPr>
          <w:rFonts w:ascii="Arial" w:hAnsi="Arial" w:cs="Arial"/>
          <w:sz w:val="16"/>
          <w:szCs w:val="16"/>
        </w:rPr>
        <w:t>under the Optional Protocol to the International Covenant on Economic, Social and Cultural Rights</w:t>
      </w:r>
      <w:r w:rsidR="00A83FD4" w:rsidRPr="00031504">
        <w:rPr>
          <w:rFonts w:ascii="Arial" w:hAnsi="Arial" w:cs="Arial"/>
          <w:sz w:val="16"/>
          <w:szCs w:val="16"/>
        </w:rPr>
        <w:t>.</w:t>
      </w:r>
    </w:p>
  </w:footnote>
  <w:footnote w:id="7">
    <w:p w14:paraId="451D39F2" w14:textId="005262D7" w:rsidR="005B570D" w:rsidRPr="00031504" w:rsidRDefault="005B570D" w:rsidP="00D13F41">
      <w:pPr>
        <w:pStyle w:val="FootnoteText"/>
        <w:jc w:val="both"/>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w:t>
      </w:r>
      <w:r w:rsidR="00AD44F0" w:rsidRPr="00031504">
        <w:rPr>
          <w:rFonts w:ascii="Arial" w:hAnsi="Arial" w:cs="Arial"/>
          <w:sz w:val="16"/>
          <w:szCs w:val="16"/>
        </w:rPr>
        <w:t xml:space="preserve">See: </w:t>
      </w:r>
      <w:r w:rsidR="00184ED3" w:rsidRPr="00031504">
        <w:rPr>
          <w:rFonts w:ascii="Arial" w:hAnsi="Arial" w:cs="Arial"/>
          <w:sz w:val="16"/>
          <w:szCs w:val="16"/>
        </w:rPr>
        <w:t xml:space="preserve">Hangpeng </w:t>
      </w:r>
      <w:r w:rsidRPr="00031504">
        <w:rPr>
          <w:rFonts w:ascii="Arial" w:hAnsi="Arial" w:cs="Arial"/>
          <w:spacing w:val="-3"/>
          <w:sz w:val="16"/>
          <w:szCs w:val="16"/>
        </w:rPr>
        <w:t>Liao, et al</w:t>
      </w:r>
      <w:r w:rsidR="00B939E1" w:rsidRPr="00031504">
        <w:rPr>
          <w:rFonts w:ascii="Arial" w:hAnsi="Arial" w:cs="Arial"/>
          <w:spacing w:val="-3"/>
          <w:sz w:val="16"/>
          <w:szCs w:val="16"/>
        </w:rPr>
        <w:t xml:space="preserve">., </w:t>
      </w:r>
      <w:r w:rsidRPr="00031504">
        <w:rPr>
          <w:rFonts w:ascii="Arial" w:hAnsi="Arial" w:cs="Arial"/>
          <w:i/>
          <w:iCs/>
          <w:spacing w:val="-3"/>
          <w:sz w:val="16"/>
          <w:szCs w:val="16"/>
        </w:rPr>
        <w:t>Herbicide selection promotes antibiotic resistance in soil microbiomes</w:t>
      </w:r>
      <w:r w:rsidR="00B939E1" w:rsidRPr="00031504">
        <w:rPr>
          <w:rFonts w:ascii="Arial" w:hAnsi="Arial" w:cs="Arial"/>
          <w:spacing w:val="-3"/>
          <w:sz w:val="16"/>
          <w:szCs w:val="16"/>
        </w:rPr>
        <w:t xml:space="preserve">, </w:t>
      </w:r>
      <w:r w:rsidRPr="00031504">
        <w:rPr>
          <w:rFonts w:ascii="Arial" w:hAnsi="Arial" w:cs="Arial"/>
          <w:spacing w:val="-3"/>
          <w:sz w:val="16"/>
          <w:szCs w:val="16"/>
        </w:rPr>
        <w:t>Mol</w:t>
      </w:r>
      <w:r w:rsidR="00C82E02" w:rsidRPr="00031504">
        <w:rPr>
          <w:rFonts w:ascii="Arial" w:hAnsi="Arial" w:cs="Arial"/>
          <w:spacing w:val="-3"/>
          <w:sz w:val="16"/>
          <w:szCs w:val="16"/>
        </w:rPr>
        <w:t xml:space="preserve">ecular Biology and Evolution, </w:t>
      </w:r>
      <w:r w:rsidR="00B939E1" w:rsidRPr="00031504">
        <w:rPr>
          <w:rFonts w:ascii="Arial" w:hAnsi="Arial" w:cs="Arial"/>
          <w:spacing w:val="-3"/>
          <w:sz w:val="16"/>
          <w:szCs w:val="16"/>
        </w:rPr>
        <w:t>Volume 38, Issue 6 (2021)</w:t>
      </w:r>
      <w:r w:rsidR="00AD44F0" w:rsidRPr="00031504">
        <w:rPr>
          <w:rFonts w:ascii="Arial" w:hAnsi="Arial" w:cs="Arial"/>
          <w:spacing w:val="-3"/>
          <w:sz w:val="16"/>
          <w:szCs w:val="16"/>
        </w:rPr>
        <w:t>.</w:t>
      </w:r>
    </w:p>
  </w:footnote>
  <w:footnote w:id="8">
    <w:p w14:paraId="2CFD38EF" w14:textId="77777777" w:rsidR="003700D9" w:rsidRPr="00031504" w:rsidRDefault="003700D9" w:rsidP="003700D9">
      <w:pPr>
        <w:pStyle w:val="FootnoteText"/>
        <w:jc w:val="both"/>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See: Kathryn E. Arnold, Nicola J. Williams and Malcolm Bennett, </w:t>
      </w:r>
      <w:r w:rsidRPr="00031504">
        <w:rPr>
          <w:rFonts w:ascii="Arial" w:hAnsi="Arial" w:cs="Arial"/>
          <w:i/>
          <w:iCs/>
          <w:sz w:val="16"/>
          <w:szCs w:val="16"/>
        </w:rPr>
        <w:t>Disperse abroad in the land: the of wildlife in the dissemination of antimicrobial resistance</w:t>
      </w:r>
      <w:r w:rsidRPr="00031504">
        <w:rPr>
          <w:rFonts w:ascii="Arial" w:hAnsi="Arial" w:cs="Arial"/>
          <w:sz w:val="16"/>
          <w:szCs w:val="16"/>
        </w:rPr>
        <w:t xml:space="preserve">, The Real Society (2016) available in </w:t>
      </w:r>
      <w:hyperlink r:id="rId6" w:history="1">
        <w:r w:rsidRPr="00031504">
          <w:rPr>
            <w:rStyle w:val="Hyperlink"/>
            <w:rFonts w:ascii="Arial" w:hAnsi="Arial" w:cs="Arial"/>
            <w:sz w:val="16"/>
            <w:szCs w:val="16"/>
          </w:rPr>
          <w:t>https://royalsocietypublishing.org/doi/10.1098/rsbl.2016.0137</w:t>
        </w:r>
      </w:hyperlink>
      <w:r w:rsidRPr="00031504">
        <w:rPr>
          <w:rFonts w:ascii="Arial" w:hAnsi="Arial" w:cs="Arial"/>
          <w:sz w:val="16"/>
          <w:szCs w:val="16"/>
        </w:rPr>
        <w:t xml:space="preserve"> (accessed 21.07.2021)</w:t>
      </w:r>
    </w:p>
  </w:footnote>
  <w:footnote w:id="9">
    <w:p w14:paraId="72E1DFA5" w14:textId="54CF2A55" w:rsidR="007F3D18" w:rsidRPr="00031504" w:rsidRDefault="007F3D18" w:rsidP="00D13F41">
      <w:pPr>
        <w:pStyle w:val="FootnoteText"/>
        <w:jc w:val="both"/>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See: FAO, IFAD, UNICEF, WFP and WHO, </w:t>
      </w:r>
      <w:r w:rsidRPr="00031504">
        <w:rPr>
          <w:rFonts w:ascii="Arial" w:hAnsi="Arial" w:cs="Arial"/>
          <w:i/>
          <w:iCs/>
          <w:sz w:val="16"/>
          <w:szCs w:val="16"/>
        </w:rPr>
        <w:t xml:space="preserve">The State of Food Security and Nutrition in the World 2021, </w:t>
      </w:r>
      <w:r w:rsidRPr="00031504">
        <w:rPr>
          <w:rFonts w:ascii="Arial" w:hAnsi="Arial" w:cs="Arial"/>
          <w:sz w:val="16"/>
          <w:szCs w:val="16"/>
        </w:rPr>
        <w:t>p. 101.</w:t>
      </w:r>
    </w:p>
  </w:footnote>
  <w:footnote w:id="10">
    <w:p w14:paraId="256ACF89" w14:textId="77777777" w:rsidR="00156F37" w:rsidRPr="00031504" w:rsidRDefault="00156F37" w:rsidP="00D13F41">
      <w:pPr>
        <w:pStyle w:val="FootnoteText"/>
        <w:jc w:val="both"/>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Maria Natalia Pacheco Rodriguez y Luis Fernando Rosales Lozada, </w:t>
      </w:r>
      <w:r w:rsidRPr="00031504">
        <w:rPr>
          <w:rFonts w:ascii="Arial" w:hAnsi="Arial" w:cs="Arial"/>
          <w:i/>
          <w:iCs/>
          <w:sz w:val="16"/>
          <w:szCs w:val="16"/>
        </w:rPr>
        <w:t>The United Nations Declaration on the Rights of Peasants and Other People Working in Rural Areas: One Step Forward in the Promotion of Human Rights for the Most Vulnerable</w:t>
      </w:r>
      <w:r w:rsidRPr="00031504">
        <w:rPr>
          <w:rFonts w:ascii="Arial" w:hAnsi="Arial" w:cs="Arial"/>
          <w:sz w:val="16"/>
          <w:szCs w:val="16"/>
        </w:rPr>
        <w:t xml:space="preserve">, Research Paper No. 123, South Centre (2020), p. 42 in </w:t>
      </w:r>
      <w:hyperlink r:id="rId7" w:history="1">
        <w:r w:rsidRPr="00031504">
          <w:rPr>
            <w:rStyle w:val="Hyperlink"/>
            <w:rFonts w:ascii="Arial" w:hAnsi="Arial" w:cs="Arial"/>
            <w:color w:val="auto"/>
            <w:sz w:val="16"/>
            <w:szCs w:val="16"/>
          </w:rPr>
          <w:t>https://www.southcentre.int/wp-content/uploads/2020/11/RP-123.pdf</w:t>
        </w:r>
      </w:hyperlink>
      <w:r w:rsidRPr="00031504">
        <w:rPr>
          <w:rFonts w:ascii="Arial" w:hAnsi="Arial" w:cs="Arial"/>
          <w:sz w:val="16"/>
          <w:szCs w:val="16"/>
        </w:rPr>
        <w:t xml:space="preserve"> </w:t>
      </w:r>
    </w:p>
  </w:footnote>
  <w:footnote w:id="11">
    <w:p w14:paraId="281E0AB0" w14:textId="438DB8DC" w:rsidR="00E5415B" w:rsidRPr="00031504" w:rsidRDefault="00E5415B" w:rsidP="00D13F41">
      <w:pPr>
        <w:pStyle w:val="FootnoteText"/>
        <w:jc w:val="both"/>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See: FAO, IFAD, UNICEF, WFP and WHO, </w:t>
      </w:r>
      <w:r w:rsidRPr="00031504">
        <w:rPr>
          <w:rFonts w:ascii="Arial" w:hAnsi="Arial" w:cs="Arial"/>
          <w:i/>
          <w:iCs/>
          <w:sz w:val="16"/>
          <w:szCs w:val="16"/>
        </w:rPr>
        <w:t xml:space="preserve">The State of Food Security and Nutrition in the World 2021, </w:t>
      </w:r>
      <w:r w:rsidRPr="00031504">
        <w:rPr>
          <w:rFonts w:ascii="Arial" w:hAnsi="Arial" w:cs="Arial"/>
          <w:sz w:val="16"/>
          <w:szCs w:val="16"/>
        </w:rPr>
        <w:t>p. 101.</w:t>
      </w:r>
    </w:p>
  </w:footnote>
  <w:footnote w:id="12">
    <w:p w14:paraId="2743A886" w14:textId="20A6E2E7" w:rsidR="00876807" w:rsidRPr="00031504" w:rsidRDefault="00876807" w:rsidP="00C1671D">
      <w:pPr>
        <w:pStyle w:val="FootnoteText"/>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w:t>
      </w:r>
      <w:r w:rsidR="00133E55" w:rsidRPr="00C1671D">
        <w:rPr>
          <w:rFonts w:ascii="Arial" w:hAnsi="Arial" w:cs="Arial"/>
          <w:sz w:val="16"/>
          <w:szCs w:val="16"/>
        </w:rPr>
        <w:t>United Nations Declaration on the Ri</w:t>
      </w:r>
      <w:r w:rsidR="00133E55" w:rsidRPr="00D059FA">
        <w:rPr>
          <w:rFonts w:ascii="Arial" w:hAnsi="Arial" w:cs="Arial"/>
          <w:sz w:val="16"/>
          <w:szCs w:val="16"/>
        </w:rPr>
        <w:t>ghts of Pea</w:t>
      </w:r>
      <w:r w:rsidR="00133E55" w:rsidRPr="00BD75E2">
        <w:rPr>
          <w:rFonts w:ascii="Arial" w:hAnsi="Arial" w:cs="Arial"/>
          <w:sz w:val="16"/>
          <w:szCs w:val="16"/>
        </w:rPr>
        <w:t>sants, adopted by the United Nations General Assembly in its 55</w:t>
      </w:r>
      <w:r w:rsidR="00133E55" w:rsidRPr="00BD75E2">
        <w:rPr>
          <w:rFonts w:ascii="Arial" w:hAnsi="Arial" w:cs="Arial"/>
          <w:sz w:val="16"/>
          <w:szCs w:val="16"/>
          <w:vertAlign w:val="superscript"/>
        </w:rPr>
        <w:t>th</w:t>
      </w:r>
      <w:r w:rsidR="00133E55" w:rsidRPr="00C1671D">
        <w:rPr>
          <w:rFonts w:ascii="Arial" w:hAnsi="Arial" w:cs="Arial"/>
          <w:sz w:val="16"/>
          <w:szCs w:val="16"/>
        </w:rPr>
        <w:t xml:space="preserve"> Plenary Meeting, </w:t>
      </w:r>
      <w:r w:rsidR="00C1671D" w:rsidRPr="00C1671D">
        <w:rPr>
          <w:rFonts w:ascii="Arial" w:hAnsi="Arial" w:cs="Arial"/>
          <w:sz w:val="16"/>
          <w:szCs w:val="16"/>
        </w:rPr>
        <w:t xml:space="preserve">UN Doc </w:t>
      </w:r>
      <w:r w:rsidR="00C1671D" w:rsidRPr="00BD75E2">
        <w:rPr>
          <w:rFonts w:ascii="Arial" w:hAnsi="Arial" w:cs="Arial"/>
          <w:sz w:val="16"/>
          <w:szCs w:val="16"/>
        </w:rPr>
        <w:t xml:space="preserve">A/RES/73/165 (2019) in </w:t>
      </w:r>
      <w:hyperlink r:id="rId8" w:history="1">
        <w:r w:rsidR="00C1671D" w:rsidRPr="00BD75E2">
          <w:rPr>
            <w:rStyle w:val="Hyperlink"/>
            <w:rFonts w:ascii="Arial" w:hAnsi="Arial" w:cs="Arial"/>
            <w:sz w:val="16"/>
            <w:szCs w:val="16"/>
          </w:rPr>
          <w:t>https://www.geneva-academy.ch/joomlatools-files/docman-files/UN%20Declaration%20on%20the%20rights%20of%20peasants.pdf</w:t>
        </w:r>
      </w:hyperlink>
      <w:r w:rsidR="00C1671D" w:rsidRPr="00BD75E2">
        <w:rPr>
          <w:rFonts w:ascii="Arial" w:hAnsi="Arial" w:cs="Arial"/>
          <w:sz w:val="16"/>
          <w:szCs w:val="16"/>
        </w:rPr>
        <w:t xml:space="preserve"> (accessed 26.07.2021) </w:t>
      </w:r>
      <w:r w:rsidRPr="00C1671D">
        <w:rPr>
          <w:rFonts w:ascii="Arial" w:hAnsi="Arial" w:cs="Arial"/>
          <w:sz w:val="16"/>
          <w:szCs w:val="16"/>
        </w:rPr>
        <w:t>See</w:t>
      </w:r>
      <w:r w:rsidR="00C1671D" w:rsidRPr="00C1671D">
        <w:rPr>
          <w:rFonts w:ascii="Arial" w:hAnsi="Arial" w:cs="Arial"/>
          <w:sz w:val="16"/>
          <w:szCs w:val="16"/>
        </w:rPr>
        <w:t xml:space="preserve"> also</w:t>
      </w:r>
      <w:r w:rsidRPr="00C1671D">
        <w:rPr>
          <w:rFonts w:ascii="Arial" w:hAnsi="Arial" w:cs="Arial"/>
          <w:sz w:val="16"/>
          <w:szCs w:val="16"/>
        </w:rPr>
        <w:t>:</w:t>
      </w:r>
      <w:r w:rsidR="00133E55" w:rsidRPr="00D059FA">
        <w:rPr>
          <w:rFonts w:ascii="Arial" w:hAnsi="Arial" w:cs="Arial"/>
          <w:sz w:val="16"/>
          <w:szCs w:val="16"/>
        </w:rPr>
        <w:t xml:space="preserve"> </w:t>
      </w:r>
      <w:r w:rsidRPr="00BD75E2">
        <w:rPr>
          <w:rFonts w:ascii="Arial" w:hAnsi="Arial" w:cs="Arial"/>
          <w:sz w:val="16"/>
          <w:szCs w:val="16"/>
        </w:rPr>
        <w:t xml:space="preserve"> </w:t>
      </w:r>
      <w:r w:rsidR="00A908C1" w:rsidRPr="00BD75E2">
        <w:rPr>
          <w:rFonts w:ascii="Arial" w:hAnsi="Arial" w:cs="Arial"/>
          <w:sz w:val="16"/>
          <w:szCs w:val="16"/>
        </w:rPr>
        <w:t xml:space="preserve">Luis Fernando Rosales, </w:t>
      </w:r>
      <w:r w:rsidR="00A0234C" w:rsidRPr="00BD75E2">
        <w:rPr>
          <w:rFonts w:ascii="Arial" w:hAnsi="Arial" w:cs="Arial"/>
          <w:i/>
          <w:iCs/>
          <w:sz w:val="16"/>
          <w:szCs w:val="16"/>
        </w:rPr>
        <w:t xml:space="preserve">The implementation of the UN Declaration on the Rights of the Peasants and other people living in rural areas: what is next?, </w:t>
      </w:r>
      <w:r w:rsidR="00824C9A" w:rsidRPr="00BD75E2">
        <w:rPr>
          <w:rFonts w:ascii="Arial" w:hAnsi="Arial" w:cs="Arial"/>
          <w:sz w:val="16"/>
          <w:szCs w:val="16"/>
        </w:rPr>
        <w:t>Policy Brief, South Centre (forthcoming)</w:t>
      </w:r>
      <w:r w:rsidR="00824C9A" w:rsidRPr="00031504">
        <w:rPr>
          <w:rFonts w:ascii="Arial" w:hAnsi="Arial" w:cs="Arial"/>
          <w:sz w:val="16"/>
          <w:szCs w:val="16"/>
        </w:rPr>
        <w:t xml:space="preserve"> </w:t>
      </w:r>
    </w:p>
  </w:footnote>
  <w:footnote w:id="13">
    <w:p w14:paraId="66A13782" w14:textId="3EDB458F" w:rsidR="00777832" w:rsidRPr="00031504" w:rsidRDefault="00777832" w:rsidP="00D13F41">
      <w:pPr>
        <w:pStyle w:val="FootnoteText"/>
        <w:jc w:val="both"/>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See: </w:t>
      </w:r>
      <w:r w:rsidR="00105CDC" w:rsidRPr="00031504">
        <w:rPr>
          <w:rFonts w:ascii="Arial" w:hAnsi="Arial" w:cs="Arial"/>
          <w:sz w:val="16"/>
          <w:szCs w:val="16"/>
        </w:rPr>
        <w:t xml:space="preserve">Michel Forst, </w:t>
      </w:r>
      <w:r w:rsidR="00105CDC" w:rsidRPr="00031504">
        <w:rPr>
          <w:rFonts w:ascii="Arial" w:hAnsi="Arial" w:cs="Arial"/>
          <w:i/>
          <w:iCs/>
          <w:sz w:val="16"/>
          <w:szCs w:val="16"/>
        </w:rPr>
        <w:t>World Report on the Situation of Human Rights Defenders</w:t>
      </w:r>
      <w:r w:rsidR="00105CDC" w:rsidRPr="00031504">
        <w:rPr>
          <w:rFonts w:ascii="Arial" w:hAnsi="Arial" w:cs="Arial"/>
          <w:sz w:val="16"/>
          <w:szCs w:val="16"/>
        </w:rPr>
        <w:t>,</w:t>
      </w:r>
      <w:r w:rsidR="00271D99" w:rsidRPr="00031504">
        <w:rPr>
          <w:rFonts w:ascii="Arial" w:hAnsi="Arial" w:cs="Arial"/>
          <w:sz w:val="16"/>
          <w:szCs w:val="16"/>
        </w:rPr>
        <w:t xml:space="preserve"> United Nations Special Rapporteur on the Situation of Human Rights Defenders (2018), p. </w:t>
      </w:r>
      <w:r w:rsidR="00220FBE" w:rsidRPr="00031504">
        <w:rPr>
          <w:rFonts w:ascii="Arial" w:hAnsi="Arial" w:cs="Arial"/>
          <w:sz w:val="16"/>
          <w:szCs w:val="16"/>
        </w:rPr>
        <w:t xml:space="preserve">10 available in </w:t>
      </w:r>
      <w:hyperlink r:id="rId9" w:history="1">
        <w:r w:rsidR="00220FBE" w:rsidRPr="00031504">
          <w:rPr>
            <w:rStyle w:val="Hyperlink"/>
            <w:rFonts w:ascii="Arial" w:hAnsi="Arial" w:cs="Arial"/>
            <w:sz w:val="16"/>
            <w:szCs w:val="16"/>
          </w:rPr>
          <w:t>https://media.business-humanrights.org/media/documents/files/documents/UNSR_HRDs-_World_report_2018.pdf</w:t>
        </w:r>
      </w:hyperlink>
      <w:r w:rsidR="00220FBE" w:rsidRPr="00031504">
        <w:rPr>
          <w:rFonts w:ascii="Arial" w:hAnsi="Arial" w:cs="Arial"/>
          <w:sz w:val="16"/>
          <w:szCs w:val="16"/>
        </w:rPr>
        <w:t xml:space="preserve"> (accessed 20.07.2020)</w:t>
      </w:r>
    </w:p>
  </w:footnote>
  <w:footnote w:id="14">
    <w:p w14:paraId="6271AA57" w14:textId="56CBBD52" w:rsidR="00E61EB1" w:rsidRPr="00031504" w:rsidRDefault="00E61EB1" w:rsidP="00D13F41">
      <w:pPr>
        <w:pStyle w:val="FootnoteText"/>
        <w:jc w:val="both"/>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See: </w:t>
      </w:r>
      <w:r w:rsidR="00366B8D" w:rsidRPr="00031504">
        <w:rPr>
          <w:rFonts w:ascii="Arial" w:hAnsi="Arial" w:cs="Arial"/>
          <w:sz w:val="16"/>
          <w:szCs w:val="16"/>
        </w:rPr>
        <w:t>Alice M. Nah, et al,</w:t>
      </w:r>
      <w:r w:rsidR="007B1A5E" w:rsidRPr="00031504">
        <w:rPr>
          <w:rFonts w:ascii="Arial" w:hAnsi="Arial" w:cs="Arial"/>
          <w:sz w:val="16"/>
          <w:szCs w:val="16"/>
        </w:rPr>
        <w:t xml:space="preserve"> </w:t>
      </w:r>
      <w:r w:rsidR="007B1A5E" w:rsidRPr="00031504">
        <w:rPr>
          <w:rFonts w:ascii="Arial" w:hAnsi="Arial" w:cs="Arial"/>
          <w:i/>
          <w:iCs/>
          <w:sz w:val="16"/>
          <w:szCs w:val="16"/>
        </w:rPr>
        <w:t>Wellbeing, Risk and Human Rights Practice</w:t>
      </w:r>
      <w:r w:rsidR="007B1A5E" w:rsidRPr="00031504">
        <w:rPr>
          <w:rFonts w:ascii="Arial" w:hAnsi="Arial" w:cs="Arial"/>
          <w:sz w:val="16"/>
          <w:szCs w:val="16"/>
        </w:rPr>
        <w:t xml:space="preserve">, </w:t>
      </w:r>
      <w:r w:rsidR="00DE4DE8" w:rsidRPr="00031504">
        <w:rPr>
          <w:rFonts w:ascii="Arial" w:hAnsi="Arial" w:cs="Arial"/>
          <w:sz w:val="16"/>
          <w:szCs w:val="16"/>
        </w:rPr>
        <w:t>Human Rights Defenders Hub, University of York, Policy Brief 1 (2017) available in</w:t>
      </w:r>
      <w:r w:rsidR="00525802" w:rsidRPr="00031504">
        <w:rPr>
          <w:rFonts w:ascii="Arial" w:hAnsi="Arial" w:cs="Arial"/>
          <w:sz w:val="16"/>
          <w:szCs w:val="16"/>
        </w:rPr>
        <w:t xml:space="preserve"> </w:t>
      </w:r>
      <w:hyperlink r:id="rId10" w:history="1">
        <w:r w:rsidR="00525802" w:rsidRPr="00031504">
          <w:rPr>
            <w:rStyle w:val="Hyperlink"/>
            <w:rFonts w:ascii="Arial" w:hAnsi="Arial" w:cs="Arial"/>
            <w:sz w:val="16"/>
            <w:szCs w:val="16"/>
          </w:rPr>
          <w:t>https://static1.squarespace.com/static/57ab08756a49635fe426003e/t/58ee2a3debbd1a718d29553c/1505738548404/HRD+Hub+Policy+Brief+1+EN.pdf</w:t>
        </w:r>
      </w:hyperlink>
      <w:r w:rsidR="00525802" w:rsidRPr="00031504">
        <w:rPr>
          <w:rFonts w:ascii="Arial" w:hAnsi="Arial" w:cs="Arial"/>
          <w:sz w:val="16"/>
          <w:szCs w:val="16"/>
        </w:rPr>
        <w:t xml:space="preserve"> (accessed 21.07.2021)</w:t>
      </w:r>
    </w:p>
  </w:footnote>
  <w:footnote w:id="15">
    <w:p w14:paraId="6B157C52" w14:textId="6BDE9542" w:rsidR="00451A4C" w:rsidRPr="00031504" w:rsidRDefault="00451A4C" w:rsidP="00D13F41">
      <w:pPr>
        <w:pStyle w:val="FootnoteText"/>
        <w:jc w:val="both"/>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See: </w:t>
      </w:r>
      <w:r w:rsidR="002F332B" w:rsidRPr="00031504">
        <w:rPr>
          <w:rFonts w:ascii="Arial" w:hAnsi="Arial" w:cs="Arial"/>
          <w:i/>
          <w:iCs/>
          <w:sz w:val="16"/>
          <w:szCs w:val="16"/>
        </w:rPr>
        <w:t>The Barcelona Guidelines on Wellbeing and Temporary International Relocation of Human Rights Defenders at Risk</w:t>
      </w:r>
      <w:r w:rsidR="002F332B" w:rsidRPr="00031504">
        <w:rPr>
          <w:rFonts w:ascii="Arial" w:hAnsi="Arial" w:cs="Arial"/>
          <w:sz w:val="16"/>
          <w:szCs w:val="16"/>
        </w:rPr>
        <w:t xml:space="preserve">, para. </w:t>
      </w:r>
      <w:r w:rsidR="00E3307B" w:rsidRPr="00031504">
        <w:rPr>
          <w:rFonts w:ascii="Arial" w:hAnsi="Arial" w:cs="Arial"/>
          <w:sz w:val="16"/>
          <w:szCs w:val="16"/>
        </w:rPr>
        <w:t xml:space="preserve">18-24, available in </w:t>
      </w:r>
      <w:hyperlink r:id="rId11" w:history="1">
        <w:r w:rsidR="0002794F" w:rsidRPr="00031504">
          <w:rPr>
            <w:rStyle w:val="Hyperlink"/>
            <w:rFonts w:ascii="Arial" w:hAnsi="Arial" w:cs="Arial"/>
            <w:sz w:val="16"/>
            <w:szCs w:val="16"/>
          </w:rPr>
          <w:t>https://static1.squarespace.com/static/58a1a2bb9f745664e6b41612/t/5de6a0d7ae38e0103312349b/1575395544981/The+Barcelona+Guidelines+-+EN+%28Final%29.pdf</w:t>
        </w:r>
      </w:hyperlink>
      <w:r w:rsidR="0002794F" w:rsidRPr="00031504">
        <w:rPr>
          <w:rFonts w:ascii="Arial" w:hAnsi="Arial" w:cs="Arial"/>
          <w:sz w:val="16"/>
          <w:szCs w:val="16"/>
        </w:rPr>
        <w:t xml:space="preserve"> (accessed 22.07.2021).</w:t>
      </w:r>
    </w:p>
  </w:footnote>
  <w:footnote w:id="16">
    <w:p w14:paraId="786860EB" w14:textId="4DA6BFDD" w:rsidR="00402DF4" w:rsidRPr="00031504" w:rsidRDefault="00402DF4" w:rsidP="00D13F41">
      <w:pPr>
        <w:pStyle w:val="FootnoteText"/>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See: </w:t>
      </w:r>
      <w:r w:rsidR="00273B0B" w:rsidRPr="00031504">
        <w:rPr>
          <w:rFonts w:ascii="Arial" w:hAnsi="Arial" w:cs="Arial"/>
          <w:sz w:val="16"/>
          <w:szCs w:val="16"/>
        </w:rPr>
        <w:t xml:space="preserve">Land Matrix public database, available in </w:t>
      </w:r>
      <w:hyperlink r:id="rId12" w:history="1">
        <w:r w:rsidR="00273B0B" w:rsidRPr="00031504">
          <w:rPr>
            <w:rStyle w:val="Hyperlink"/>
            <w:rFonts w:ascii="Arial" w:hAnsi="Arial" w:cs="Arial"/>
            <w:sz w:val="16"/>
            <w:szCs w:val="16"/>
          </w:rPr>
          <w:t>https://landmatrix.org/</w:t>
        </w:r>
      </w:hyperlink>
      <w:r w:rsidR="00273B0B" w:rsidRPr="00031504">
        <w:rPr>
          <w:rFonts w:ascii="Arial" w:hAnsi="Arial" w:cs="Arial"/>
          <w:sz w:val="16"/>
          <w:szCs w:val="16"/>
        </w:rPr>
        <w:t xml:space="preserve"> (accessed 21.</w:t>
      </w:r>
      <w:r w:rsidR="00D13F41" w:rsidRPr="00031504">
        <w:rPr>
          <w:rFonts w:ascii="Arial" w:hAnsi="Arial" w:cs="Arial"/>
          <w:sz w:val="16"/>
          <w:szCs w:val="16"/>
        </w:rPr>
        <w:t>07.2021)</w:t>
      </w:r>
    </w:p>
  </w:footnote>
  <w:footnote w:id="17">
    <w:p w14:paraId="48754847" w14:textId="797143C2" w:rsidR="00ED145E" w:rsidRPr="00031504" w:rsidRDefault="00ED145E">
      <w:pPr>
        <w:pStyle w:val="FootnoteText"/>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w:t>
      </w:r>
      <w:r w:rsidR="0007782C" w:rsidRPr="00031504">
        <w:rPr>
          <w:rFonts w:ascii="Arial" w:hAnsi="Arial" w:cs="Arial"/>
          <w:sz w:val="16"/>
          <w:szCs w:val="16"/>
        </w:rPr>
        <w:t xml:space="preserve">Ward Anseeuw and Giulia Maria Baldinelli, </w:t>
      </w:r>
      <w:r w:rsidR="007959BF" w:rsidRPr="00031504">
        <w:rPr>
          <w:rFonts w:ascii="Arial" w:hAnsi="Arial" w:cs="Arial"/>
          <w:i/>
          <w:iCs/>
          <w:sz w:val="16"/>
          <w:szCs w:val="16"/>
        </w:rPr>
        <w:t xml:space="preserve">Uneven Ground: Land Inequality at the Heart of Unequal Societies, </w:t>
      </w:r>
      <w:r w:rsidR="00050981" w:rsidRPr="00031504">
        <w:rPr>
          <w:rFonts w:ascii="Arial" w:hAnsi="Arial" w:cs="Arial"/>
          <w:sz w:val="16"/>
          <w:szCs w:val="16"/>
        </w:rPr>
        <w:t xml:space="preserve">Research Findings from the Land Inequality Initiative, </w:t>
      </w:r>
      <w:r w:rsidR="00F7485C" w:rsidRPr="00031504">
        <w:rPr>
          <w:rFonts w:ascii="Arial" w:hAnsi="Arial" w:cs="Arial"/>
          <w:sz w:val="16"/>
          <w:szCs w:val="16"/>
        </w:rPr>
        <w:t xml:space="preserve">International Land Coalition and Oxfam (2020) in </w:t>
      </w:r>
      <w:hyperlink r:id="rId13" w:history="1">
        <w:r w:rsidR="00F7485C" w:rsidRPr="00031504">
          <w:rPr>
            <w:rStyle w:val="Hyperlink"/>
            <w:rFonts w:ascii="Arial" w:hAnsi="Arial" w:cs="Arial"/>
            <w:sz w:val="16"/>
            <w:szCs w:val="16"/>
          </w:rPr>
          <w:t>https://d3o3cb4w253x5q.cloudfront.net/media/documents/2020_11_land_inequality_synthesis_report_uneven_ground_final_en_spread_low_res_2.pdf</w:t>
        </w:r>
      </w:hyperlink>
      <w:r w:rsidR="00F7485C" w:rsidRPr="00031504">
        <w:rPr>
          <w:rFonts w:ascii="Arial" w:hAnsi="Arial" w:cs="Arial"/>
          <w:sz w:val="16"/>
          <w:szCs w:val="16"/>
        </w:rPr>
        <w:t xml:space="preserve"> (accessed 21.07.2021)</w:t>
      </w:r>
    </w:p>
  </w:footnote>
  <w:footnote w:id="18">
    <w:p w14:paraId="2FF39481" w14:textId="77777777" w:rsidR="004D122F" w:rsidRPr="00031504" w:rsidRDefault="004D122F" w:rsidP="00D13F41">
      <w:pPr>
        <w:pStyle w:val="FootnoteText"/>
        <w:jc w:val="both"/>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Daniel Uribe and Danish, </w:t>
      </w:r>
      <w:r w:rsidRPr="00031504">
        <w:rPr>
          <w:rFonts w:ascii="Arial" w:hAnsi="Arial" w:cs="Arial"/>
          <w:i/>
          <w:iCs/>
          <w:sz w:val="16"/>
          <w:szCs w:val="16"/>
        </w:rPr>
        <w:t>Designing an International Legally Binding Instrument on Business and Human Rights</w:t>
      </w:r>
      <w:r w:rsidRPr="00031504">
        <w:rPr>
          <w:rFonts w:ascii="Arial" w:hAnsi="Arial" w:cs="Arial"/>
          <w:sz w:val="16"/>
          <w:szCs w:val="16"/>
        </w:rPr>
        <w:t xml:space="preserve">, South Centre (2020), in </w:t>
      </w:r>
      <w:hyperlink r:id="rId14" w:history="1">
        <w:r w:rsidRPr="00031504">
          <w:rPr>
            <w:rStyle w:val="Hyperlink"/>
            <w:rFonts w:ascii="Arial" w:hAnsi="Arial" w:cs="Arial"/>
            <w:color w:val="auto"/>
            <w:sz w:val="16"/>
            <w:szCs w:val="16"/>
          </w:rPr>
          <w:t>Designing-an-International-Legally-Binding-Instrument-on-Business-and-Human-Rights-REV.pdf (southcentre.int)</w:t>
        </w:r>
      </w:hyperlink>
      <w:r w:rsidRPr="00031504">
        <w:rPr>
          <w:rFonts w:ascii="Arial" w:hAnsi="Arial" w:cs="Arial"/>
          <w:sz w:val="16"/>
          <w:szCs w:val="16"/>
        </w:rPr>
        <w:t xml:space="preserve"> (accessed 22.02.2021)</w:t>
      </w:r>
    </w:p>
  </w:footnote>
  <w:footnote w:id="19">
    <w:p w14:paraId="2E94F4A7" w14:textId="77777777" w:rsidR="004D122F" w:rsidRPr="00031504" w:rsidRDefault="004D122F" w:rsidP="00D13F41">
      <w:pPr>
        <w:pStyle w:val="FootnoteText"/>
        <w:jc w:val="both"/>
        <w:rPr>
          <w:rFonts w:ascii="Arial" w:hAnsi="Arial" w:cs="Arial"/>
          <w:sz w:val="16"/>
          <w:szCs w:val="16"/>
          <w:lang w:val="en-GB"/>
        </w:rPr>
      </w:pPr>
      <w:r w:rsidRPr="00031504">
        <w:rPr>
          <w:rStyle w:val="FootnoteReference"/>
          <w:rFonts w:ascii="Arial" w:hAnsi="Arial" w:cs="Arial"/>
          <w:sz w:val="16"/>
          <w:szCs w:val="16"/>
          <w:lang w:val="en-GB"/>
        </w:rPr>
        <w:footnoteRef/>
      </w:r>
      <w:r w:rsidRPr="00031504">
        <w:rPr>
          <w:rFonts w:ascii="Arial" w:hAnsi="Arial" w:cs="Arial"/>
          <w:sz w:val="16"/>
          <w:szCs w:val="16"/>
          <w:lang w:val="en-GB"/>
        </w:rPr>
        <w:t xml:space="preserve"> UN Guiding Principles on Business and Human Rights (UN HRC, UN Doc A/HRC/17/31).</w:t>
      </w:r>
    </w:p>
  </w:footnote>
  <w:footnote w:id="20">
    <w:p w14:paraId="2B68C15C" w14:textId="77777777" w:rsidR="004D122F" w:rsidRPr="00031504" w:rsidRDefault="004D122F" w:rsidP="00D13F41">
      <w:pPr>
        <w:pStyle w:val="ListParagraph"/>
        <w:spacing w:after="0" w:line="240" w:lineRule="auto"/>
        <w:ind w:left="0"/>
        <w:contextualSpacing w:val="0"/>
        <w:jc w:val="both"/>
        <w:rPr>
          <w:rFonts w:ascii="Arial" w:eastAsia="Times New Roman" w:hAnsi="Arial" w:cs="Arial"/>
          <w:sz w:val="16"/>
          <w:szCs w:val="16"/>
          <w:lang w:val="en-GB" w:eastAsia="fr-CH"/>
        </w:rPr>
      </w:pPr>
      <w:r w:rsidRPr="00031504">
        <w:rPr>
          <w:rStyle w:val="FootnoteReference"/>
          <w:rFonts w:ascii="Arial" w:hAnsi="Arial" w:cs="Arial"/>
          <w:sz w:val="16"/>
          <w:szCs w:val="16"/>
          <w:lang w:val="en-GB"/>
        </w:rPr>
        <w:footnoteRef/>
      </w:r>
      <w:r w:rsidRPr="00031504">
        <w:rPr>
          <w:rFonts w:ascii="Arial" w:hAnsi="Arial" w:cs="Arial"/>
          <w:sz w:val="16"/>
          <w:szCs w:val="16"/>
          <w:lang w:val="en-GB"/>
        </w:rPr>
        <w:t xml:space="preserve"> Ibid,</w:t>
      </w:r>
      <w:r w:rsidRPr="00031504">
        <w:rPr>
          <w:rFonts w:ascii="Arial" w:eastAsia="Times New Roman" w:hAnsi="Arial" w:cs="Arial"/>
          <w:sz w:val="16"/>
          <w:szCs w:val="16"/>
          <w:lang w:val="en-GB" w:eastAsia="fr-CH"/>
        </w:rPr>
        <w:t xml:space="preserve"> Principle 11 (commentary).</w:t>
      </w:r>
    </w:p>
  </w:footnote>
  <w:footnote w:id="21">
    <w:p w14:paraId="26928E89" w14:textId="77777777" w:rsidR="003E4822" w:rsidRPr="00031504" w:rsidRDefault="003E4822" w:rsidP="00D13F41">
      <w:pPr>
        <w:pStyle w:val="FootnoteText"/>
        <w:jc w:val="both"/>
        <w:rPr>
          <w:rFonts w:ascii="Arial" w:hAnsi="Arial" w:cs="Arial"/>
          <w:sz w:val="16"/>
          <w:szCs w:val="16"/>
          <w:lang w:val="en-GB"/>
        </w:rPr>
      </w:pPr>
      <w:r w:rsidRPr="00031504">
        <w:rPr>
          <w:rStyle w:val="FootnoteReference"/>
          <w:rFonts w:ascii="Arial" w:hAnsi="Arial" w:cs="Arial"/>
          <w:sz w:val="16"/>
          <w:szCs w:val="16"/>
          <w:lang w:val="en-GB"/>
        </w:rPr>
        <w:footnoteRef/>
      </w:r>
      <w:r w:rsidRPr="00031504">
        <w:rPr>
          <w:rFonts w:ascii="Arial" w:hAnsi="Arial" w:cs="Arial"/>
          <w:sz w:val="16"/>
          <w:szCs w:val="16"/>
          <w:lang w:val="en-GB"/>
        </w:rPr>
        <w:t xml:space="preserve"> Conference of the Parties, Report of the Conference of the Parties on its Twentieth Session, UN Doc. FCCC/CP/2014/10/Add.1, (2014), p. 6.</w:t>
      </w:r>
    </w:p>
  </w:footnote>
  <w:footnote w:id="22">
    <w:p w14:paraId="32961699" w14:textId="76A006A3" w:rsidR="0082101F" w:rsidRPr="00031504" w:rsidRDefault="0082101F" w:rsidP="0082101F">
      <w:pPr>
        <w:pStyle w:val="FootnoteText"/>
        <w:jc w:val="both"/>
        <w:rPr>
          <w:rFonts w:ascii="Arial" w:hAnsi="Arial" w:cs="Arial"/>
          <w:sz w:val="16"/>
          <w:szCs w:val="16"/>
        </w:rPr>
      </w:pPr>
      <w:r w:rsidRPr="00031504">
        <w:rPr>
          <w:rStyle w:val="FootnoteReference"/>
          <w:rFonts w:ascii="Arial" w:hAnsi="Arial" w:cs="Arial"/>
          <w:sz w:val="16"/>
          <w:szCs w:val="16"/>
        </w:rPr>
        <w:footnoteRef/>
      </w:r>
      <w:r w:rsidRPr="00031504">
        <w:rPr>
          <w:rFonts w:ascii="Arial" w:hAnsi="Arial" w:cs="Arial"/>
          <w:sz w:val="16"/>
          <w:szCs w:val="16"/>
        </w:rPr>
        <w:t xml:space="preserve"> See: FAO, IFAD, UNICEF, WFP and WHO, </w:t>
      </w:r>
      <w:r w:rsidRPr="00031504">
        <w:rPr>
          <w:rFonts w:ascii="Arial" w:hAnsi="Arial" w:cs="Arial"/>
          <w:i/>
          <w:iCs/>
          <w:sz w:val="16"/>
          <w:szCs w:val="16"/>
        </w:rPr>
        <w:t xml:space="preserve">The State of Food Security and Nutrition in the World 2021, </w:t>
      </w:r>
      <w:r w:rsidRPr="00031504">
        <w:rPr>
          <w:rFonts w:ascii="Arial" w:hAnsi="Arial" w:cs="Arial"/>
          <w:sz w:val="16"/>
          <w:szCs w:val="16"/>
        </w:rPr>
        <w:t>p. 65</w:t>
      </w:r>
    </w:p>
  </w:footnote>
  <w:footnote w:id="23">
    <w:p w14:paraId="5C9AA9C9" w14:textId="77777777" w:rsidR="007A513C" w:rsidRPr="00031504" w:rsidRDefault="007A513C" w:rsidP="007A513C">
      <w:pPr>
        <w:pStyle w:val="FootnoteText"/>
        <w:jc w:val="both"/>
        <w:rPr>
          <w:rFonts w:ascii="Arial" w:hAnsi="Arial" w:cs="Arial"/>
          <w:sz w:val="16"/>
          <w:szCs w:val="16"/>
          <w:lang w:val="en-GB"/>
        </w:rPr>
      </w:pPr>
      <w:r w:rsidRPr="00031504">
        <w:rPr>
          <w:rStyle w:val="FootnoteReference"/>
          <w:rFonts w:ascii="Arial" w:hAnsi="Arial" w:cs="Arial"/>
          <w:sz w:val="16"/>
          <w:szCs w:val="16"/>
        </w:rPr>
        <w:footnoteRef/>
      </w:r>
      <w:r w:rsidRPr="00031504">
        <w:rPr>
          <w:rFonts w:ascii="Arial" w:hAnsi="Arial" w:cs="Arial"/>
          <w:sz w:val="16"/>
          <w:szCs w:val="16"/>
          <w:lang w:val="en-GB"/>
        </w:rPr>
        <w:t xml:space="preserve"> Adrian J. Bradbrook and Judith G. Gardam, Human Rights Quarterly, Vol. 28, No. 2 (May, 2006), pp. 389-415</w:t>
      </w:r>
    </w:p>
  </w:footnote>
  <w:footnote w:id="24">
    <w:p w14:paraId="3470790F" w14:textId="77777777" w:rsidR="007A513C" w:rsidRPr="00031504" w:rsidRDefault="007A513C" w:rsidP="007A513C">
      <w:pPr>
        <w:pStyle w:val="FootnoteText"/>
        <w:jc w:val="both"/>
        <w:rPr>
          <w:rFonts w:ascii="Arial" w:hAnsi="Arial" w:cs="Arial"/>
          <w:sz w:val="16"/>
          <w:szCs w:val="16"/>
          <w:lang w:val="en-GB"/>
        </w:rPr>
      </w:pPr>
      <w:r w:rsidRPr="00031504">
        <w:rPr>
          <w:rStyle w:val="FootnoteReference"/>
          <w:rFonts w:ascii="Arial" w:hAnsi="Arial" w:cs="Arial"/>
          <w:sz w:val="16"/>
          <w:szCs w:val="16"/>
        </w:rPr>
        <w:footnoteRef/>
      </w:r>
      <w:r w:rsidRPr="00031504">
        <w:rPr>
          <w:rFonts w:ascii="Arial" w:hAnsi="Arial" w:cs="Arial"/>
          <w:sz w:val="16"/>
          <w:szCs w:val="16"/>
          <w:lang w:val="en-GB"/>
        </w:rPr>
        <w:t xml:space="preserve"> Business and Human Rights Resource Centre, Renewable Energy Risking Rights &amp; Returns: An analysis of solar, bioenergy and geothermal companies’ human rights commitments, September 2018 in </w:t>
      </w:r>
      <w:hyperlink r:id="rId15" w:history="1">
        <w:r w:rsidRPr="00031504">
          <w:rPr>
            <w:rStyle w:val="Hyperlink"/>
            <w:rFonts w:ascii="Arial" w:hAnsi="Arial" w:cs="Arial"/>
            <w:color w:val="auto"/>
            <w:sz w:val="16"/>
            <w:szCs w:val="16"/>
            <w:lang w:val="en-GB"/>
          </w:rPr>
          <w:t>https://www.business-humanrights.org/sites/default/files/Solar%2C%20Bioenergy%2C%20Geothermal%20Briefing%20-%20Final_0.pdf</w:t>
        </w:r>
      </w:hyperlink>
      <w:r w:rsidRPr="00031504">
        <w:rPr>
          <w:rFonts w:ascii="Arial" w:hAnsi="Arial" w:cs="Arial"/>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C919E" w14:textId="7422D643" w:rsidR="006F1D3C" w:rsidRDefault="00075AEC">
    <w:pPr>
      <w:pStyle w:val="Header"/>
      <w:rPr>
        <w:noProof/>
        <w:lang w:val="en-IN" w:eastAsia="en-IN"/>
      </w:rPr>
    </w:pPr>
    <w:r w:rsidRPr="0078487A">
      <w:rPr>
        <w:noProof/>
        <w:lang w:val="en-GB" w:eastAsia="ko-KR"/>
      </w:rPr>
      <w:drawing>
        <wp:anchor distT="0" distB="0" distL="114300" distR="114300" simplePos="0" relativeHeight="251659264" behindDoc="0" locked="0" layoutInCell="1" allowOverlap="1" wp14:anchorId="7782B103" wp14:editId="278B3BE3">
          <wp:simplePos x="0" y="0"/>
          <wp:positionH relativeFrom="margin">
            <wp:align>center</wp:align>
          </wp:positionH>
          <wp:positionV relativeFrom="topMargin">
            <wp:posOffset>459326</wp:posOffset>
          </wp:positionV>
          <wp:extent cx="1200150" cy="676910"/>
          <wp:effectExtent l="0" t="0" r="0" b="8890"/>
          <wp:wrapSquare wrapText="bothSides"/>
          <wp:docPr id="15" name="Picture 2" descr="Logo South Centre 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outh Centre Ver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0150" cy="676910"/>
                  </a:xfrm>
                  <a:prstGeom prst="rect">
                    <a:avLst/>
                  </a:prstGeom>
                  <a:noFill/>
                  <a:ln>
                    <a:noFill/>
                  </a:ln>
                </pic:spPr>
              </pic:pic>
            </a:graphicData>
          </a:graphic>
        </wp:anchor>
      </w:drawing>
    </w:r>
  </w:p>
  <w:p w14:paraId="4563EE86" w14:textId="68609E6F" w:rsidR="006F1D3C" w:rsidRDefault="006F1D3C">
    <w:pPr>
      <w:pStyle w:val="Header"/>
      <w:rPr>
        <w:noProof/>
        <w:lang w:val="en-IN" w:eastAsia="en-IN"/>
      </w:rPr>
    </w:pPr>
  </w:p>
  <w:p w14:paraId="2E9F8817" w14:textId="437B38D3" w:rsidR="006F1D3C" w:rsidRDefault="006F1D3C">
    <w:pPr>
      <w:pStyle w:val="Header"/>
      <w:rPr>
        <w:noProof/>
        <w:lang w:val="en-IN" w:eastAsia="en-IN"/>
      </w:rPr>
    </w:pPr>
  </w:p>
  <w:p w14:paraId="79099C3D" w14:textId="77777777" w:rsidR="006F1D3C" w:rsidRDefault="006F1D3C">
    <w:pPr>
      <w:pStyle w:val="Header"/>
      <w:rPr>
        <w:noProof/>
        <w:lang w:val="en-IN" w:eastAsia="en-IN"/>
      </w:rPr>
    </w:pPr>
  </w:p>
  <w:p w14:paraId="7190B9C4" w14:textId="0F4CD0F5" w:rsidR="006F1D3C" w:rsidRDefault="006F1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1A53"/>
    <w:multiLevelType w:val="multilevel"/>
    <w:tmpl w:val="5586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9537B"/>
    <w:multiLevelType w:val="multilevel"/>
    <w:tmpl w:val="B136F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18C4FD6"/>
    <w:multiLevelType w:val="hybridMultilevel"/>
    <w:tmpl w:val="2A02E9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0A619DE"/>
    <w:multiLevelType w:val="multilevel"/>
    <w:tmpl w:val="1DC0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9B1C9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3NDcxMzUEQktzMyUdpeDU4uLM/DyQAotaAALFr0YsAAAA"/>
  </w:docVars>
  <w:rsids>
    <w:rsidRoot w:val="008A2C2A"/>
    <w:rsid w:val="000027C3"/>
    <w:rsid w:val="000036A2"/>
    <w:rsid w:val="00010FFD"/>
    <w:rsid w:val="00025A91"/>
    <w:rsid w:val="0002794F"/>
    <w:rsid w:val="00030E4A"/>
    <w:rsid w:val="00031504"/>
    <w:rsid w:val="00032889"/>
    <w:rsid w:val="00033BB6"/>
    <w:rsid w:val="000351C0"/>
    <w:rsid w:val="00035D7D"/>
    <w:rsid w:val="00040710"/>
    <w:rsid w:val="00042BE5"/>
    <w:rsid w:val="00050981"/>
    <w:rsid w:val="00056750"/>
    <w:rsid w:val="00060EEF"/>
    <w:rsid w:val="00061317"/>
    <w:rsid w:val="0006274A"/>
    <w:rsid w:val="00063381"/>
    <w:rsid w:val="00065557"/>
    <w:rsid w:val="0007073F"/>
    <w:rsid w:val="00073E2B"/>
    <w:rsid w:val="0007433D"/>
    <w:rsid w:val="00075AEC"/>
    <w:rsid w:val="0007782C"/>
    <w:rsid w:val="000A494F"/>
    <w:rsid w:val="000A4E37"/>
    <w:rsid w:val="000A7B85"/>
    <w:rsid w:val="000B2B6D"/>
    <w:rsid w:val="000C041D"/>
    <w:rsid w:val="000C042C"/>
    <w:rsid w:val="000C668F"/>
    <w:rsid w:val="000C6DA6"/>
    <w:rsid w:val="000D0ECB"/>
    <w:rsid w:val="000D11A3"/>
    <w:rsid w:val="000D2798"/>
    <w:rsid w:val="000D69BE"/>
    <w:rsid w:val="000E0835"/>
    <w:rsid w:val="000F08FF"/>
    <w:rsid w:val="00101699"/>
    <w:rsid w:val="00105CDC"/>
    <w:rsid w:val="001136D3"/>
    <w:rsid w:val="0011380C"/>
    <w:rsid w:val="00120B75"/>
    <w:rsid w:val="00124B9E"/>
    <w:rsid w:val="00126E31"/>
    <w:rsid w:val="00130A0A"/>
    <w:rsid w:val="00133E55"/>
    <w:rsid w:val="0014518F"/>
    <w:rsid w:val="00147AF6"/>
    <w:rsid w:val="001515CD"/>
    <w:rsid w:val="001531E6"/>
    <w:rsid w:val="0015499A"/>
    <w:rsid w:val="00155469"/>
    <w:rsid w:val="00156955"/>
    <w:rsid w:val="00156F37"/>
    <w:rsid w:val="00160584"/>
    <w:rsid w:val="00163246"/>
    <w:rsid w:val="00170CA0"/>
    <w:rsid w:val="001724BB"/>
    <w:rsid w:val="00181226"/>
    <w:rsid w:val="00184BDA"/>
    <w:rsid w:val="00184ED3"/>
    <w:rsid w:val="00192171"/>
    <w:rsid w:val="00192275"/>
    <w:rsid w:val="001926AE"/>
    <w:rsid w:val="00195461"/>
    <w:rsid w:val="00196342"/>
    <w:rsid w:val="0019695E"/>
    <w:rsid w:val="001A0715"/>
    <w:rsid w:val="001B6652"/>
    <w:rsid w:val="001B6FF8"/>
    <w:rsid w:val="001B7D91"/>
    <w:rsid w:val="001C1FE1"/>
    <w:rsid w:val="001C603D"/>
    <w:rsid w:val="001D2780"/>
    <w:rsid w:val="001D380B"/>
    <w:rsid w:val="001D5675"/>
    <w:rsid w:val="001E208F"/>
    <w:rsid w:val="001E50CF"/>
    <w:rsid w:val="00212635"/>
    <w:rsid w:val="00217BAA"/>
    <w:rsid w:val="00220A93"/>
    <w:rsid w:val="00220FBE"/>
    <w:rsid w:val="00221C94"/>
    <w:rsid w:val="00224FE0"/>
    <w:rsid w:val="00226D03"/>
    <w:rsid w:val="002315FF"/>
    <w:rsid w:val="00237BAC"/>
    <w:rsid w:val="00242668"/>
    <w:rsid w:val="00242F98"/>
    <w:rsid w:val="00252D83"/>
    <w:rsid w:val="00260FDC"/>
    <w:rsid w:val="00265DF1"/>
    <w:rsid w:val="002667D0"/>
    <w:rsid w:val="00270959"/>
    <w:rsid w:val="00271D99"/>
    <w:rsid w:val="00272EBD"/>
    <w:rsid w:val="00273B0B"/>
    <w:rsid w:val="00276AF7"/>
    <w:rsid w:val="00281E84"/>
    <w:rsid w:val="002A0309"/>
    <w:rsid w:val="002A0DD5"/>
    <w:rsid w:val="002B0118"/>
    <w:rsid w:val="002B0D46"/>
    <w:rsid w:val="002B3762"/>
    <w:rsid w:val="002C2308"/>
    <w:rsid w:val="002C7D3D"/>
    <w:rsid w:val="002D0833"/>
    <w:rsid w:val="002D0AD4"/>
    <w:rsid w:val="002D693E"/>
    <w:rsid w:val="002F0335"/>
    <w:rsid w:val="002F283C"/>
    <w:rsid w:val="002F332B"/>
    <w:rsid w:val="002F4D94"/>
    <w:rsid w:val="002F51AC"/>
    <w:rsid w:val="002F75F9"/>
    <w:rsid w:val="003016E3"/>
    <w:rsid w:val="00302E31"/>
    <w:rsid w:val="00302FE8"/>
    <w:rsid w:val="00304DF8"/>
    <w:rsid w:val="003243C1"/>
    <w:rsid w:val="00336814"/>
    <w:rsid w:val="00336CDB"/>
    <w:rsid w:val="003467A0"/>
    <w:rsid w:val="0034754E"/>
    <w:rsid w:val="00357BAD"/>
    <w:rsid w:val="0036111F"/>
    <w:rsid w:val="00361F2B"/>
    <w:rsid w:val="0036250B"/>
    <w:rsid w:val="00363571"/>
    <w:rsid w:val="00364947"/>
    <w:rsid w:val="00366B8D"/>
    <w:rsid w:val="003700D9"/>
    <w:rsid w:val="0037031E"/>
    <w:rsid w:val="00372C70"/>
    <w:rsid w:val="00372CD1"/>
    <w:rsid w:val="003808A5"/>
    <w:rsid w:val="003816F6"/>
    <w:rsid w:val="00387943"/>
    <w:rsid w:val="00393B7E"/>
    <w:rsid w:val="00394254"/>
    <w:rsid w:val="00395F6D"/>
    <w:rsid w:val="00396578"/>
    <w:rsid w:val="00396D19"/>
    <w:rsid w:val="003B0CA2"/>
    <w:rsid w:val="003B405D"/>
    <w:rsid w:val="003B5B22"/>
    <w:rsid w:val="003B718C"/>
    <w:rsid w:val="003B7CE5"/>
    <w:rsid w:val="003C21D9"/>
    <w:rsid w:val="003C4D7F"/>
    <w:rsid w:val="003D1319"/>
    <w:rsid w:val="003D6830"/>
    <w:rsid w:val="003E4822"/>
    <w:rsid w:val="003F14BB"/>
    <w:rsid w:val="003F4DF0"/>
    <w:rsid w:val="003F4FC1"/>
    <w:rsid w:val="003F6754"/>
    <w:rsid w:val="00400593"/>
    <w:rsid w:val="0040135D"/>
    <w:rsid w:val="00402DF4"/>
    <w:rsid w:val="00402E89"/>
    <w:rsid w:val="004075BC"/>
    <w:rsid w:val="004078A7"/>
    <w:rsid w:val="004110A1"/>
    <w:rsid w:val="00411325"/>
    <w:rsid w:val="0041191B"/>
    <w:rsid w:val="0041357C"/>
    <w:rsid w:val="00416635"/>
    <w:rsid w:val="00426B5A"/>
    <w:rsid w:val="00442000"/>
    <w:rsid w:val="0044713D"/>
    <w:rsid w:val="00451A4C"/>
    <w:rsid w:val="00454563"/>
    <w:rsid w:val="00454C46"/>
    <w:rsid w:val="00455FD4"/>
    <w:rsid w:val="004617DB"/>
    <w:rsid w:val="004633DF"/>
    <w:rsid w:val="0046437D"/>
    <w:rsid w:val="00473B19"/>
    <w:rsid w:val="0048282A"/>
    <w:rsid w:val="004858D1"/>
    <w:rsid w:val="00486F5E"/>
    <w:rsid w:val="00491DD7"/>
    <w:rsid w:val="00491E5E"/>
    <w:rsid w:val="00493CA0"/>
    <w:rsid w:val="004A0B60"/>
    <w:rsid w:val="004A515C"/>
    <w:rsid w:val="004A5ABA"/>
    <w:rsid w:val="004A7CBD"/>
    <w:rsid w:val="004B3AD9"/>
    <w:rsid w:val="004B4690"/>
    <w:rsid w:val="004C0800"/>
    <w:rsid w:val="004C198E"/>
    <w:rsid w:val="004D122F"/>
    <w:rsid w:val="004D20C5"/>
    <w:rsid w:val="004D7FF1"/>
    <w:rsid w:val="004E1F1D"/>
    <w:rsid w:val="004E2417"/>
    <w:rsid w:val="004F02CA"/>
    <w:rsid w:val="004F1374"/>
    <w:rsid w:val="00501D73"/>
    <w:rsid w:val="00503410"/>
    <w:rsid w:val="00505C9D"/>
    <w:rsid w:val="0051299B"/>
    <w:rsid w:val="00516499"/>
    <w:rsid w:val="0052494C"/>
    <w:rsid w:val="00525802"/>
    <w:rsid w:val="00531FC4"/>
    <w:rsid w:val="0054154B"/>
    <w:rsid w:val="00544366"/>
    <w:rsid w:val="0054499D"/>
    <w:rsid w:val="005470DC"/>
    <w:rsid w:val="005535CA"/>
    <w:rsid w:val="0055366D"/>
    <w:rsid w:val="00565B4F"/>
    <w:rsid w:val="00567B13"/>
    <w:rsid w:val="00571518"/>
    <w:rsid w:val="00580712"/>
    <w:rsid w:val="00582BC2"/>
    <w:rsid w:val="00584C11"/>
    <w:rsid w:val="005862B9"/>
    <w:rsid w:val="005977D3"/>
    <w:rsid w:val="005A01EA"/>
    <w:rsid w:val="005A2ACE"/>
    <w:rsid w:val="005A402E"/>
    <w:rsid w:val="005A55E8"/>
    <w:rsid w:val="005B570D"/>
    <w:rsid w:val="005C0996"/>
    <w:rsid w:val="005D0D6B"/>
    <w:rsid w:val="005D7560"/>
    <w:rsid w:val="005F54F1"/>
    <w:rsid w:val="006021FB"/>
    <w:rsid w:val="006038AD"/>
    <w:rsid w:val="00621743"/>
    <w:rsid w:val="0062324D"/>
    <w:rsid w:val="00625910"/>
    <w:rsid w:val="00632D45"/>
    <w:rsid w:val="00650D0E"/>
    <w:rsid w:val="00665C1B"/>
    <w:rsid w:val="0068588D"/>
    <w:rsid w:val="00686B4B"/>
    <w:rsid w:val="00697716"/>
    <w:rsid w:val="006A6BB4"/>
    <w:rsid w:val="006A77C0"/>
    <w:rsid w:val="006B1DC0"/>
    <w:rsid w:val="006B1FB6"/>
    <w:rsid w:val="006D1540"/>
    <w:rsid w:val="006D43FA"/>
    <w:rsid w:val="006D7157"/>
    <w:rsid w:val="006D7944"/>
    <w:rsid w:val="006E2217"/>
    <w:rsid w:val="006E2316"/>
    <w:rsid w:val="006E4F10"/>
    <w:rsid w:val="006F1D3C"/>
    <w:rsid w:val="006F37D4"/>
    <w:rsid w:val="00703EF6"/>
    <w:rsid w:val="00705294"/>
    <w:rsid w:val="00706540"/>
    <w:rsid w:val="007070B2"/>
    <w:rsid w:val="00707B65"/>
    <w:rsid w:val="007126E2"/>
    <w:rsid w:val="00712706"/>
    <w:rsid w:val="0071358E"/>
    <w:rsid w:val="00715ACA"/>
    <w:rsid w:val="007212FD"/>
    <w:rsid w:val="00726AF6"/>
    <w:rsid w:val="00726BD0"/>
    <w:rsid w:val="007303E9"/>
    <w:rsid w:val="00734183"/>
    <w:rsid w:val="0073755E"/>
    <w:rsid w:val="00743363"/>
    <w:rsid w:val="00754387"/>
    <w:rsid w:val="00764E1F"/>
    <w:rsid w:val="007677D2"/>
    <w:rsid w:val="00775020"/>
    <w:rsid w:val="00775E53"/>
    <w:rsid w:val="00777832"/>
    <w:rsid w:val="00781C07"/>
    <w:rsid w:val="007959BF"/>
    <w:rsid w:val="007A0423"/>
    <w:rsid w:val="007A513C"/>
    <w:rsid w:val="007B09DF"/>
    <w:rsid w:val="007B1A5E"/>
    <w:rsid w:val="007C1222"/>
    <w:rsid w:val="007C67B0"/>
    <w:rsid w:val="007D25AE"/>
    <w:rsid w:val="007D32EE"/>
    <w:rsid w:val="007E2746"/>
    <w:rsid w:val="007F22ED"/>
    <w:rsid w:val="007F3D18"/>
    <w:rsid w:val="007F4A19"/>
    <w:rsid w:val="00804066"/>
    <w:rsid w:val="008115BE"/>
    <w:rsid w:val="00813717"/>
    <w:rsid w:val="00813FD7"/>
    <w:rsid w:val="0082101F"/>
    <w:rsid w:val="00822FEF"/>
    <w:rsid w:val="00823807"/>
    <w:rsid w:val="00823AE9"/>
    <w:rsid w:val="008246DD"/>
    <w:rsid w:val="00824C9A"/>
    <w:rsid w:val="0083788F"/>
    <w:rsid w:val="00842F58"/>
    <w:rsid w:val="00854499"/>
    <w:rsid w:val="00857000"/>
    <w:rsid w:val="00867746"/>
    <w:rsid w:val="00871DB6"/>
    <w:rsid w:val="00876807"/>
    <w:rsid w:val="00877AF7"/>
    <w:rsid w:val="0088040E"/>
    <w:rsid w:val="00881B15"/>
    <w:rsid w:val="00884EF5"/>
    <w:rsid w:val="008A2C2A"/>
    <w:rsid w:val="008B3A0D"/>
    <w:rsid w:val="008B7252"/>
    <w:rsid w:val="008C2A7E"/>
    <w:rsid w:val="008C4D44"/>
    <w:rsid w:val="008D0463"/>
    <w:rsid w:val="008D0DAE"/>
    <w:rsid w:val="008D30B5"/>
    <w:rsid w:val="008D7092"/>
    <w:rsid w:val="008E4352"/>
    <w:rsid w:val="008E6DBC"/>
    <w:rsid w:val="00914F7F"/>
    <w:rsid w:val="009354E1"/>
    <w:rsid w:val="00935B79"/>
    <w:rsid w:val="00942C53"/>
    <w:rsid w:val="00943D6C"/>
    <w:rsid w:val="00976839"/>
    <w:rsid w:val="0098473A"/>
    <w:rsid w:val="00985DDC"/>
    <w:rsid w:val="009916FD"/>
    <w:rsid w:val="00996912"/>
    <w:rsid w:val="00996CD4"/>
    <w:rsid w:val="009A696D"/>
    <w:rsid w:val="009B1C9A"/>
    <w:rsid w:val="009C4A24"/>
    <w:rsid w:val="009C6110"/>
    <w:rsid w:val="009C633B"/>
    <w:rsid w:val="009D299E"/>
    <w:rsid w:val="009D30DC"/>
    <w:rsid w:val="009D5604"/>
    <w:rsid w:val="009E3008"/>
    <w:rsid w:val="009E69CA"/>
    <w:rsid w:val="009F1B87"/>
    <w:rsid w:val="00A009E9"/>
    <w:rsid w:val="00A0234C"/>
    <w:rsid w:val="00A24553"/>
    <w:rsid w:val="00A31222"/>
    <w:rsid w:val="00A36130"/>
    <w:rsid w:val="00A441D1"/>
    <w:rsid w:val="00A51DDA"/>
    <w:rsid w:val="00A672D4"/>
    <w:rsid w:val="00A83FD4"/>
    <w:rsid w:val="00A86958"/>
    <w:rsid w:val="00A87CFB"/>
    <w:rsid w:val="00A908C1"/>
    <w:rsid w:val="00A94121"/>
    <w:rsid w:val="00A95671"/>
    <w:rsid w:val="00AA24B2"/>
    <w:rsid w:val="00AB3938"/>
    <w:rsid w:val="00AC2CAC"/>
    <w:rsid w:val="00AD44F0"/>
    <w:rsid w:val="00AD5AE1"/>
    <w:rsid w:val="00AE61D1"/>
    <w:rsid w:val="00AF37D6"/>
    <w:rsid w:val="00AF7060"/>
    <w:rsid w:val="00B00212"/>
    <w:rsid w:val="00B02147"/>
    <w:rsid w:val="00B21CBA"/>
    <w:rsid w:val="00B279AF"/>
    <w:rsid w:val="00B37765"/>
    <w:rsid w:val="00B46D8F"/>
    <w:rsid w:val="00B50492"/>
    <w:rsid w:val="00B52DA6"/>
    <w:rsid w:val="00B66077"/>
    <w:rsid w:val="00B83CAD"/>
    <w:rsid w:val="00B86626"/>
    <w:rsid w:val="00B925D6"/>
    <w:rsid w:val="00B939E1"/>
    <w:rsid w:val="00BA1C57"/>
    <w:rsid w:val="00BA3B32"/>
    <w:rsid w:val="00BA7B98"/>
    <w:rsid w:val="00BB1B67"/>
    <w:rsid w:val="00BB6D05"/>
    <w:rsid w:val="00BC0024"/>
    <w:rsid w:val="00BC071C"/>
    <w:rsid w:val="00BC331A"/>
    <w:rsid w:val="00BD68D8"/>
    <w:rsid w:val="00BD75E2"/>
    <w:rsid w:val="00BE3905"/>
    <w:rsid w:val="00BF1669"/>
    <w:rsid w:val="00BF2E13"/>
    <w:rsid w:val="00BF45BC"/>
    <w:rsid w:val="00BF6006"/>
    <w:rsid w:val="00C1076C"/>
    <w:rsid w:val="00C123C5"/>
    <w:rsid w:val="00C15F19"/>
    <w:rsid w:val="00C1671D"/>
    <w:rsid w:val="00C33D8D"/>
    <w:rsid w:val="00C36398"/>
    <w:rsid w:val="00C3702C"/>
    <w:rsid w:val="00C442B7"/>
    <w:rsid w:val="00C443A1"/>
    <w:rsid w:val="00C51442"/>
    <w:rsid w:val="00C57C36"/>
    <w:rsid w:val="00C75E8B"/>
    <w:rsid w:val="00C82366"/>
    <w:rsid w:val="00C82E02"/>
    <w:rsid w:val="00C8328B"/>
    <w:rsid w:val="00C84378"/>
    <w:rsid w:val="00C91233"/>
    <w:rsid w:val="00CA131D"/>
    <w:rsid w:val="00CB0574"/>
    <w:rsid w:val="00CB2137"/>
    <w:rsid w:val="00CB46FD"/>
    <w:rsid w:val="00CB56E3"/>
    <w:rsid w:val="00CC2C7D"/>
    <w:rsid w:val="00CC5A8A"/>
    <w:rsid w:val="00CC6EC1"/>
    <w:rsid w:val="00CC754F"/>
    <w:rsid w:val="00CD182A"/>
    <w:rsid w:val="00CD5A7B"/>
    <w:rsid w:val="00CF3D43"/>
    <w:rsid w:val="00CF47CE"/>
    <w:rsid w:val="00CF586C"/>
    <w:rsid w:val="00D021AB"/>
    <w:rsid w:val="00D021C8"/>
    <w:rsid w:val="00D059FA"/>
    <w:rsid w:val="00D063A9"/>
    <w:rsid w:val="00D13F41"/>
    <w:rsid w:val="00D15BF6"/>
    <w:rsid w:val="00D206D4"/>
    <w:rsid w:val="00D3756D"/>
    <w:rsid w:val="00D6230D"/>
    <w:rsid w:val="00D63A15"/>
    <w:rsid w:val="00D6529E"/>
    <w:rsid w:val="00D6631D"/>
    <w:rsid w:val="00D74419"/>
    <w:rsid w:val="00D83735"/>
    <w:rsid w:val="00D84020"/>
    <w:rsid w:val="00D97451"/>
    <w:rsid w:val="00DB0797"/>
    <w:rsid w:val="00DB1392"/>
    <w:rsid w:val="00DC1C97"/>
    <w:rsid w:val="00DC1EA5"/>
    <w:rsid w:val="00DC4A45"/>
    <w:rsid w:val="00DC65D9"/>
    <w:rsid w:val="00DC7AA1"/>
    <w:rsid w:val="00DD1C50"/>
    <w:rsid w:val="00DE4DE8"/>
    <w:rsid w:val="00DE773D"/>
    <w:rsid w:val="00DF56F1"/>
    <w:rsid w:val="00DF5B96"/>
    <w:rsid w:val="00DF5EED"/>
    <w:rsid w:val="00E01435"/>
    <w:rsid w:val="00E05479"/>
    <w:rsid w:val="00E3307B"/>
    <w:rsid w:val="00E3512A"/>
    <w:rsid w:val="00E373B3"/>
    <w:rsid w:val="00E528C1"/>
    <w:rsid w:val="00E5415B"/>
    <w:rsid w:val="00E61EB1"/>
    <w:rsid w:val="00E62741"/>
    <w:rsid w:val="00E6293B"/>
    <w:rsid w:val="00E740CB"/>
    <w:rsid w:val="00E74793"/>
    <w:rsid w:val="00E752CD"/>
    <w:rsid w:val="00E77526"/>
    <w:rsid w:val="00E953BF"/>
    <w:rsid w:val="00EA5FE7"/>
    <w:rsid w:val="00EB4DDA"/>
    <w:rsid w:val="00EB68ED"/>
    <w:rsid w:val="00ED145E"/>
    <w:rsid w:val="00ED7232"/>
    <w:rsid w:val="00EE4819"/>
    <w:rsid w:val="00EF2459"/>
    <w:rsid w:val="00F01F5B"/>
    <w:rsid w:val="00F122C6"/>
    <w:rsid w:val="00F22BE2"/>
    <w:rsid w:val="00F27CD7"/>
    <w:rsid w:val="00F3248D"/>
    <w:rsid w:val="00F34A6D"/>
    <w:rsid w:val="00F40943"/>
    <w:rsid w:val="00F42908"/>
    <w:rsid w:val="00F447E6"/>
    <w:rsid w:val="00F529EF"/>
    <w:rsid w:val="00F52C3D"/>
    <w:rsid w:val="00F64581"/>
    <w:rsid w:val="00F6481C"/>
    <w:rsid w:val="00F67F43"/>
    <w:rsid w:val="00F7485C"/>
    <w:rsid w:val="00F74B05"/>
    <w:rsid w:val="00F7787F"/>
    <w:rsid w:val="00F77BD6"/>
    <w:rsid w:val="00F81AA9"/>
    <w:rsid w:val="00F843C5"/>
    <w:rsid w:val="00F90800"/>
    <w:rsid w:val="00F91DDF"/>
    <w:rsid w:val="00F955D2"/>
    <w:rsid w:val="00FA2C7F"/>
    <w:rsid w:val="00FA33AE"/>
    <w:rsid w:val="00FB136B"/>
    <w:rsid w:val="00FB1E3D"/>
    <w:rsid w:val="00FB62F9"/>
    <w:rsid w:val="00FB7A28"/>
    <w:rsid w:val="00FC2BC5"/>
    <w:rsid w:val="00FC61F6"/>
    <w:rsid w:val="00FC7268"/>
    <w:rsid w:val="00FE6F47"/>
    <w:rsid w:val="00FE7575"/>
    <w:rsid w:val="00FF68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ACA2DB0"/>
  <w15:chartTrackingRefBased/>
  <w15:docId w15:val="{4DCCF303-5D06-4012-A233-026D98F5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0DC"/>
  </w:style>
  <w:style w:type="paragraph" w:styleId="Heading1">
    <w:name w:val="heading 1"/>
    <w:basedOn w:val="Normal"/>
    <w:next w:val="Normal"/>
    <w:link w:val="Heading1Char"/>
    <w:uiPriority w:val="9"/>
    <w:qFormat/>
    <w:rsid w:val="00C442B7"/>
    <w:pPr>
      <w:keepNext/>
      <w:keepLines/>
      <w:spacing w:before="240" w:after="0"/>
      <w:outlineLvl w:val="0"/>
    </w:pPr>
    <w:rPr>
      <w:rFonts w:asciiTheme="majorHAnsi" w:eastAsiaTheme="majorEastAsia" w:hAnsiTheme="majorHAnsi" w:cstheme="majorBidi"/>
      <w:color w:val="2F5496" w:themeColor="accent1" w:themeShade="BF"/>
      <w:sz w:val="32"/>
      <w:szCs w:val="32"/>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fn,footnote text,Footnotes,Footnote ak, Car, Car Car Car,Note de bas de page Car,fn Car,footnote text Car,Footnotes Car,Footnote ak Car,FOOTNOTES Car,single space Car,Note de bas de page Car Car,Note de bas de page Car1,fn Car Car,Car"/>
    <w:basedOn w:val="Normal"/>
    <w:link w:val="FootnoteTextChar"/>
    <w:uiPriority w:val="99"/>
    <w:unhideWhenUsed/>
    <w:qFormat/>
    <w:rsid w:val="004A5ABA"/>
    <w:pPr>
      <w:spacing w:after="0" w:line="240" w:lineRule="auto"/>
    </w:pPr>
    <w:rPr>
      <w:sz w:val="20"/>
      <w:szCs w:val="20"/>
    </w:rPr>
  </w:style>
  <w:style w:type="character" w:customStyle="1" w:styleId="FootnoteTextChar">
    <w:name w:val="Footnote Text Char"/>
    <w:aliases w:val="5_G Char,fn Char,footnote text Char,Footnotes Char,Footnote ak Char, Car Char, Car Car Car Char,Note de bas de page Car Char,fn Car Char,footnote text Car Char,Footnotes Car Char,Footnote ak Car Char,FOOTNOTES Car Char,fn Car Car Char"/>
    <w:basedOn w:val="DefaultParagraphFont"/>
    <w:link w:val="FootnoteText"/>
    <w:uiPriority w:val="99"/>
    <w:qFormat/>
    <w:rsid w:val="004A5ABA"/>
    <w:rPr>
      <w:sz w:val="20"/>
      <w:szCs w:val="20"/>
    </w:rPr>
  </w:style>
  <w:style w:type="character" w:styleId="FootnoteReference">
    <w:name w:val="footnote reference"/>
    <w:aliases w:val="4_G,Ref,de nota al pie,16 Point,Superscript 6 Point,Ref. de nota de rodapé2"/>
    <w:basedOn w:val="DefaultParagraphFont"/>
    <w:uiPriority w:val="99"/>
    <w:unhideWhenUsed/>
    <w:qFormat/>
    <w:rsid w:val="004A5ABA"/>
    <w:rPr>
      <w:vertAlign w:val="superscript"/>
    </w:rPr>
  </w:style>
  <w:style w:type="character" w:styleId="Hyperlink">
    <w:name w:val="Hyperlink"/>
    <w:basedOn w:val="DefaultParagraphFont"/>
    <w:uiPriority w:val="99"/>
    <w:unhideWhenUsed/>
    <w:rsid w:val="004A5ABA"/>
    <w:rPr>
      <w:color w:val="0563C1" w:themeColor="hyperlink"/>
      <w:u w:val="single"/>
    </w:rPr>
  </w:style>
  <w:style w:type="character" w:styleId="CommentReference">
    <w:name w:val="annotation reference"/>
    <w:basedOn w:val="DefaultParagraphFont"/>
    <w:uiPriority w:val="99"/>
    <w:semiHidden/>
    <w:unhideWhenUsed/>
    <w:rsid w:val="000A494F"/>
    <w:rPr>
      <w:sz w:val="16"/>
      <w:szCs w:val="16"/>
    </w:rPr>
  </w:style>
  <w:style w:type="paragraph" w:styleId="CommentText">
    <w:name w:val="annotation text"/>
    <w:basedOn w:val="Normal"/>
    <w:link w:val="CommentTextChar"/>
    <w:uiPriority w:val="99"/>
    <w:semiHidden/>
    <w:unhideWhenUsed/>
    <w:rsid w:val="000A494F"/>
    <w:pPr>
      <w:spacing w:line="240" w:lineRule="auto"/>
    </w:pPr>
    <w:rPr>
      <w:sz w:val="20"/>
      <w:szCs w:val="20"/>
    </w:rPr>
  </w:style>
  <w:style w:type="character" w:customStyle="1" w:styleId="CommentTextChar">
    <w:name w:val="Comment Text Char"/>
    <w:basedOn w:val="DefaultParagraphFont"/>
    <w:link w:val="CommentText"/>
    <w:uiPriority w:val="99"/>
    <w:semiHidden/>
    <w:rsid w:val="000A494F"/>
    <w:rPr>
      <w:sz w:val="20"/>
      <w:szCs w:val="20"/>
    </w:rPr>
  </w:style>
  <w:style w:type="paragraph" w:styleId="CommentSubject">
    <w:name w:val="annotation subject"/>
    <w:basedOn w:val="CommentText"/>
    <w:next w:val="CommentText"/>
    <w:link w:val="CommentSubjectChar"/>
    <w:uiPriority w:val="99"/>
    <w:semiHidden/>
    <w:unhideWhenUsed/>
    <w:rsid w:val="000A494F"/>
    <w:rPr>
      <w:b/>
      <w:bCs/>
    </w:rPr>
  </w:style>
  <w:style w:type="character" w:customStyle="1" w:styleId="CommentSubjectChar">
    <w:name w:val="Comment Subject Char"/>
    <w:basedOn w:val="CommentTextChar"/>
    <w:link w:val="CommentSubject"/>
    <w:uiPriority w:val="99"/>
    <w:semiHidden/>
    <w:rsid w:val="000A494F"/>
    <w:rPr>
      <w:b/>
      <w:bCs/>
      <w:sz w:val="20"/>
      <w:szCs w:val="20"/>
    </w:rPr>
  </w:style>
  <w:style w:type="paragraph" w:styleId="BalloonText">
    <w:name w:val="Balloon Text"/>
    <w:basedOn w:val="Normal"/>
    <w:link w:val="BalloonTextChar"/>
    <w:uiPriority w:val="99"/>
    <w:semiHidden/>
    <w:unhideWhenUsed/>
    <w:rsid w:val="00F64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581"/>
    <w:rPr>
      <w:rFonts w:ascii="Segoe UI" w:hAnsi="Segoe UI" w:cs="Segoe UI"/>
      <w:sz w:val="18"/>
      <w:szCs w:val="18"/>
    </w:rPr>
  </w:style>
  <w:style w:type="paragraph" w:styleId="Header">
    <w:name w:val="header"/>
    <w:basedOn w:val="Normal"/>
    <w:link w:val="HeaderChar"/>
    <w:uiPriority w:val="99"/>
    <w:unhideWhenUsed/>
    <w:rsid w:val="00BC3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31A"/>
  </w:style>
  <w:style w:type="paragraph" w:styleId="Footer">
    <w:name w:val="footer"/>
    <w:basedOn w:val="Normal"/>
    <w:link w:val="FooterChar"/>
    <w:uiPriority w:val="99"/>
    <w:unhideWhenUsed/>
    <w:rsid w:val="00BC3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31A"/>
  </w:style>
  <w:style w:type="paragraph" w:customStyle="1" w:styleId="xmsonormal">
    <w:name w:val="x_msonormal"/>
    <w:basedOn w:val="Normal"/>
    <w:rsid w:val="0040135D"/>
    <w:pPr>
      <w:spacing w:before="100" w:beforeAutospacing="1" w:after="100" w:afterAutospacing="1" w:line="240" w:lineRule="auto"/>
    </w:pPr>
    <w:rPr>
      <w:rFonts w:ascii="Times New Roman" w:eastAsia="Times New Roman" w:hAnsi="Times New Roman" w:cs="Times New Roman"/>
      <w:szCs w:val="24"/>
      <w:lang w:val="en-IN" w:eastAsia="en-IN"/>
    </w:rPr>
  </w:style>
  <w:style w:type="character" w:customStyle="1" w:styleId="xmsofootnotereference">
    <w:name w:val="x_msofootnotereference"/>
    <w:basedOn w:val="DefaultParagraphFont"/>
    <w:rsid w:val="0040135D"/>
  </w:style>
  <w:style w:type="paragraph" w:customStyle="1" w:styleId="xmsolistparagraph">
    <w:name w:val="x_msolistparagraph"/>
    <w:basedOn w:val="Normal"/>
    <w:rsid w:val="0040135D"/>
    <w:pPr>
      <w:spacing w:before="100" w:beforeAutospacing="1" w:after="100" w:afterAutospacing="1" w:line="240" w:lineRule="auto"/>
    </w:pPr>
    <w:rPr>
      <w:rFonts w:ascii="Times New Roman" w:eastAsia="Times New Roman" w:hAnsi="Times New Roman" w:cs="Times New Roman"/>
      <w:szCs w:val="24"/>
      <w:lang w:val="en-IN" w:eastAsia="en-IN"/>
    </w:rPr>
  </w:style>
  <w:style w:type="paragraph" w:customStyle="1" w:styleId="xmsofootnotetext">
    <w:name w:val="x_msofootnotetext"/>
    <w:basedOn w:val="Normal"/>
    <w:rsid w:val="0040135D"/>
    <w:pPr>
      <w:spacing w:before="100" w:beforeAutospacing="1" w:after="100" w:afterAutospacing="1" w:line="240" w:lineRule="auto"/>
    </w:pPr>
    <w:rPr>
      <w:rFonts w:ascii="Times New Roman" w:eastAsia="Times New Roman" w:hAnsi="Times New Roman" w:cs="Times New Roman"/>
      <w:szCs w:val="24"/>
      <w:lang w:val="en-IN" w:eastAsia="en-IN"/>
    </w:rPr>
  </w:style>
  <w:style w:type="paragraph" w:styleId="NormalWeb">
    <w:name w:val="Normal (Web)"/>
    <w:basedOn w:val="Normal"/>
    <w:uiPriority w:val="99"/>
    <w:unhideWhenUsed/>
    <w:rsid w:val="00734183"/>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aliases w:val="References,List Paragraph2,List Paragraph (numbered (a)),Text,Citation List,Bullets,List Paragraph nowy"/>
    <w:basedOn w:val="Normal"/>
    <w:link w:val="ListParagraphChar"/>
    <w:uiPriority w:val="34"/>
    <w:qFormat/>
    <w:rsid w:val="0046437D"/>
    <w:pPr>
      <w:ind w:left="720"/>
      <w:contextualSpacing/>
    </w:pPr>
  </w:style>
  <w:style w:type="character" w:customStyle="1" w:styleId="ListParagraphChar">
    <w:name w:val="List Paragraph Char"/>
    <w:aliases w:val="References Char,List Paragraph2 Char,List Paragraph (numbered (a)) Char,Text Char,Citation List Char,Bullets Char,List Paragraph nowy Char"/>
    <w:link w:val="ListParagraph"/>
    <w:uiPriority w:val="34"/>
    <w:qFormat/>
    <w:rsid w:val="004D122F"/>
  </w:style>
  <w:style w:type="character" w:customStyle="1" w:styleId="Heading1Char">
    <w:name w:val="Heading 1 Char"/>
    <w:basedOn w:val="DefaultParagraphFont"/>
    <w:link w:val="Heading1"/>
    <w:uiPriority w:val="9"/>
    <w:rsid w:val="00C442B7"/>
    <w:rPr>
      <w:rFonts w:asciiTheme="majorHAnsi" w:eastAsiaTheme="majorEastAsia" w:hAnsiTheme="majorHAnsi" w:cstheme="majorBidi"/>
      <w:color w:val="2F5496" w:themeColor="accent1" w:themeShade="BF"/>
      <w:sz w:val="32"/>
      <w:szCs w:val="32"/>
      <w:lang w:val="fr-CH"/>
    </w:rPr>
  </w:style>
  <w:style w:type="character" w:customStyle="1" w:styleId="UnresolvedMention">
    <w:name w:val="Unresolved Mention"/>
    <w:basedOn w:val="DefaultParagraphFont"/>
    <w:uiPriority w:val="99"/>
    <w:semiHidden/>
    <w:unhideWhenUsed/>
    <w:rsid w:val="00871DB6"/>
    <w:rPr>
      <w:color w:val="605E5C"/>
      <w:shd w:val="clear" w:color="auto" w:fill="E1DFDD"/>
    </w:rPr>
  </w:style>
  <w:style w:type="character" w:styleId="FollowedHyperlink">
    <w:name w:val="FollowedHyperlink"/>
    <w:basedOn w:val="DefaultParagraphFont"/>
    <w:uiPriority w:val="99"/>
    <w:semiHidden/>
    <w:unhideWhenUsed/>
    <w:rsid w:val="00402E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741858">
      <w:bodyDiv w:val="1"/>
      <w:marLeft w:val="0"/>
      <w:marRight w:val="0"/>
      <w:marTop w:val="0"/>
      <w:marBottom w:val="0"/>
      <w:divBdr>
        <w:top w:val="none" w:sz="0" w:space="0" w:color="auto"/>
        <w:left w:val="none" w:sz="0" w:space="0" w:color="auto"/>
        <w:bottom w:val="none" w:sz="0" w:space="0" w:color="auto"/>
        <w:right w:val="none" w:sz="0" w:space="0" w:color="auto"/>
      </w:divBdr>
    </w:div>
    <w:div w:id="282814441">
      <w:bodyDiv w:val="1"/>
      <w:marLeft w:val="0"/>
      <w:marRight w:val="0"/>
      <w:marTop w:val="0"/>
      <w:marBottom w:val="0"/>
      <w:divBdr>
        <w:top w:val="none" w:sz="0" w:space="0" w:color="auto"/>
        <w:left w:val="none" w:sz="0" w:space="0" w:color="auto"/>
        <w:bottom w:val="none" w:sz="0" w:space="0" w:color="auto"/>
        <w:right w:val="none" w:sz="0" w:space="0" w:color="auto"/>
      </w:divBdr>
    </w:div>
    <w:div w:id="641037874">
      <w:bodyDiv w:val="1"/>
      <w:marLeft w:val="0"/>
      <w:marRight w:val="0"/>
      <w:marTop w:val="0"/>
      <w:marBottom w:val="0"/>
      <w:divBdr>
        <w:top w:val="none" w:sz="0" w:space="0" w:color="auto"/>
        <w:left w:val="none" w:sz="0" w:space="0" w:color="auto"/>
        <w:bottom w:val="none" w:sz="0" w:space="0" w:color="auto"/>
        <w:right w:val="none" w:sz="0" w:space="0" w:color="auto"/>
      </w:divBdr>
    </w:div>
    <w:div w:id="794370405">
      <w:bodyDiv w:val="1"/>
      <w:marLeft w:val="0"/>
      <w:marRight w:val="0"/>
      <w:marTop w:val="0"/>
      <w:marBottom w:val="0"/>
      <w:divBdr>
        <w:top w:val="none" w:sz="0" w:space="0" w:color="auto"/>
        <w:left w:val="none" w:sz="0" w:space="0" w:color="auto"/>
        <w:bottom w:val="none" w:sz="0" w:space="0" w:color="auto"/>
        <w:right w:val="none" w:sz="0" w:space="0" w:color="auto"/>
      </w:divBdr>
    </w:div>
    <w:div w:id="832642513">
      <w:bodyDiv w:val="1"/>
      <w:marLeft w:val="0"/>
      <w:marRight w:val="0"/>
      <w:marTop w:val="0"/>
      <w:marBottom w:val="0"/>
      <w:divBdr>
        <w:top w:val="none" w:sz="0" w:space="0" w:color="auto"/>
        <w:left w:val="none" w:sz="0" w:space="0" w:color="auto"/>
        <w:bottom w:val="none" w:sz="0" w:space="0" w:color="auto"/>
        <w:right w:val="none" w:sz="0" w:space="0" w:color="auto"/>
      </w:divBdr>
    </w:div>
    <w:div w:id="1045250018">
      <w:bodyDiv w:val="1"/>
      <w:marLeft w:val="0"/>
      <w:marRight w:val="0"/>
      <w:marTop w:val="0"/>
      <w:marBottom w:val="0"/>
      <w:divBdr>
        <w:top w:val="none" w:sz="0" w:space="0" w:color="auto"/>
        <w:left w:val="none" w:sz="0" w:space="0" w:color="auto"/>
        <w:bottom w:val="none" w:sz="0" w:space="0" w:color="auto"/>
        <w:right w:val="none" w:sz="0" w:space="0" w:color="auto"/>
      </w:divBdr>
    </w:div>
    <w:div w:id="1157066524">
      <w:bodyDiv w:val="1"/>
      <w:marLeft w:val="0"/>
      <w:marRight w:val="0"/>
      <w:marTop w:val="0"/>
      <w:marBottom w:val="0"/>
      <w:divBdr>
        <w:top w:val="none" w:sz="0" w:space="0" w:color="auto"/>
        <w:left w:val="none" w:sz="0" w:space="0" w:color="auto"/>
        <w:bottom w:val="none" w:sz="0" w:space="0" w:color="auto"/>
        <w:right w:val="none" w:sz="0" w:space="0" w:color="auto"/>
      </w:divBdr>
    </w:div>
    <w:div w:id="1185899615">
      <w:bodyDiv w:val="1"/>
      <w:marLeft w:val="0"/>
      <w:marRight w:val="0"/>
      <w:marTop w:val="0"/>
      <w:marBottom w:val="0"/>
      <w:divBdr>
        <w:top w:val="none" w:sz="0" w:space="0" w:color="auto"/>
        <w:left w:val="none" w:sz="0" w:space="0" w:color="auto"/>
        <w:bottom w:val="none" w:sz="0" w:space="0" w:color="auto"/>
        <w:right w:val="none" w:sz="0" w:space="0" w:color="auto"/>
      </w:divBdr>
    </w:div>
    <w:div w:id="1773744036">
      <w:bodyDiv w:val="1"/>
      <w:marLeft w:val="0"/>
      <w:marRight w:val="0"/>
      <w:marTop w:val="0"/>
      <w:marBottom w:val="0"/>
      <w:divBdr>
        <w:top w:val="none" w:sz="0" w:space="0" w:color="auto"/>
        <w:left w:val="none" w:sz="0" w:space="0" w:color="auto"/>
        <w:bottom w:val="none" w:sz="0" w:space="0" w:color="auto"/>
        <w:right w:val="none" w:sz="0" w:space="0" w:color="auto"/>
      </w:divBdr>
    </w:div>
    <w:div w:id="2024623232">
      <w:bodyDiv w:val="1"/>
      <w:marLeft w:val="0"/>
      <w:marRight w:val="0"/>
      <w:marTop w:val="0"/>
      <w:marBottom w:val="0"/>
      <w:divBdr>
        <w:top w:val="none" w:sz="0" w:space="0" w:color="auto"/>
        <w:left w:val="none" w:sz="0" w:space="0" w:color="auto"/>
        <w:bottom w:val="none" w:sz="0" w:space="0" w:color="auto"/>
        <w:right w:val="none" w:sz="0" w:space="0" w:color="auto"/>
      </w:divBdr>
      <w:divsChild>
        <w:div w:id="908272806">
          <w:marLeft w:val="0"/>
          <w:marRight w:val="0"/>
          <w:marTop w:val="0"/>
          <w:marBottom w:val="0"/>
          <w:divBdr>
            <w:top w:val="none" w:sz="0" w:space="0" w:color="auto"/>
            <w:left w:val="none" w:sz="0" w:space="0" w:color="auto"/>
            <w:bottom w:val="none" w:sz="0" w:space="0" w:color="auto"/>
            <w:right w:val="none" w:sz="0" w:space="0" w:color="auto"/>
          </w:divBdr>
        </w:div>
        <w:div w:id="416488674">
          <w:marLeft w:val="0"/>
          <w:marRight w:val="0"/>
          <w:marTop w:val="0"/>
          <w:marBottom w:val="0"/>
          <w:divBdr>
            <w:top w:val="none" w:sz="0" w:space="0" w:color="auto"/>
            <w:left w:val="none" w:sz="0" w:space="0" w:color="auto"/>
            <w:bottom w:val="none" w:sz="0" w:space="0" w:color="auto"/>
            <w:right w:val="none" w:sz="0" w:space="0" w:color="auto"/>
          </w:divBdr>
        </w:div>
        <w:div w:id="370764751">
          <w:marLeft w:val="0"/>
          <w:marRight w:val="0"/>
          <w:marTop w:val="0"/>
          <w:marBottom w:val="0"/>
          <w:divBdr>
            <w:top w:val="none" w:sz="0" w:space="0" w:color="auto"/>
            <w:left w:val="none" w:sz="0" w:space="0" w:color="auto"/>
            <w:bottom w:val="none" w:sz="0" w:space="0" w:color="auto"/>
            <w:right w:val="none" w:sz="0" w:space="0" w:color="auto"/>
          </w:divBdr>
        </w:div>
        <w:div w:id="124856696">
          <w:marLeft w:val="0"/>
          <w:marRight w:val="0"/>
          <w:marTop w:val="0"/>
          <w:marBottom w:val="0"/>
          <w:divBdr>
            <w:top w:val="none" w:sz="0" w:space="0" w:color="auto"/>
            <w:left w:val="none" w:sz="0" w:space="0" w:color="auto"/>
            <w:bottom w:val="none" w:sz="0" w:space="0" w:color="auto"/>
            <w:right w:val="none" w:sz="0" w:space="0" w:color="auto"/>
          </w:divBdr>
        </w:div>
        <w:div w:id="1774865279">
          <w:marLeft w:val="0"/>
          <w:marRight w:val="0"/>
          <w:marTop w:val="0"/>
          <w:marBottom w:val="0"/>
          <w:divBdr>
            <w:top w:val="none" w:sz="0" w:space="0" w:color="auto"/>
            <w:left w:val="none" w:sz="0" w:space="0" w:color="auto"/>
            <w:bottom w:val="none" w:sz="0" w:space="0" w:color="auto"/>
            <w:right w:val="none" w:sz="0" w:space="0" w:color="auto"/>
          </w:divBdr>
        </w:div>
        <w:div w:id="1879120199">
          <w:marLeft w:val="0"/>
          <w:marRight w:val="0"/>
          <w:marTop w:val="0"/>
          <w:marBottom w:val="0"/>
          <w:divBdr>
            <w:top w:val="none" w:sz="0" w:space="0" w:color="auto"/>
            <w:left w:val="none" w:sz="0" w:space="0" w:color="auto"/>
            <w:bottom w:val="none" w:sz="0" w:space="0" w:color="auto"/>
            <w:right w:val="none" w:sz="0" w:space="0" w:color="auto"/>
          </w:divBdr>
        </w:div>
        <w:div w:id="1470318127">
          <w:marLeft w:val="0"/>
          <w:marRight w:val="0"/>
          <w:marTop w:val="0"/>
          <w:marBottom w:val="0"/>
          <w:divBdr>
            <w:top w:val="none" w:sz="0" w:space="0" w:color="auto"/>
            <w:left w:val="none" w:sz="0" w:space="0" w:color="auto"/>
            <w:bottom w:val="none" w:sz="0" w:space="0" w:color="auto"/>
            <w:right w:val="none" w:sz="0" w:space="0" w:color="auto"/>
          </w:divBdr>
        </w:div>
        <w:div w:id="241376520">
          <w:marLeft w:val="0"/>
          <w:marRight w:val="0"/>
          <w:marTop w:val="0"/>
          <w:marBottom w:val="0"/>
          <w:divBdr>
            <w:top w:val="none" w:sz="0" w:space="0" w:color="auto"/>
            <w:left w:val="none" w:sz="0" w:space="0" w:color="auto"/>
            <w:bottom w:val="none" w:sz="0" w:space="0" w:color="auto"/>
            <w:right w:val="none" w:sz="0" w:space="0" w:color="auto"/>
          </w:divBdr>
        </w:div>
        <w:div w:id="1207597006">
          <w:marLeft w:val="0"/>
          <w:marRight w:val="0"/>
          <w:marTop w:val="0"/>
          <w:marBottom w:val="0"/>
          <w:divBdr>
            <w:top w:val="none" w:sz="0" w:space="0" w:color="auto"/>
            <w:left w:val="none" w:sz="0" w:space="0" w:color="auto"/>
            <w:bottom w:val="none" w:sz="0" w:space="0" w:color="auto"/>
            <w:right w:val="none" w:sz="0" w:space="0" w:color="auto"/>
          </w:divBdr>
        </w:div>
        <w:div w:id="1429813362">
          <w:marLeft w:val="0"/>
          <w:marRight w:val="0"/>
          <w:marTop w:val="0"/>
          <w:marBottom w:val="0"/>
          <w:divBdr>
            <w:top w:val="none" w:sz="0" w:space="0" w:color="auto"/>
            <w:left w:val="none" w:sz="0" w:space="0" w:color="auto"/>
            <w:bottom w:val="none" w:sz="0" w:space="0" w:color="auto"/>
            <w:right w:val="none" w:sz="0" w:space="0" w:color="auto"/>
          </w:divBdr>
        </w:div>
      </w:divsChild>
    </w:div>
    <w:div w:id="20972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geneva-academy.ch/joomlatools-files/docman-files/UN%20Declaration%20on%20the%20rights%20of%20peasants.pdf" TargetMode="External"/><Relationship Id="rId13" Type="http://schemas.openxmlformats.org/officeDocument/2006/relationships/hyperlink" Target="https://d3o3cb4w253x5q.cloudfront.net/media/documents/2020_11_land_inequality_synthesis_report_uneven_ground_final_en_spread_low_res_2.pdf" TargetMode="External"/><Relationship Id="rId3" Type="http://schemas.openxmlformats.org/officeDocument/2006/relationships/hyperlink" Target="https://blog.resourcewatch.org/author/amelia/" TargetMode="External"/><Relationship Id="rId7" Type="http://schemas.openxmlformats.org/officeDocument/2006/relationships/hyperlink" Target="https://www.southcentre.int/wp-content/uploads/2020/11/RP-123.pdf" TargetMode="External"/><Relationship Id="rId12" Type="http://schemas.openxmlformats.org/officeDocument/2006/relationships/hyperlink" Target="https://landmatrix.org/" TargetMode="External"/><Relationship Id="rId2" Type="http://schemas.openxmlformats.org/officeDocument/2006/relationships/hyperlink" Target="https://blog.resourcewatch.org/author/emily-cassidy/" TargetMode="External"/><Relationship Id="rId1" Type="http://schemas.openxmlformats.org/officeDocument/2006/relationships/hyperlink" Target="https://www.ifad.org/documents/38714170/40706188/Smallholders+can+feed+the+world_e.pdf/460ca6c2-7621-40d8-9f79-a56f6f8fa75e" TargetMode="External"/><Relationship Id="rId6" Type="http://schemas.openxmlformats.org/officeDocument/2006/relationships/hyperlink" Target="https://royalsocietypublishing.org/doi/10.1098/rsbl.2016.0137" TargetMode="External"/><Relationship Id="rId11" Type="http://schemas.openxmlformats.org/officeDocument/2006/relationships/hyperlink" Target="https://static1.squarespace.com/static/58a1a2bb9f745664e6b41612/t/5de6a0d7ae38e0103312349b/1575395544981/The+Barcelona+Guidelines+-+EN+%28Final%29.pdf" TargetMode="External"/><Relationship Id="rId5" Type="http://schemas.openxmlformats.org/officeDocument/2006/relationships/hyperlink" Target="http://www.fao.org/3/cb4474en/cb4474en.pdf" TargetMode="External"/><Relationship Id="rId15" Type="http://schemas.openxmlformats.org/officeDocument/2006/relationships/hyperlink" Target="https://www.business-humanrights.org/sites/default/files/Solar%2C%20Bioenergy%2C%20Geothermal%20Briefing%20-%20Final_0.pdf" TargetMode="External"/><Relationship Id="rId10" Type="http://schemas.openxmlformats.org/officeDocument/2006/relationships/hyperlink" Target="https://static1.squarespace.com/static/57ab08756a49635fe426003e/t/58ee2a3debbd1a718d29553c/1505738548404/HRD+Hub+Policy+Brief+1+EN.pdf" TargetMode="External"/><Relationship Id="rId4" Type="http://schemas.openxmlformats.org/officeDocument/2006/relationships/hyperlink" Target="https://blog.resourcewatch.org/2019/05/30/map-of-the-month-how-many-people-work-in-agriculture/" TargetMode="External"/><Relationship Id="rId9" Type="http://schemas.openxmlformats.org/officeDocument/2006/relationships/hyperlink" Target="https://media.business-humanrights.org/media/documents/files/documents/UNSR_HRDs-_World_report_2018.pdf" TargetMode="External"/><Relationship Id="rId14" Type="http://schemas.openxmlformats.org/officeDocument/2006/relationships/hyperlink" Target="https://www.southcentre.int/wp-content/uploads/2020/07/Designing-an-International-Legally-Binding-Instrument-on-Business-and-Human-Rights-REV.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5D1D6.606AB4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8F2C7E-2EB4-4899-B688-3B8D650B10A8}">
  <ds:schemaRefs>
    <ds:schemaRef ds:uri="http://schemas.openxmlformats.org/officeDocument/2006/bibliography"/>
  </ds:schemaRefs>
</ds:datastoreItem>
</file>

<file path=customXml/itemProps2.xml><?xml version="1.0" encoding="utf-8"?>
<ds:datastoreItem xmlns:ds="http://schemas.openxmlformats.org/officeDocument/2006/customXml" ds:itemID="{7B2DFBF7-F4A4-47A4-8007-BA97CF3A3E53}"/>
</file>

<file path=customXml/itemProps3.xml><?xml version="1.0" encoding="utf-8"?>
<ds:datastoreItem xmlns:ds="http://schemas.openxmlformats.org/officeDocument/2006/customXml" ds:itemID="{08949235-D161-4B2E-9463-80D3FF957446}"/>
</file>

<file path=customXml/itemProps4.xml><?xml version="1.0" encoding="utf-8"?>
<ds:datastoreItem xmlns:ds="http://schemas.openxmlformats.org/officeDocument/2006/customXml" ds:itemID="{89C23C28-D05A-421B-9AB0-C2A714D9DA45}"/>
</file>

<file path=docProps/app.xml><?xml version="1.0" encoding="utf-8"?>
<Properties xmlns="http://schemas.openxmlformats.org/officeDocument/2006/extended-properties" xmlns:vt="http://schemas.openxmlformats.org/officeDocument/2006/docPropsVTypes">
  <Template>Normal.dotm</Template>
  <TotalTime>1</TotalTime>
  <Pages>5</Pages>
  <Words>1822</Words>
  <Characters>10647</Characters>
  <Application>Microsoft Office Word</Application>
  <DocSecurity>4</DocSecurity>
  <Lines>88</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Danish</dc:creator>
  <cp:keywords/>
  <dc:description/>
  <cp:lastModifiedBy>KIM Jung Rin</cp:lastModifiedBy>
  <cp:revision>2</cp:revision>
  <cp:lastPrinted>2021-07-26T18:44:00Z</cp:lastPrinted>
  <dcterms:created xsi:type="dcterms:W3CDTF">2021-07-27T07:24:00Z</dcterms:created>
  <dcterms:modified xsi:type="dcterms:W3CDTF">2021-07-27T07:24:00Z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