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E7" w:rsidRDefault="002926E7" w:rsidP="00046095">
      <w:pPr>
        <w:tabs>
          <w:tab w:val="num" w:pos="720"/>
        </w:tabs>
        <w:spacing w:before="120" w:after="120" w:line="360" w:lineRule="auto"/>
        <w:contextualSpacing/>
        <w:jc w:val="center"/>
        <w:rPr>
          <w:rFonts w:ascii="Times New Roman" w:eastAsia="Calibri" w:hAnsi="Times New Roman" w:cs="Times New Roman"/>
          <w:b/>
          <w:sz w:val="24"/>
          <w:szCs w:val="24"/>
        </w:rPr>
      </w:pPr>
      <w:r w:rsidRPr="004E4A4B">
        <w:object w:dxaOrig="2235" w:dyaOrig="1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6.25pt" o:ole="">
            <v:imagedata r:id="rId9" o:title=""/>
          </v:shape>
          <o:OLEObject Type="Embed" ProgID="MSPhotoEd.3" ShapeID="_x0000_i1025" DrawAspect="Content" ObjectID="_1502521020" r:id="rId10"/>
        </w:object>
      </w:r>
    </w:p>
    <w:p w:rsidR="002926E7" w:rsidRDefault="002926E7" w:rsidP="00046095">
      <w:pPr>
        <w:tabs>
          <w:tab w:val="num" w:pos="720"/>
        </w:tabs>
        <w:spacing w:after="0"/>
        <w:ind w:left="284" w:right="284"/>
        <w:contextualSpacing/>
        <w:jc w:val="center"/>
        <w:rPr>
          <w:rFonts w:ascii="Times New Roman" w:eastAsia="Calibri" w:hAnsi="Times New Roman" w:cs="Times New Roman"/>
          <w:sz w:val="24"/>
          <w:szCs w:val="24"/>
        </w:rPr>
      </w:pPr>
    </w:p>
    <w:p w:rsidR="00046095" w:rsidRDefault="00046095" w:rsidP="00046095">
      <w:pPr>
        <w:jc w:val="center"/>
        <w:rPr>
          <w:rFonts w:ascii="Times New Roman" w:hAnsi="Times New Roman" w:cs="Times New Roman"/>
          <w:b/>
          <w:sz w:val="24"/>
          <w:szCs w:val="24"/>
        </w:rPr>
      </w:pPr>
    </w:p>
    <w:p w:rsidR="00046095" w:rsidRDefault="00046095" w:rsidP="00046095">
      <w:pPr>
        <w:jc w:val="center"/>
        <w:rPr>
          <w:rFonts w:ascii="Times New Roman" w:hAnsi="Times New Roman" w:cs="Times New Roman"/>
          <w:b/>
          <w:sz w:val="24"/>
          <w:szCs w:val="24"/>
        </w:rPr>
      </w:pPr>
      <w:r>
        <w:rPr>
          <w:rFonts w:ascii="Times New Roman" w:hAnsi="Times New Roman" w:cs="Times New Roman"/>
          <w:b/>
          <w:sz w:val="24"/>
          <w:szCs w:val="24"/>
        </w:rPr>
        <w:t>RE: Comment</w:t>
      </w:r>
      <w:r w:rsidRPr="009B0F56">
        <w:rPr>
          <w:rFonts w:ascii="Times New Roman" w:hAnsi="Times New Roman" w:cs="Times New Roman"/>
          <w:b/>
          <w:sz w:val="24"/>
          <w:szCs w:val="24"/>
        </w:rPr>
        <w:t xml:space="preserve"> on the Draft General Comment </w:t>
      </w:r>
      <w:r>
        <w:rPr>
          <w:rFonts w:ascii="Times New Roman" w:hAnsi="Times New Roman" w:cs="Times New Roman"/>
          <w:b/>
          <w:sz w:val="24"/>
          <w:szCs w:val="24"/>
        </w:rPr>
        <w:t>No. 19: On Public Spending and the Rights of the Child (Article 4 of the Convention on the Rights of the Child)</w:t>
      </w:r>
    </w:p>
    <w:p w:rsidR="00046095" w:rsidRDefault="00046095" w:rsidP="00046095">
      <w:pPr>
        <w:jc w:val="center"/>
        <w:rPr>
          <w:rFonts w:ascii="Times New Roman" w:hAnsi="Times New Roman" w:cs="Times New Roman"/>
          <w:b/>
          <w:sz w:val="24"/>
          <w:szCs w:val="24"/>
        </w:rPr>
      </w:pPr>
      <w:r w:rsidRPr="009B0F56">
        <w:rPr>
          <w:rFonts w:ascii="Times New Roman" w:hAnsi="Times New Roman" w:cs="Times New Roman"/>
          <w:b/>
          <w:sz w:val="24"/>
          <w:szCs w:val="24"/>
        </w:rPr>
        <w:t>Submission of the Australian Government</w:t>
      </w:r>
    </w:p>
    <w:p w:rsidR="00046095" w:rsidRPr="00046095" w:rsidRDefault="00046095" w:rsidP="00046095">
      <w:pPr>
        <w:jc w:val="center"/>
        <w:rPr>
          <w:rFonts w:ascii="Times New Roman" w:hAnsi="Times New Roman" w:cs="Times New Roman"/>
          <w:b/>
          <w:sz w:val="24"/>
          <w:szCs w:val="24"/>
        </w:rPr>
      </w:pPr>
    </w:p>
    <w:p w:rsidR="00046095" w:rsidRPr="00B22B3D" w:rsidRDefault="00046095" w:rsidP="00B22B3D">
      <w:pPr>
        <w:jc w:val="both"/>
        <w:rPr>
          <w:rFonts w:ascii="Times New Roman" w:hAnsi="Times New Roman" w:cs="Times New Roman"/>
          <w:sz w:val="24"/>
          <w:szCs w:val="24"/>
        </w:rPr>
      </w:pPr>
      <w:bookmarkStart w:id="0" w:name="_GoBack"/>
      <w:bookmarkEnd w:id="0"/>
      <w:r w:rsidRPr="00B22B3D">
        <w:rPr>
          <w:rFonts w:ascii="Times New Roman" w:hAnsi="Times New Roman" w:cs="Times New Roman"/>
          <w:sz w:val="24"/>
          <w:szCs w:val="24"/>
        </w:rPr>
        <w:t xml:space="preserve">The Permanent Mission of Australia to the United Nations and other international organisations in Geneva hereby presents the Australian Government’s comments on the draft General Comment on Public Spending and the Rights of the Child (Art 4). </w:t>
      </w:r>
    </w:p>
    <w:p w:rsidR="00046095" w:rsidRPr="00EF374B" w:rsidRDefault="00046095" w:rsidP="00046095">
      <w:pPr>
        <w:pStyle w:val="ListParagraph"/>
        <w:numPr>
          <w:ilvl w:val="0"/>
          <w:numId w:val="2"/>
        </w:numPr>
        <w:contextualSpacing w:val="0"/>
        <w:jc w:val="both"/>
        <w:rPr>
          <w:rFonts w:ascii="Times New Roman" w:hAnsi="Times New Roman" w:cs="Times New Roman"/>
          <w:sz w:val="24"/>
          <w:szCs w:val="24"/>
        </w:rPr>
      </w:pPr>
      <w:r w:rsidRPr="00EF374B">
        <w:rPr>
          <w:rFonts w:ascii="Times New Roman" w:hAnsi="Times New Roman" w:cs="Times New Roman"/>
          <w:sz w:val="24"/>
          <w:szCs w:val="24"/>
        </w:rPr>
        <w:t xml:space="preserve">Australia is a longstanding party to the </w:t>
      </w:r>
      <w:r>
        <w:rPr>
          <w:rFonts w:ascii="Times New Roman" w:hAnsi="Times New Roman" w:cs="Times New Roman"/>
          <w:sz w:val="24"/>
          <w:szCs w:val="24"/>
        </w:rPr>
        <w:t>Convention on the Rights of the Child (the Convention)</w:t>
      </w:r>
      <w:r w:rsidRPr="00EF374B">
        <w:rPr>
          <w:rFonts w:ascii="Times New Roman" w:hAnsi="Times New Roman" w:cs="Times New Roman"/>
          <w:sz w:val="24"/>
          <w:szCs w:val="24"/>
        </w:rPr>
        <w:t>, and is firmly commi</w:t>
      </w:r>
      <w:r>
        <w:rPr>
          <w:rFonts w:ascii="Times New Roman" w:hAnsi="Times New Roman" w:cs="Times New Roman"/>
          <w:sz w:val="24"/>
          <w:szCs w:val="24"/>
        </w:rPr>
        <w:t>tted to upholding the Convention’s obligations.</w:t>
      </w:r>
    </w:p>
    <w:p w:rsidR="00046095" w:rsidRPr="005422F8"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Pr="00EF374B">
        <w:rPr>
          <w:rFonts w:ascii="Times New Roman" w:hAnsi="Times New Roman" w:cs="Times New Roman"/>
          <w:sz w:val="24"/>
          <w:szCs w:val="24"/>
        </w:rPr>
        <w:t>Australia</w:t>
      </w:r>
      <w:r>
        <w:rPr>
          <w:rFonts w:ascii="Times New Roman" w:hAnsi="Times New Roman" w:cs="Times New Roman"/>
          <w:sz w:val="24"/>
          <w:szCs w:val="24"/>
        </w:rPr>
        <w:t>n Government</w:t>
      </w:r>
      <w:r w:rsidRPr="00EF374B">
        <w:rPr>
          <w:rFonts w:ascii="Times New Roman" w:hAnsi="Times New Roman" w:cs="Times New Roman"/>
          <w:sz w:val="24"/>
          <w:szCs w:val="24"/>
        </w:rPr>
        <w:t xml:space="preserve"> commends the Committee for its init</w:t>
      </w:r>
      <w:r>
        <w:rPr>
          <w:rFonts w:ascii="Times New Roman" w:hAnsi="Times New Roman" w:cs="Times New Roman"/>
          <w:sz w:val="24"/>
          <w:szCs w:val="24"/>
        </w:rPr>
        <w:t>iative in drafting a General Comment on Public Spending and the Rights of the Child. Australia c</w:t>
      </w:r>
      <w:r w:rsidRPr="007337D7">
        <w:rPr>
          <w:rFonts w:ascii="Times New Roman" w:hAnsi="Times New Roman" w:cs="Times New Roman"/>
          <w:sz w:val="24"/>
          <w:szCs w:val="24"/>
        </w:rPr>
        <w:t xml:space="preserve">onsiders that the adoption of </w:t>
      </w:r>
      <w:r>
        <w:rPr>
          <w:rFonts w:ascii="Times New Roman" w:hAnsi="Times New Roman" w:cs="Times New Roman"/>
          <w:sz w:val="24"/>
          <w:szCs w:val="24"/>
        </w:rPr>
        <w:t xml:space="preserve">this </w:t>
      </w:r>
      <w:r w:rsidRPr="007337D7">
        <w:rPr>
          <w:rFonts w:ascii="Times New Roman" w:hAnsi="Times New Roman" w:cs="Times New Roman"/>
          <w:sz w:val="24"/>
          <w:szCs w:val="24"/>
        </w:rPr>
        <w:t>General Comment will provide valuable guidance to States</w:t>
      </w:r>
      <w:r>
        <w:rPr>
          <w:rFonts w:ascii="Times New Roman" w:hAnsi="Times New Roman" w:cs="Times New Roman"/>
          <w:sz w:val="24"/>
          <w:szCs w:val="24"/>
        </w:rPr>
        <w:t> </w:t>
      </w:r>
      <w:r w:rsidRPr="007337D7">
        <w:rPr>
          <w:rFonts w:ascii="Times New Roman" w:hAnsi="Times New Roman" w:cs="Times New Roman"/>
          <w:sz w:val="24"/>
          <w:szCs w:val="24"/>
        </w:rPr>
        <w:t xml:space="preserve">Parties in </w:t>
      </w:r>
      <w:r>
        <w:rPr>
          <w:rFonts w:ascii="Times New Roman" w:hAnsi="Times New Roman" w:cs="Times New Roman"/>
          <w:sz w:val="24"/>
          <w:szCs w:val="24"/>
        </w:rPr>
        <w:t>assisting in the implementation of</w:t>
      </w:r>
      <w:r w:rsidRPr="007337D7">
        <w:rPr>
          <w:rFonts w:ascii="Times New Roman" w:hAnsi="Times New Roman" w:cs="Times New Roman"/>
          <w:sz w:val="24"/>
          <w:szCs w:val="24"/>
        </w:rPr>
        <w:t xml:space="preserve"> their obligations under the Co</w:t>
      </w:r>
      <w:r>
        <w:rPr>
          <w:rFonts w:ascii="Times New Roman" w:hAnsi="Times New Roman" w:cs="Times New Roman"/>
          <w:sz w:val="24"/>
          <w:szCs w:val="24"/>
        </w:rPr>
        <w:t>n</w:t>
      </w:r>
      <w:r w:rsidRPr="007337D7">
        <w:rPr>
          <w:rFonts w:ascii="Times New Roman" w:hAnsi="Times New Roman" w:cs="Times New Roman"/>
          <w:sz w:val="24"/>
          <w:szCs w:val="24"/>
        </w:rPr>
        <w:t>ven</w:t>
      </w:r>
      <w:r>
        <w:rPr>
          <w:rFonts w:ascii="Times New Roman" w:hAnsi="Times New Roman" w:cs="Times New Roman"/>
          <w:sz w:val="24"/>
          <w:szCs w:val="24"/>
        </w:rPr>
        <w:t>tion</w:t>
      </w:r>
      <w:r w:rsidRPr="007337D7">
        <w:rPr>
          <w:rFonts w:ascii="Times New Roman" w:hAnsi="Times New Roman" w:cs="Times New Roman"/>
          <w:sz w:val="24"/>
          <w:szCs w:val="24"/>
        </w:rPr>
        <w:t>.</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Pr="003B63E7">
        <w:rPr>
          <w:rFonts w:ascii="Times New Roman" w:hAnsi="Times New Roman" w:cs="Times New Roman"/>
          <w:sz w:val="24"/>
          <w:szCs w:val="24"/>
        </w:rPr>
        <w:t>Australia</w:t>
      </w:r>
      <w:r>
        <w:rPr>
          <w:rFonts w:ascii="Times New Roman" w:hAnsi="Times New Roman" w:cs="Times New Roman"/>
          <w:sz w:val="24"/>
          <w:szCs w:val="24"/>
        </w:rPr>
        <w:t>n Government</w:t>
      </w:r>
      <w:r w:rsidRPr="003B63E7">
        <w:rPr>
          <w:rFonts w:ascii="Times New Roman" w:hAnsi="Times New Roman" w:cs="Times New Roman"/>
          <w:sz w:val="24"/>
          <w:szCs w:val="24"/>
        </w:rPr>
        <w:t xml:space="preserve"> thanks the Committee for the opportunity to provide a written submission on the draft General Comment</w:t>
      </w:r>
      <w:r>
        <w:rPr>
          <w:rFonts w:ascii="Times New Roman" w:hAnsi="Times New Roman" w:cs="Times New Roman"/>
          <w:sz w:val="24"/>
          <w:szCs w:val="24"/>
        </w:rPr>
        <w:t>. It</w:t>
      </w:r>
      <w:r w:rsidRPr="003B63E7">
        <w:rPr>
          <w:rFonts w:ascii="Times New Roman" w:hAnsi="Times New Roman" w:cs="Times New Roman"/>
          <w:sz w:val="24"/>
          <w:szCs w:val="24"/>
        </w:rPr>
        <w:t xml:space="preserve"> </w:t>
      </w:r>
      <w:r>
        <w:rPr>
          <w:rFonts w:ascii="Times New Roman" w:hAnsi="Times New Roman" w:cs="Times New Roman"/>
          <w:sz w:val="24"/>
          <w:szCs w:val="24"/>
        </w:rPr>
        <w:t>sets out its views below and</w:t>
      </w:r>
      <w:r w:rsidRPr="003B63E7">
        <w:rPr>
          <w:rFonts w:ascii="Times New Roman" w:hAnsi="Times New Roman" w:cs="Times New Roman"/>
          <w:sz w:val="24"/>
          <w:szCs w:val="24"/>
        </w:rPr>
        <w:t xml:space="preserve"> invites the Committee to clarify </w:t>
      </w:r>
      <w:r>
        <w:rPr>
          <w:rFonts w:ascii="Times New Roman" w:hAnsi="Times New Roman" w:cs="Times New Roman"/>
          <w:sz w:val="24"/>
          <w:szCs w:val="24"/>
        </w:rPr>
        <w:t>certain</w:t>
      </w:r>
      <w:r w:rsidRPr="003B63E7">
        <w:rPr>
          <w:rFonts w:ascii="Times New Roman" w:hAnsi="Times New Roman" w:cs="Times New Roman"/>
          <w:sz w:val="24"/>
          <w:szCs w:val="24"/>
        </w:rPr>
        <w:t xml:space="preserve"> statements in the draft General Comment regarding the scope of the legal obligations of St</w:t>
      </w:r>
      <w:r>
        <w:rPr>
          <w:rFonts w:ascii="Times New Roman" w:hAnsi="Times New Roman" w:cs="Times New Roman"/>
          <w:sz w:val="24"/>
          <w:szCs w:val="24"/>
        </w:rPr>
        <w:t>ates Parties under the Convention</w:t>
      </w:r>
      <w:r w:rsidRPr="003B63E7">
        <w:rPr>
          <w:rFonts w:ascii="Times New Roman" w:hAnsi="Times New Roman" w:cs="Times New Roman"/>
          <w:sz w:val="24"/>
          <w:szCs w:val="24"/>
        </w:rPr>
        <w:t>.</w:t>
      </w:r>
    </w:p>
    <w:p w:rsidR="00046095" w:rsidRPr="008F16A1" w:rsidRDefault="00046095" w:rsidP="00046095">
      <w:pPr>
        <w:jc w:val="both"/>
        <w:rPr>
          <w:rFonts w:ascii="Times New Roman" w:hAnsi="Times New Roman" w:cs="Times New Roman"/>
          <w:b/>
          <w:sz w:val="24"/>
          <w:szCs w:val="24"/>
        </w:rPr>
      </w:pPr>
      <w:r>
        <w:rPr>
          <w:rFonts w:ascii="Times New Roman" w:hAnsi="Times New Roman" w:cs="Times New Roman"/>
          <w:b/>
          <w:sz w:val="24"/>
          <w:szCs w:val="24"/>
        </w:rPr>
        <w:t>Substantive matters</w:t>
      </w:r>
    </w:p>
    <w:p w:rsidR="00046095" w:rsidRPr="008F16A1" w:rsidRDefault="00046095" w:rsidP="00046095">
      <w:pPr>
        <w:jc w:val="both"/>
        <w:rPr>
          <w:rFonts w:ascii="Times New Roman" w:hAnsi="Times New Roman" w:cs="Times New Roman"/>
          <w:i/>
          <w:sz w:val="24"/>
          <w:szCs w:val="24"/>
        </w:rPr>
      </w:pPr>
      <w:r>
        <w:rPr>
          <w:rFonts w:ascii="Times New Roman" w:hAnsi="Times New Roman" w:cs="Times New Roman"/>
          <w:i/>
          <w:sz w:val="24"/>
          <w:szCs w:val="24"/>
        </w:rPr>
        <w:t>Nature of the General Comment</w:t>
      </w:r>
    </w:p>
    <w:p w:rsidR="00046095" w:rsidRPr="00777C9A" w:rsidRDefault="00046095" w:rsidP="00046095">
      <w:pPr>
        <w:pStyle w:val="ListParagraph"/>
        <w:numPr>
          <w:ilvl w:val="0"/>
          <w:numId w:val="2"/>
        </w:numPr>
        <w:contextualSpacing w:val="0"/>
        <w:jc w:val="both"/>
        <w:rPr>
          <w:rFonts w:ascii="Times New Roman" w:hAnsi="Times New Roman" w:cs="Times New Roman"/>
          <w:sz w:val="24"/>
          <w:szCs w:val="24"/>
        </w:rPr>
      </w:pPr>
      <w:r w:rsidRPr="00777C9A">
        <w:rPr>
          <w:rFonts w:ascii="Times New Roman" w:hAnsi="Times New Roman" w:cs="Times New Roman"/>
          <w:sz w:val="24"/>
          <w:szCs w:val="24"/>
        </w:rPr>
        <w:t xml:space="preserve">The Australian Government </w:t>
      </w:r>
      <w:r>
        <w:rPr>
          <w:rFonts w:ascii="Times New Roman" w:hAnsi="Times New Roman" w:cs="Times New Roman"/>
          <w:sz w:val="24"/>
          <w:szCs w:val="24"/>
        </w:rPr>
        <w:t>suggests</w:t>
      </w:r>
      <w:r w:rsidRPr="00777C9A">
        <w:rPr>
          <w:rFonts w:ascii="Times New Roman" w:hAnsi="Times New Roman" w:cs="Times New Roman"/>
          <w:sz w:val="24"/>
          <w:szCs w:val="24"/>
        </w:rPr>
        <w:t xml:space="preserve"> that discussion of public spending obligations be broadened throughout the </w:t>
      </w:r>
      <w:r>
        <w:rPr>
          <w:rFonts w:ascii="Times New Roman" w:hAnsi="Times New Roman" w:cs="Times New Roman"/>
          <w:sz w:val="24"/>
          <w:szCs w:val="24"/>
        </w:rPr>
        <w:t xml:space="preserve">final General </w:t>
      </w:r>
      <w:r w:rsidRPr="00777C9A">
        <w:rPr>
          <w:rFonts w:ascii="Times New Roman" w:hAnsi="Times New Roman" w:cs="Times New Roman"/>
          <w:sz w:val="24"/>
          <w:szCs w:val="24"/>
        </w:rPr>
        <w:t xml:space="preserve">Comment to better reflect the flexibility available to States Parties in fulfilling obligations under the Convention. Australia suggests the </w:t>
      </w:r>
      <w:r>
        <w:rPr>
          <w:rFonts w:ascii="Times New Roman" w:hAnsi="Times New Roman" w:cs="Times New Roman"/>
          <w:sz w:val="24"/>
          <w:szCs w:val="24"/>
        </w:rPr>
        <w:t xml:space="preserve">General </w:t>
      </w:r>
      <w:r w:rsidRPr="00777C9A">
        <w:rPr>
          <w:rFonts w:ascii="Times New Roman" w:hAnsi="Times New Roman" w:cs="Times New Roman"/>
          <w:sz w:val="24"/>
          <w:szCs w:val="24"/>
        </w:rPr>
        <w:t xml:space="preserve">Comment </w:t>
      </w:r>
      <w:r>
        <w:rPr>
          <w:rFonts w:ascii="Times New Roman" w:hAnsi="Times New Roman" w:cs="Times New Roman"/>
          <w:sz w:val="24"/>
          <w:szCs w:val="24"/>
        </w:rPr>
        <w:t xml:space="preserve">could </w:t>
      </w:r>
      <w:r w:rsidRPr="00777C9A">
        <w:rPr>
          <w:rFonts w:ascii="Times New Roman" w:hAnsi="Times New Roman" w:cs="Times New Roman"/>
          <w:sz w:val="24"/>
          <w:szCs w:val="24"/>
        </w:rPr>
        <w:t xml:space="preserve">focus on </w:t>
      </w:r>
      <w:r>
        <w:rPr>
          <w:rFonts w:ascii="Times New Roman" w:hAnsi="Times New Roman" w:cs="Times New Roman"/>
          <w:sz w:val="24"/>
          <w:szCs w:val="24"/>
        </w:rPr>
        <w:t xml:space="preserve">a </w:t>
      </w:r>
      <w:r w:rsidRPr="00777C9A">
        <w:rPr>
          <w:rFonts w:ascii="Times New Roman" w:hAnsi="Times New Roman" w:cs="Times New Roman"/>
          <w:sz w:val="24"/>
          <w:szCs w:val="24"/>
        </w:rPr>
        <w:t xml:space="preserve">principles-based discussion, incorporating examples </w:t>
      </w:r>
      <w:r>
        <w:rPr>
          <w:rFonts w:ascii="Times New Roman" w:hAnsi="Times New Roman" w:cs="Times New Roman"/>
          <w:sz w:val="24"/>
          <w:szCs w:val="24"/>
        </w:rPr>
        <w:t xml:space="preserve">which demonstrate that </w:t>
      </w:r>
      <w:r w:rsidRPr="00777C9A">
        <w:rPr>
          <w:rFonts w:ascii="Times New Roman" w:hAnsi="Times New Roman" w:cs="Times New Roman"/>
          <w:sz w:val="24"/>
          <w:szCs w:val="24"/>
        </w:rPr>
        <w:t>the</w:t>
      </w:r>
      <w:r>
        <w:rPr>
          <w:rFonts w:ascii="Times New Roman" w:hAnsi="Times New Roman" w:cs="Times New Roman"/>
          <w:sz w:val="24"/>
          <w:szCs w:val="24"/>
        </w:rPr>
        <w:t xml:space="preserve">re are a range of </w:t>
      </w:r>
      <w:r w:rsidRPr="00777C9A">
        <w:rPr>
          <w:rFonts w:ascii="Times New Roman" w:hAnsi="Times New Roman" w:cs="Times New Roman"/>
          <w:sz w:val="24"/>
          <w:szCs w:val="24"/>
        </w:rPr>
        <w:t>way</w:t>
      </w:r>
      <w:r>
        <w:rPr>
          <w:rFonts w:ascii="Times New Roman" w:hAnsi="Times New Roman" w:cs="Times New Roman"/>
          <w:sz w:val="24"/>
          <w:szCs w:val="24"/>
        </w:rPr>
        <w:t>s</w:t>
      </w:r>
      <w:r w:rsidRPr="00777C9A">
        <w:rPr>
          <w:rFonts w:ascii="Times New Roman" w:hAnsi="Times New Roman" w:cs="Times New Roman"/>
          <w:sz w:val="24"/>
          <w:szCs w:val="24"/>
        </w:rPr>
        <w:t xml:space="preserve"> of fulfilling obligations under the Convention.</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sidRPr="003702D2">
        <w:rPr>
          <w:rFonts w:ascii="Times New Roman" w:hAnsi="Times New Roman" w:cs="Times New Roman"/>
          <w:sz w:val="24"/>
          <w:szCs w:val="24"/>
        </w:rPr>
        <w:t xml:space="preserve">Australia agrees that public spending </w:t>
      </w:r>
      <w:r>
        <w:rPr>
          <w:rFonts w:ascii="Times New Roman" w:hAnsi="Times New Roman" w:cs="Times New Roman"/>
          <w:sz w:val="24"/>
          <w:szCs w:val="24"/>
        </w:rPr>
        <w:t xml:space="preserve">could be considered </w:t>
      </w:r>
      <w:r w:rsidRPr="003702D2">
        <w:rPr>
          <w:rFonts w:ascii="Times New Roman" w:hAnsi="Times New Roman" w:cs="Times New Roman"/>
          <w:sz w:val="24"/>
          <w:szCs w:val="24"/>
        </w:rPr>
        <w:t>a</w:t>
      </w:r>
      <w:r>
        <w:rPr>
          <w:rFonts w:ascii="Times New Roman" w:hAnsi="Times New Roman" w:cs="Times New Roman"/>
          <w:sz w:val="24"/>
          <w:szCs w:val="24"/>
        </w:rPr>
        <w:t>n</w:t>
      </w:r>
      <w:r w:rsidRPr="003702D2">
        <w:rPr>
          <w:rFonts w:ascii="Times New Roman" w:hAnsi="Times New Roman" w:cs="Times New Roman"/>
          <w:sz w:val="24"/>
          <w:szCs w:val="24"/>
        </w:rPr>
        <w:t xml:space="preserve"> ‘</w:t>
      </w:r>
      <w:r>
        <w:rPr>
          <w:rFonts w:ascii="Times New Roman" w:hAnsi="Times New Roman" w:cs="Times New Roman"/>
          <w:sz w:val="24"/>
          <w:szCs w:val="24"/>
        </w:rPr>
        <w:t xml:space="preserve">appropriate </w:t>
      </w:r>
      <w:r w:rsidRPr="003702D2">
        <w:rPr>
          <w:rFonts w:ascii="Times New Roman" w:hAnsi="Times New Roman" w:cs="Times New Roman"/>
          <w:sz w:val="24"/>
          <w:szCs w:val="24"/>
        </w:rPr>
        <w:t>legislative, administrative and other measure’</w:t>
      </w:r>
      <w:r>
        <w:rPr>
          <w:rFonts w:ascii="Times New Roman" w:hAnsi="Times New Roman" w:cs="Times New Roman"/>
          <w:sz w:val="24"/>
          <w:szCs w:val="24"/>
        </w:rPr>
        <w:t xml:space="preserve"> </w:t>
      </w:r>
      <w:r w:rsidRPr="003702D2">
        <w:rPr>
          <w:rFonts w:ascii="Times New Roman" w:hAnsi="Times New Roman" w:cs="Times New Roman"/>
          <w:sz w:val="24"/>
          <w:szCs w:val="24"/>
        </w:rPr>
        <w:t xml:space="preserve">under Article 4 </w:t>
      </w:r>
      <w:r>
        <w:rPr>
          <w:rFonts w:ascii="Times New Roman" w:hAnsi="Times New Roman" w:cs="Times New Roman"/>
          <w:sz w:val="24"/>
          <w:szCs w:val="24"/>
        </w:rPr>
        <w:t>relating to the implementation of rights recognized in the Convention</w:t>
      </w:r>
      <w:r w:rsidRPr="003702D2">
        <w:rPr>
          <w:rFonts w:ascii="Times New Roman" w:hAnsi="Times New Roman" w:cs="Times New Roman"/>
          <w:sz w:val="24"/>
          <w:szCs w:val="24"/>
        </w:rPr>
        <w:t xml:space="preserve">. </w:t>
      </w:r>
      <w:r>
        <w:rPr>
          <w:rFonts w:ascii="Times New Roman" w:hAnsi="Times New Roman" w:cs="Times New Roman"/>
          <w:sz w:val="24"/>
          <w:szCs w:val="24"/>
        </w:rPr>
        <w:t>However, t</w:t>
      </w:r>
      <w:r w:rsidRPr="003702D2">
        <w:rPr>
          <w:rFonts w:ascii="Times New Roman" w:hAnsi="Times New Roman" w:cs="Times New Roman"/>
          <w:sz w:val="24"/>
          <w:szCs w:val="24"/>
        </w:rPr>
        <w:t>he</w:t>
      </w:r>
      <w:r>
        <w:rPr>
          <w:rFonts w:ascii="Times New Roman" w:hAnsi="Times New Roman" w:cs="Times New Roman"/>
          <w:sz w:val="24"/>
          <w:szCs w:val="24"/>
        </w:rPr>
        <w:t xml:space="preserve"> draft General</w:t>
      </w:r>
      <w:r w:rsidRPr="003702D2">
        <w:rPr>
          <w:rFonts w:ascii="Times New Roman" w:hAnsi="Times New Roman" w:cs="Times New Roman"/>
          <w:sz w:val="24"/>
          <w:szCs w:val="24"/>
        </w:rPr>
        <w:t xml:space="preserve"> Comment </w:t>
      </w:r>
      <w:r>
        <w:rPr>
          <w:rFonts w:ascii="Times New Roman" w:hAnsi="Times New Roman" w:cs="Times New Roman"/>
          <w:sz w:val="24"/>
          <w:szCs w:val="24"/>
        </w:rPr>
        <w:t xml:space="preserve">is overly </w:t>
      </w:r>
      <w:r w:rsidRPr="003702D2">
        <w:rPr>
          <w:rFonts w:ascii="Times New Roman" w:hAnsi="Times New Roman" w:cs="Times New Roman"/>
          <w:sz w:val="24"/>
          <w:szCs w:val="24"/>
        </w:rPr>
        <w:lastRenderedPageBreak/>
        <w:t xml:space="preserve">prescriptive and identifies specific actions a State </w:t>
      </w:r>
      <w:r>
        <w:rPr>
          <w:rFonts w:ascii="Times New Roman" w:hAnsi="Times New Roman" w:cs="Times New Roman"/>
          <w:sz w:val="24"/>
          <w:szCs w:val="24"/>
        </w:rPr>
        <w:t xml:space="preserve">Party </w:t>
      </w:r>
      <w:r w:rsidRPr="003702D2">
        <w:rPr>
          <w:rFonts w:ascii="Times New Roman" w:hAnsi="Times New Roman" w:cs="Times New Roman"/>
          <w:sz w:val="24"/>
          <w:szCs w:val="24"/>
        </w:rPr>
        <w:t>must take to meet obligations in respect of public spending</w:t>
      </w:r>
      <w:r>
        <w:rPr>
          <w:rFonts w:ascii="Times New Roman" w:hAnsi="Times New Roman" w:cs="Times New Roman"/>
          <w:sz w:val="24"/>
          <w:szCs w:val="24"/>
        </w:rPr>
        <w:t>. As a matter of treaty interpretation, Australia queries whether such specificity can be derived from the broadly</w:t>
      </w:r>
      <w:r>
        <w:rPr>
          <w:rFonts w:ascii="Times New Roman" w:hAnsi="Times New Roman" w:cs="Times New Roman"/>
          <w:sz w:val="24"/>
          <w:szCs w:val="24"/>
        </w:rPr>
        <w:noBreakHyphen/>
        <w:t>worded obligation in Article 4. In practice, States Parties have different budget processes and are afforded a necessary measure of discretion in how they implement their obligations.</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P</w:t>
      </w:r>
      <w:r w:rsidRPr="002A7363">
        <w:rPr>
          <w:rFonts w:ascii="Times New Roman" w:hAnsi="Times New Roman" w:cs="Times New Roman"/>
          <w:sz w:val="24"/>
          <w:szCs w:val="24"/>
        </w:rPr>
        <w:t>aragraph 1 states that ensuring public spending to realize the rights of children ‘entails obligation</w:t>
      </w:r>
      <w:r>
        <w:rPr>
          <w:rFonts w:ascii="Times New Roman" w:hAnsi="Times New Roman" w:cs="Times New Roman"/>
          <w:sz w:val="24"/>
          <w:szCs w:val="24"/>
        </w:rPr>
        <w:t>s</w:t>
      </w:r>
      <w:r w:rsidRPr="002A7363">
        <w:rPr>
          <w:rFonts w:ascii="Times New Roman" w:hAnsi="Times New Roman" w:cs="Times New Roman"/>
          <w:sz w:val="24"/>
          <w:szCs w:val="24"/>
        </w:rPr>
        <w:t>’ to perform</w:t>
      </w:r>
      <w:r>
        <w:rPr>
          <w:rFonts w:ascii="Times New Roman" w:hAnsi="Times New Roman" w:cs="Times New Roman"/>
          <w:sz w:val="24"/>
          <w:szCs w:val="24"/>
        </w:rPr>
        <w:t xml:space="preserve"> </w:t>
      </w:r>
      <w:r w:rsidRPr="002A7363">
        <w:rPr>
          <w:rFonts w:ascii="Times New Roman" w:hAnsi="Times New Roman" w:cs="Times New Roman"/>
          <w:sz w:val="24"/>
          <w:szCs w:val="24"/>
        </w:rPr>
        <w:t xml:space="preserve">listed functions. </w:t>
      </w:r>
      <w:r>
        <w:rPr>
          <w:rFonts w:ascii="Times New Roman" w:hAnsi="Times New Roman" w:cs="Times New Roman"/>
          <w:sz w:val="24"/>
          <w:szCs w:val="24"/>
        </w:rPr>
        <w:t xml:space="preserve">In </w:t>
      </w:r>
      <w:r w:rsidRPr="002A7363">
        <w:rPr>
          <w:rFonts w:ascii="Times New Roman" w:hAnsi="Times New Roman" w:cs="Times New Roman"/>
          <w:sz w:val="24"/>
          <w:szCs w:val="24"/>
        </w:rPr>
        <w:t>Australia</w:t>
      </w:r>
      <w:r>
        <w:rPr>
          <w:rFonts w:ascii="Times New Roman" w:hAnsi="Times New Roman" w:cs="Times New Roman"/>
          <w:sz w:val="24"/>
          <w:szCs w:val="24"/>
        </w:rPr>
        <w:t>’s view,</w:t>
      </w:r>
      <w:r w:rsidRPr="002A7363">
        <w:rPr>
          <w:rFonts w:ascii="Times New Roman" w:hAnsi="Times New Roman" w:cs="Times New Roman"/>
          <w:sz w:val="24"/>
          <w:szCs w:val="24"/>
        </w:rPr>
        <w:t xml:space="preserve"> there are a number of ways to ensure public spending realises children</w:t>
      </w:r>
      <w:r>
        <w:rPr>
          <w:rFonts w:ascii="Times New Roman" w:hAnsi="Times New Roman" w:cs="Times New Roman"/>
          <w:sz w:val="24"/>
          <w:szCs w:val="24"/>
        </w:rPr>
        <w:t>’s</w:t>
      </w:r>
      <w:r w:rsidRPr="002A7363">
        <w:rPr>
          <w:rFonts w:ascii="Times New Roman" w:hAnsi="Times New Roman" w:cs="Times New Roman"/>
          <w:sz w:val="24"/>
          <w:szCs w:val="24"/>
        </w:rPr>
        <w:t xml:space="preserve"> rights and the </w:t>
      </w:r>
      <w:r>
        <w:rPr>
          <w:rFonts w:ascii="Times New Roman" w:hAnsi="Times New Roman" w:cs="Times New Roman"/>
          <w:sz w:val="24"/>
          <w:szCs w:val="24"/>
        </w:rPr>
        <w:t>specified functions</w:t>
      </w:r>
      <w:r w:rsidRPr="002A7363">
        <w:rPr>
          <w:rFonts w:ascii="Times New Roman" w:hAnsi="Times New Roman" w:cs="Times New Roman"/>
          <w:sz w:val="24"/>
          <w:szCs w:val="24"/>
        </w:rPr>
        <w:t xml:space="preserve"> are not the only </w:t>
      </w:r>
      <w:r>
        <w:rPr>
          <w:rFonts w:ascii="Times New Roman" w:hAnsi="Times New Roman" w:cs="Times New Roman"/>
          <w:sz w:val="24"/>
          <w:szCs w:val="24"/>
        </w:rPr>
        <w:t xml:space="preserve">method to do so, nor are they explicitly required under Article 4. </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sidRPr="002418D0">
        <w:rPr>
          <w:rFonts w:ascii="Times New Roman" w:hAnsi="Times New Roman" w:cs="Times New Roman"/>
          <w:sz w:val="24"/>
          <w:szCs w:val="24"/>
        </w:rPr>
        <w:t>Paragraphs 66 onward are particularly prescriptive and include measures which may not be utilised</w:t>
      </w:r>
      <w:r w:rsidRPr="006E4AE2">
        <w:rPr>
          <w:rFonts w:ascii="Times New Roman" w:hAnsi="Times New Roman" w:cs="Times New Roman"/>
          <w:sz w:val="24"/>
          <w:szCs w:val="24"/>
        </w:rPr>
        <w:t>, or even feasible, in every State Party. For example, the draft General Comment states that States Parties should utilise pre-budget statements (paragraphs 100</w:t>
      </w:r>
      <w:r w:rsidRPr="006E4AE2">
        <w:rPr>
          <w:rFonts w:ascii="Times New Roman" w:hAnsi="Times New Roman" w:cs="Times New Roman"/>
          <w:sz w:val="24"/>
          <w:szCs w:val="24"/>
        </w:rPr>
        <w:noBreakHyphen/>
        <w:t xml:space="preserve">102), classification systems that include particular budget lines and codes (paragraphs 104, 119-122), and should task the Supreme Audit Institution to carry out audits of expenditure in relation to the rights of children (paragraphs 127-133). Australia suggests that these measures do not constitute the only way of ensuring that funding is allocated to the advancement of the rights of the child and spent on children’s programmes. </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A further example is in relation to the Child Rights Impact Assessment, described in paragraph 53 and referred to throughout the draft General Comment. In paragraph 86, the Committee ‘emphasizes the responsibility of States to conduct child rights impact assessment of all laws, policies and programmes’. The Australian Government submits that </w:t>
      </w:r>
      <w:r w:rsidRPr="004101F8">
        <w:rPr>
          <w:rFonts w:ascii="Times New Roman" w:hAnsi="Times New Roman" w:cs="Times New Roman"/>
          <w:sz w:val="24"/>
          <w:szCs w:val="24"/>
        </w:rPr>
        <w:t>consideration of the best interest of the child in public spending can be achieved through a variety of methods.</w:t>
      </w:r>
      <w:r>
        <w:rPr>
          <w:rFonts w:ascii="Times New Roman" w:hAnsi="Times New Roman" w:cs="Times New Roman"/>
          <w:sz w:val="24"/>
          <w:szCs w:val="24"/>
        </w:rPr>
        <w:t xml:space="preserve"> </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In Australia’s view, it is important that such examples (described above) are not considered as exhaustive means of meeting the relevant obligations in the Convention, given the discretion provided to States Parties in meeting their obligations under Article 4.</w:t>
      </w:r>
    </w:p>
    <w:p w:rsidR="00046095" w:rsidRPr="00EA0777" w:rsidRDefault="00046095" w:rsidP="00046095">
      <w:pPr>
        <w:jc w:val="both"/>
        <w:rPr>
          <w:rFonts w:ascii="Times New Roman" w:hAnsi="Times New Roman" w:cs="Times New Roman"/>
          <w:i/>
          <w:sz w:val="24"/>
          <w:szCs w:val="24"/>
        </w:rPr>
      </w:pPr>
      <w:r w:rsidRPr="00EA0777">
        <w:rPr>
          <w:rFonts w:ascii="Times New Roman" w:hAnsi="Times New Roman" w:cs="Times New Roman"/>
          <w:i/>
          <w:sz w:val="24"/>
          <w:szCs w:val="24"/>
        </w:rPr>
        <w:t>Obligation</w:t>
      </w:r>
      <w:r>
        <w:rPr>
          <w:rFonts w:ascii="Times New Roman" w:hAnsi="Times New Roman" w:cs="Times New Roman"/>
          <w:i/>
          <w:sz w:val="24"/>
          <w:szCs w:val="24"/>
        </w:rPr>
        <w:t>s</w:t>
      </w:r>
      <w:r w:rsidRPr="00EA0777">
        <w:rPr>
          <w:rFonts w:ascii="Times New Roman" w:hAnsi="Times New Roman" w:cs="Times New Roman"/>
          <w:i/>
          <w:sz w:val="24"/>
          <w:szCs w:val="24"/>
        </w:rPr>
        <w:t xml:space="preserve"> to promote rights and evidence of outcomes</w:t>
      </w:r>
    </w:p>
    <w:p w:rsidR="00046095" w:rsidRPr="003A562E"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The Australian Government’s view is that while children’s rights are a significant priority in public spending, they are not the only priority in public expenditure. M</w:t>
      </w:r>
      <w:r w:rsidRPr="003A562E">
        <w:rPr>
          <w:rFonts w:ascii="Times New Roman" w:hAnsi="Times New Roman" w:cs="Times New Roman"/>
          <w:sz w:val="24"/>
          <w:szCs w:val="24"/>
        </w:rPr>
        <w:t>ost States</w:t>
      </w:r>
      <w:r>
        <w:rPr>
          <w:rFonts w:ascii="Times New Roman" w:hAnsi="Times New Roman" w:cs="Times New Roman"/>
          <w:sz w:val="24"/>
          <w:szCs w:val="24"/>
        </w:rPr>
        <w:t xml:space="preserve"> Parties to the Convention </w:t>
      </w:r>
      <w:r w:rsidRPr="003A562E">
        <w:rPr>
          <w:rFonts w:ascii="Times New Roman" w:hAnsi="Times New Roman" w:cs="Times New Roman"/>
          <w:sz w:val="24"/>
          <w:szCs w:val="24"/>
        </w:rPr>
        <w:t xml:space="preserve">are </w:t>
      </w:r>
      <w:r>
        <w:rPr>
          <w:rFonts w:ascii="Times New Roman" w:hAnsi="Times New Roman" w:cs="Times New Roman"/>
          <w:sz w:val="24"/>
          <w:szCs w:val="24"/>
        </w:rPr>
        <w:t xml:space="preserve">also </w:t>
      </w:r>
      <w:r w:rsidRPr="003A562E">
        <w:rPr>
          <w:rFonts w:ascii="Times New Roman" w:hAnsi="Times New Roman" w:cs="Times New Roman"/>
          <w:sz w:val="24"/>
          <w:szCs w:val="24"/>
        </w:rPr>
        <w:t xml:space="preserve">party to </w:t>
      </w:r>
      <w:r>
        <w:rPr>
          <w:rFonts w:ascii="Times New Roman" w:hAnsi="Times New Roman" w:cs="Times New Roman"/>
          <w:sz w:val="24"/>
          <w:szCs w:val="24"/>
        </w:rPr>
        <w:t>other core United Nations</w:t>
      </w:r>
      <w:r w:rsidRPr="003A562E">
        <w:rPr>
          <w:rFonts w:ascii="Times New Roman" w:hAnsi="Times New Roman" w:cs="Times New Roman"/>
          <w:sz w:val="24"/>
          <w:szCs w:val="24"/>
        </w:rPr>
        <w:t xml:space="preserve"> human rights treaties and </w:t>
      </w:r>
      <w:r>
        <w:rPr>
          <w:rFonts w:ascii="Times New Roman" w:hAnsi="Times New Roman" w:cs="Times New Roman"/>
          <w:sz w:val="24"/>
          <w:szCs w:val="24"/>
        </w:rPr>
        <w:t>will have a range of</w:t>
      </w:r>
      <w:r w:rsidRPr="003A562E">
        <w:rPr>
          <w:rFonts w:ascii="Times New Roman" w:hAnsi="Times New Roman" w:cs="Times New Roman"/>
          <w:sz w:val="24"/>
          <w:szCs w:val="24"/>
        </w:rPr>
        <w:t xml:space="preserve"> priorities</w:t>
      </w:r>
      <w:r>
        <w:rPr>
          <w:rFonts w:ascii="Times New Roman" w:hAnsi="Times New Roman" w:cs="Times New Roman"/>
          <w:sz w:val="24"/>
          <w:szCs w:val="24"/>
        </w:rPr>
        <w:t xml:space="preserve"> in relation to public spending – including persons with disabilities, Indigenous persons and women. A</w:t>
      </w:r>
      <w:r w:rsidRPr="00EA01E4">
        <w:rPr>
          <w:rFonts w:ascii="Times New Roman" w:hAnsi="Times New Roman" w:cs="Times New Roman"/>
          <w:sz w:val="24"/>
          <w:szCs w:val="24"/>
        </w:rPr>
        <w:t xml:space="preserve">rticle 4 does not require that States </w:t>
      </w:r>
      <w:r>
        <w:rPr>
          <w:rFonts w:ascii="Times New Roman" w:hAnsi="Times New Roman" w:cs="Times New Roman"/>
          <w:sz w:val="24"/>
          <w:szCs w:val="24"/>
        </w:rPr>
        <w:t xml:space="preserve">Parties </w:t>
      </w:r>
      <w:r w:rsidRPr="00EA01E4">
        <w:rPr>
          <w:rFonts w:ascii="Times New Roman" w:hAnsi="Times New Roman" w:cs="Times New Roman"/>
          <w:sz w:val="24"/>
          <w:szCs w:val="24"/>
        </w:rPr>
        <w:t>should expend all resources</w:t>
      </w:r>
      <w:r>
        <w:rPr>
          <w:rFonts w:ascii="Times New Roman" w:hAnsi="Times New Roman" w:cs="Times New Roman"/>
          <w:sz w:val="24"/>
          <w:szCs w:val="24"/>
        </w:rPr>
        <w:t>,</w:t>
      </w:r>
      <w:r w:rsidRPr="00EA01E4">
        <w:rPr>
          <w:rFonts w:ascii="Times New Roman" w:hAnsi="Times New Roman" w:cs="Times New Roman"/>
          <w:sz w:val="24"/>
          <w:szCs w:val="24"/>
        </w:rPr>
        <w:t xml:space="preserve"> including public spending</w:t>
      </w:r>
      <w:r>
        <w:rPr>
          <w:rFonts w:ascii="Times New Roman" w:hAnsi="Times New Roman" w:cs="Times New Roman"/>
          <w:sz w:val="24"/>
          <w:szCs w:val="24"/>
        </w:rPr>
        <w:t>,</w:t>
      </w:r>
      <w:r w:rsidRPr="00EA01E4">
        <w:rPr>
          <w:rFonts w:ascii="Times New Roman" w:hAnsi="Times New Roman" w:cs="Times New Roman"/>
          <w:sz w:val="24"/>
          <w:szCs w:val="24"/>
        </w:rPr>
        <w:t xml:space="preserve"> to </w:t>
      </w:r>
      <w:r>
        <w:rPr>
          <w:rFonts w:ascii="Times New Roman" w:hAnsi="Times New Roman" w:cs="Times New Roman"/>
          <w:sz w:val="24"/>
          <w:szCs w:val="24"/>
        </w:rPr>
        <w:t>promote children’s rights</w:t>
      </w:r>
      <w:r w:rsidRPr="00EA01E4">
        <w:rPr>
          <w:rFonts w:ascii="Times New Roman" w:hAnsi="Times New Roman" w:cs="Times New Roman"/>
          <w:sz w:val="24"/>
          <w:szCs w:val="24"/>
        </w:rPr>
        <w:t>.</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sidRPr="00716B37">
        <w:rPr>
          <w:rFonts w:ascii="Times New Roman" w:hAnsi="Times New Roman" w:cs="Times New Roman"/>
          <w:sz w:val="24"/>
          <w:szCs w:val="24"/>
        </w:rPr>
        <w:t xml:space="preserve">The </w:t>
      </w:r>
      <w:r>
        <w:rPr>
          <w:rFonts w:ascii="Times New Roman" w:hAnsi="Times New Roman" w:cs="Times New Roman"/>
          <w:sz w:val="24"/>
          <w:szCs w:val="24"/>
        </w:rPr>
        <w:t>Committee states</w:t>
      </w:r>
      <w:r w:rsidRPr="00716B37">
        <w:rPr>
          <w:rFonts w:ascii="Times New Roman" w:hAnsi="Times New Roman" w:cs="Times New Roman"/>
          <w:sz w:val="24"/>
          <w:szCs w:val="24"/>
        </w:rPr>
        <w:t xml:space="preserve"> that ‘[t]he obligation to promote the rights of the child in relation to public spending means that priority should be given to children’s rights in the allo</w:t>
      </w:r>
      <w:r>
        <w:rPr>
          <w:rFonts w:ascii="Times New Roman" w:hAnsi="Times New Roman" w:cs="Times New Roman"/>
          <w:sz w:val="24"/>
          <w:szCs w:val="24"/>
        </w:rPr>
        <w:t>cation of resources’ (para </w:t>
      </w:r>
      <w:r w:rsidRPr="00716B37">
        <w:rPr>
          <w:rFonts w:ascii="Times New Roman" w:hAnsi="Times New Roman" w:cs="Times New Roman"/>
          <w:sz w:val="24"/>
          <w:szCs w:val="24"/>
        </w:rPr>
        <w:t>32</w:t>
      </w:r>
      <w:r>
        <w:rPr>
          <w:rFonts w:ascii="Times New Roman" w:hAnsi="Times New Roman" w:cs="Times New Roman"/>
          <w:sz w:val="24"/>
          <w:szCs w:val="24"/>
        </w:rPr>
        <w:t>, emph omitted</w:t>
      </w:r>
      <w:r w:rsidRPr="00716B37">
        <w:rPr>
          <w:rFonts w:ascii="Times New Roman" w:hAnsi="Times New Roman" w:cs="Times New Roman"/>
          <w:sz w:val="24"/>
          <w:szCs w:val="24"/>
        </w:rPr>
        <w:t xml:space="preserve">). </w:t>
      </w:r>
      <w:r>
        <w:rPr>
          <w:rFonts w:ascii="Times New Roman" w:hAnsi="Times New Roman" w:cs="Times New Roman"/>
          <w:sz w:val="24"/>
          <w:szCs w:val="24"/>
        </w:rPr>
        <w:t xml:space="preserve">In paragraph 51, the Committee also describes this obligation as ‘to make the best interests of the child a primary </w:t>
      </w:r>
      <w:r>
        <w:rPr>
          <w:rFonts w:ascii="Times New Roman" w:hAnsi="Times New Roman" w:cs="Times New Roman"/>
          <w:sz w:val="24"/>
          <w:szCs w:val="24"/>
        </w:rPr>
        <w:lastRenderedPageBreak/>
        <w:t>consideration’ and at paragraph 68, that States Parties must ‘</w:t>
      </w:r>
      <w:r w:rsidRPr="00716B37">
        <w:rPr>
          <w:rFonts w:ascii="Times New Roman" w:hAnsi="Times New Roman" w:cs="Times New Roman"/>
          <w:sz w:val="24"/>
          <w:szCs w:val="24"/>
        </w:rPr>
        <w:t>prioritize allocations and spending toward child rights-related areas</w:t>
      </w:r>
      <w:r>
        <w:rPr>
          <w:rFonts w:ascii="Times New Roman" w:hAnsi="Times New Roman" w:cs="Times New Roman"/>
          <w:sz w:val="24"/>
          <w:szCs w:val="24"/>
        </w:rPr>
        <w:t>’.</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Australia interprets these statements of the Committee in accordance with its view that </w:t>
      </w:r>
      <w:r w:rsidRPr="00C90C95">
        <w:rPr>
          <w:rFonts w:ascii="Times New Roman" w:hAnsi="Times New Roman" w:cs="Times New Roman"/>
          <w:sz w:val="24"/>
          <w:szCs w:val="24"/>
        </w:rPr>
        <w:t xml:space="preserve">children’s rights are </w:t>
      </w:r>
      <w:r>
        <w:rPr>
          <w:rFonts w:ascii="Times New Roman" w:hAnsi="Times New Roman" w:cs="Times New Roman"/>
          <w:sz w:val="24"/>
          <w:szCs w:val="24"/>
        </w:rPr>
        <w:t>one of a number of</w:t>
      </w:r>
      <w:r w:rsidRPr="00C90C95">
        <w:rPr>
          <w:rFonts w:ascii="Times New Roman" w:hAnsi="Times New Roman" w:cs="Times New Roman"/>
          <w:sz w:val="24"/>
          <w:szCs w:val="24"/>
        </w:rPr>
        <w:t xml:space="preserve"> priorit</w:t>
      </w:r>
      <w:r>
        <w:rPr>
          <w:rFonts w:ascii="Times New Roman" w:hAnsi="Times New Roman" w:cs="Times New Roman"/>
          <w:sz w:val="24"/>
          <w:szCs w:val="24"/>
        </w:rPr>
        <w:t>ies</w:t>
      </w:r>
      <w:r w:rsidRPr="00C90C95">
        <w:rPr>
          <w:rFonts w:ascii="Times New Roman" w:hAnsi="Times New Roman" w:cs="Times New Roman"/>
          <w:sz w:val="24"/>
          <w:szCs w:val="24"/>
        </w:rPr>
        <w:t xml:space="preserve"> to be considered in public spending</w:t>
      </w:r>
      <w:r>
        <w:rPr>
          <w:rFonts w:ascii="Times New Roman" w:hAnsi="Times New Roman" w:cs="Times New Roman"/>
          <w:sz w:val="24"/>
          <w:szCs w:val="24"/>
        </w:rPr>
        <w:t xml:space="preserve"> and that in relation to expenditure on, or related to children, the best interests of children will be a primary consideration.</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In relation to the obligation to provide ‘evidence of outcome results for children’, rather than evidence of measures taken (para 27), Australia recommends that the Committee expand on what it considers will be suitable evidence to guide States Parties. </w:t>
      </w:r>
    </w:p>
    <w:p w:rsidR="00046095" w:rsidRPr="003F2525" w:rsidRDefault="00046095" w:rsidP="00046095">
      <w:pPr>
        <w:jc w:val="both"/>
        <w:rPr>
          <w:rFonts w:ascii="Times New Roman" w:hAnsi="Times New Roman" w:cs="Times New Roman"/>
          <w:i/>
          <w:sz w:val="24"/>
          <w:szCs w:val="24"/>
        </w:rPr>
      </w:pPr>
      <w:r>
        <w:rPr>
          <w:rFonts w:ascii="Times New Roman" w:hAnsi="Times New Roman" w:cs="Times New Roman"/>
          <w:i/>
          <w:sz w:val="24"/>
          <w:szCs w:val="24"/>
        </w:rPr>
        <w:t>International c</w:t>
      </w:r>
      <w:r w:rsidRPr="003F2525">
        <w:rPr>
          <w:rFonts w:ascii="Times New Roman" w:hAnsi="Times New Roman" w:cs="Times New Roman"/>
          <w:i/>
          <w:sz w:val="24"/>
          <w:szCs w:val="24"/>
        </w:rPr>
        <w:t>ooperation</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sidRPr="00ED7B19">
        <w:rPr>
          <w:rFonts w:ascii="Times New Roman" w:hAnsi="Times New Roman" w:cs="Times New Roman"/>
          <w:sz w:val="24"/>
          <w:szCs w:val="24"/>
        </w:rPr>
        <w:t xml:space="preserve">Paragraphs 43-44 of the draft General Comment set out the Committee’s views </w:t>
      </w:r>
      <w:r>
        <w:rPr>
          <w:rFonts w:ascii="Times New Roman" w:hAnsi="Times New Roman" w:cs="Times New Roman"/>
          <w:sz w:val="24"/>
          <w:szCs w:val="24"/>
        </w:rPr>
        <w:t>on</w:t>
      </w:r>
      <w:r w:rsidRPr="00ED7B19">
        <w:rPr>
          <w:rFonts w:ascii="Times New Roman" w:hAnsi="Times New Roman" w:cs="Times New Roman"/>
          <w:sz w:val="24"/>
          <w:szCs w:val="24"/>
        </w:rPr>
        <w:t xml:space="preserve"> the nature of the obligation on States</w:t>
      </w:r>
      <w:r>
        <w:rPr>
          <w:rFonts w:ascii="Times New Roman" w:hAnsi="Times New Roman" w:cs="Times New Roman"/>
          <w:sz w:val="24"/>
          <w:szCs w:val="24"/>
        </w:rPr>
        <w:t xml:space="preserve"> Parties </w:t>
      </w:r>
      <w:r w:rsidRPr="00ED7B19">
        <w:rPr>
          <w:rFonts w:ascii="Times New Roman" w:hAnsi="Times New Roman" w:cs="Times New Roman"/>
          <w:sz w:val="24"/>
          <w:szCs w:val="24"/>
        </w:rPr>
        <w:t xml:space="preserve">with respect to international cooperation. </w:t>
      </w:r>
      <w:r>
        <w:rPr>
          <w:rFonts w:ascii="Times New Roman" w:hAnsi="Times New Roman" w:cs="Times New Roman"/>
          <w:sz w:val="24"/>
          <w:szCs w:val="24"/>
        </w:rPr>
        <w:t xml:space="preserve">In the Committee’s view, </w:t>
      </w:r>
      <w:r w:rsidRPr="00ED7B19">
        <w:rPr>
          <w:rFonts w:ascii="Times New Roman" w:hAnsi="Times New Roman" w:cs="Times New Roman"/>
          <w:sz w:val="24"/>
          <w:szCs w:val="24"/>
        </w:rPr>
        <w:t xml:space="preserve">States Parties </w:t>
      </w:r>
      <w:r>
        <w:rPr>
          <w:rFonts w:ascii="Times New Roman" w:hAnsi="Times New Roman" w:cs="Times New Roman"/>
          <w:sz w:val="24"/>
          <w:szCs w:val="24"/>
        </w:rPr>
        <w:t>‘are</w:t>
      </w:r>
      <w:r w:rsidRPr="00ED7B19">
        <w:rPr>
          <w:rFonts w:ascii="Times New Roman" w:hAnsi="Times New Roman" w:cs="Times New Roman"/>
          <w:sz w:val="24"/>
          <w:szCs w:val="24"/>
        </w:rPr>
        <w:t xml:space="preserve"> obliged to seek cooperation (bilateral, regional, inter regional, global or multilateral) </w:t>
      </w:r>
      <w:r w:rsidRPr="00347C38">
        <w:rPr>
          <w:rFonts w:ascii="Times New Roman" w:hAnsi="Times New Roman" w:cs="Times New Roman"/>
          <w:sz w:val="24"/>
          <w:szCs w:val="24"/>
        </w:rPr>
        <w:t>if it would facilitate</w:t>
      </w:r>
      <w:r w:rsidRPr="00ED7B19">
        <w:rPr>
          <w:rFonts w:ascii="Times New Roman" w:hAnsi="Times New Roman" w:cs="Times New Roman"/>
          <w:sz w:val="24"/>
          <w:szCs w:val="24"/>
        </w:rPr>
        <w:t xml:space="preserve"> the implementation of the rights of the Convention’ (para 43).</w:t>
      </w:r>
      <w:r>
        <w:rPr>
          <w:rFonts w:ascii="Times New Roman" w:hAnsi="Times New Roman" w:cs="Times New Roman"/>
          <w:sz w:val="24"/>
          <w:szCs w:val="24"/>
        </w:rPr>
        <w:t xml:space="preserve">  Further, ‘d</w:t>
      </w:r>
      <w:r w:rsidRPr="00ED7B19">
        <w:rPr>
          <w:rFonts w:ascii="Times New Roman" w:hAnsi="Times New Roman" w:cs="Times New Roman"/>
          <w:sz w:val="24"/>
          <w:szCs w:val="24"/>
        </w:rPr>
        <w:t xml:space="preserve">eveloped States </w:t>
      </w:r>
      <w:r>
        <w:rPr>
          <w:rFonts w:ascii="Times New Roman" w:hAnsi="Times New Roman" w:cs="Times New Roman"/>
          <w:sz w:val="24"/>
          <w:szCs w:val="24"/>
        </w:rPr>
        <w:t>are</w:t>
      </w:r>
      <w:r w:rsidRPr="00ED7B19">
        <w:rPr>
          <w:rFonts w:ascii="Times New Roman" w:hAnsi="Times New Roman" w:cs="Times New Roman"/>
          <w:sz w:val="24"/>
          <w:szCs w:val="24"/>
        </w:rPr>
        <w:t xml:space="preserve"> obliged to provide international cooperation to developing States</w:t>
      </w:r>
      <w:r>
        <w:rPr>
          <w:rFonts w:ascii="Times New Roman" w:hAnsi="Times New Roman" w:cs="Times New Roman"/>
          <w:sz w:val="24"/>
          <w:szCs w:val="24"/>
        </w:rPr>
        <w:t>,</w:t>
      </w:r>
      <w:r w:rsidRPr="00ED7B19">
        <w:rPr>
          <w:rFonts w:ascii="Times New Roman" w:hAnsi="Times New Roman" w:cs="Times New Roman"/>
          <w:sz w:val="24"/>
          <w:szCs w:val="24"/>
        </w:rPr>
        <w:t xml:space="preserve"> with the aim </w:t>
      </w:r>
      <w:r>
        <w:rPr>
          <w:rFonts w:ascii="Times New Roman" w:hAnsi="Times New Roman" w:cs="Times New Roman"/>
          <w:sz w:val="24"/>
          <w:szCs w:val="24"/>
        </w:rPr>
        <w:t>to facilitate</w:t>
      </w:r>
      <w:r w:rsidRPr="00ED7B19">
        <w:rPr>
          <w:rFonts w:ascii="Times New Roman" w:hAnsi="Times New Roman" w:cs="Times New Roman"/>
          <w:sz w:val="24"/>
          <w:szCs w:val="24"/>
        </w:rPr>
        <w:t xml:space="preserve"> the implementation’ of the Convention</w:t>
      </w:r>
      <w:r>
        <w:rPr>
          <w:rFonts w:ascii="Times New Roman" w:hAnsi="Times New Roman" w:cs="Times New Roman"/>
          <w:sz w:val="24"/>
          <w:szCs w:val="24"/>
        </w:rPr>
        <w:t xml:space="preserve"> (para </w:t>
      </w:r>
      <w:r w:rsidRPr="00ED7B19">
        <w:rPr>
          <w:rFonts w:ascii="Times New Roman" w:hAnsi="Times New Roman" w:cs="Times New Roman"/>
          <w:sz w:val="24"/>
          <w:szCs w:val="24"/>
        </w:rPr>
        <w:t xml:space="preserve">43). </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Australia submits that these statements do not reflect the obligation in Article 4 of the Convention. Article 4 requires States Parties to undertake measures ‘within the framework of international co-operation’. </w:t>
      </w:r>
      <w:r w:rsidRPr="006E7A3D">
        <w:rPr>
          <w:rFonts w:ascii="Times New Roman" w:hAnsi="Times New Roman" w:cs="Times New Roman"/>
          <w:sz w:val="24"/>
          <w:szCs w:val="24"/>
        </w:rPr>
        <w:t>In the Australian</w:t>
      </w:r>
      <w:r>
        <w:rPr>
          <w:rFonts w:ascii="Times New Roman" w:hAnsi="Times New Roman" w:cs="Times New Roman"/>
          <w:sz w:val="24"/>
          <w:szCs w:val="24"/>
        </w:rPr>
        <w:t> </w:t>
      </w:r>
      <w:r w:rsidRPr="006E7A3D">
        <w:rPr>
          <w:rFonts w:ascii="Times New Roman" w:hAnsi="Times New Roman" w:cs="Times New Roman"/>
          <w:sz w:val="24"/>
          <w:szCs w:val="24"/>
        </w:rPr>
        <w:t>Government’s view</w:t>
      </w:r>
      <w:r>
        <w:rPr>
          <w:rFonts w:ascii="Times New Roman" w:hAnsi="Times New Roman" w:cs="Times New Roman"/>
          <w:sz w:val="24"/>
          <w:szCs w:val="24"/>
        </w:rPr>
        <w:t>, Article 4 requires States</w:t>
      </w:r>
      <w:r w:rsidRPr="006E7A3D">
        <w:rPr>
          <w:rFonts w:ascii="Times New Roman" w:hAnsi="Times New Roman" w:cs="Times New Roman"/>
          <w:sz w:val="24"/>
          <w:szCs w:val="24"/>
        </w:rPr>
        <w:t xml:space="preserve"> to utilise both the resources existing within a </w:t>
      </w:r>
      <w:r>
        <w:rPr>
          <w:rFonts w:ascii="Times New Roman" w:hAnsi="Times New Roman" w:cs="Times New Roman"/>
          <w:sz w:val="24"/>
          <w:szCs w:val="24"/>
        </w:rPr>
        <w:t>S</w:t>
      </w:r>
      <w:r w:rsidRPr="006E7A3D">
        <w:rPr>
          <w:rFonts w:ascii="Times New Roman" w:hAnsi="Times New Roman" w:cs="Times New Roman"/>
          <w:sz w:val="24"/>
          <w:szCs w:val="24"/>
        </w:rPr>
        <w:t>tate and those available from the international community through international cooperation and assistance.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Australia does not consider that Article 4 places an obligation on States Parties to either seek, or provide, international assistance. Australia suggests that the mandatory language be removed, and replaced with a reference to the need to seek and provide international assistance where appropriate.</w:t>
      </w:r>
    </w:p>
    <w:p w:rsidR="00046095" w:rsidRPr="001E4972" w:rsidRDefault="00046095" w:rsidP="00046095">
      <w:pPr>
        <w:jc w:val="both"/>
        <w:rPr>
          <w:rFonts w:ascii="Times New Roman" w:hAnsi="Times New Roman" w:cs="Times New Roman"/>
          <w:i/>
          <w:sz w:val="24"/>
          <w:szCs w:val="24"/>
        </w:rPr>
      </w:pPr>
      <w:r>
        <w:rPr>
          <w:rFonts w:ascii="Times New Roman" w:hAnsi="Times New Roman" w:cs="Times New Roman"/>
          <w:i/>
          <w:sz w:val="24"/>
          <w:szCs w:val="24"/>
        </w:rPr>
        <w:t>Discussion of e</w:t>
      </w:r>
      <w:r w:rsidRPr="001E4972">
        <w:rPr>
          <w:rFonts w:ascii="Times New Roman" w:hAnsi="Times New Roman" w:cs="Times New Roman"/>
          <w:i/>
          <w:sz w:val="24"/>
          <w:szCs w:val="24"/>
        </w:rPr>
        <w:t xml:space="preserve">conomic, </w:t>
      </w:r>
      <w:r>
        <w:rPr>
          <w:rFonts w:ascii="Times New Roman" w:hAnsi="Times New Roman" w:cs="Times New Roman"/>
          <w:i/>
          <w:sz w:val="24"/>
          <w:szCs w:val="24"/>
        </w:rPr>
        <w:t>s</w:t>
      </w:r>
      <w:r w:rsidRPr="001E4972">
        <w:rPr>
          <w:rFonts w:ascii="Times New Roman" w:hAnsi="Times New Roman" w:cs="Times New Roman"/>
          <w:i/>
          <w:sz w:val="24"/>
          <w:szCs w:val="24"/>
        </w:rPr>
        <w:t xml:space="preserve">ocial and </w:t>
      </w:r>
      <w:r>
        <w:rPr>
          <w:rFonts w:ascii="Times New Roman" w:hAnsi="Times New Roman" w:cs="Times New Roman"/>
          <w:i/>
          <w:sz w:val="24"/>
          <w:szCs w:val="24"/>
        </w:rPr>
        <w:t>c</w:t>
      </w:r>
      <w:r w:rsidRPr="001E4972">
        <w:rPr>
          <w:rFonts w:ascii="Times New Roman" w:hAnsi="Times New Roman" w:cs="Times New Roman"/>
          <w:i/>
          <w:sz w:val="24"/>
          <w:szCs w:val="24"/>
        </w:rPr>
        <w:t xml:space="preserve">ultural </w:t>
      </w:r>
      <w:r>
        <w:rPr>
          <w:rFonts w:ascii="Times New Roman" w:hAnsi="Times New Roman" w:cs="Times New Roman"/>
          <w:i/>
          <w:sz w:val="24"/>
          <w:szCs w:val="24"/>
        </w:rPr>
        <w:t>r</w:t>
      </w:r>
      <w:r w:rsidRPr="001E4972">
        <w:rPr>
          <w:rFonts w:ascii="Times New Roman" w:hAnsi="Times New Roman" w:cs="Times New Roman"/>
          <w:i/>
          <w:sz w:val="24"/>
          <w:szCs w:val="24"/>
        </w:rPr>
        <w:t>ights</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Australian Government commends the Committee on its discussion of economic, social and cultural rights as rights of progressive realisation and considers that this provides valuable guidance to States Parties. Australia raises two suggestions to further guide States Parties relating to retrogressive measures and minimum core obligations. </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With respect to retrogressive measures, the Committee states its view in paragraph 20(c) that ‘States cannot take deliberate retrogressive measures in relation to articles of the Convention, including in times of economic austerity’.</w:t>
      </w:r>
    </w:p>
    <w:p w:rsidR="00046095" w:rsidRPr="005B5D7C"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This</w:t>
      </w:r>
      <w:r w:rsidRPr="005B5D7C">
        <w:rPr>
          <w:rFonts w:ascii="Times New Roman" w:hAnsi="Times New Roman" w:cs="Times New Roman"/>
          <w:sz w:val="24"/>
          <w:szCs w:val="24"/>
        </w:rPr>
        <w:t xml:space="preserve"> text </w:t>
      </w:r>
      <w:r>
        <w:rPr>
          <w:rFonts w:ascii="Times New Roman" w:hAnsi="Times New Roman" w:cs="Times New Roman"/>
          <w:sz w:val="24"/>
          <w:szCs w:val="24"/>
        </w:rPr>
        <w:t xml:space="preserve">should be qualified </w:t>
      </w:r>
      <w:r w:rsidRPr="005B5D7C">
        <w:rPr>
          <w:rFonts w:ascii="Times New Roman" w:hAnsi="Times New Roman" w:cs="Times New Roman"/>
          <w:sz w:val="24"/>
          <w:szCs w:val="24"/>
        </w:rPr>
        <w:t xml:space="preserve">to acknowledge that not every backward step is a violation of </w:t>
      </w:r>
      <w:r>
        <w:rPr>
          <w:rFonts w:ascii="Times New Roman" w:hAnsi="Times New Roman" w:cs="Times New Roman"/>
          <w:sz w:val="24"/>
          <w:szCs w:val="24"/>
        </w:rPr>
        <w:t>the Convention</w:t>
      </w:r>
      <w:r w:rsidRPr="005B5D7C">
        <w:rPr>
          <w:rFonts w:ascii="Times New Roman" w:hAnsi="Times New Roman" w:cs="Times New Roman"/>
          <w:sz w:val="24"/>
          <w:szCs w:val="24"/>
        </w:rPr>
        <w:t xml:space="preserve"> – only </w:t>
      </w:r>
      <w:r>
        <w:rPr>
          <w:rFonts w:ascii="Times New Roman" w:hAnsi="Times New Roman" w:cs="Times New Roman"/>
          <w:sz w:val="24"/>
          <w:szCs w:val="24"/>
        </w:rPr>
        <w:t xml:space="preserve">those </w:t>
      </w:r>
      <w:r w:rsidRPr="005B5D7C">
        <w:rPr>
          <w:rFonts w:ascii="Times New Roman" w:hAnsi="Times New Roman" w:cs="Times New Roman"/>
          <w:sz w:val="24"/>
          <w:szCs w:val="24"/>
        </w:rPr>
        <w:t xml:space="preserve">steps that are unjustifiable considering the full circumstances of the State Party. </w:t>
      </w:r>
      <w:r>
        <w:rPr>
          <w:rFonts w:ascii="Times New Roman" w:hAnsi="Times New Roman" w:cs="Times New Roman"/>
          <w:sz w:val="24"/>
          <w:szCs w:val="24"/>
        </w:rPr>
        <w:t xml:space="preserve">The </w:t>
      </w:r>
      <w:r w:rsidRPr="005B5D7C">
        <w:rPr>
          <w:rFonts w:ascii="Times New Roman" w:hAnsi="Times New Roman" w:cs="Times New Roman"/>
          <w:sz w:val="24"/>
          <w:szCs w:val="24"/>
        </w:rPr>
        <w:t>Committee on Economic, Social and Cultural Rights</w:t>
      </w:r>
      <w:r>
        <w:rPr>
          <w:rFonts w:ascii="Times New Roman" w:hAnsi="Times New Roman" w:cs="Times New Roman"/>
          <w:sz w:val="24"/>
          <w:szCs w:val="24"/>
        </w:rPr>
        <w:t xml:space="preserve"> (the CESCR) has indicated that: ‘States cannot take deliberate retrogressive measures in relation to articles of the Convention </w:t>
      </w:r>
      <w:r w:rsidRPr="005B5D7C">
        <w:rPr>
          <w:rFonts w:ascii="Times New Roman" w:hAnsi="Times New Roman" w:cs="Times New Roman"/>
          <w:i/>
          <w:sz w:val="24"/>
          <w:szCs w:val="24"/>
        </w:rPr>
        <w:t>unless taken with the most careful consideration and with full justification by reference to the totality of the rights provided for by the Convention and in the context of the full use of the maximum available resources</w:t>
      </w:r>
      <w:r>
        <w:rPr>
          <w:rFonts w:ascii="Times New Roman" w:hAnsi="Times New Roman" w:cs="Times New Roman"/>
          <w:sz w:val="24"/>
          <w:szCs w:val="24"/>
        </w:rPr>
        <w:t>’</w:t>
      </w:r>
      <w:r w:rsidRPr="005B5D7C">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5B5D7C">
        <w:rPr>
          <w:rFonts w:ascii="Times New Roman" w:hAnsi="Times New Roman" w:cs="Times New Roman"/>
          <w:sz w:val="24"/>
          <w:szCs w:val="24"/>
        </w:rPr>
        <w:t xml:space="preserve"> </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With respect to economic, social and cultural rights, the Committee refers in paragraph 37 to </w:t>
      </w:r>
      <w:r w:rsidRPr="00C433AC">
        <w:rPr>
          <w:rFonts w:ascii="Times New Roman" w:hAnsi="Times New Roman" w:cs="Times New Roman"/>
          <w:sz w:val="24"/>
          <w:szCs w:val="24"/>
        </w:rPr>
        <w:t>‘a minimum core obligation to ensure the satisfaction of, at the very least, minimum essential levels of each of the rights’</w:t>
      </w:r>
      <w:r>
        <w:rPr>
          <w:rFonts w:ascii="Times New Roman" w:hAnsi="Times New Roman" w:cs="Times New Roman"/>
          <w:sz w:val="24"/>
          <w:szCs w:val="24"/>
        </w:rPr>
        <w:t xml:space="preserve">. </w:t>
      </w:r>
      <w:r w:rsidRPr="00E90448">
        <w:rPr>
          <w:rFonts w:ascii="Times New Roman" w:hAnsi="Times New Roman" w:cs="Times New Roman"/>
          <w:sz w:val="24"/>
          <w:szCs w:val="24"/>
        </w:rPr>
        <w:t xml:space="preserve">The view adopted by the Committee </w:t>
      </w:r>
      <w:r>
        <w:rPr>
          <w:rFonts w:ascii="Times New Roman" w:hAnsi="Times New Roman" w:cs="Times New Roman"/>
          <w:sz w:val="24"/>
          <w:szCs w:val="24"/>
        </w:rPr>
        <w:t xml:space="preserve">is </w:t>
      </w:r>
      <w:r w:rsidRPr="00E90448">
        <w:rPr>
          <w:rFonts w:ascii="Times New Roman" w:hAnsi="Times New Roman" w:cs="Times New Roman"/>
          <w:sz w:val="24"/>
          <w:szCs w:val="24"/>
        </w:rPr>
        <w:t>that ‘[l]ack of available resources is never a valid argument for States not to comply with this core obligation’</w:t>
      </w:r>
      <w:r>
        <w:rPr>
          <w:rFonts w:ascii="Times New Roman" w:hAnsi="Times New Roman" w:cs="Times New Roman"/>
          <w:sz w:val="24"/>
          <w:szCs w:val="24"/>
        </w:rPr>
        <w:t>. Australia is concerned that this discussion does not align with the concept of a ‘minimum core’ as developed by the CESCR.</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Australia notes that what constitutes </w:t>
      </w:r>
      <w:r w:rsidRPr="0099281A">
        <w:rPr>
          <w:rFonts w:ascii="Times New Roman" w:hAnsi="Times New Roman" w:cs="Times New Roman"/>
          <w:sz w:val="24"/>
          <w:szCs w:val="24"/>
        </w:rPr>
        <w:t xml:space="preserve">a </w:t>
      </w:r>
      <w:r>
        <w:rPr>
          <w:rFonts w:ascii="Times New Roman" w:hAnsi="Times New Roman" w:cs="Times New Roman"/>
          <w:sz w:val="24"/>
          <w:szCs w:val="24"/>
        </w:rPr>
        <w:t>‘</w:t>
      </w:r>
      <w:r w:rsidRPr="0099281A">
        <w:rPr>
          <w:rFonts w:ascii="Times New Roman" w:hAnsi="Times New Roman" w:cs="Times New Roman"/>
          <w:sz w:val="24"/>
          <w:szCs w:val="24"/>
        </w:rPr>
        <w:t>minimum core obligation</w:t>
      </w:r>
      <w:r>
        <w:rPr>
          <w:rFonts w:ascii="Times New Roman" w:hAnsi="Times New Roman" w:cs="Times New Roman"/>
          <w:sz w:val="24"/>
          <w:szCs w:val="24"/>
        </w:rPr>
        <w:t>’</w:t>
      </w:r>
      <w:r w:rsidRPr="0099281A">
        <w:rPr>
          <w:rFonts w:ascii="Times New Roman" w:hAnsi="Times New Roman" w:cs="Times New Roman"/>
          <w:sz w:val="24"/>
          <w:szCs w:val="24"/>
        </w:rPr>
        <w:t xml:space="preserve"> is</w:t>
      </w:r>
      <w:r>
        <w:rPr>
          <w:rFonts w:ascii="Times New Roman" w:hAnsi="Times New Roman" w:cs="Times New Roman"/>
          <w:sz w:val="24"/>
          <w:szCs w:val="24"/>
        </w:rPr>
        <w:t xml:space="preserve"> highly</w:t>
      </w:r>
      <w:r w:rsidRPr="0099281A">
        <w:rPr>
          <w:rFonts w:ascii="Times New Roman" w:hAnsi="Times New Roman" w:cs="Times New Roman"/>
          <w:sz w:val="24"/>
          <w:szCs w:val="24"/>
        </w:rPr>
        <w:t xml:space="preserve"> conte</w:t>
      </w:r>
      <w:r>
        <w:rPr>
          <w:rFonts w:ascii="Times New Roman" w:hAnsi="Times New Roman" w:cs="Times New Roman"/>
          <w:sz w:val="24"/>
          <w:szCs w:val="24"/>
        </w:rPr>
        <w:t>st</w:t>
      </w:r>
      <w:r w:rsidRPr="0099281A">
        <w:rPr>
          <w:rFonts w:ascii="Times New Roman" w:hAnsi="Times New Roman" w:cs="Times New Roman"/>
          <w:sz w:val="24"/>
          <w:szCs w:val="24"/>
        </w:rPr>
        <w:t xml:space="preserve">ed between States and </w:t>
      </w:r>
      <w:r>
        <w:rPr>
          <w:rFonts w:ascii="Times New Roman" w:hAnsi="Times New Roman" w:cs="Times New Roman"/>
          <w:sz w:val="24"/>
          <w:szCs w:val="24"/>
        </w:rPr>
        <w:t>will differ according to State</w:t>
      </w:r>
      <w:r w:rsidRPr="0099281A">
        <w:rPr>
          <w:rFonts w:ascii="Times New Roman" w:hAnsi="Times New Roman" w:cs="Times New Roman"/>
          <w:sz w:val="24"/>
          <w:szCs w:val="24"/>
        </w:rPr>
        <w:t xml:space="preserve"> capacity and resources</w:t>
      </w:r>
      <w:r>
        <w:rPr>
          <w:rFonts w:ascii="Times New Roman" w:hAnsi="Times New Roman" w:cs="Times New Roman"/>
          <w:sz w:val="24"/>
          <w:szCs w:val="24"/>
        </w:rPr>
        <w:t xml:space="preserve">. The CESCR has stated that </w:t>
      </w:r>
      <w:r w:rsidRPr="00D41D71">
        <w:rPr>
          <w:rFonts w:ascii="Times New Roman" w:hAnsi="Times New Roman" w:cs="Times New Roman"/>
          <w:sz w:val="24"/>
          <w:szCs w:val="24"/>
        </w:rPr>
        <w:t>‘for a State party to be able to attribute its failure to meet at least its minimum core obligations to a lack of available resources it must demonstrate that every effort has been made to use all resources that are at its disposition in an effort to satisfy, as a matter of priority, those minimum obligations’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This discussion suggests that a lack of resources may be a legitimate reason for failing to provide a minimum core of particular economic, social and cultural rights.</w:t>
      </w:r>
    </w:p>
    <w:p w:rsidR="00046095" w:rsidRPr="0040094F" w:rsidRDefault="00046095" w:rsidP="00046095">
      <w:pPr>
        <w:jc w:val="both"/>
        <w:rPr>
          <w:rFonts w:ascii="Times New Roman" w:hAnsi="Times New Roman" w:cs="Times New Roman"/>
          <w:i/>
          <w:sz w:val="24"/>
          <w:szCs w:val="24"/>
        </w:rPr>
      </w:pPr>
      <w:r>
        <w:rPr>
          <w:rFonts w:ascii="Times New Roman" w:hAnsi="Times New Roman" w:cs="Times New Roman"/>
          <w:i/>
          <w:sz w:val="24"/>
          <w:szCs w:val="24"/>
        </w:rPr>
        <w:t>Obligations to respect, promote, protect and fulfil</w:t>
      </w:r>
    </w:p>
    <w:p w:rsidR="00046095" w:rsidRPr="0045179B"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discussion of the general principles of respect, promote, protect and fulfil in paragraphs 31-34 is not consistent with other treaty bodies’ views on the content of these principles. </w:t>
      </w:r>
    </w:p>
    <w:p w:rsidR="00046095" w:rsidRPr="00AD359F" w:rsidRDefault="00046095" w:rsidP="00046095">
      <w:pPr>
        <w:pStyle w:val="ListParagraph"/>
        <w:numPr>
          <w:ilvl w:val="0"/>
          <w:numId w:val="2"/>
        </w:numPr>
        <w:contextualSpacing w:val="0"/>
        <w:jc w:val="both"/>
        <w:rPr>
          <w:rFonts w:ascii="Times New Roman" w:hAnsi="Times New Roman" w:cs="Times New Roman"/>
          <w:sz w:val="24"/>
          <w:szCs w:val="24"/>
        </w:rPr>
      </w:pPr>
      <w:r w:rsidRPr="00AD359F">
        <w:rPr>
          <w:rFonts w:ascii="Times New Roman" w:hAnsi="Times New Roman" w:cs="Times New Roman"/>
          <w:sz w:val="24"/>
          <w:szCs w:val="24"/>
        </w:rPr>
        <w:t>Paragraph 31 describes the obligation on States Parties to respect the rights of the child as including an obligation to ‘not directly or indirectly facilitate, aid and abet any infringement of children’s rights’. The obligation to respect is generally described as requiring States Parties to refrain from interfering directly or indirectly with the enjoyment of rights.</w:t>
      </w:r>
      <w:r w:rsidRPr="003373BF">
        <w:rPr>
          <w:rStyle w:val="FootnoteReference"/>
          <w:rFonts w:ascii="Times New Roman" w:hAnsi="Times New Roman" w:cs="Times New Roman"/>
          <w:sz w:val="24"/>
          <w:szCs w:val="24"/>
        </w:rPr>
        <w:footnoteReference w:id="4"/>
      </w:r>
      <w:r w:rsidRPr="00AD359F">
        <w:rPr>
          <w:rFonts w:ascii="Times New Roman" w:hAnsi="Times New Roman" w:cs="Times New Roman"/>
          <w:sz w:val="24"/>
          <w:szCs w:val="24"/>
        </w:rPr>
        <w:t xml:space="preserve"> If this </w:t>
      </w:r>
      <w:r>
        <w:rPr>
          <w:rFonts w:ascii="Times New Roman" w:hAnsi="Times New Roman" w:cs="Times New Roman"/>
          <w:sz w:val="24"/>
          <w:szCs w:val="24"/>
        </w:rPr>
        <w:t xml:space="preserve">draft </w:t>
      </w:r>
      <w:r w:rsidRPr="00AD359F">
        <w:rPr>
          <w:rFonts w:ascii="Times New Roman" w:hAnsi="Times New Roman" w:cs="Times New Roman"/>
          <w:sz w:val="24"/>
          <w:szCs w:val="24"/>
        </w:rPr>
        <w:t>statement is intended to refer to state responsibility for internationally wrongful acts,</w:t>
      </w:r>
      <w:r w:rsidRPr="003373BF">
        <w:rPr>
          <w:rStyle w:val="FootnoteReference"/>
          <w:rFonts w:ascii="Times New Roman" w:hAnsi="Times New Roman" w:cs="Times New Roman"/>
          <w:sz w:val="24"/>
          <w:szCs w:val="24"/>
        </w:rPr>
        <w:footnoteReference w:id="5"/>
      </w:r>
      <w:r w:rsidRPr="00AD359F">
        <w:rPr>
          <w:rFonts w:ascii="Times New Roman" w:hAnsi="Times New Roman" w:cs="Times New Roman"/>
          <w:sz w:val="24"/>
          <w:szCs w:val="24"/>
        </w:rPr>
        <w:t xml:space="preserve"> Australia suggests that the Committee clarify </w:t>
      </w:r>
      <w:r>
        <w:rPr>
          <w:rFonts w:ascii="Times New Roman" w:hAnsi="Times New Roman" w:cs="Times New Roman"/>
          <w:sz w:val="24"/>
          <w:szCs w:val="24"/>
        </w:rPr>
        <w:t>its</w:t>
      </w:r>
      <w:r w:rsidRPr="00AD359F">
        <w:rPr>
          <w:rFonts w:ascii="Times New Roman" w:hAnsi="Times New Roman" w:cs="Times New Roman"/>
          <w:sz w:val="24"/>
          <w:szCs w:val="24"/>
        </w:rPr>
        <w:t xml:space="preserve"> intention.</w:t>
      </w:r>
      <w:r w:rsidRPr="00AD359F" w:rsidDel="00A36B6A">
        <w:rPr>
          <w:rFonts w:ascii="Times New Roman" w:hAnsi="Times New Roman" w:cs="Times New Roman"/>
          <w:sz w:val="24"/>
          <w:szCs w:val="24"/>
        </w:rPr>
        <w:t xml:space="preserve"> </w:t>
      </w:r>
    </w:p>
    <w:p w:rsidR="00046095" w:rsidRDefault="00046095" w:rsidP="00046095">
      <w:pPr>
        <w:jc w:val="both"/>
        <w:rPr>
          <w:rFonts w:ascii="Times New Roman" w:hAnsi="Times New Roman" w:cs="Times New Roman"/>
          <w:i/>
          <w:sz w:val="24"/>
          <w:szCs w:val="24"/>
        </w:rPr>
      </w:pPr>
    </w:p>
    <w:p w:rsidR="00046095" w:rsidRDefault="00046095" w:rsidP="00046095">
      <w:pPr>
        <w:jc w:val="both"/>
        <w:rPr>
          <w:rFonts w:ascii="Times New Roman" w:hAnsi="Times New Roman" w:cs="Times New Roman"/>
          <w:i/>
          <w:sz w:val="24"/>
          <w:szCs w:val="24"/>
        </w:rPr>
      </w:pPr>
    </w:p>
    <w:p w:rsidR="00046095" w:rsidRPr="002D1C15" w:rsidRDefault="00046095" w:rsidP="00046095">
      <w:pPr>
        <w:jc w:val="both"/>
        <w:rPr>
          <w:rFonts w:ascii="Times New Roman" w:hAnsi="Times New Roman" w:cs="Times New Roman"/>
          <w:i/>
          <w:sz w:val="24"/>
          <w:szCs w:val="24"/>
        </w:rPr>
      </w:pPr>
      <w:r>
        <w:rPr>
          <w:rFonts w:ascii="Times New Roman" w:hAnsi="Times New Roman" w:cs="Times New Roman"/>
          <w:i/>
          <w:sz w:val="24"/>
          <w:szCs w:val="24"/>
        </w:rPr>
        <w:lastRenderedPageBreak/>
        <w:t>Discussion of right to l</w:t>
      </w:r>
      <w:r w:rsidRPr="002D1C15">
        <w:rPr>
          <w:rFonts w:ascii="Times New Roman" w:hAnsi="Times New Roman" w:cs="Times New Roman"/>
          <w:i/>
          <w:sz w:val="24"/>
          <w:szCs w:val="24"/>
        </w:rPr>
        <w:t>ife and potential inclusion of other rights</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Australia</w:t>
      </w:r>
      <w:r w:rsidRPr="00884E89">
        <w:rPr>
          <w:rFonts w:ascii="Times New Roman" w:hAnsi="Times New Roman" w:cs="Times New Roman"/>
          <w:sz w:val="24"/>
          <w:szCs w:val="24"/>
        </w:rPr>
        <w:t xml:space="preserve"> </w:t>
      </w:r>
      <w:r w:rsidRPr="006D4889">
        <w:rPr>
          <w:rFonts w:ascii="Times New Roman" w:hAnsi="Times New Roman" w:cs="Times New Roman"/>
          <w:sz w:val="24"/>
          <w:szCs w:val="24"/>
        </w:rPr>
        <w:t xml:space="preserve">suggests that discussion surrounding the right to life (paras 54-58) might be strengthened by referencing other rights </w:t>
      </w:r>
      <w:r>
        <w:rPr>
          <w:rFonts w:ascii="Times New Roman" w:hAnsi="Times New Roman" w:cs="Times New Roman"/>
          <w:sz w:val="24"/>
          <w:szCs w:val="24"/>
        </w:rPr>
        <w:t>in</w:t>
      </w:r>
      <w:r w:rsidRPr="006D4889">
        <w:rPr>
          <w:rFonts w:ascii="Times New Roman" w:hAnsi="Times New Roman" w:cs="Times New Roman"/>
          <w:sz w:val="24"/>
          <w:szCs w:val="24"/>
        </w:rPr>
        <w:t xml:space="preserve"> the Convention</w:t>
      </w:r>
      <w:r>
        <w:rPr>
          <w:rFonts w:ascii="Times New Roman" w:hAnsi="Times New Roman" w:cs="Times New Roman"/>
          <w:sz w:val="24"/>
          <w:szCs w:val="24"/>
        </w:rPr>
        <w:t>.</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sidRPr="0016601F">
        <w:rPr>
          <w:rFonts w:ascii="Times New Roman" w:hAnsi="Times New Roman" w:cs="Times New Roman"/>
          <w:sz w:val="24"/>
          <w:szCs w:val="24"/>
        </w:rPr>
        <w:t xml:space="preserve">The right to life in Article 6 of the Convention is </w:t>
      </w:r>
      <w:r>
        <w:rPr>
          <w:rFonts w:ascii="Times New Roman" w:hAnsi="Times New Roman" w:cs="Times New Roman"/>
          <w:sz w:val="24"/>
          <w:szCs w:val="24"/>
        </w:rPr>
        <w:t xml:space="preserve">primarily </w:t>
      </w:r>
      <w:r w:rsidRPr="0016601F">
        <w:rPr>
          <w:rFonts w:ascii="Times New Roman" w:hAnsi="Times New Roman" w:cs="Times New Roman"/>
          <w:sz w:val="24"/>
          <w:szCs w:val="24"/>
        </w:rPr>
        <w:t xml:space="preserve">based on Article 6 of the </w:t>
      </w:r>
      <w:r>
        <w:rPr>
          <w:rFonts w:ascii="Times New Roman" w:hAnsi="Times New Roman" w:cs="Times New Roman"/>
          <w:sz w:val="24"/>
          <w:szCs w:val="24"/>
        </w:rPr>
        <w:t xml:space="preserve">International Covenant on Civil and Political Rights </w:t>
      </w:r>
      <w:r w:rsidRPr="0016601F">
        <w:rPr>
          <w:rFonts w:ascii="Times New Roman" w:hAnsi="Times New Roman" w:cs="Times New Roman"/>
          <w:sz w:val="24"/>
          <w:szCs w:val="24"/>
        </w:rPr>
        <w:t xml:space="preserve">which is the right not to be arbitrarily deprived of one’s life. </w:t>
      </w:r>
      <w:r w:rsidRPr="006D4889">
        <w:rPr>
          <w:rFonts w:ascii="Times New Roman" w:hAnsi="Times New Roman" w:cs="Times New Roman"/>
          <w:sz w:val="24"/>
          <w:szCs w:val="24"/>
        </w:rPr>
        <w:t>Australia acknowledges that, in accordance with drafting intentions, the right to life under the Convention has a positive connotation and should take into account economic, social and cultural conditions</w:t>
      </w:r>
      <w:r>
        <w:rPr>
          <w:rFonts w:ascii="Times New Roman" w:hAnsi="Times New Roman" w:cs="Times New Roman"/>
          <w:sz w:val="24"/>
          <w:szCs w:val="24"/>
        </w:rPr>
        <w:t xml:space="preserve">. However, </w:t>
      </w:r>
      <w:r w:rsidRPr="006D4889">
        <w:rPr>
          <w:rFonts w:ascii="Times New Roman" w:hAnsi="Times New Roman" w:cs="Times New Roman"/>
          <w:sz w:val="24"/>
          <w:szCs w:val="24"/>
        </w:rPr>
        <w:t xml:space="preserve">in Australia’s view, paragraphs 54-58 extend the right to life to include obligations which are </w:t>
      </w:r>
      <w:r>
        <w:rPr>
          <w:rFonts w:ascii="Times New Roman" w:hAnsi="Times New Roman" w:cs="Times New Roman"/>
          <w:sz w:val="24"/>
          <w:szCs w:val="24"/>
        </w:rPr>
        <w:t>better considered as aspects of other</w:t>
      </w:r>
      <w:r w:rsidRPr="006D4889">
        <w:rPr>
          <w:rFonts w:ascii="Times New Roman" w:hAnsi="Times New Roman" w:cs="Times New Roman"/>
          <w:sz w:val="24"/>
          <w:szCs w:val="24"/>
        </w:rPr>
        <w:t xml:space="preserve"> rights such as t</w:t>
      </w:r>
      <w:r>
        <w:rPr>
          <w:rFonts w:ascii="Times New Roman" w:hAnsi="Times New Roman" w:cs="Times New Roman"/>
          <w:sz w:val="24"/>
          <w:szCs w:val="24"/>
        </w:rPr>
        <w:t>he right to education (Arts 28 and </w:t>
      </w:r>
      <w:r w:rsidRPr="006D4889">
        <w:rPr>
          <w:rFonts w:ascii="Times New Roman" w:hAnsi="Times New Roman" w:cs="Times New Roman"/>
          <w:sz w:val="24"/>
          <w:szCs w:val="24"/>
        </w:rPr>
        <w:t>29); right to adequate standard o</w:t>
      </w:r>
      <w:r>
        <w:rPr>
          <w:rFonts w:ascii="Times New Roman" w:hAnsi="Times New Roman" w:cs="Times New Roman"/>
          <w:sz w:val="24"/>
          <w:szCs w:val="24"/>
        </w:rPr>
        <w:t>f living (Arts 24(2)(c) and </w:t>
      </w:r>
      <w:r w:rsidRPr="006D4889">
        <w:rPr>
          <w:rFonts w:ascii="Times New Roman" w:hAnsi="Times New Roman" w:cs="Times New Roman"/>
          <w:sz w:val="24"/>
          <w:szCs w:val="24"/>
        </w:rPr>
        <w:t>27); right to health (Ar</w:t>
      </w:r>
      <w:r>
        <w:rPr>
          <w:rFonts w:ascii="Times New Roman" w:hAnsi="Times New Roman" w:cs="Times New Roman"/>
          <w:sz w:val="24"/>
          <w:szCs w:val="24"/>
        </w:rPr>
        <w:t>t</w:t>
      </w:r>
      <w:r w:rsidRPr="006D4889">
        <w:rPr>
          <w:rFonts w:ascii="Times New Roman" w:hAnsi="Times New Roman" w:cs="Times New Roman"/>
          <w:sz w:val="24"/>
          <w:szCs w:val="24"/>
        </w:rPr>
        <w:t>s</w:t>
      </w:r>
      <w:r>
        <w:rPr>
          <w:rFonts w:ascii="Times New Roman" w:hAnsi="Times New Roman" w:cs="Times New Roman"/>
          <w:sz w:val="24"/>
          <w:szCs w:val="24"/>
        </w:rPr>
        <w:t> </w:t>
      </w:r>
      <w:r w:rsidRPr="006D4889">
        <w:rPr>
          <w:rFonts w:ascii="Times New Roman" w:hAnsi="Times New Roman" w:cs="Times New Roman"/>
          <w:sz w:val="24"/>
          <w:szCs w:val="24"/>
        </w:rPr>
        <w:t>24 and 25); and right to benefi</w:t>
      </w:r>
      <w:r>
        <w:rPr>
          <w:rFonts w:ascii="Times New Roman" w:hAnsi="Times New Roman" w:cs="Times New Roman"/>
          <w:sz w:val="24"/>
          <w:szCs w:val="24"/>
        </w:rPr>
        <w:t>t from social security (Article </w:t>
      </w:r>
      <w:r w:rsidRPr="006D4889">
        <w:rPr>
          <w:rFonts w:ascii="Times New Roman" w:hAnsi="Times New Roman" w:cs="Times New Roman"/>
          <w:sz w:val="24"/>
          <w:szCs w:val="24"/>
        </w:rPr>
        <w:t xml:space="preserve">26). These articles provide important and specific obligations related to State Party investment in </w:t>
      </w:r>
      <w:r>
        <w:rPr>
          <w:rFonts w:ascii="Times New Roman" w:hAnsi="Times New Roman" w:cs="Times New Roman"/>
          <w:sz w:val="24"/>
          <w:szCs w:val="24"/>
        </w:rPr>
        <w:t>c</w:t>
      </w:r>
      <w:r w:rsidRPr="006D4889">
        <w:rPr>
          <w:rFonts w:ascii="Times New Roman" w:hAnsi="Times New Roman" w:cs="Times New Roman"/>
          <w:sz w:val="24"/>
          <w:szCs w:val="24"/>
        </w:rPr>
        <w:t xml:space="preserve">hildren which go beyond the right to life. Extending the right to life to include general obligations risks confusing and undermining </w:t>
      </w:r>
      <w:r>
        <w:rPr>
          <w:rFonts w:ascii="Times New Roman" w:hAnsi="Times New Roman" w:cs="Times New Roman"/>
          <w:sz w:val="24"/>
          <w:szCs w:val="24"/>
        </w:rPr>
        <w:t>the content of the right to life</w:t>
      </w:r>
      <w:r w:rsidRPr="006D4889">
        <w:rPr>
          <w:rFonts w:ascii="Times New Roman" w:hAnsi="Times New Roman" w:cs="Times New Roman"/>
          <w:sz w:val="24"/>
          <w:szCs w:val="24"/>
        </w:rPr>
        <w:t>.</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Australia </w:t>
      </w:r>
      <w:r w:rsidRPr="006D4889">
        <w:rPr>
          <w:rFonts w:ascii="Times New Roman" w:hAnsi="Times New Roman" w:cs="Times New Roman"/>
          <w:sz w:val="24"/>
          <w:szCs w:val="24"/>
        </w:rPr>
        <w:t>recommends including reference to the above rights as examples of crucial basic rights which must be considered as part of broader obligations surrounding public spending on children</w:t>
      </w:r>
      <w:r>
        <w:rPr>
          <w:rFonts w:ascii="Times New Roman" w:hAnsi="Times New Roman" w:cs="Times New Roman"/>
          <w:sz w:val="24"/>
          <w:szCs w:val="24"/>
        </w:rPr>
        <w:t>.</w:t>
      </w:r>
    </w:p>
    <w:p w:rsidR="00046095" w:rsidRPr="0077365D" w:rsidRDefault="00046095" w:rsidP="00046095">
      <w:pPr>
        <w:jc w:val="both"/>
        <w:rPr>
          <w:rFonts w:ascii="Times New Roman" w:hAnsi="Times New Roman" w:cs="Times New Roman"/>
          <w:i/>
          <w:sz w:val="24"/>
          <w:szCs w:val="24"/>
        </w:rPr>
      </w:pPr>
      <w:r w:rsidRPr="0077365D">
        <w:rPr>
          <w:rFonts w:ascii="Times New Roman" w:hAnsi="Times New Roman" w:cs="Times New Roman"/>
          <w:i/>
          <w:sz w:val="24"/>
          <w:szCs w:val="24"/>
        </w:rPr>
        <w:t>Non-State actors</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P</w:t>
      </w:r>
      <w:r w:rsidRPr="006D4889">
        <w:rPr>
          <w:rFonts w:ascii="Times New Roman" w:hAnsi="Times New Roman" w:cs="Times New Roman"/>
          <w:sz w:val="24"/>
          <w:szCs w:val="24"/>
        </w:rPr>
        <w:t xml:space="preserve">aragraph 89 refers to </w:t>
      </w:r>
      <w:r>
        <w:rPr>
          <w:rFonts w:ascii="Times New Roman" w:hAnsi="Times New Roman" w:cs="Times New Roman"/>
          <w:sz w:val="24"/>
          <w:szCs w:val="24"/>
        </w:rPr>
        <w:t xml:space="preserve">private actors and </w:t>
      </w:r>
      <w:r w:rsidRPr="006D4889">
        <w:rPr>
          <w:rFonts w:ascii="Times New Roman" w:hAnsi="Times New Roman" w:cs="Times New Roman"/>
          <w:sz w:val="24"/>
          <w:szCs w:val="24"/>
        </w:rPr>
        <w:t>business</w:t>
      </w:r>
      <w:r>
        <w:rPr>
          <w:rFonts w:ascii="Times New Roman" w:hAnsi="Times New Roman" w:cs="Times New Roman"/>
          <w:sz w:val="24"/>
          <w:szCs w:val="24"/>
        </w:rPr>
        <w:t xml:space="preserve"> enterprises, including that ‘all businesses must meet their responsibilities regarding children’s rights and States must ensure they do so’.</w:t>
      </w:r>
      <w:r w:rsidRPr="006D4889">
        <w:rPr>
          <w:rFonts w:ascii="Times New Roman" w:hAnsi="Times New Roman" w:cs="Times New Roman"/>
          <w:sz w:val="24"/>
          <w:szCs w:val="24"/>
        </w:rPr>
        <w:t xml:space="preserve"> Australia notes that the obligations, duties and responsibilities provided for in the Convention only apply to States Parties. While States Parties’ obligations extend to taking steps to prevent, investigate, punish and redress abuse by third parties through effective regulation, the Convention does not place obligations</w:t>
      </w:r>
      <w:r>
        <w:rPr>
          <w:rFonts w:ascii="Times New Roman" w:hAnsi="Times New Roman" w:cs="Times New Roman"/>
          <w:sz w:val="24"/>
          <w:szCs w:val="24"/>
        </w:rPr>
        <w:t xml:space="preserve"> or responsibilities</w:t>
      </w:r>
      <w:r w:rsidRPr="006D4889">
        <w:rPr>
          <w:rFonts w:ascii="Times New Roman" w:hAnsi="Times New Roman" w:cs="Times New Roman"/>
          <w:sz w:val="24"/>
          <w:szCs w:val="24"/>
        </w:rPr>
        <w:t xml:space="preserve"> </w:t>
      </w:r>
      <w:r>
        <w:rPr>
          <w:rFonts w:ascii="Times New Roman" w:hAnsi="Times New Roman" w:cs="Times New Roman"/>
          <w:sz w:val="24"/>
          <w:szCs w:val="24"/>
        </w:rPr>
        <w:t xml:space="preserve">directly </w:t>
      </w:r>
      <w:r w:rsidRPr="006D4889">
        <w:rPr>
          <w:rFonts w:ascii="Times New Roman" w:hAnsi="Times New Roman" w:cs="Times New Roman"/>
          <w:sz w:val="24"/>
          <w:szCs w:val="24"/>
        </w:rPr>
        <w:t>on non-state actors.</w:t>
      </w:r>
      <w:r>
        <w:rPr>
          <w:rFonts w:ascii="Times New Roman" w:hAnsi="Times New Roman" w:cs="Times New Roman"/>
          <w:sz w:val="24"/>
          <w:szCs w:val="24"/>
        </w:rPr>
        <w:t xml:space="preserve"> Australia suggests that reference could instead be made to the general obligation to ‘protect’, which generally requires States Parties to take measures that prevent third parties from interfering with the enjoyment of rights.</w:t>
      </w:r>
    </w:p>
    <w:p w:rsidR="00046095" w:rsidRPr="00A17F09" w:rsidRDefault="00046095" w:rsidP="00046095">
      <w:pPr>
        <w:jc w:val="both"/>
        <w:rPr>
          <w:rFonts w:ascii="Times New Roman" w:hAnsi="Times New Roman" w:cs="Times New Roman"/>
          <w:i/>
          <w:sz w:val="24"/>
          <w:szCs w:val="24"/>
        </w:rPr>
      </w:pPr>
      <w:r w:rsidRPr="00A17F09">
        <w:rPr>
          <w:rFonts w:ascii="Times New Roman" w:hAnsi="Times New Roman" w:cs="Times New Roman"/>
          <w:i/>
          <w:sz w:val="24"/>
          <w:szCs w:val="24"/>
        </w:rPr>
        <w:t xml:space="preserve">Clarification of </w:t>
      </w:r>
      <w:r>
        <w:rPr>
          <w:rFonts w:ascii="Times New Roman" w:hAnsi="Times New Roman" w:cs="Times New Roman"/>
          <w:i/>
          <w:sz w:val="24"/>
          <w:szCs w:val="24"/>
        </w:rPr>
        <w:t>d</w:t>
      </w:r>
      <w:r w:rsidRPr="00A17F09">
        <w:rPr>
          <w:rFonts w:ascii="Times New Roman" w:hAnsi="Times New Roman" w:cs="Times New Roman"/>
          <w:i/>
          <w:sz w:val="24"/>
          <w:szCs w:val="24"/>
        </w:rPr>
        <w:t>iscrimination</w:t>
      </w:r>
    </w:p>
    <w:p w:rsidR="00046095" w:rsidRPr="0077365D"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Paragraphs 31 and 47-50 relate to the obligation on States Parties not to discriminate against children </w:t>
      </w:r>
      <w:r w:rsidRPr="005D2651">
        <w:rPr>
          <w:rFonts w:ascii="Times New Roman" w:hAnsi="Times New Roman" w:cs="Times New Roman"/>
          <w:sz w:val="24"/>
          <w:szCs w:val="24"/>
        </w:rPr>
        <w:t>on the basis of the child’s or his or her parent’s or legal guardian’s race, colour, sex, language, religion, political or other opinion, national or social origin, pr</w:t>
      </w:r>
      <w:r>
        <w:rPr>
          <w:rFonts w:ascii="Times New Roman" w:hAnsi="Times New Roman" w:cs="Times New Roman"/>
          <w:sz w:val="24"/>
          <w:szCs w:val="24"/>
        </w:rPr>
        <w:t>operty, disability, birth or other status (Article 2(1)). Paragraph 50 recognises that ‘special measures’ may be required in certain circumstances. However, there is no recognition of</w:t>
      </w:r>
      <w:r w:rsidRPr="005D2651">
        <w:rPr>
          <w:rFonts w:ascii="Times New Roman" w:hAnsi="Times New Roman" w:cs="Times New Roman"/>
          <w:sz w:val="24"/>
          <w:szCs w:val="24"/>
        </w:rPr>
        <w:t xml:space="preserve"> the well-established principle under international law that legitimate differential treatment (that is, distinctions that are aimed at a legitimate purpose, are based on reasonable and objective criteria and are proportionate) will </w:t>
      </w:r>
      <w:r>
        <w:rPr>
          <w:rFonts w:ascii="Times New Roman" w:hAnsi="Times New Roman" w:cs="Times New Roman"/>
          <w:sz w:val="24"/>
          <w:szCs w:val="24"/>
        </w:rPr>
        <w:t>not constitute discrimination. Australia suggests that reference to this principle be made.</w:t>
      </w:r>
    </w:p>
    <w:p w:rsidR="00046095" w:rsidRDefault="00046095" w:rsidP="00046095">
      <w:pPr>
        <w:jc w:val="both"/>
        <w:rPr>
          <w:rFonts w:ascii="Times New Roman" w:hAnsi="Times New Roman" w:cs="Times New Roman"/>
          <w:i/>
          <w:sz w:val="24"/>
          <w:szCs w:val="24"/>
        </w:rPr>
      </w:pPr>
    </w:p>
    <w:p w:rsidR="00046095" w:rsidRPr="003C2AAD" w:rsidRDefault="00046095" w:rsidP="00046095">
      <w:pPr>
        <w:jc w:val="both"/>
        <w:rPr>
          <w:rFonts w:ascii="Times New Roman" w:hAnsi="Times New Roman" w:cs="Times New Roman"/>
          <w:i/>
          <w:sz w:val="24"/>
          <w:szCs w:val="24"/>
        </w:rPr>
      </w:pPr>
      <w:r>
        <w:rPr>
          <w:rFonts w:ascii="Times New Roman" w:hAnsi="Times New Roman" w:cs="Times New Roman"/>
          <w:i/>
          <w:sz w:val="24"/>
          <w:szCs w:val="24"/>
        </w:rPr>
        <w:lastRenderedPageBreak/>
        <w:t>Clarification of a</w:t>
      </w:r>
      <w:r w:rsidRPr="003C2AAD">
        <w:rPr>
          <w:rFonts w:ascii="Times New Roman" w:hAnsi="Times New Roman" w:cs="Times New Roman"/>
          <w:i/>
          <w:sz w:val="24"/>
          <w:szCs w:val="24"/>
        </w:rPr>
        <w:t xml:space="preserve">mbit of </w:t>
      </w:r>
      <w:r>
        <w:rPr>
          <w:rFonts w:ascii="Times New Roman" w:hAnsi="Times New Roman" w:cs="Times New Roman"/>
          <w:i/>
          <w:sz w:val="24"/>
          <w:szCs w:val="24"/>
        </w:rPr>
        <w:t>c</w:t>
      </w:r>
      <w:r w:rsidRPr="003C2AAD">
        <w:rPr>
          <w:rFonts w:ascii="Times New Roman" w:hAnsi="Times New Roman" w:cs="Times New Roman"/>
          <w:i/>
          <w:sz w:val="24"/>
          <w:szCs w:val="24"/>
        </w:rPr>
        <w:t xml:space="preserve">omment </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The Australian Government respectfully suggests the following clarifications be made relating to the ambit of the draft General Comment.</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Paragraph 1 summarises obligations on States Parties as including an obligation to ‘[r]eport on, evaluate and audit budgets’. Australia suggests that this be amended to ‘report on, evaluate and audit public spending in relation to children’ to better reflect the scope of both the General Comment and the Committee’s mandate.</w:t>
      </w:r>
    </w:p>
    <w:p w:rsidR="00046095" w:rsidRPr="00183549" w:rsidRDefault="00046095" w:rsidP="00046095">
      <w:pPr>
        <w:pStyle w:val="ListParagraph"/>
        <w:numPr>
          <w:ilvl w:val="0"/>
          <w:numId w:val="2"/>
        </w:numPr>
        <w:contextualSpacing w:val="0"/>
        <w:jc w:val="both"/>
        <w:rPr>
          <w:rFonts w:ascii="Times New Roman" w:hAnsi="Times New Roman" w:cs="Times New Roman"/>
          <w:sz w:val="24"/>
          <w:szCs w:val="24"/>
        </w:rPr>
      </w:pPr>
      <w:r w:rsidRPr="00183549">
        <w:rPr>
          <w:rFonts w:ascii="Times New Roman" w:hAnsi="Times New Roman" w:cs="Times New Roman"/>
          <w:sz w:val="24"/>
          <w:szCs w:val="24"/>
        </w:rPr>
        <w:t xml:space="preserve">In paragraph 10, the definition of laws as ‘all child rights’ </w:t>
      </w:r>
      <w:r>
        <w:rPr>
          <w:rFonts w:ascii="Times New Roman" w:hAnsi="Times New Roman" w:cs="Times New Roman"/>
          <w:sz w:val="24"/>
          <w:szCs w:val="24"/>
        </w:rPr>
        <w:t>should</w:t>
      </w:r>
      <w:r w:rsidRPr="00183549">
        <w:rPr>
          <w:rFonts w:ascii="Times New Roman" w:hAnsi="Times New Roman" w:cs="Times New Roman"/>
          <w:sz w:val="24"/>
          <w:szCs w:val="24"/>
        </w:rPr>
        <w:t xml:space="preserve"> be clarified. </w:t>
      </w:r>
      <w:r>
        <w:rPr>
          <w:rFonts w:ascii="Times New Roman" w:hAnsi="Times New Roman" w:cs="Times New Roman"/>
          <w:sz w:val="24"/>
          <w:szCs w:val="24"/>
        </w:rPr>
        <w:t>Australia</w:t>
      </w:r>
      <w:r w:rsidRPr="00183549">
        <w:rPr>
          <w:rFonts w:ascii="Times New Roman" w:hAnsi="Times New Roman" w:cs="Times New Roman"/>
          <w:sz w:val="24"/>
          <w:szCs w:val="24"/>
        </w:rPr>
        <w:t xml:space="preserve"> suggest</w:t>
      </w:r>
      <w:r>
        <w:rPr>
          <w:rFonts w:ascii="Times New Roman" w:hAnsi="Times New Roman" w:cs="Times New Roman"/>
          <w:sz w:val="24"/>
          <w:szCs w:val="24"/>
        </w:rPr>
        <w:t xml:space="preserve">s </w:t>
      </w:r>
      <w:r w:rsidRPr="00183549">
        <w:rPr>
          <w:rFonts w:ascii="Times New Roman" w:hAnsi="Times New Roman" w:cs="Times New Roman"/>
          <w:sz w:val="24"/>
          <w:szCs w:val="24"/>
        </w:rPr>
        <w:t xml:space="preserve">that ‘laws’ </w:t>
      </w:r>
      <w:r>
        <w:rPr>
          <w:rFonts w:ascii="Times New Roman" w:hAnsi="Times New Roman" w:cs="Times New Roman"/>
          <w:sz w:val="24"/>
          <w:szCs w:val="24"/>
        </w:rPr>
        <w:t>should be defined as all domestic legislation related to children’s rights</w:t>
      </w:r>
      <w:r w:rsidRPr="00183549">
        <w:rPr>
          <w:rFonts w:ascii="Times New Roman" w:hAnsi="Times New Roman" w:cs="Times New Roman"/>
          <w:sz w:val="24"/>
          <w:szCs w:val="24"/>
        </w:rPr>
        <w:t xml:space="preserve">. In the context of </w:t>
      </w:r>
      <w:r>
        <w:rPr>
          <w:rFonts w:ascii="Times New Roman" w:hAnsi="Times New Roman" w:cs="Times New Roman"/>
          <w:sz w:val="24"/>
          <w:szCs w:val="24"/>
        </w:rPr>
        <w:t xml:space="preserve">describing relevant </w:t>
      </w:r>
      <w:r w:rsidRPr="00183549">
        <w:rPr>
          <w:rFonts w:ascii="Times New Roman" w:hAnsi="Times New Roman" w:cs="Times New Roman"/>
          <w:sz w:val="24"/>
          <w:szCs w:val="24"/>
        </w:rPr>
        <w:t>international law,</w:t>
      </w:r>
      <w:r>
        <w:rPr>
          <w:rFonts w:ascii="Times New Roman" w:hAnsi="Times New Roman" w:cs="Times New Roman"/>
          <w:sz w:val="24"/>
          <w:szCs w:val="24"/>
        </w:rPr>
        <w:t xml:space="preserve"> Australia suggests that the wording should be nuanced to reflect the fact that States Parties will have differing obligations – particularly in relation to</w:t>
      </w:r>
      <w:r w:rsidRPr="00183549">
        <w:rPr>
          <w:rFonts w:ascii="Times New Roman" w:hAnsi="Times New Roman" w:cs="Times New Roman"/>
          <w:sz w:val="24"/>
          <w:szCs w:val="24"/>
        </w:rPr>
        <w:t xml:space="preserve"> regional </w:t>
      </w:r>
      <w:r>
        <w:rPr>
          <w:rFonts w:ascii="Times New Roman" w:hAnsi="Times New Roman" w:cs="Times New Roman"/>
          <w:sz w:val="24"/>
          <w:szCs w:val="24"/>
        </w:rPr>
        <w:t>instruments</w:t>
      </w:r>
      <w:r w:rsidRPr="00183549">
        <w:rPr>
          <w:rFonts w:ascii="Times New Roman" w:hAnsi="Times New Roman" w:cs="Times New Roman"/>
          <w:sz w:val="24"/>
          <w:szCs w:val="24"/>
        </w:rPr>
        <w:t xml:space="preserve">. </w:t>
      </w:r>
    </w:p>
    <w:p w:rsidR="00046095" w:rsidRPr="00891227"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In Australia’s view, the list of actors described in paragraph 18 as involved in the budget process is too broad and not necessarily applicable to all States Parties. </w:t>
      </w:r>
      <w:r w:rsidRPr="00FD47B3">
        <w:rPr>
          <w:rFonts w:ascii="Times New Roman" w:hAnsi="Times New Roman" w:cs="Times New Roman"/>
          <w:sz w:val="24"/>
          <w:szCs w:val="24"/>
        </w:rPr>
        <w:t xml:space="preserve">Australia has a separation of powers and the Judiciary is not involved in the budget making process, which falls to Parliament. Other actors such as ombudspersons, or bilateral, regional, inter-regional, global and multilateral donors and institutions are not </w:t>
      </w:r>
      <w:r>
        <w:rPr>
          <w:rFonts w:ascii="Times New Roman" w:hAnsi="Times New Roman" w:cs="Times New Roman"/>
          <w:sz w:val="24"/>
          <w:szCs w:val="24"/>
        </w:rPr>
        <w:t>necessarily</w:t>
      </w:r>
      <w:r w:rsidRPr="00FD47B3">
        <w:rPr>
          <w:rFonts w:ascii="Times New Roman" w:hAnsi="Times New Roman" w:cs="Times New Roman"/>
          <w:sz w:val="24"/>
          <w:szCs w:val="24"/>
        </w:rPr>
        <w:t xml:space="preserve"> involved in the budget process and we would not consider the description of their role in the General Comment to be accurate.</w:t>
      </w:r>
    </w:p>
    <w:p w:rsidR="00046095" w:rsidRPr="00C53083" w:rsidRDefault="00046095" w:rsidP="00046095">
      <w:pPr>
        <w:pStyle w:val="ListParagraph"/>
        <w:numPr>
          <w:ilvl w:val="0"/>
          <w:numId w:val="2"/>
        </w:numPr>
        <w:contextualSpacing w:val="0"/>
        <w:jc w:val="both"/>
        <w:rPr>
          <w:rFonts w:ascii="Times New Roman" w:hAnsi="Times New Roman" w:cs="Times New Roman"/>
          <w:sz w:val="24"/>
          <w:szCs w:val="24"/>
        </w:rPr>
      </w:pPr>
      <w:r w:rsidRPr="00C53083">
        <w:rPr>
          <w:rFonts w:ascii="Times New Roman" w:hAnsi="Times New Roman" w:cs="Times New Roman"/>
          <w:sz w:val="24"/>
          <w:szCs w:val="24"/>
        </w:rPr>
        <w:t xml:space="preserve">In paragraph 21 of the General Comment, the Committee provides that obligations in relation to public spending can be invoked before a court. However, whether this is the case will depend on the constitutional or legal system of each State. In Australia, as in many dualist States, international law is not enforceable in domestic courts until implemented as domestic law and the obligations described in relation to public spending may not be automatically enforceable in domestic courts. If </w:t>
      </w:r>
      <w:r>
        <w:rPr>
          <w:rFonts w:ascii="Times New Roman" w:hAnsi="Times New Roman" w:cs="Times New Roman"/>
          <w:sz w:val="24"/>
          <w:szCs w:val="24"/>
        </w:rPr>
        <w:t>paragraph 21</w:t>
      </w:r>
      <w:r w:rsidRPr="00C53083">
        <w:rPr>
          <w:rFonts w:ascii="Times New Roman" w:hAnsi="Times New Roman" w:cs="Times New Roman"/>
          <w:sz w:val="24"/>
          <w:szCs w:val="24"/>
        </w:rPr>
        <w:t xml:space="preserve"> is a reference to the International Court of Justice, we suggest making this clear.</w:t>
      </w:r>
    </w:p>
    <w:p w:rsidR="00046095" w:rsidRPr="00183863" w:rsidRDefault="00046095" w:rsidP="00046095">
      <w:pPr>
        <w:jc w:val="both"/>
        <w:rPr>
          <w:rFonts w:ascii="Times New Roman" w:hAnsi="Times New Roman" w:cs="Times New Roman"/>
          <w:i/>
          <w:sz w:val="24"/>
          <w:szCs w:val="24"/>
        </w:rPr>
      </w:pPr>
      <w:r>
        <w:rPr>
          <w:rFonts w:ascii="Times New Roman" w:hAnsi="Times New Roman" w:cs="Times New Roman"/>
          <w:i/>
          <w:sz w:val="24"/>
          <w:szCs w:val="24"/>
        </w:rPr>
        <w:t>Other Matters</w:t>
      </w:r>
    </w:p>
    <w:p w:rsidR="00046095" w:rsidRDefault="00046095" w:rsidP="00046095">
      <w:pPr>
        <w:pStyle w:val="ListParagraph"/>
        <w:numPr>
          <w:ilvl w:val="0"/>
          <w:numId w:val="2"/>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Australia suggests that the second sentence in paragraph 20(a) requires the word ‘appropriate’ to be added to read: ‘This means that States are obliged to take all </w:t>
      </w:r>
      <w:r>
        <w:rPr>
          <w:rFonts w:ascii="Times New Roman" w:hAnsi="Times New Roman" w:cs="Times New Roman"/>
          <w:i/>
          <w:sz w:val="24"/>
          <w:szCs w:val="24"/>
        </w:rPr>
        <w:t>appropriate</w:t>
      </w:r>
      <w:r>
        <w:rPr>
          <w:rFonts w:ascii="Times New Roman" w:hAnsi="Times New Roman" w:cs="Times New Roman"/>
          <w:sz w:val="24"/>
          <w:szCs w:val="24"/>
        </w:rPr>
        <w:t xml:space="preserve"> measures at their disposal…’. This is consistent with the obligation in Article 4 and without this, the description significantly expands the obligation.</w:t>
      </w:r>
    </w:p>
    <w:p w:rsidR="00046095" w:rsidRPr="00816096" w:rsidRDefault="00046095" w:rsidP="00046095">
      <w:pPr>
        <w:pStyle w:val="ListParagraph"/>
        <w:numPr>
          <w:ilvl w:val="0"/>
          <w:numId w:val="2"/>
        </w:numPr>
        <w:contextualSpacing w:val="0"/>
        <w:jc w:val="both"/>
        <w:rPr>
          <w:rFonts w:ascii="Times New Roman" w:hAnsi="Times New Roman" w:cs="Times New Roman"/>
          <w:sz w:val="24"/>
          <w:szCs w:val="24"/>
        </w:rPr>
      </w:pPr>
      <w:r w:rsidRPr="00816096">
        <w:rPr>
          <w:rFonts w:ascii="Times New Roman" w:hAnsi="Times New Roman" w:cs="Times New Roman"/>
          <w:sz w:val="24"/>
          <w:szCs w:val="24"/>
        </w:rPr>
        <w:t xml:space="preserve">Australia reiterates its firm support for the work of the Committee and avails itself of this opportunity to renew to the Committee the assurances of its highest consideration. </w:t>
      </w:r>
    </w:p>
    <w:p w:rsidR="00046095" w:rsidRPr="0085477D" w:rsidRDefault="00046095" w:rsidP="00046095">
      <w:pPr>
        <w:tabs>
          <w:tab w:val="num" w:pos="720"/>
        </w:tabs>
        <w:spacing w:after="0"/>
        <w:ind w:right="284"/>
        <w:contextualSpacing/>
        <w:jc w:val="both"/>
        <w:rPr>
          <w:rFonts w:ascii="Times New Roman" w:eastAsia="Calibri" w:hAnsi="Times New Roman" w:cs="Times New Roman"/>
          <w:sz w:val="24"/>
          <w:szCs w:val="24"/>
        </w:rPr>
      </w:pPr>
    </w:p>
    <w:sectPr w:rsidR="00046095" w:rsidRPr="0085477D" w:rsidSect="00550E8D">
      <w:footerReference w:type="default" r:id="rId1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7A" w:rsidRDefault="009C427A" w:rsidP="009C427A">
      <w:pPr>
        <w:spacing w:after="0" w:line="240" w:lineRule="auto"/>
      </w:pPr>
      <w:r>
        <w:separator/>
      </w:r>
    </w:p>
  </w:endnote>
  <w:endnote w:type="continuationSeparator" w:id="0">
    <w:p w:rsidR="009C427A" w:rsidRDefault="009C427A" w:rsidP="009C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407253"/>
      <w:docPartObj>
        <w:docPartGallery w:val="Page Numbers (Bottom of Page)"/>
        <w:docPartUnique/>
      </w:docPartObj>
    </w:sdtPr>
    <w:sdtEndPr>
      <w:rPr>
        <w:noProof/>
      </w:rPr>
    </w:sdtEndPr>
    <w:sdtContent>
      <w:p w:rsidR="00046095" w:rsidRDefault="00046095">
        <w:pPr>
          <w:pStyle w:val="Footer"/>
          <w:jc w:val="right"/>
        </w:pPr>
        <w:r>
          <w:fldChar w:fldCharType="begin"/>
        </w:r>
        <w:r>
          <w:instrText xml:space="preserve"> PAGE   \* MERGEFORMAT </w:instrText>
        </w:r>
        <w:r>
          <w:fldChar w:fldCharType="separate"/>
        </w:r>
        <w:r w:rsidR="00B22B3D">
          <w:rPr>
            <w:noProof/>
          </w:rPr>
          <w:t>6</w:t>
        </w:r>
        <w:r>
          <w:rPr>
            <w:noProof/>
          </w:rPr>
          <w:fldChar w:fldCharType="end"/>
        </w:r>
      </w:p>
    </w:sdtContent>
  </w:sdt>
  <w:p w:rsidR="00B84871" w:rsidRDefault="00B84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7A" w:rsidRDefault="009C427A" w:rsidP="009C427A">
      <w:pPr>
        <w:spacing w:after="0" w:line="240" w:lineRule="auto"/>
      </w:pPr>
      <w:r>
        <w:separator/>
      </w:r>
    </w:p>
  </w:footnote>
  <w:footnote w:type="continuationSeparator" w:id="0">
    <w:p w:rsidR="009C427A" w:rsidRDefault="009C427A" w:rsidP="009C427A">
      <w:pPr>
        <w:spacing w:after="0" w:line="240" w:lineRule="auto"/>
      </w:pPr>
      <w:r>
        <w:continuationSeparator/>
      </w:r>
    </w:p>
  </w:footnote>
  <w:footnote w:id="1">
    <w:p w:rsidR="00046095" w:rsidRPr="004337C3" w:rsidRDefault="00046095" w:rsidP="00046095">
      <w:pPr>
        <w:pStyle w:val="FootnoteText"/>
        <w:rPr>
          <w:rFonts w:ascii="Times New Roman" w:hAnsi="Times New Roman" w:cs="Times New Roman"/>
        </w:rPr>
      </w:pPr>
      <w:r w:rsidRPr="004337C3">
        <w:rPr>
          <w:rStyle w:val="FootnoteReference"/>
          <w:rFonts w:ascii="Times New Roman" w:hAnsi="Times New Roman" w:cs="Times New Roman"/>
        </w:rPr>
        <w:footnoteRef/>
      </w:r>
      <w:r w:rsidRPr="004337C3">
        <w:rPr>
          <w:rFonts w:ascii="Times New Roman" w:hAnsi="Times New Roman" w:cs="Times New Roman"/>
        </w:rPr>
        <w:t xml:space="preserve"> This accords with the interpretation of similar, but more specific, provisions in the International Covenant on Economic, Social and Cultural Rights: </w:t>
      </w:r>
      <w:r>
        <w:rPr>
          <w:rFonts w:ascii="Times New Roman" w:hAnsi="Times New Roman" w:cs="Times New Roman"/>
        </w:rPr>
        <w:t xml:space="preserve">Committee on Economic, Social and Cultural Rights (CESCR), </w:t>
      </w:r>
      <w:r w:rsidRPr="004337C3">
        <w:rPr>
          <w:rFonts w:ascii="Times New Roman" w:hAnsi="Times New Roman" w:cs="Times New Roman"/>
        </w:rPr>
        <w:t xml:space="preserve">General Comment No. 3, </w:t>
      </w:r>
      <w:r w:rsidRPr="004337C3">
        <w:rPr>
          <w:rFonts w:ascii="Times New Roman" w:hAnsi="Times New Roman" w:cs="Times New Roman"/>
          <w:i/>
        </w:rPr>
        <w:t>The nature of States parties obligations</w:t>
      </w:r>
      <w:r>
        <w:rPr>
          <w:rFonts w:ascii="Times New Roman" w:hAnsi="Times New Roman" w:cs="Times New Roman"/>
        </w:rPr>
        <w:t xml:space="preserve"> (Art. 2, par. </w:t>
      </w:r>
      <w:r w:rsidRPr="004337C3">
        <w:rPr>
          <w:rFonts w:ascii="Times New Roman" w:hAnsi="Times New Roman" w:cs="Times New Roman"/>
        </w:rPr>
        <w:t>1), UN Doc. E/1991/23, 14 December 1990, [13].</w:t>
      </w:r>
    </w:p>
  </w:footnote>
  <w:footnote w:id="2">
    <w:p w:rsidR="00046095" w:rsidRPr="0045179B" w:rsidRDefault="00046095" w:rsidP="00046095">
      <w:pPr>
        <w:pStyle w:val="FootnoteText"/>
        <w:rPr>
          <w:rFonts w:ascii="Times New Roman" w:hAnsi="Times New Roman" w:cs="Times New Roman"/>
        </w:rPr>
      </w:pPr>
      <w:r w:rsidRPr="0045179B">
        <w:rPr>
          <w:rStyle w:val="FootnoteReference"/>
          <w:rFonts w:ascii="Times New Roman" w:hAnsi="Times New Roman" w:cs="Times New Roman"/>
        </w:rPr>
        <w:footnoteRef/>
      </w:r>
      <w:r w:rsidRPr="0045179B">
        <w:rPr>
          <w:rFonts w:ascii="Times New Roman" w:hAnsi="Times New Roman" w:cs="Times New Roman"/>
        </w:rPr>
        <w:t xml:space="preserve"> Ibid, [10].</w:t>
      </w:r>
    </w:p>
  </w:footnote>
  <w:footnote w:id="3">
    <w:p w:rsidR="00046095" w:rsidRPr="0045179B" w:rsidRDefault="00046095" w:rsidP="00046095">
      <w:pPr>
        <w:pStyle w:val="FootnoteText"/>
        <w:rPr>
          <w:rFonts w:ascii="Times New Roman" w:hAnsi="Times New Roman" w:cs="Times New Roman"/>
        </w:rPr>
      </w:pPr>
      <w:r w:rsidRPr="0045179B">
        <w:rPr>
          <w:rStyle w:val="FootnoteReference"/>
          <w:rFonts w:ascii="Times New Roman" w:hAnsi="Times New Roman" w:cs="Times New Roman"/>
        </w:rPr>
        <w:footnoteRef/>
      </w:r>
      <w:r w:rsidRPr="0045179B">
        <w:rPr>
          <w:rFonts w:ascii="Times New Roman" w:hAnsi="Times New Roman" w:cs="Times New Roman"/>
        </w:rPr>
        <w:t xml:space="preserve"> Ibid, [10].</w:t>
      </w:r>
    </w:p>
  </w:footnote>
  <w:footnote w:id="4">
    <w:p w:rsidR="00046095" w:rsidRPr="00A36B6A" w:rsidRDefault="00046095" w:rsidP="00046095">
      <w:pPr>
        <w:pStyle w:val="FootnoteText"/>
        <w:rPr>
          <w:rFonts w:ascii="Times New Roman" w:hAnsi="Times New Roman" w:cs="Times New Roman"/>
        </w:rPr>
      </w:pPr>
      <w:r w:rsidRPr="00A36B6A">
        <w:rPr>
          <w:rStyle w:val="FootnoteReference"/>
          <w:rFonts w:ascii="Times New Roman" w:hAnsi="Times New Roman" w:cs="Times New Roman"/>
        </w:rPr>
        <w:footnoteRef/>
      </w:r>
      <w:r w:rsidRPr="00A36B6A">
        <w:rPr>
          <w:rFonts w:ascii="Times New Roman" w:hAnsi="Times New Roman" w:cs="Times New Roman"/>
        </w:rPr>
        <w:t xml:space="preserve"> See, for example, CESCR General Comments No. 14, [33]; No. 15, [21], No. 18, [22].</w:t>
      </w:r>
    </w:p>
  </w:footnote>
  <w:footnote w:id="5">
    <w:p w:rsidR="00046095" w:rsidRPr="00A36B6A" w:rsidRDefault="00046095" w:rsidP="00046095">
      <w:pPr>
        <w:pStyle w:val="FootnoteText"/>
        <w:rPr>
          <w:rFonts w:ascii="Times New Roman" w:hAnsi="Times New Roman" w:cs="Times New Roman"/>
        </w:rPr>
      </w:pPr>
      <w:r w:rsidRPr="00A36B6A">
        <w:rPr>
          <w:rStyle w:val="FootnoteReference"/>
          <w:rFonts w:ascii="Times New Roman" w:hAnsi="Times New Roman" w:cs="Times New Roman"/>
        </w:rPr>
        <w:footnoteRef/>
      </w:r>
      <w:r w:rsidRPr="00A36B6A">
        <w:rPr>
          <w:rFonts w:ascii="Times New Roman" w:hAnsi="Times New Roman" w:cs="Times New Roman"/>
        </w:rPr>
        <w:t xml:space="preserve"> See, for example, International Law Commission’s </w:t>
      </w:r>
      <w:r w:rsidRPr="00A36B6A">
        <w:rPr>
          <w:rStyle w:val="FootnoteReference"/>
          <w:rFonts w:ascii="Times New Roman" w:hAnsi="Times New Roman" w:cs="Times New Roman"/>
          <w:i/>
        </w:rPr>
        <w:t>Responsibility of States for Internationally Wrongful Acts</w:t>
      </w:r>
      <w:r w:rsidRPr="00A36B6A">
        <w:rPr>
          <w:rStyle w:val="FootnoteReference"/>
          <w:rFonts w:ascii="Times New Roman" w:hAnsi="Times New Roman" w:cs="Times New Roman"/>
        </w:rPr>
        <w:t xml:space="preserve">, </w:t>
      </w:r>
      <w:r w:rsidRPr="00A36B6A">
        <w:rPr>
          <w:rFonts w:ascii="Times New Roman" w:hAnsi="Times New Roman" w:cs="Times New Roman"/>
        </w:rPr>
        <w:t>GA Res 56/83, UN GAOR, 56</w:t>
      </w:r>
      <w:r w:rsidRPr="00A36B6A">
        <w:rPr>
          <w:rFonts w:ascii="Times New Roman" w:hAnsi="Times New Roman" w:cs="Times New Roman"/>
          <w:vertAlign w:val="superscript"/>
        </w:rPr>
        <w:t>th</w:t>
      </w:r>
      <w:r w:rsidRPr="00A36B6A">
        <w:rPr>
          <w:rFonts w:ascii="Times New Roman" w:hAnsi="Times New Roman" w:cs="Times New Roman"/>
        </w:rPr>
        <w:t xml:space="preserve"> session, 85</w:t>
      </w:r>
      <w:r w:rsidRPr="00A36B6A">
        <w:rPr>
          <w:rFonts w:ascii="Times New Roman" w:hAnsi="Times New Roman" w:cs="Times New Roman"/>
          <w:vertAlign w:val="superscript"/>
        </w:rPr>
        <w:t>th</w:t>
      </w:r>
      <w:r w:rsidRPr="00A36B6A">
        <w:rPr>
          <w:rFonts w:ascii="Times New Roman" w:hAnsi="Times New Roman" w:cs="Times New Roman"/>
        </w:rPr>
        <w:t xml:space="preserve"> plenary meeting, Supp No 49, UN Doc A/RES/56/83 (28 January 2002, adopted 12 December 2001) annex (‘</w:t>
      </w:r>
      <w:r w:rsidRPr="00A36B6A">
        <w:rPr>
          <w:rFonts w:ascii="Times New Roman" w:hAnsi="Times New Roman" w:cs="Times New Roman"/>
          <w:i/>
        </w:rPr>
        <w:t>Responsibility of States for Internationally Wrongful Act</w:t>
      </w:r>
      <w:r w:rsidRPr="00A36B6A">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A7971"/>
    <w:multiLevelType w:val="hybridMultilevel"/>
    <w:tmpl w:val="FE5E23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E5E4A88"/>
    <w:multiLevelType w:val="hybridMultilevel"/>
    <w:tmpl w:val="28DA7896"/>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7A"/>
    <w:rsid w:val="00046095"/>
    <w:rsid w:val="000874C9"/>
    <w:rsid w:val="000C132E"/>
    <w:rsid w:val="001373D7"/>
    <w:rsid w:val="0015504E"/>
    <w:rsid w:val="001E36EF"/>
    <w:rsid w:val="001F00FA"/>
    <w:rsid w:val="002926E7"/>
    <w:rsid w:val="002C0F3B"/>
    <w:rsid w:val="002E187D"/>
    <w:rsid w:val="00304E41"/>
    <w:rsid w:val="0033212A"/>
    <w:rsid w:val="003326C5"/>
    <w:rsid w:val="003B3F2D"/>
    <w:rsid w:val="003C01B4"/>
    <w:rsid w:val="0046715B"/>
    <w:rsid w:val="00490257"/>
    <w:rsid w:val="00496509"/>
    <w:rsid w:val="004E17F3"/>
    <w:rsid w:val="00550E8D"/>
    <w:rsid w:val="0062142D"/>
    <w:rsid w:val="00655502"/>
    <w:rsid w:val="006B5C12"/>
    <w:rsid w:val="00766785"/>
    <w:rsid w:val="007A6F06"/>
    <w:rsid w:val="007B6A6A"/>
    <w:rsid w:val="007E6881"/>
    <w:rsid w:val="0085477D"/>
    <w:rsid w:val="008670B6"/>
    <w:rsid w:val="008A4D63"/>
    <w:rsid w:val="0091454E"/>
    <w:rsid w:val="00926113"/>
    <w:rsid w:val="00962DF1"/>
    <w:rsid w:val="009A5D17"/>
    <w:rsid w:val="009C249F"/>
    <w:rsid w:val="009C427A"/>
    <w:rsid w:val="009E40DB"/>
    <w:rsid w:val="00A04269"/>
    <w:rsid w:val="00AA4A6F"/>
    <w:rsid w:val="00AD26AE"/>
    <w:rsid w:val="00B1169A"/>
    <w:rsid w:val="00B22B3D"/>
    <w:rsid w:val="00B84871"/>
    <w:rsid w:val="00B90F38"/>
    <w:rsid w:val="00BA6E06"/>
    <w:rsid w:val="00C6159E"/>
    <w:rsid w:val="00CC1BC9"/>
    <w:rsid w:val="00CF066E"/>
    <w:rsid w:val="00D0218E"/>
    <w:rsid w:val="00D10823"/>
    <w:rsid w:val="00D34E74"/>
    <w:rsid w:val="00D45818"/>
    <w:rsid w:val="00DB4009"/>
    <w:rsid w:val="00DF6DD4"/>
    <w:rsid w:val="00E135DC"/>
    <w:rsid w:val="00F83512"/>
    <w:rsid w:val="00FB16A6"/>
    <w:rsid w:val="00FF4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27A"/>
    <w:pPr>
      <w:ind w:left="720"/>
      <w:contextualSpacing/>
    </w:p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n,5_G,Char,FA Fu"/>
    <w:basedOn w:val="Normal"/>
    <w:link w:val="FootnoteTextChar"/>
    <w:uiPriority w:val="99"/>
    <w:unhideWhenUsed/>
    <w:rsid w:val="009C427A"/>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fn Char"/>
    <w:basedOn w:val="DefaultParagraphFont"/>
    <w:link w:val="FootnoteText"/>
    <w:uiPriority w:val="99"/>
    <w:rsid w:val="009C427A"/>
    <w:rPr>
      <w:sz w:val="20"/>
      <w:szCs w:val="20"/>
    </w:rPr>
  </w:style>
  <w:style w:type="character" w:styleId="FootnoteReference">
    <w:name w:val="footnote reference"/>
    <w:aliases w:val="Footnotes refss,ftref,4_G"/>
    <w:basedOn w:val="DefaultParagraphFont"/>
    <w:uiPriority w:val="99"/>
    <w:unhideWhenUsed/>
    <w:rsid w:val="009C427A"/>
    <w:rPr>
      <w:vertAlign w:val="superscript"/>
    </w:rPr>
  </w:style>
  <w:style w:type="character" w:styleId="CommentReference">
    <w:name w:val="annotation reference"/>
    <w:basedOn w:val="DefaultParagraphFont"/>
    <w:uiPriority w:val="99"/>
    <w:semiHidden/>
    <w:unhideWhenUsed/>
    <w:rsid w:val="009C427A"/>
    <w:rPr>
      <w:sz w:val="16"/>
      <w:szCs w:val="16"/>
    </w:rPr>
  </w:style>
  <w:style w:type="paragraph" w:styleId="CommentText">
    <w:name w:val="annotation text"/>
    <w:basedOn w:val="Normal"/>
    <w:link w:val="CommentTextChar"/>
    <w:uiPriority w:val="99"/>
    <w:semiHidden/>
    <w:unhideWhenUsed/>
    <w:rsid w:val="009C427A"/>
    <w:pPr>
      <w:spacing w:line="240" w:lineRule="auto"/>
    </w:pPr>
    <w:rPr>
      <w:sz w:val="20"/>
      <w:szCs w:val="20"/>
    </w:rPr>
  </w:style>
  <w:style w:type="character" w:customStyle="1" w:styleId="CommentTextChar">
    <w:name w:val="Comment Text Char"/>
    <w:basedOn w:val="DefaultParagraphFont"/>
    <w:link w:val="CommentText"/>
    <w:uiPriority w:val="99"/>
    <w:semiHidden/>
    <w:rsid w:val="009C427A"/>
    <w:rPr>
      <w:sz w:val="20"/>
      <w:szCs w:val="20"/>
    </w:rPr>
  </w:style>
  <w:style w:type="paragraph" w:styleId="BalloonText">
    <w:name w:val="Balloon Text"/>
    <w:basedOn w:val="Normal"/>
    <w:link w:val="BalloonTextChar"/>
    <w:uiPriority w:val="99"/>
    <w:semiHidden/>
    <w:unhideWhenUsed/>
    <w:rsid w:val="009C4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27A"/>
    <w:rPr>
      <w:rFonts w:ascii="Tahoma" w:hAnsi="Tahoma" w:cs="Tahoma"/>
      <w:sz w:val="16"/>
      <w:szCs w:val="16"/>
    </w:rPr>
  </w:style>
  <w:style w:type="character" w:styleId="Strong">
    <w:name w:val="Strong"/>
    <w:basedOn w:val="DefaultParagraphFont"/>
    <w:uiPriority w:val="22"/>
    <w:qFormat/>
    <w:rsid w:val="00304E41"/>
    <w:rPr>
      <w:b/>
      <w:bCs/>
    </w:rPr>
  </w:style>
  <w:style w:type="paragraph" w:styleId="CommentSubject">
    <w:name w:val="annotation subject"/>
    <w:basedOn w:val="CommentText"/>
    <w:next w:val="CommentText"/>
    <w:link w:val="CommentSubjectChar"/>
    <w:uiPriority w:val="99"/>
    <w:semiHidden/>
    <w:unhideWhenUsed/>
    <w:rsid w:val="00C6159E"/>
    <w:rPr>
      <w:b/>
      <w:bCs/>
    </w:rPr>
  </w:style>
  <w:style w:type="character" w:customStyle="1" w:styleId="CommentSubjectChar">
    <w:name w:val="Comment Subject Char"/>
    <w:basedOn w:val="CommentTextChar"/>
    <w:link w:val="CommentSubject"/>
    <w:uiPriority w:val="99"/>
    <w:semiHidden/>
    <w:rsid w:val="00C6159E"/>
    <w:rPr>
      <w:b/>
      <w:bCs/>
      <w:sz w:val="20"/>
      <w:szCs w:val="20"/>
    </w:rPr>
  </w:style>
  <w:style w:type="paragraph" w:styleId="Header">
    <w:name w:val="header"/>
    <w:basedOn w:val="Normal"/>
    <w:link w:val="HeaderChar"/>
    <w:uiPriority w:val="99"/>
    <w:unhideWhenUsed/>
    <w:rsid w:val="00B84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871"/>
  </w:style>
  <w:style w:type="paragraph" w:styleId="Footer">
    <w:name w:val="footer"/>
    <w:basedOn w:val="Normal"/>
    <w:link w:val="FooterChar"/>
    <w:uiPriority w:val="99"/>
    <w:unhideWhenUsed/>
    <w:rsid w:val="00B84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871"/>
  </w:style>
  <w:style w:type="paragraph" w:customStyle="1" w:styleId="Paragraphnumbered">
    <w:name w:val="Paragraph (numbered)"/>
    <w:basedOn w:val="Normal"/>
    <w:rsid w:val="00DB4009"/>
    <w:pPr>
      <w:spacing w:before="240"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27A"/>
    <w:pPr>
      <w:ind w:left="720"/>
      <w:contextualSpacing/>
    </w:p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n,5_G,Char,FA Fu"/>
    <w:basedOn w:val="Normal"/>
    <w:link w:val="FootnoteTextChar"/>
    <w:uiPriority w:val="99"/>
    <w:unhideWhenUsed/>
    <w:rsid w:val="009C427A"/>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fn Char"/>
    <w:basedOn w:val="DefaultParagraphFont"/>
    <w:link w:val="FootnoteText"/>
    <w:uiPriority w:val="99"/>
    <w:rsid w:val="009C427A"/>
    <w:rPr>
      <w:sz w:val="20"/>
      <w:szCs w:val="20"/>
    </w:rPr>
  </w:style>
  <w:style w:type="character" w:styleId="FootnoteReference">
    <w:name w:val="footnote reference"/>
    <w:aliases w:val="Footnotes refss,ftref,4_G"/>
    <w:basedOn w:val="DefaultParagraphFont"/>
    <w:uiPriority w:val="99"/>
    <w:unhideWhenUsed/>
    <w:rsid w:val="009C427A"/>
    <w:rPr>
      <w:vertAlign w:val="superscript"/>
    </w:rPr>
  </w:style>
  <w:style w:type="character" w:styleId="CommentReference">
    <w:name w:val="annotation reference"/>
    <w:basedOn w:val="DefaultParagraphFont"/>
    <w:uiPriority w:val="99"/>
    <w:semiHidden/>
    <w:unhideWhenUsed/>
    <w:rsid w:val="009C427A"/>
    <w:rPr>
      <w:sz w:val="16"/>
      <w:szCs w:val="16"/>
    </w:rPr>
  </w:style>
  <w:style w:type="paragraph" w:styleId="CommentText">
    <w:name w:val="annotation text"/>
    <w:basedOn w:val="Normal"/>
    <w:link w:val="CommentTextChar"/>
    <w:uiPriority w:val="99"/>
    <w:semiHidden/>
    <w:unhideWhenUsed/>
    <w:rsid w:val="009C427A"/>
    <w:pPr>
      <w:spacing w:line="240" w:lineRule="auto"/>
    </w:pPr>
    <w:rPr>
      <w:sz w:val="20"/>
      <w:szCs w:val="20"/>
    </w:rPr>
  </w:style>
  <w:style w:type="character" w:customStyle="1" w:styleId="CommentTextChar">
    <w:name w:val="Comment Text Char"/>
    <w:basedOn w:val="DefaultParagraphFont"/>
    <w:link w:val="CommentText"/>
    <w:uiPriority w:val="99"/>
    <w:semiHidden/>
    <w:rsid w:val="009C427A"/>
    <w:rPr>
      <w:sz w:val="20"/>
      <w:szCs w:val="20"/>
    </w:rPr>
  </w:style>
  <w:style w:type="paragraph" w:styleId="BalloonText">
    <w:name w:val="Balloon Text"/>
    <w:basedOn w:val="Normal"/>
    <w:link w:val="BalloonTextChar"/>
    <w:uiPriority w:val="99"/>
    <w:semiHidden/>
    <w:unhideWhenUsed/>
    <w:rsid w:val="009C4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27A"/>
    <w:rPr>
      <w:rFonts w:ascii="Tahoma" w:hAnsi="Tahoma" w:cs="Tahoma"/>
      <w:sz w:val="16"/>
      <w:szCs w:val="16"/>
    </w:rPr>
  </w:style>
  <w:style w:type="character" w:styleId="Strong">
    <w:name w:val="Strong"/>
    <w:basedOn w:val="DefaultParagraphFont"/>
    <w:uiPriority w:val="22"/>
    <w:qFormat/>
    <w:rsid w:val="00304E41"/>
    <w:rPr>
      <w:b/>
      <w:bCs/>
    </w:rPr>
  </w:style>
  <w:style w:type="paragraph" w:styleId="CommentSubject">
    <w:name w:val="annotation subject"/>
    <w:basedOn w:val="CommentText"/>
    <w:next w:val="CommentText"/>
    <w:link w:val="CommentSubjectChar"/>
    <w:uiPriority w:val="99"/>
    <w:semiHidden/>
    <w:unhideWhenUsed/>
    <w:rsid w:val="00C6159E"/>
    <w:rPr>
      <w:b/>
      <w:bCs/>
    </w:rPr>
  </w:style>
  <w:style w:type="character" w:customStyle="1" w:styleId="CommentSubjectChar">
    <w:name w:val="Comment Subject Char"/>
    <w:basedOn w:val="CommentTextChar"/>
    <w:link w:val="CommentSubject"/>
    <w:uiPriority w:val="99"/>
    <w:semiHidden/>
    <w:rsid w:val="00C6159E"/>
    <w:rPr>
      <w:b/>
      <w:bCs/>
      <w:sz w:val="20"/>
      <w:szCs w:val="20"/>
    </w:rPr>
  </w:style>
  <w:style w:type="paragraph" w:styleId="Header">
    <w:name w:val="header"/>
    <w:basedOn w:val="Normal"/>
    <w:link w:val="HeaderChar"/>
    <w:uiPriority w:val="99"/>
    <w:unhideWhenUsed/>
    <w:rsid w:val="00B84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871"/>
  </w:style>
  <w:style w:type="paragraph" w:styleId="Footer">
    <w:name w:val="footer"/>
    <w:basedOn w:val="Normal"/>
    <w:link w:val="FooterChar"/>
    <w:uiPriority w:val="99"/>
    <w:unhideWhenUsed/>
    <w:rsid w:val="00B84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871"/>
  </w:style>
  <w:style w:type="paragraph" w:customStyle="1" w:styleId="Paragraphnumbered">
    <w:name w:val="Paragraph (numbered)"/>
    <w:basedOn w:val="Normal"/>
    <w:rsid w:val="00DB4009"/>
    <w:pPr>
      <w:spacing w:before="240"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83B9A4-85CD-4D82-9CC5-992222DBC647}"/>
</file>

<file path=customXml/itemProps2.xml><?xml version="1.0" encoding="utf-8"?>
<ds:datastoreItem xmlns:ds="http://schemas.openxmlformats.org/officeDocument/2006/customXml" ds:itemID="{BD32AABC-2FFE-4314-9C58-56DD22952045}"/>
</file>

<file path=customXml/itemProps3.xml><?xml version="1.0" encoding="utf-8"?>
<ds:datastoreItem xmlns:ds="http://schemas.openxmlformats.org/officeDocument/2006/customXml" ds:itemID="{F2989283-9752-4F36-BB26-F68DD3B0460B}"/>
</file>

<file path=customXml/itemProps4.xml><?xml version="1.0" encoding="utf-8"?>
<ds:datastoreItem xmlns:ds="http://schemas.openxmlformats.org/officeDocument/2006/customXml" ds:itemID="{52CB9029-4C87-41A2-BF21-2ED5337DB91C}"/>
</file>

<file path=docProps/app.xml><?xml version="1.0" encoding="utf-8"?>
<Properties xmlns="http://schemas.openxmlformats.org/officeDocument/2006/extended-properties" xmlns:vt="http://schemas.openxmlformats.org/officeDocument/2006/docPropsVTypes">
  <Template>A8256111</Template>
  <TotalTime>5</TotalTime>
  <Pages>6</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solomr</dc:creator>
  <cp:lastModifiedBy>Renee Arian</cp:lastModifiedBy>
  <cp:revision>4</cp:revision>
  <cp:lastPrinted>2015-08-19T07:59:00Z</cp:lastPrinted>
  <dcterms:created xsi:type="dcterms:W3CDTF">2015-08-31T07:59:00Z</dcterms:created>
  <dcterms:modified xsi:type="dcterms:W3CDTF">2015-08-31T08:11:00Z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3117900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