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BA" w:rsidRPr="00340EB7" w:rsidRDefault="00725ABA" w:rsidP="00725ABA">
      <w:pPr>
        <w:pStyle w:val="HChGR"/>
      </w:pPr>
      <w:r w:rsidRPr="00340EB7">
        <w:t>Приложение III</w:t>
      </w:r>
    </w:p>
    <w:p w:rsidR="00725ABA" w:rsidRPr="00340EB7" w:rsidRDefault="00725ABA" w:rsidP="00725ABA">
      <w:pPr>
        <w:pStyle w:val="H1GR"/>
      </w:pPr>
      <w:r w:rsidRPr="00340EB7">
        <w:tab/>
      </w:r>
      <w:r w:rsidRPr="00340EB7">
        <w:tab/>
        <w:t xml:space="preserve">Рекомендации, внесенные по итогам дня общей дискуссии </w:t>
      </w:r>
      <w:r>
        <w:t>по</w:t>
      </w:r>
      <w:r>
        <w:rPr>
          <w:lang w:val="en-US"/>
        </w:rPr>
        <w:t> </w:t>
      </w:r>
      <w:r w:rsidRPr="00340EB7">
        <w:t>теме «Права детей и цифровые средства массовой информации», состоявшегося в 2014 году</w:t>
      </w:r>
    </w:p>
    <w:p w:rsidR="00725ABA" w:rsidRPr="00340EB7" w:rsidRDefault="00725ABA" w:rsidP="00725ABA">
      <w:pPr>
        <w:pStyle w:val="SingleTxtGR"/>
      </w:pPr>
      <w:r>
        <w:t>1</w:t>
      </w:r>
      <w:r w:rsidRPr="00340EB7">
        <w:t>.</w:t>
      </w:r>
      <w:r w:rsidRPr="00340EB7">
        <w:tab/>
      </w:r>
      <w:proofErr w:type="gramStart"/>
      <w:r w:rsidRPr="00340EB7">
        <w:t>С учетом цели дня общей дискуссии, являющегося форумом для повыш</w:t>
      </w:r>
      <w:r w:rsidRPr="00340EB7">
        <w:t>е</w:t>
      </w:r>
      <w:r w:rsidRPr="00340EB7">
        <w:t>ния осведомленности о правах ребенка и их обсуждения в интересах выявления проблем, которые государства должны учитывать в своей политике и програ</w:t>
      </w:r>
      <w:r w:rsidRPr="00340EB7">
        <w:t>м</w:t>
      </w:r>
      <w:r w:rsidRPr="00340EB7">
        <w:t>мам, а также в интересах выработки руководящих принципов для других соо</w:t>
      </w:r>
      <w:r w:rsidRPr="00340EB7">
        <w:t>т</w:t>
      </w:r>
      <w:r w:rsidRPr="00340EB7">
        <w:t>ветствующих субъектов по вопросам соблюдения, поощрения и осуществления прав детей в контексте цифровых средств массовой информации, Комитет пр</w:t>
      </w:r>
      <w:r w:rsidRPr="00340EB7">
        <w:t>и</w:t>
      </w:r>
      <w:r w:rsidRPr="00340EB7">
        <w:t>нимает следующие рекомендации.</w:t>
      </w:r>
      <w:proofErr w:type="gramEnd"/>
      <w:r w:rsidRPr="00340EB7">
        <w:t xml:space="preserve"> Выполнение нижеизложенных рекоменд</w:t>
      </w:r>
      <w:r w:rsidRPr="00340EB7">
        <w:t>а</w:t>
      </w:r>
      <w:r w:rsidRPr="00340EB7">
        <w:t>ций, предназначенных государствам как основным держателям обязательств, требует также активного привлечения и участия других заинтересованных ст</w:t>
      </w:r>
      <w:r w:rsidRPr="00340EB7">
        <w:t>о</w:t>
      </w:r>
      <w:r w:rsidRPr="00340EB7">
        <w:t xml:space="preserve">рон, включая семьи, школы, гражданское общество и частный сектор. </w:t>
      </w:r>
    </w:p>
    <w:p w:rsidR="00725ABA" w:rsidRPr="00340EB7" w:rsidRDefault="00725ABA" w:rsidP="00725ABA">
      <w:pPr>
        <w:pStyle w:val="H23GR"/>
      </w:pPr>
      <w:r w:rsidRPr="00340EB7">
        <w:tab/>
      </w:r>
      <w:r w:rsidRPr="00340EB7">
        <w:tab/>
        <w:t xml:space="preserve">Общие рекомендации, касающиеся законодательства, политики </w:t>
      </w:r>
      <w:r>
        <w:t>и</w:t>
      </w:r>
      <w:r>
        <w:rPr>
          <w:lang w:val="en-US"/>
        </w:rPr>
        <w:t> </w:t>
      </w:r>
      <w:r w:rsidRPr="00340EB7">
        <w:t>координации</w:t>
      </w:r>
    </w:p>
    <w:p w:rsidR="00725ABA" w:rsidRPr="00340EB7" w:rsidRDefault="00725ABA" w:rsidP="00725ABA">
      <w:pPr>
        <w:pStyle w:val="SingleTxtGR"/>
      </w:pPr>
      <w:r>
        <w:t>2</w:t>
      </w:r>
      <w:r w:rsidRPr="00340EB7">
        <w:t>.</w:t>
      </w:r>
      <w:r w:rsidRPr="00340EB7">
        <w:tab/>
      </w:r>
      <w:proofErr w:type="gramStart"/>
      <w:r w:rsidRPr="00340EB7">
        <w:t>Государства должны признать важность доступа детей к цифровым сре</w:t>
      </w:r>
      <w:r w:rsidRPr="00340EB7">
        <w:t>д</w:t>
      </w:r>
      <w:r w:rsidRPr="00340EB7">
        <w:t>ствам массовой информации и информационно-коммуникационным технолог</w:t>
      </w:r>
      <w:r w:rsidRPr="00340EB7">
        <w:t>и</w:t>
      </w:r>
      <w:r w:rsidRPr="00340EB7">
        <w:t>ям и использования таких средств детьми, а также значимость их потенциала с точки зрения поощрения всех прав детей, в частности прав на свободу выраж</w:t>
      </w:r>
      <w:r w:rsidRPr="00340EB7">
        <w:t>е</w:t>
      </w:r>
      <w:r w:rsidRPr="00340EB7">
        <w:t xml:space="preserve">ния мнения, доступ к соответствующей информации, участие и образование, </w:t>
      </w:r>
      <w:r>
        <w:t>а</w:t>
      </w:r>
      <w:r>
        <w:rPr>
          <w:lang w:val="en-US"/>
        </w:rPr>
        <w:t> </w:t>
      </w:r>
      <w:r w:rsidRPr="00340EB7">
        <w:t>также на отдых, досуг, участие в играх, развлекательных мероприятиях, кул</w:t>
      </w:r>
      <w:r w:rsidRPr="00340EB7">
        <w:t>ь</w:t>
      </w:r>
      <w:r w:rsidRPr="00340EB7">
        <w:t>турной жизни и право заниматься</w:t>
      </w:r>
      <w:proofErr w:type="gramEnd"/>
      <w:r w:rsidRPr="00340EB7">
        <w:t xml:space="preserve"> искусством. Кроме того, государства должны обеспечивать, чтобы вопросы равного и безопасного доступа к цифровым сре</w:t>
      </w:r>
      <w:r w:rsidRPr="00340EB7">
        <w:t>д</w:t>
      </w:r>
      <w:r w:rsidRPr="00340EB7">
        <w:t>ствам массовой информации и информационно-коммуникационным технолог</w:t>
      </w:r>
      <w:r w:rsidRPr="00340EB7">
        <w:t>и</w:t>
      </w:r>
      <w:r w:rsidRPr="00340EB7">
        <w:t>ям, включая Интернет, учитывались в повестке дня в области развития на пер</w:t>
      </w:r>
      <w:r w:rsidRPr="00340EB7">
        <w:t>и</w:t>
      </w:r>
      <w:r w:rsidRPr="00340EB7">
        <w:t>од после 2015 года.</w:t>
      </w:r>
    </w:p>
    <w:p w:rsidR="00725ABA" w:rsidRPr="00340EB7" w:rsidRDefault="00725ABA" w:rsidP="00725ABA">
      <w:pPr>
        <w:pStyle w:val="SingleTxtGR"/>
      </w:pPr>
      <w:r>
        <w:t>3</w:t>
      </w:r>
      <w:r w:rsidRPr="00340EB7">
        <w:t>.</w:t>
      </w:r>
      <w:r w:rsidRPr="00340EB7">
        <w:tab/>
      </w:r>
      <w:proofErr w:type="gramStart"/>
      <w:r w:rsidRPr="00340EB7">
        <w:t>Государствам надлежит принимать и эффективно осуществлять всеоб</w:t>
      </w:r>
      <w:r w:rsidRPr="00340EB7">
        <w:t>ъ</w:t>
      </w:r>
      <w:r w:rsidRPr="00340EB7">
        <w:t>емлющие основанные на правах человека законы и политику, предусматрива</w:t>
      </w:r>
      <w:r w:rsidRPr="00340EB7">
        <w:t>ю</w:t>
      </w:r>
      <w:r w:rsidRPr="00340EB7">
        <w:t>щие доступ детей к цифровым средствам массовой информации и информац</w:t>
      </w:r>
      <w:r w:rsidRPr="00340EB7">
        <w:t>и</w:t>
      </w:r>
      <w:r w:rsidRPr="00340EB7">
        <w:t>онно-коммуникационным технологиям, и обеспечивать полную защиту согла</w:t>
      </w:r>
      <w:r w:rsidRPr="00340EB7">
        <w:t>с</w:t>
      </w:r>
      <w:r w:rsidRPr="00340EB7">
        <w:t>но Конвенции и Факультативным протоколам к ней при пользовании цифров</w:t>
      </w:r>
      <w:r w:rsidRPr="00340EB7">
        <w:t>ы</w:t>
      </w:r>
      <w:r w:rsidRPr="00340EB7">
        <w:t>ми средствами массовой информации и информационно-коммуникационными технологиями.</w:t>
      </w:r>
      <w:proofErr w:type="gramEnd"/>
      <w:r w:rsidRPr="00340EB7">
        <w:t xml:space="preserve"> В свете меняющегося характера этой проблемы государства та</w:t>
      </w:r>
      <w:r w:rsidRPr="00340EB7">
        <w:t>к</w:t>
      </w:r>
      <w:r w:rsidRPr="00340EB7">
        <w:t>же должны осуществлять регулярный мониторинг выполнения и оценку зак</w:t>
      </w:r>
      <w:r w:rsidRPr="00340EB7">
        <w:t>о</w:t>
      </w:r>
      <w:r w:rsidRPr="00340EB7">
        <w:t>нодательства и политики.</w:t>
      </w:r>
    </w:p>
    <w:p w:rsidR="00725ABA" w:rsidRPr="00340EB7" w:rsidRDefault="00725ABA" w:rsidP="00725ABA">
      <w:pPr>
        <w:pStyle w:val="SingleTxtGR"/>
      </w:pPr>
      <w:r>
        <w:t>4</w:t>
      </w:r>
      <w:r w:rsidRPr="00340EB7">
        <w:t>.</w:t>
      </w:r>
      <w:r w:rsidRPr="00340EB7">
        <w:tab/>
        <w:t>Государствам предлагается поощрять и поддерживать регулярные общ</w:t>
      </w:r>
      <w:r w:rsidRPr="00340EB7">
        <w:t>е</w:t>
      </w:r>
      <w:r w:rsidRPr="00340EB7">
        <w:t>ственные обсуждения и активное участие всех заинтересованных сторон, ос</w:t>
      </w:r>
      <w:r w:rsidRPr="00340EB7">
        <w:t>о</w:t>
      </w:r>
      <w:r w:rsidRPr="00340EB7">
        <w:t xml:space="preserve">бенно детей, родителей и </w:t>
      </w:r>
      <w:proofErr w:type="gramStart"/>
      <w:r w:rsidRPr="00340EB7">
        <w:t>других</w:t>
      </w:r>
      <w:proofErr w:type="gramEnd"/>
      <w:r w:rsidRPr="00340EB7">
        <w:t xml:space="preserve"> заботящихся о детях лиц, специалистов, раб</w:t>
      </w:r>
      <w:r w:rsidRPr="00340EB7">
        <w:t>о</w:t>
      </w:r>
      <w:r w:rsidRPr="00340EB7">
        <w:t>тающих с детьми или в их интересах, в том числе в области образования, гра</w:t>
      </w:r>
      <w:r w:rsidRPr="00340EB7">
        <w:t>ж</w:t>
      </w:r>
      <w:r w:rsidRPr="00340EB7">
        <w:t>данского общества, а также информационно-коммуникационных и других соо</w:t>
      </w:r>
      <w:r w:rsidRPr="00340EB7">
        <w:t>т</w:t>
      </w:r>
      <w:r w:rsidRPr="00340EB7">
        <w:t>ветствующих отраслей промышленности, до принятия законопроектов, полит</w:t>
      </w:r>
      <w:r w:rsidRPr="00340EB7">
        <w:t>и</w:t>
      </w:r>
      <w:r w:rsidRPr="00340EB7">
        <w:t>ки, стратегий и программ, а также при организации системы оказания услуг п</w:t>
      </w:r>
      <w:r w:rsidRPr="00340EB7">
        <w:t>о</w:t>
      </w:r>
      <w:r w:rsidRPr="00340EB7">
        <w:t>страдавшим детям. Государствам также рекомендуется производить эффекти</w:t>
      </w:r>
      <w:r w:rsidRPr="00340EB7">
        <w:t>в</w:t>
      </w:r>
      <w:r w:rsidRPr="00340EB7">
        <w:t xml:space="preserve">ную оценку влияния на права, благополучие и развитие всех детей политики, программ, практики и решений, связанных с цифровыми </w:t>
      </w:r>
      <w:r w:rsidRPr="00340EB7">
        <w:lastRenderedPageBreak/>
        <w:t>средствами массовой информации и информационно-коммуникационными технологиями. Тем самым государства должны</w:t>
      </w:r>
      <w:r>
        <w:t xml:space="preserve"> обеспечивать </w:t>
      </w:r>
      <w:proofErr w:type="spellStart"/>
      <w:r>
        <w:t>уделение</w:t>
      </w:r>
      <w:proofErr w:type="spellEnd"/>
      <w:r>
        <w:t xml:space="preserve"> первооче</w:t>
      </w:r>
      <w:r w:rsidRPr="00340EB7">
        <w:t>редного внимания основ</w:t>
      </w:r>
      <w:r w:rsidRPr="00340EB7">
        <w:t>о</w:t>
      </w:r>
      <w:r w:rsidRPr="00340EB7">
        <w:t xml:space="preserve">полагающим принципам Конвенции и их конструктивную реализацию, включая право на </w:t>
      </w:r>
      <w:proofErr w:type="spellStart"/>
      <w:r w:rsidRPr="00340EB7">
        <w:t>недискриминацию</w:t>
      </w:r>
      <w:proofErr w:type="spellEnd"/>
      <w:r w:rsidRPr="00340EB7">
        <w:t>, право на первоочередной учет наилучших интер</w:t>
      </w:r>
      <w:r w:rsidRPr="00340EB7">
        <w:t>е</w:t>
      </w:r>
      <w:r w:rsidRPr="00340EB7">
        <w:t>сов ребенка, право на жизнь, выживание и здоровое развитие, а также право д</w:t>
      </w:r>
      <w:r w:rsidRPr="00340EB7">
        <w:t>е</w:t>
      </w:r>
      <w:r w:rsidRPr="00340EB7">
        <w:t xml:space="preserve">тей на выражение их мнений по затрагивающим их вопросам. </w:t>
      </w:r>
    </w:p>
    <w:p w:rsidR="00725ABA" w:rsidRPr="00340EB7" w:rsidRDefault="00725ABA" w:rsidP="00725ABA">
      <w:pPr>
        <w:pStyle w:val="SingleTxtGR"/>
      </w:pPr>
      <w:r>
        <w:t>5</w:t>
      </w:r>
      <w:r w:rsidRPr="00340EB7">
        <w:t>.</w:t>
      </w:r>
      <w:r w:rsidRPr="00340EB7">
        <w:tab/>
        <w:t>Государствам следует создать национальный координационный механизм с четким мандатом и достаточными полномочиями для согласования на межв</w:t>
      </w:r>
      <w:r w:rsidRPr="00340EB7">
        <w:t>е</w:t>
      </w:r>
      <w:r w:rsidRPr="00340EB7">
        <w:t>домственном, национальном, региональном и местном уровнях всей деятельн</w:t>
      </w:r>
      <w:r w:rsidRPr="00340EB7">
        <w:t>о</w:t>
      </w:r>
      <w:r w:rsidRPr="00340EB7">
        <w:t>сти, касающейся прав детей и цифровых средств массовой информации и и</w:t>
      </w:r>
      <w:r w:rsidRPr="00340EB7">
        <w:t>н</w:t>
      </w:r>
      <w:r w:rsidRPr="00340EB7">
        <w:t>формационно-коммуникационных технологий, а также содействовать междун</w:t>
      </w:r>
      <w:r w:rsidRPr="00340EB7">
        <w:t>а</w:t>
      </w:r>
      <w:r w:rsidRPr="00340EB7">
        <w:t>родному сотрудничеству. Помимо этого, государства должны обеспечить пред</w:t>
      </w:r>
      <w:r w:rsidRPr="00340EB7">
        <w:t>о</w:t>
      </w:r>
      <w:r w:rsidRPr="00340EB7">
        <w:t>ставление такому координационному механизму необходимых для его эффе</w:t>
      </w:r>
      <w:r w:rsidRPr="00340EB7">
        <w:t>к</w:t>
      </w:r>
      <w:r w:rsidRPr="00340EB7">
        <w:t>тивной работы людских, технических и финансовых ресурсов.</w:t>
      </w:r>
    </w:p>
    <w:p w:rsidR="00725ABA" w:rsidRPr="00340EB7" w:rsidRDefault="00725ABA" w:rsidP="00725ABA">
      <w:pPr>
        <w:pStyle w:val="H23GR"/>
      </w:pPr>
      <w:r w:rsidRPr="00340EB7">
        <w:tab/>
      </w:r>
      <w:r w:rsidRPr="00340EB7">
        <w:tab/>
        <w:t>Сбор и изучение данных, мониторинг и оценка усилий</w:t>
      </w:r>
    </w:p>
    <w:p w:rsidR="00725ABA" w:rsidRPr="00340EB7" w:rsidRDefault="00725ABA" w:rsidP="00725ABA">
      <w:pPr>
        <w:pStyle w:val="SingleTxtGR"/>
      </w:pPr>
      <w:r>
        <w:t>6</w:t>
      </w:r>
      <w:r w:rsidRPr="00340EB7">
        <w:t>.</w:t>
      </w:r>
      <w:r w:rsidRPr="00340EB7">
        <w:tab/>
        <w:t>Государствам следует на текущей основе проводить исследования, сбор и анализ данных в целях более глубокого понимания особенностей доступа детей к цифровым</w:t>
      </w:r>
      <w:r>
        <w:t xml:space="preserve"> и социальным сетям и их исполь</w:t>
      </w:r>
      <w:r w:rsidRPr="00340EB7">
        <w:t>зования детьми, а также их вли</w:t>
      </w:r>
      <w:r w:rsidRPr="00340EB7">
        <w:t>я</w:t>
      </w:r>
      <w:r w:rsidRPr="00340EB7">
        <w:t>ния на жизнь детей. Такие данные должны охватывать риски и возможности д</w:t>
      </w:r>
      <w:r w:rsidRPr="00340EB7">
        <w:t>е</w:t>
      </w:r>
      <w:r w:rsidRPr="00340EB7">
        <w:t>тей и должны обобщаться в разбивке по возрасту, полу, географическому ра</w:t>
      </w:r>
      <w:r w:rsidRPr="00340EB7">
        <w:t>с</w:t>
      </w:r>
      <w:r w:rsidRPr="00340EB7">
        <w:t>положению, социально-экономическому положению, инвалидности, прина</w:t>
      </w:r>
      <w:r w:rsidRPr="00340EB7">
        <w:t>д</w:t>
      </w:r>
      <w:r w:rsidRPr="00340EB7">
        <w:t>лежности к группам меньшинств и/или коренным народам, этническому прои</w:t>
      </w:r>
      <w:r w:rsidRPr="00340EB7">
        <w:t>с</w:t>
      </w:r>
      <w:r w:rsidRPr="00340EB7">
        <w:t>хождению и любому другому признаку, который будет сочтен целесообразным для упрощения анализа положения всех детей, особенно находящихся в уязв</w:t>
      </w:r>
      <w:r w:rsidRPr="00340EB7">
        <w:t>и</w:t>
      </w:r>
      <w:r w:rsidRPr="00340EB7">
        <w:t>мом положении.</w:t>
      </w:r>
    </w:p>
    <w:p w:rsidR="00725ABA" w:rsidRPr="00340EB7" w:rsidRDefault="00725ABA" w:rsidP="00725ABA">
      <w:pPr>
        <w:pStyle w:val="SingleTxtGR"/>
      </w:pPr>
      <w:r>
        <w:t>7</w:t>
      </w:r>
      <w:r w:rsidRPr="00340EB7">
        <w:t>.</w:t>
      </w:r>
      <w:r w:rsidRPr="00340EB7">
        <w:tab/>
        <w:t>Комитет рекомендует использовать такие данные в целях установления базовых ориентиров, предназначенных для оценки достигнутого прогресса, формулирован</w:t>
      </w:r>
      <w:r>
        <w:t>ия и анализа соответствующих за</w:t>
      </w:r>
      <w:r w:rsidRPr="00340EB7">
        <w:t>конов, политики, программ и проектов, а также для мониторинга их осуществления. Государствам следует обеспечивать гарантии неиспользования таких данных органами власти в инт</w:t>
      </w:r>
      <w:r w:rsidRPr="00340EB7">
        <w:t>е</w:t>
      </w:r>
      <w:r w:rsidRPr="00340EB7">
        <w:t>ресах поощрения цензуры либо иного политического или экономического вм</w:t>
      </w:r>
      <w:r w:rsidRPr="00340EB7">
        <w:t>е</w:t>
      </w:r>
      <w:r w:rsidRPr="00340EB7">
        <w:t>шательства.</w:t>
      </w:r>
    </w:p>
    <w:p w:rsidR="00725ABA" w:rsidRPr="00340EB7" w:rsidRDefault="00725ABA" w:rsidP="00725ABA">
      <w:pPr>
        <w:pStyle w:val="SingleTxtGR"/>
      </w:pPr>
      <w:r>
        <w:t>8</w:t>
      </w:r>
      <w:r w:rsidRPr="00340EB7">
        <w:t>.</w:t>
      </w:r>
      <w:r w:rsidRPr="00340EB7">
        <w:tab/>
      </w:r>
      <w:proofErr w:type="gramStart"/>
      <w:r w:rsidRPr="00340EB7">
        <w:t>Помимо этого</w:t>
      </w:r>
      <w:r>
        <w:t>,</w:t>
      </w:r>
      <w:r w:rsidRPr="00340EB7">
        <w:t xml:space="preserve"> Комитет рекомендует государствам содействовать обмену идеями, информацией, опытом и передовой практикой и их совместному и</w:t>
      </w:r>
      <w:r w:rsidRPr="00340EB7">
        <w:t>с</w:t>
      </w:r>
      <w:r w:rsidRPr="00340EB7">
        <w:t>пользованию, в том числе на основе создания соответствующих платформ с участием всех заинтересованных сторон, особенно детей, на национальном, р</w:t>
      </w:r>
      <w:r w:rsidRPr="00340EB7">
        <w:t>е</w:t>
      </w:r>
      <w:r w:rsidRPr="00340EB7">
        <w:t>гиональном и международном уровнях.</w:t>
      </w:r>
      <w:proofErr w:type="gramEnd"/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Независимый мониторинг</w:t>
      </w:r>
    </w:p>
    <w:p w:rsidR="00725ABA" w:rsidRPr="00340EB7" w:rsidRDefault="00725ABA" w:rsidP="00725ABA">
      <w:pPr>
        <w:pStyle w:val="SingleTxtGR"/>
      </w:pPr>
      <w:r w:rsidRPr="00340EB7">
        <w:t>9.</w:t>
      </w:r>
      <w:r w:rsidRPr="00340EB7">
        <w:tab/>
        <w:t>Государствам следует предоставлять надлежащие полномочия и дост</w:t>
      </w:r>
      <w:r w:rsidRPr="00340EB7">
        <w:t>а</w:t>
      </w:r>
      <w:r w:rsidRPr="00340EB7">
        <w:t>точные ресурсы национальным институтам, отвечающим за обеспечение прав человека (таким</w:t>
      </w:r>
      <w:r>
        <w:t>,</w:t>
      </w:r>
      <w:r w:rsidRPr="00340EB7">
        <w:t xml:space="preserve"> как национальные правозащитные учреждения, омбудсмены или органы по обеспечению равноправия), чтобы они могли играть ведущую роль в мониторинге соблюдения Конвенции и Факультативных протоколов к ней. </w:t>
      </w:r>
      <w:proofErr w:type="gramStart"/>
      <w:r w:rsidRPr="00340EB7">
        <w:t>Подобные учреждения должны обладать конкретным мандатом на решение вопросов прав детей в контексте цифровых средств массовой информации и информационно-коммуникационных технологий и иметь право получать, ра</w:t>
      </w:r>
      <w:r w:rsidRPr="00340EB7">
        <w:t>с</w:t>
      </w:r>
      <w:r w:rsidRPr="00340EB7">
        <w:t xml:space="preserve">следовать и рассматривать жалобы детей с учетом особенностей последних, </w:t>
      </w:r>
      <w:r w:rsidRPr="00340EB7">
        <w:lastRenderedPageBreak/>
        <w:t>обеспечивать неприкосновенность частной жизни и защиту жертв, а также пр</w:t>
      </w:r>
      <w:r w:rsidRPr="00340EB7">
        <w:t>о</w:t>
      </w:r>
      <w:r w:rsidRPr="00340EB7">
        <w:t>водить в интересах пострадавших детей мероприятия по мониторингу, посл</w:t>
      </w:r>
      <w:r w:rsidRPr="00340EB7">
        <w:t>е</w:t>
      </w:r>
      <w:r w:rsidRPr="00340EB7">
        <w:t>дующей деятельности и проверке.</w:t>
      </w:r>
      <w:proofErr w:type="gramEnd"/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Сотрудничество с гражданским обществом</w:t>
      </w:r>
    </w:p>
    <w:p w:rsidR="00725ABA" w:rsidRPr="00340EB7" w:rsidRDefault="00725ABA" w:rsidP="00725ABA">
      <w:pPr>
        <w:pStyle w:val="SingleTxtGR"/>
      </w:pPr>
      <w:r>
        <w:t>10</w:t>
      </w:r>
      <w:r w:rsidRPr="00340EB7">
        <w:t>.</w:t>
      </w:r>
      <w:r w:rsidRPr="00340EB7">
        <w:tab/>
        <w:t>Комитет признает важную роль неправительственных организаций (НПО) в обеспечении доступа детей к информационно-коммуникационным технолог</w:t>
      </w:r>
      <w:r w:rsidRPr="00340EB7">
        <w:t>и</w:t>
      </w:r>
      <w:r w:rsidRPr="00340EB7">
        <w:t>ям и цифровым средствам массовой информации, а также в защите их прав при пользовании такими средствами. Он рекомендует государствам систематически привлекать все НПО, действующие в области цифровых средств массовой и</w:t>
      </w:r>
      <w:r w:rsidRPr="00340EB7">
        <w:t>н</w:t>
      </w:r>
      <w:r w:rsidRPr="00340EB7">
        <w:t>формации и прав детей, к разработке, осуществлению, мониторингу и оценке соответствующих законов, политики и программ, а также к проведению иссл</w:t>
      </w:r>
      <w:r w:rsidRPr="00340EB7">
        <w:t>е</w:t>
      </w:r>
      <w:r w:rsidRPr="00340EB7">
        <w:t>дований и сбору данных.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Информационно-просветительская работа и подготовка кадров</w:t>
      </w:r>
    </w:p>
    <w:p w:rsidR="00725ABA" w:rsidRPr="00340EB7" w:rsidRDefault="00725ABA" w:rsidP="00725ABA">
      <w:pPr>
        <w:pStyle w:val="SingleTxtGR"/>
      </w:pPr>
      <w:r>
        <w:t>11</w:t>
      </w:r>
      <w:r w:rsidRPr="00340EB7">
        <w:t>.</w:t>
      </w:r>
      <w:r w:rsidRPr="00340EB7">
        <w:tab/>
        <w:t>Комитет рекомендует государствам-участникам проводить ориентирова</w:t>
      </w:r>
      <w:r w:rsidRPr="00340EB7">
        <w:t>н</w:t>
      </w:r>
      <w:r w:rsidRPr="00340EB7">
        <w:t>ные на конкретные возрастные группы информационно-просветительские пр</w:t>
      </w:r>
      <w:r w:rsidRPr="00340EB7">
        <w:t>о</w:t>
      </w:r>
      <w:r w:rsidRPr="00340EB7">
        <w:t>граммы с целью ознакомления общественности в целом и детей в частности с возможностями и рисками, включая непреднамеренные последствия самосто</w:t>
      </w:r>
      <w:r w:rsidRPr="00340EB7">
        <w:t>я</w:t>
      </w:r>
      <w:r w:rsidRPr="00340EB7">
        <w:t>тельно генерированного контента, связанные с использованием информацио</w:t>
      </w:r>
      <w:r w:rsidRPr="00340EB7">
        <w:t>н</w:t>
      </w:r>
      <w:r w:rsidRPr="00340EB7">
        <w:t>но-коммуникационных технологий и цифровых средств массовой информации. Государствам следует распространять соответствующие информационные м</w:t>
      </w:r>
      <w:r w:rsidRPr="00340EB7">
        <w:t>а</w:t>
      </w:r>
      <w:r w:rsidRPr="00340EB7">
        <w:t>териалы, разработанные специально для детей и предназначенные для конкре</w:t>
      </w:r>
      <w:r w:rsidRPr="00340EB7">
        <w:t>т</w:t>
      </w:r>
      <w:r w:rsidRPr="00340EB7">
        <w:t xml:space="preserve">ных возрастных групп, а также для родителей и </w:t>
      </w:r>
      <w:proofErr w:type="gramStart"/>
      <w:r w:rsidRPr="00340EB7">
        <w:t>других</w:t>
      </w:r>
      <w:proofErr w:type="gramEnd"/>
      <w:r w:rsidRPr="00340EB7">
        <w:t xml:space="preserve"> заботящихся о детях лиц, и всех специалистов, работающих с детьми или в их интересах, а также налаживать тесное сотрудничество с гражданским обществом при организации и осуществлении информационно-просветительских программ.</w:t>
      </w:r>
    </w:p>
    <w:p w:rsidR="00725ABA" w:rsidRPr="00340EB7" w:rsidRDefault="00725ABA" w:rsidP="00725ABA">
      <w:pPr>
        <w:pStyle w:val="SingleTxtGR"/>
      </w:pPr>
      <w:r>
        <w:t>12</w:t>
      </w:r>
      <w:r w:rsidRPr="00340EB7">
        <w:t>.</w:t>
      </w:r>
      <w:r w:rsidRPr="00340EB7">
        <w:tab/>
        <w:t>Комитет также рекомендует государствам организовать надлежащую по</w:t>
      </w:r>
      <w:r w:rsidRPr="00340EB7">
        <w:t>д</w:t>
      </w:r>
      <w:r w:rsidRPr="00340EB7">
        <w:t>готовку и поддержку детей в целях выработки у них навыков пользования ци</w:t>
      </w:r>
      <w:r w:rsidRPr="00340EB7">
        <w:t>ф</w:t>
      </w:r>
      <w:r w:rsidRPr="00340EB7">
        <w:t xml:space="preserve">ровыми технологиями и формирования социальной грамотности в интересах </w:t>
      </w:r>
      <w:proofErr w:type="gramStart"/>
      <w:r w:rsidRPr="00340EB7">
        <w:t>повышения уровня ответственного использования цифровых средств массовой информации</w:t>
      </w:r>
      <w:proofErr w:type="gramEnd"/>
      <w:r w:rsidRPr="00340EB7">
        <w:t xml:space="preserve"> и информационно-коммуникационных технологий, а также умения детей избегать рисков и защищать себя от вреда. Государствам следует также осуществлять надлежащую подготовку и поддержку родителей и </w:t>
      </w:r>
      <w:proofErr w:type="gramStart"/>
      <w:r w:rsidRPr="00340EB7">
        <w:t>других</w:t>
      </w:r>
      <w:proofErr w:type="gramEnd"/>
      <w:r w:rsidRPr="00340EB7">
        <w:t xml:space="preserve"> заб</w:t>
      </w:r>
      <w:r w:rsidRPr="00340EB7">
        <w:t>о</w:t>
      </w:r>
      <w:r w:rsidRPr="00340EB7">
        <w:t>тящихся о детях лиц, а также работающих с детьми или в их интересах специ</w:t>
      </w:r>
      <w:r w:rsidRPr="00340EB7">
        <w:t>а</w:t>
      </w:r>
      <w:r w:rsidRPr="00340EB7">
        <w:t>листов, в том числе в области образования, с целью совершенствования их те</w:t>
      </w:r>
      <w:r w:rsidRPr="00340EB7">
        <w:t>х</w:t>
      </w:r>
      <w:r w:rsidRPr="00340EB7">
        <w:t>нических навыков, информирования их о рисках и потенциальном вреде, об</w:t>
      </w:r>
      <w:r w:rsidRPr="00340EB7">
        <w:t>у</w:t>
      </w:r>
      <w:r w:rsidRPr="00340EB7">
        <w:t>чения их особенностям использования детьми технологий, а также формиров</w:t>
      </w:r>
      <w:r w:rsidRPr="00340EB7">
        <w:t>а</w:t>
      </w:r>
      <w:r w:rsidRPr="00340EB7">
        <w:t xml:space="preserve">ния у них навыков оказания детям поддержки в </w:t>
      </w:r>
      <w:proofErr w:type="gramStart"/>
      <w:r w:rsidRPr="00340EB7">
        <w:t>деле</w:t>
      </w:r>
      <w:proofErr w:type="gramEnd"/>
      <w:r w:rsidRPr="00340EB7">
        <w:t xml:space="preserve"> ответственного и безопа</w:t>
      </w:r>
      <w:r w:rsidRPr="00340EB7">
        <w:t>с</w:t>
      </w:r>
      <w:r w:rsidRPr="00340EB7">
        <w:t>ного использования цифровых средств массовой информации и информацио</w:t>
      </w:r>
      <w:r w:rsidRPr="00340EB7">
        <w:t>н</w:t>
      </w:r>
      <w:r w:rsidRPr="00340EB7">
        <w:t>но-коммуникационных технологий.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Права детей и предпринимательский сектор</w:t>
      </w:r>
    </w:p>
    <w:p w:rsidR="00725ABA" w:rsidRPr="00340EB7" w:rsidRDefault="00725ABA" w:rsidP="00725ABA">
      <w:pPr>
        <w:pStyle w:val="SingleTxtGR"/>
      </w:pPr>
      <w:r>
        <w:t>13</w:t>
      </w:r>
      <w:r w:rsidRPr="00340EB7">
        <w:t>.</w:t>
      </w:r>
      <w:r w:rsidRPr="00340EB7">
        <w:tab/>
        <w:t>В свете замечания общего порядка Комитета № 16 (2013) об обязател</w:t>
      </w:r>
      <w:r w:rsidRPr="00340EB7">
        <w:t>ь</w:t>
      </w:r>
      <w:r w:rsidRPr="00340EB7">
        <w:t>ствах государств, касающихся воздействия предпринимательской деятельности на права детей, а также других международных норм и стандартов в этой обл</w:t>
      </w:r>
      <w:r w:rsidRPr="00340EB7">
        <w:t>а</w:t>
      </w:r>
      <w:r w:rsidRPr="00340EB7">
        <w:t>сти государствам надлежит формировать понятную и предсказуемую правовую и регулятивную среду, предусматривающую соблюдение прав детей информ</w:t>
      </w:r>
      <w:r w:rsidRPr="00340EB7">
        <w:t>а</w:t>
      </w:r>
      <w:r w:rsidRPr="00340EB7">
        <w:t>ционно-коммуникационными и другие соответствующими компаниями, раб</w:t>
      </w:r>
      <w:r w:rsidRPr="00340EB7">
        <w:t>о</w:t>
      </w:r>
      <w:r w:rsidRPr="00340EB7">
        <w:t xml:space="preserve">тающими в государстве-участнике. Государства </w:t>
      </w:r>
      <w:r w:rsidRPr="00340EB7">
        <w:lastRenderedPageBreak/>
        <w:t>должны также создавать мон</w:t>
      </w:r>
      <w:r w:rsidRPr="00340EB7">
        <w:t>и</w:t>
      </w:r>
      <w:r w:rsidRPr="00340EB7">
        <w:t>торинговые механизмы для расследования нарушений прав детей и возмещения причиненного вреда с целью усиления подотчетности информационно-коммуникационных и других соответствующих компаний, а также повышения ответственности контролирующих органов за разработку стандартов, каса</w:t>
      </w:r>
      <w:r w:rsidRPr="00340EB7">
        <w:t>ю</w:t>
      </w:r>
      <w:r w:rsidRPr="00340EB7">
        <w:t>щихся прав детей и информационно-коммуникационных технологий.</w:t>
      </w:r>
    </w:p>
    <w:p w:rsidR="00725ABA" w:rsidRPr="00340EB7" w:rsidRDefault="00725ABA" w:rsidP="00725ABA">
      <w:pPr>
        <w:pStyle w:val="SingleTxtGR"/>
      </w:pPr>
      <w:r>
        <w:t>14</w:t>
      </w:r>
      <w:r w:rsidRPr="00340EB7">
        <w:t>.</w:t>
      </w:r>
      <w:r w:rsidRPr="00340EB7">
        <w:tab/>
        <w:t xml:space="preserve">Комитет рекомендует государствам </w:t>
      </w:r>
      <w:proofErr w:type="gramStart"/>
      <w:r w:rsidRPr="00340EB7">
        <w:t>требовать от коммерческих предпри</w:t>
      </w:r>
      <w:r w:rsidRPr="00340EB7">
        <w:t>я</w:t>
      </w:r>
      <w:r w:rsidRPr="00340EB7">
        <w:t>тий применять</w:t>
      </w:r>
      <w:proofErr w:type="gramEnd"/>
      <w:r w:rsidRPr="00340EB7">
        <w:t xml:space="preserve"> практику должной осмотрительности в отношении прав детей с целью выявления, предупреждения и смягчения их влияния на права детей при использовании ими цифровых средств массовой информации и информацио</w:t>
      </w:r>
      <w:r w:rsidRPr="00340EB7">
        <w:t>н</w:t>
      </w:r>
      <w:r w:rsidRPr="00340EB7">
        <w:t xml:space="preserve">но-коммуникационных технологий. </w:t>
      </w:r>
      <w:proofErr w:type="gramStart"/>
      <w:r w:rsidRPr="00340EB7">
        <w:t>Кроме того, государствам надлежит поо</w:t>
      </w:r>
      <w:r w:rsidRPr="00340EB7">
        <w:t>щ</w:t>
      </w:r>
      <w:r w:rsidRPr="00340EB7">
        <w:t>рять и поддерживать формулирование добровольных саморегулируемых пр</w:t>
      </w:r>
      <w:r w:rsidRPr="00340EB7">
        <w:t>о</w:t>
      </w:r>
      <w:r w:rsidRPr="00340EB7">
        <w:t>фессиональн</w:t>
      </w:r>
      <w:r>
        <w:t>ых и этических руководящих прин</w:t>
      </w:r>
      <w:r w:rsidRPr="00340EB7">
        <w:t>ципов и норм поведения и таких инициатив, как разработка информационно-коммуникационными компаниями и другими соответствующими отраслями технических решений, способствующих повышению безопасности в виртуальном пространстве, а также введение ими с учетом интересов детей условий пользования информационно-</w:t>
      </w:r>
      <w:proofErr w:type="spellStart"/>
      <w:r w:rsidRPr="00340EB7">
        <w:t>коммуникацион</w:t>
      </w:r>
      <w:proofErr w:type="spellEnd"/>
      <w:r w:rsidRPr="00A16A60">
        <w:t>-</w:t>
      </w:r>
      <w:proofErr w:type="spellStart"/>
      <w:r w:rsidRPr="00340EB7">
        <w:t>ными</w:t>
      </w:r>
      <w:proofErr w:type="spellEnd"/>
      <w:r w:rsidRPr="00340EB7">
        <w:t xml:space="preserve"> технологиями и цифровыми средствами массовой информации и разр</w:t>
      </w:r>
      <w:r w:rsidRPr="00340EB7">
        <w:t>а</w:t>
      </w:r>
      <w:r w:rsidRPr="00340EB7">
        <w:t>ботку контента для определенных возрастных</w:t>
      </w:r>
      <w:proofErr w:type="gramEnd"/>
      <w:r w:rsidRPr="00340EB7">
        <w:t xml:space="preserve"> групп в целях обеспечения по</w:t>
      </w:r>
      <w:r w:rsidRPr="00340EB7">
        <w:t>л</w:t>
      </w:r>
      <w:r w:rsidRPr="00340EB7">
        <w:t>ного соответствия их практики Конвенции и Факультативным протоколам к ней, а также другим международным нормам и стандартам в области прав ч</w:t>
      </w:r>
      <w:r w:rsidRPr="00340EB7">
        <w:t>е</w:t>
      </w:r>
      <w:r w:rsidRPr="00340EB7">
        <w:t>ловека. Помимо этого, Комитет также рекомендует государствам обеспечивать пространство для обсуждения и сотрудничества с информационно-</w:t>
      </w:r>
      <w:proofErr w:type="spellStart"/>
      <w:r w:rsidRPr="00340EB7">
        <w:t>коммуника</w:t>
      </w:r>
      <w:proofErr w:type="spellEnd"/>
      <w:r w:rsidRPr="00A16A60">
        <w:t>-</w:t>
      </w:r>
      <w:proofErr w:type="spellStart"/>
      <w:r w:rsidRPr="00340EB7">
        <w:t>ционными</w:t>
      </w:r>
      <w:proofErr w:type="spellEnd"/>
      <w:r w:rsidRPr="00340EB7">
        <w:t xml:space="preserve"> компаниями и другими соответствующими отраслями промышле</w:t>
      </w:r>
      <w:r w:rsidRPr="00340EB7">
        <w:t>н</w:t>
      </w:r>
      <w:r w:rsidRPr="00340EB7">
        <w:t>ности.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</w:r>
      <w:proofErr w:type="spellStart"/>
      <w:r w:rsidRPr="00340EB7">
        <w:t>Недискриминация</w:t>
      </w:r>
      <w:proofErr w:type="spellEnd"/>
    </w:p>
    <w:p w:rsidR="00725ABA" w:rsidRPr="00340EB7" w:rsidRDefault="00725ABA" w:rsidP="00725ABA">
      <w:pPr>
        <w:pStyle w:val="SingleTxtGR"/>
      </w:pPr>
      <w:r>
        <w:t>15</w:t>
      </w:r>
      <w:r w:rsidRPr="00340EB7">
        <w:t>.</w:t>
      </w:r>
      <w:r w:rsidRPr="00340EB7">
        <w:tab/>
      </w:r>
      <w:proofErr w:type="gramStart"/>
      <w:r w:rsidRPr="00340EB7">
        <w:t>Государствам следует обеспечивать всем находящимся под их юрисди</w:t>
      </w:r>
      <w:r w:rsidRPr="00340EB7">
        <w:t>к</w:t>
      </w:r>
      <w:r w:rsidRPr="00340EB7">
        <w:t>цией детям, в особенности девочкам, детям-инвалидам, детям, проживающим в отдаленных районах, бедствующим детям, детям, принадлежащим к меньши</w:t>
      </w:r>
      <w:r w:rsidRPr="00340EB7">
        <w:t>н</w:t>
      </w:r>
      <w:r w:rsidRPr="00340EB7">
        <w:t>ствам, детям коренных народов, беспризорным детям, детям, помещенным в учреждения закрытого типа, и другим детям, находящимся в уязвимом или ма</w:t>
      </w:r>
      <w:r w:rsidRPr="00340EB7">
        <w:t>р</w:t>
      </w:r>
      <w:r w:rsidRPr="00340EB7">
        <w:t>гинальном положении, доступ к цифровым средствам массовой информации и информационно-коммуникационным технологиям без какой-либо дискримин</w:t>
      </w:r>
      <w:r w:rsidRPr="00340EB7">
        <w:t>а</w:t>
      </w:r>
      <w:r w:rsidRPr="00340EB7">
        <w:t>ции.</w:t>
      </w:r>
      <w:proofErr w:type="gramEnd"/>
      <w:r w:rsidRPr="00340EB7">
        <w:t xml:space="preserve"> В частности, Комитет рекомендует государствам, среди прочего:</w:t>
      </w:r>
    </w:p>
    <w:p w:rsidR="00725ABA" w:rsidRPr="00340EB7" w:rsidRDefault="00725ABA" w:rsidP="00725ABA">
      <w:pPr>
        <w:pStyle w:val="SingleTxtGR"/>
      </w:pPr>
      <w:r w:rsidRPr="00340EB7">
        <w:tab/>
        <w:t>а)</w:t>
      </w:r>
      <w:r w:rsidRPr="00340EB7">
        <w:tab/>
        <w:t>принимать меры по расширению охвата сельских общин инфр</w:t>
      </w:r>
      <w:r w:rsidRPr="00340EB7">
        <w:t>а</w:t>
      </w:r>
      <w:r w:rsidRPr="00340EB7">
        <w:t>структурой Интернета;</w:t>
      </w:r>
    </w:p>
    <w:p w:rsidR="00725ABA" w:rsidRPr="00340EB7" w:rsidRDefault="00725ABA" w:rsidP="00725ABA">
      <w:pPr>
        <w:pStyle w:val="SingleTxtGR"/>
      </w:pPr>
      <w:r w:rsidRPr="00340EB7">
        <w:tab/>
      </w:r>
      <w:proofErr w:type="gramStart"/>
      <w:r w:rsidRPr="00340EB7">
        <w:t>b)</w:t>
      </w:r>
      <w:r w:rsidRPr="00340EB7">
        <w:tab/>
        <w:t>поощрять инклюзивную доступность цифровых средст</w:t>
      </w:r>
      <w:r>
        <w:t>в массовой информации и информа</w:t>
      </w:r>
      <w:r w:rsidRPr="00340EB7">
        <w:t>ционно-коммуникационных технологий, а также д</w:t>
      </w:r>
      <w:r w:rsidRPr="00340EB7">
        <w:t>о</w:t>
      </w:r>
      <w:r w:rsidRPr="00340EB7">
        <w:t>ступную конфигурацию технологий и цифрового контекста с учетом возраста пользователей, а также не допускать превращение прав интеллектуальной со</w:t>
      </w:r>
      <w:r w:rsidRPr="00340EB7">
        <w:t>б</w:t>
      </w:r>
      <w:r w:rsidRPr="00340EB7">
        <w:t>ственности в необоснованные или дискриминационные препятствия для дост</w:t>
      </w:r>
      <w:r w:rsidRPr="00340EB7">
        <w:t>у</w:t>
      </w:r>
      <w:r w:rsidRPr="00340EB7">
        <w:t>па детей к материалам культурного характера, в частности детей-инвалидов и детей, принадлежащих к меньшинствам или к группам коренного населения;</w:t>
      </w:r>
      <w:proofErr w:type="gramEnd"/>
    </w:p>
    <w:p w:rsidR="00725ABA" w:rsidRPr="00340EB7" w:rsidRDefault="00725ABA" w:rsidP="00725ABA">
      <w:pPr>
        <w:pStyle w:val="SingleTxtGR"/>
      </w:pPr>
      <w:r w:rsidRPr="00340EB7">
        <w:tab/>
        <w:t>с)</w:t>
      </w:r>
      <w:r w:rsidRPr="00340EB7">
        <w:tab/>
        <w:t xml:space="preserve">поощрять лингвистическое и культурное разнообразие </w:t>
      </w:r>
      <w:proofErr w:type="gramStart"/>
      <w:r w:rsidRPr="00340EB7">
        <w:t>цифрового</w:t>
      </w:r>
      <w:proofErr w:type="gramEnd"/>
      <w:r w:rsidRPr="00340EB7">
        <w:t xml:space="preserve"> контента;</w:t>
      </w:r>
    </w:p>
    <w:p w:rsidR="00725ABA" w:rsidRPr="00340EB7" w:rsidRDefault="00725ABA" w:rsidP="00725ABA">
      <w:pPr>
        <w:pStyle w:val="SingleTxtGR"/>
      </w:pPr>
      <w:r>
        <w:tab/>
        <w:t>d)</w:t>
      </w:r>
      <w:r w:rsidRPr="00340EB7">
        <w:tab/>
        <w:t>активизировать усилия по обеспечению эффективной ликвидации всех форм дискриминации в отношении девочек и борьбе с гендерными стере</w:t>
      </w:r>
      <w:r w:rsidRPr="00340EB7">
        <w:t>о</w:t>
      </w:r>
      <w:r w:rsidRPr="00340EB7">
        <w:t>типами и социальными нормами, ограничивающими доступ девочек к технол</w:t>
      </w:r>
      <w:r w:rsidRPr="00340EB7">
        <w:t>о</w:t>
      </w:r>
      <w:r w:rsidRPr="00340EB7">
        <w:t>гиям и их использованию, в том числе с помощью информационно-просветительских программ;</w:t>
      </w:r>
    </w:p>
    <w:p w:rsidR="00725ABA" w:rsidRPr="00340EB7" w:rsidRDefault="00725ABA" w:rsidP="00725ABA">
      <w:pPr>
        <w:pStyle w:val="SingleTxtGR"/>
      </w:pPr>
      <w:r w:rsidRPr="00340EB7">
        <w:lastRenderedPageBreak/>
        <w:tab/>
        <w:t>е)</w:t>
      </w:r>
      <w:r w:rsidRPr="00340EB7">
        <w:tab/>
        <w:t>оказывать школам и общинам помощь в покрытии расходов на компьютерное оборудование и средства сетевого взаимодействия, а также сп</w:t>
      </w:r>
      <w:r w:rsidRPr="00340EB7">
        <w:t>о</w:t>
      </w:r>
      <w:r w:rsidRPr="00340EB7">
        <w:t>собствовать разработке экономичных технических решений;</w:t>
      </w:r>
    </w:p>
    <w:p w:rsidR="00725ABA" w:rsidRPr="00340EB7" w:rsidRDefault="00725ABA" w:rsidP="00725ABA">
      <w:pPr>
        <w:pStyle w:val="SingleTxtGR"/>
      </w:pPr>
      <w:r w:rsidRPr="00340EB7">
        <w:tab/>
        <w:t>f)</w:t>
      </w:r>
      <w:r w:rsidRPr="00340EB7">
        <w:tab/>
        <w:t>включать в законы, политику, стратегии и программы по борьбе с дискриминацией вопросы, касающиеся доступа детей к цифровым средствам массовой информации и информационно-коммуникационным технологиям, особенно детей, принадлежащих</w:t>
      </w:r>
      <w:r>
        <w:t xml:space="preserve"> к наиболее уязвимым или обездо</w:t>
      </w:r>
      <w:r w:rsidRPr="00340EB7">
        <w:t>ленным гру</w:t>
      </w:r>
      <w:r w:rsidRPr="00340EB7">
        <w:t>п</w:t>
      </w:r>
      <w:r w:rsidRPr="00340EB7">
        <w:t>пам населения. В этой связи Комитет рекомендует госуд</w:t>
      </w:r>
      <w:r>
        <w:t>арствам наладить те</w:t>
      </w:r>
      <w:r>
        <w:t>х</w:t>
      </w:r>
      <w:r>
        <w:t>ническое со</w:t>
      </w:r>
      <w:r w:rsidRPr="00340EB7">
        <w:t>трудничество, в частности, с Детским фондом Организации Об</w:t>
      </w:r>
      <w:r w:rsidRPr="00340EB7">
        <w:t>ъ</w:t>
      </w:r>
      <w:r w:rsidRPr="00340EB7">
        <w:t>е</w:t>
      </w:r>
      <w:r>
        <w:t>диненных Наций (ЮНИСЕФ), Органи</w:t>
      </w:r>
      <w:r w:rsidRPr="00340EB7">
        <w:t>зацией Объединенных Наций по вопр</w:t>
      </w:r>
      <w:r w:rsidRPr="00340EB7">
        <w:t>о</w:t>
      </w:r>
      <w:r w:rsidRPr="00340EB7">
        <w:t>сам образования, науки и культуры, Международным союзом электросвязи и Управлением Верховного комиссара Организации Об</w:t>
      </w:r>
      <w:r>
        <w:t>ъединенных Наций по правам чело</w:t>
      </w:r>
      <w:r w:rsidRPr="00340EB7">
        <w:t>века.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Уважение взглядов ребенка</w:t>
      </w:r>
    </w:p>
    <w:p w:rsidR="00725ABA" w:rsidRPr="00340EB7" w:rsidRDefault="00725ABA" w:rsidP="00725ABA">
      <w:pPr>
        <w:pStyle w:val="SingleTxtGR"/>
      </w:pPr>
      <w:r>
        <w:t>16</w:t>
      </w:r>
      <w:r w:rsidRPr="00340EB7">
        <w:t>.</w:t>
      </w:r>
      <w:r w:rsidRPr="00340EB7">
        <w:tab/>
        <w:t>Государствам следует обеспечивать проведение с детьми консультаций с целью учета их взглядов и опыта при разработке законов, политики и программ, а также при организации услуг и проведении других мероприятий, связанных с цифровыми средствами массовой информации и информационно-</w:t>
      </w:r>
      <w:proofErr w:type="spellStart"/>
      <w:r w:rsidRPr="00340EB7">
        <w:t>коммуника</w:t>
      </w:r>
      <w:proofErr w:type="spellEnd"/>
      <w:r w:rsidRPr="005D1F28">
        <w:t>-</w:t>
      </w:r>
      <w:proofErr w:type="spellStart"/>
      <w:r w:rsidRPr="00340EB7">
        <w:t>ционными</w:t>
      </w:r>
      <w:proofErr w:type="spellEnd"/>
      <w:r w:rsidRPr="00340EB7">
        <w:t xml:space="preserve"> технологиями. В таких консультациях должны участвовать девочки и мальчики, а также дети, находящиеся в уязвимом или маргинальном полож</w:t>
      </w:r>
      <w:r w:rsidRPr="00340EB7">
        <w:t>е</w:t>
      </w:r>
      <w:r w:rsidRPr="00340EB7">
        <w:t xml:space="preserve">нии. </w:t>
      </w:r>
      <w:r>
        <w:t>Детей также следует активно при</w:t>
      </w:r>
      <w:r w:rsidRPr="00340EB7">
        <w:t>влекать к разработке и осуществлению инициатив, направленных на содействие безопасному использованию цифр</w:t>
      </w:r>
      <w:r w:rsidRPr="00340EB7">
        <w:t>о</w:t>
      </w:r>
      <w:r w:rsidRPr="00340EB7">
        <w:t>вых средств массовой информации и информационно-коммуникационных те</w:t>
      </w:r>
      <w:r w:rsidRPr="00340EB7">
        <w:t>х</w:t>
      </w:r>
      <w:r w:rsidRPr="00340EB7">
        <w:t>нологий, включая обеспечение безопасности в вирту</w:t>
      </w:r>
      <w:r>
        <w:t>альном пространстве. В</w:t>
      </w:r>
      <w:r>
        <w:rPr>
          <w:lang w:val="en-US"/>
        </w:rPr>
        <w:t> </w:t>
      </w:r>
      <w:r w:rsidRPr="00340EB7">
        <w:t>частности, государствам предлагается создавать в Ин</w:t>
      </w:r>
      <w:r>
        <w:t>тернете пространства, в</w:t>
      </w:r>
      <w:r>
        <w:rPr>
          <w:lang w:val="en-US"/>
        </w:rPr>
        <w:t> </w:t>
      </w:r>
      <w:r w:rsidRPr="00340EB7">
        <w:t>которых дети могли бы ответственно и безопасно выражать свои взгляды и мнения.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Права на свободу выражения м</w:t>
      </w:r>
      <w:r>
        <w:t>нения, доступ к соответствующей</w:t>
      </w:r>
      <w:r w:rsidRPr="00340EB7">
        <w:t xml:space="preserve"> информации, свободу ассоциации и мирных собраний</w:t>
      </w:r>
    </w:p>
    <w:p w:rsidR="00725ABA" w:rsidRPr="00340EB7" w:rsidRDefault="00725ABA" w:rsidP="00725ABA">
      <w:pPr>
        <w:pStyle w:val="SingleTxtGR"/>
      </w:pPr>
      <w:r w:rsidRPr="00340EB7">
        <w:t>1</w:t>
      </w:r>
      <w:r>
        <w:t>7</w:t>
      </w:r>
      <w:r w:rsidRPr="00340EB7">
        <w:t>.</w:t>
      </w:r>
      <w:r w:rsidRPr="00340EB7">
        <w:tab/>
      </w:r>
      <w:proofErr w:type="gramStart"/>
      <w:r w:rsidRPr="00340EB7">
        <w:t>Комитет призывает государства пересмотреть свои национальные законы, правила и политику, которые ограничивают права детей на свободу выражения мнения, доступ к соответствующей информации, а также на свободу ассоци</w:t>
      </w:r>
      <w:r w:rsidRPr="00340EB7">
        <w:t>а</w:t>
      </w:r>
      <w:r w:rsidRPr="00340EB7">
        <w:t>ции и мирных собраний, в любых обстоятельствах, в том числе в виртуальном пространстве, в целях согласования их с Конвенцией и другими междунаро</w:t>
      </w:r>
      <w:r w:rsidRPr="00340EB7">
        <w:t>д</w:t>
      </w:r>
      <w:r w:rsidRPr="00340EB7">
        <w:t>ными нормами и стандартами в области прав человека.</w:t>
      </w:r>
      <w:proofErr w:type="gramEnd"/>
    </w:p>
    <w:p w:rsidR="00725ABA" w:rsidRPr="00340EB7" w:rsidRDefault="00725ABA" w:rsidP="00725ABA">
      <w:pPr>
        <w:pStyle w:val="SingleTxtGR"/>
      </w:pPr>
      <w:r w:rsidRPr="00340EB7">
        <w:t>1</w:t>
      </w:r>
      <w:r>
        <w:t>8</w:t>
      </w:r>
      <w:r w:rsidRPr="00340EB7">
        <w:t>.</w:t>
      </w:r>
      <w:r w:rsidRPr="00340EB7">
        <w:tab/>
        <w:t>Государствам следует также активно поощрять права детей на свободу выражения мнений, доступ к соответствующей информации и свободу ассоци</w:t>
      </w:r>
      <w:r w:rsidRPr="00340EB7">
        <w:t>а</w:t>
      </w:r>
      <w:r w:rsidRPr="00340EB7">
        <w:t>ции и мирных собраний во всех обстоятельствах, в том числе в виртуальном пространстве. В частности, государствам надлежит способствовать формиров</w:t>
      </w:r>
      <w:r w:rsidRPr="00340EB7">
        <w:t>а</w:t>
      </w:r>
      <w:r w:rsidRPr="00340EB7">
        <w:t>нию каналов для реализации детьми активной жизненной позиции, а также о</w:t>
      </w:r>
      <w:r w:rsidRPr="00340EB7">
        <w:t>б</w:t>
      </w:r>
      <w:r w:rsidRPr="00340EB7">
        <w:t xml:space="preserve">разовательного и рекреационного контента для детей различного возраста, включая самостоятельно </w:t>
      </w:r>
      <w:proofErr w:type="gramStart"/>
      <w:r w:rsidRPr="00340EB7">
        <w:t>генерируемый</w:t>
      </w:r>
      <w:proofErr w:type="gramEnd"/>
      <w:r w:rsidRPr="00340EB7">
        <w:t xml:space="preserve"> детьми контент.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Право на неприкосновенность частной жизни</w:t>
      </w:r>
    </w:p>
    <w:p w:rsidR="00725ABA" w:rsidRPr="00340EB7" w:rsidRDefault="00725ABA" w:rsidP="00725ABA">
      <w:pPr>
        <w:pStyle w:val="SingleTxtGR"/>
      </w:pPr>
      <w:r w:rsidRPr="00340EB7">
        <w:t>1</w:t>
      </w:r>
      <w:r>
        <w:t>9</w:t>
      </w:r>
      <w:r w:rsidRPr="00340EB7">
        <w:t>.</w:t>
      </w:r>
      <w:r w:rsidRPr="00340EB7">
        <w:tab/>
        <w:t>Государства должны обеспечивать защиту прав детей на неприкоснове</w:t>
      </w:r>
      <w:r w:rsidRPr="00340EB7">
        <w:t>н</w:t>
      </w:r>
      <w:r w:rsidRPr="00340EB7">
        <w:t>ность частной жизни в контексте цифровых средств массовой информации и информационно-коммуникационных технологий, а также разрабатывать эффе</w:t>
      </w:r>
      <w:r w:rsidRPr="00340EB7">
        <w:t>к</w:t>
      </w:r>
      <w:r w:rsidRPr="00340EB7">
        <w:t>тивные гарантии от злоупотреблений без необоснованного ограничения во</w:t>
      </w:r>
      <w:r w:rsidRPr="00340EB7">
        <w:t>з</w:t>
      </w:r>
      <w:r w:rsidRPr="00340EB7">
        <w:t xml:space="preserve">можностей для </w:t>
      </w:r>
      <w:r w:rsidRPr="00340EB7">
        <w:lastRenderedPageBreak/>
        <w:t>полного осуществления детьми своих закрепленных в Конве</w:t>
      </w:r>
      <w:r w:rsidRPr="00340EB7">
        <w:t>н</w:t>
      </w:r>
      <w:r w:rsidRPr="00340EB7">
        <w:t>ции прав. Государствам также следует разрабатывать и расширять информац</w:t>
      </w:r>
      <w:r w:rsidRPr="00340EB7">
        <w:t>и</w:t>
      </w:r>
      <w:r w:rsidRPr="00340EB7">
        <w:t>онно-просветительские программы для детей по вопросам угроз неприкосн</w:t>
      </w:r>
      <w:r w:rsidRPr="00340EB7">
        <w:t>о</w:t>
      </w:r>
      <w:r w:rsidRPr="00340EB7">
        <w:t>венности частной жизни, возникающих в связи с использованием цифровых средств массовой информации и информационно-коммуникационных технол</w:t>
      </w:r>
      <w:r w:rsidRPr="00340EB7">
        <w:t>о</w:t>
      </w:r>
      <w:r w:rsidRPr="00340EB7">
        <w:t>гий, а также в результате использования самостоятельно генерируемого конте</w:t>
      </w:r>
      <w:r w:rsidRPr="00340EB7">
        <w:t>н</w:t>
      </w:r>
      <w:r w:rsidRPr="00340EB7">
        <w:t>та.</w:t>
      </w:r>
    </w:p>
    <w:p w:rsidR="00725ABA" w:rsidRPr="00340EB7" w:rsidRDefault="00725ABA" w:rsidP="00725ABA">
      <w:pPr>
        <w:pStyle w:val="SingleTxtGR"/>
      </w:pPr>
      <w:r>
        <w:t>20</w:t>
      </w:r>
      <w:r w:rsidRPr="00340EB7">
        <w:t>.</w:t>
      </w:r>
      <w:r w:rsidRPr="00340EB7">
        <w:tab/>
        <w:t>Кроме того, Комитет рекомендует государствам предоставлять детям с</w:t>
      </w:r>
      <w:r w:rsidRPr="00340EB7">
        <w:t>о</w:t>
      </w:r>
      <w:r>
        <w:t>держательную и подготов</w:t>
      </w:r>
      <w:r w:rsidRPr="00340EB7">
        <w:t>ленную с учетом их особенностей информацию о сп</w:t>
      </w:r>
      <w:r w:rsidRPr="00340EB7">
        <w:t>о</w:t>
      </w:r>
      <w:r w:rsidRPr="00340EB7">
        <w:t>собах сбора, хранения и использования их данных и возможного обмена ими с другими пользователями. В этой связи государства должны обеспечивать, чт</w:t>
      </w:r>
      <w:r w:rsidRPr="00340EB7">
        <w:t>о</w:t>
      </w:r>
      <w:r w:rsidRPr="00340EB7">
        <w:t>бы при пользовании цифровыми средствами массовой информации и информ</w:t>
      </w:r>
      <w:r w:rsidRPr="00340EB7">
        <w:t>а</w:t>
      </w:r>
      <w:r w:rsidRPr="00340EB7">
        <w:t>ционно-коммуникационными технологиями дети могли применять разработа</w:t>
      </w:r>
      <w:r w:rsidRPr="00340EB7">
        <w:t>н</w:t>
      </w:r>
      <w:r w:rsidRPr="00340EB7">
        <w:t xml:space="preserve">ные с учетом их возраста настройки конфиденциальности, сопровождаемые четкими пояснениями и предупреждениями. 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Доступ к соответствующей информации</w:t>
      </w:r>
    </w:p>
    <w:p w:rsidR="00725ABA" w:rsidRPr="00340EB7" w:rsidRDefault="00725ABA" w:rsidP="00725ABA">
      <w:pPr>
        <w:pStyle w:val="SingleTxtGR"/>
      </w:pPr>
      <w:r>
        <w:t>21</w:t>
      </w:r>
      <w:r w:rsidRPr="00340EB7">
        <w:t>.</w:t>
      </w:r>
      <w:r w:rsidRPr="00340EB7">
        <w:tab/>
        <w:t>Государствам следует поощрять средства массовой информации,</w:t>
      </w:r>
      <w:r>
        <w:t xml:space="preserve"> в том числе частные СМИ, к рас</w:t>
      </w:r>
      <w:r w:rsidRPr="00340EB7">
        <w:t xml:space="preserve">пространению информации и материалов, имеющих для ребенка социальную и культурную значимость, например о здоровом образе жизни. 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 xml:space="preserve">Защита от вреда, в том числе насилия, эксплуатации и надругательств </w:t>
      </w:r>
      <w:r>
        <w:t>над</w:t>
      </w:r>
      <w:r>
        <w:rPr>
          <w:lang w:val="en-US"/>
        </w:rPr>
        <w:t> </w:t>
      </w:r>
      <w:r w:rsidRPr="00340EB7">
        <w:t>детьми</w:t>
      </w:r>
    </w:p>
    <w:p w:rsidR="00725ABA" w:rsidRPr="00340EB7" w:rsidRDefault="00725ABA" w:rsidP="00725ABA">
      <w:pPr>
        <w:pStyle w:val="SingleTxtGR"/>
      </w:pPr>
      <w:r>
        <w:t>22</w:t>
      </w:r>
      <w:r w:rsidRPr="00340EB7">
        <w:t>.</w:t>
      </w:r>
      <w:r w:rsidRPr="00340EB7">
        <w:tab/>
      </w:r>
      <w:proofErr w:type="gramStart"/>
      <w:r w:rsidRPr="00340EB7">
        <w:t>Государства должны принимать меры в отношении угроз для безопасн</w:t>
      </w:r>
      <w:r w:rsidRPr="00340EB7">
        <w:t>о</w:t>
      </w:r>
      <w:r w:rsidRPr="00340EB7">
        <w:t>сти детей, создаваемых цифровыми средствами массовой информации и и</w:t>
      </w:r>
      <w:r w:rsidRPr="00340EB7">
        <w:t>н</w:t>
      </w:r>
      <w:r w:rsidRPr="00340EB7">
        <w:t>формационно-коммуникационными технологиями, включая домогательства и сексуальную эксплуатацию детей в виртуальном пространстве, доступ к насильственному и сексуальному контенту, «</w:t>
      </w:r>
      <w:proofErr w:type="spellStart"/>
      <w:r w:rsidRPr="00340EB7">
        <w:t>грумминг</w:t>
      </w:r>
      <w:proofErr w:type="spellEnd"/>
      <w:r w:rsidRPr="00340EB7">
        <w:t>» и самостоятельно ген</w:t>
      </w:r>
      <w:r w:rsidRPr="00340EB7">
        <w:t>е</w:t>
      </w:r>
      <w:r w:rsidRPr="00340EB7">
        <w:t>рируемый сексуальный контент, посредством реализации комплексных страт</w:t>
      </w:r>
      <w:r w:rsidRPr="00340EB7">
        <w:t>е</w:t>
      </w:r>
      <w:r w:rsidRPr="00340EB7">
        <w:t>гий, обеспечивающих полное осуществление прав детей, закрепленных в Ко</w:t>
      </w:r>
      <w:r w:rsidRPr="00340EB7">
        <w:t>н</w:t>
      </w:r>
      <w:r w:rsidRPr="00340EB7">
        <w:t>венции и в Факультативных протоколах к ней.</w:t>
      </w:r>
      <w:proofErr w:type="gramEnd"/>
      <w:r w:rsidRPr="00340EB7">
        <w:t xml:space="preserve"> Государствам следует при этом всегда обеспечивать баланс между расширением возможностей, предоставля</w:t>
      </w:r>
      <w:r w:rsidRPr="00340EB7">
        <w:t>е</w:t>
      </w:r>
      <w:r w:rsidRPr="00340EB7">
        <w:t xml:space="preserve">мых цифровыми средствами массовой информации и информационно-коммуникационными технологиями, и защитой детей от возможного вреда. </w:t>
      </w:r>
      <w:r>
        <w:t>В</w:t>
      </w:r>
      <w:r>
        <w:rPr>
          <w:lang w:val="en-US"/>
        </w:rPr>
        <w:t> </w:t>
      </w:r>
      <w:r w:rsidRPr="00340EB7">
        <w:t>частности, государствам надлежит:</w:t>
      </w:r>
    </w:p>
    <w:p w:rsidR="00725ABA" w:rsidRPr="00340EB7" w:rsidRDefault="00725ABA" w:rsidP="00725ABA">
      <w:pPr>
        <w:pStyle w:val="SingleTxtGR"/>
      </w:pPr>
      <w:r w:rsidRPr="00340EB7">
        <w:tab/>
      </w:r>
      <w:proofErr w:type="gramStart"/>
      <w:r w:rsidRPr="00340EB7">
        <w:t>а)</w:t>
      </w:r>
      <w:r w:rsidRPr="00340EB7">
        <w:tab/>
        <w:t>разрабатывать и укреплять программы, направленные на предо</w:t>
      </w:r>
      <w:r w:rsidRPr="00340EB7">
        <w:t>т</w:t>
      </w:r>
      <w:r w:rsidRPr="00340EB7">
        <w:t>вращение вреда и устранение опасностей, создаваемых цифровыми средствами массовой информации и информационно-коммуникационными технологиями, в</w:t>
      </w:r>
      <w:r>
        <w:t> </w:t>
      </w:r>
      <w:r w:rsidRPr="00340EB7">
        <w:t>том числе путем привлечения к сотрудничеству детей</w:t>
      </w:r>
      <w:r>
        <w:t xml:space="preserve"> –</w:t>
      </w:r>
      <w:r w:rsidRPr="00340EB7">
        <w:t xml:space="preserve"> бывших жертв, соо</w:t>
      </w:r>
      <w:r w:rsidRPr="00340EB7">
        <w:t>т</w:t>
      </w:r>
      <w:r w:rsidRPr="00340EB7">
        <w:t>ветствующих НПО, а также информационно-коммуникационных компаний и других соответствующих отраслей промышленности;</w:t>
      </w:r>
      <w:proofErr w:type="gramEnd"/>
    </w:p>
    <w:p w:rsidR="00725ABA" w:rsidRPr="00340EB7" w:rsidRDefault="00725ABA" w:rsidP="00725ABA">
      <w:pPr>
        <w:pStyle w:val="SingleTxtGR"/>
      </w:pPr>
      <w:r w:rsidRPr="00340EB7">
        <w:tab/>
        <w:t>b)</w:t>
      </w:r>
      <w:r w:rsidRPr="00340EB7">
        <w:tab/>
        <w:t>предоставлять детям с учетом их возраста информацию по вопр</w:t>
      </w:r>
      <w:r w:rsidRPr="00340EB7">
        <w:t>о</w:t>
      </w:r>
      <w:r w:rsidRPr="00340EB7">
        <w:t>сам безопасности при пользовании цифровыми средствами массовой информ</w:t>
      </w:r>
      <w:r w:rsidRPr="00340EB7">
        <w:t>а</w:t>
      </w:r>
      <w:r w:rsidRPr="00340EB7">
        <w:t xml:space="preserve">ции и информационно-коммуникационными технологиями, с </w:t>
      </w:r>
      <w:proofErr w:type="gramStart"/>
      <w:r w:rsidRPr="00340EB7">
        <w:t>тем</w:t>
      </w:r>
      <w:proofErr w:type="gramEnd"/>
      <w:r w:rsidRPr="00340EB7">
        <w:t xml:space="preserve"> чтобы они могли устранять риски и знали куда обращаться за помощью;</w:t>
      </w:r>
    </w:p>
    <w:p w:rsidR="00725ABA" w:rsidRPr="00340EB7" w:rsidRDefault="00725ABA" w:rsidP="00725ABA">
      <w:pPr>
        <w:pStyle w:val="SingleTxtGR"/>
      </w:pPr>
      <w:r w:rsidRPr="00340EB7">
        <w:tab/>
        <w:t>с)</w:t>
      </w:r>
      <w:r w:rsidRPr="00340EB7">
        <w:tab/>
        <w:t>координировать деятельность с информационно-</w:t>
      </w:r>
      <w:proofErr w:type="spellStart"/>
      <w:r w:rsidRPr="00340EB7">
        <w:t>коммуникацион</w:t>
      </w:r>
      <w:proofErr w:type="spellEnd"/>
      <w:r w:rsidRPr="005D1F28">
        <w:t>-</w:t>
      </w:r>
      <w:proofErr w:type="spellStart"/>
      <w:r w:rsidRPr="00340EB7">
        <w:t>ными</w:t>
      </w:r>
      <w:proofErr w:type="spellEnd"/>
      <w:r w:rsidRPr="00340EB7">
        <w:t xml:space="preserve"> компаниями в целях разработки и применения ими адекватных мер защ</w:t>
      </w:r>
      <w:r w:rsidRPr="00340EB7">
        <w:t>и</w:t>
      </w:r>
      <w:r w:rsidRPr="00340EB7">
        <w:t xml:space="preserve">ты детей от насильственных и ненадлежащих материалов и других опасностей, создаваемых цифровыми средствами </w:t>
      </w:r>
      <w:r w:rsidRPr="00340EB7">
        <w:lastRenderedPageBreak/>
        <w:t>массовой информации и информационно-коммуникационными технологиями;</w:t>
      </w:r>
    </w:p>
    <w:p w:rsidR="00725ABA" w:rsidRPr="00340EB7" w:rsidRDefault="00725ABA" w:rsidP="00725ABA">
      <w:pPr>
        <w:pStyle w:val="SingleTxtGR"/>
      </w:pPr>
      <w:r w:rsidRPr="00340EB7">
        <w:tab/>
        <w:t>d)</w:t>
      </w:r>
      <w:r w:rsidRPr="00340EB7">
        <w:tab/>
        <w:t>принимать меры по дальнейшему расширению детских информ</w:t>
      </w:r>
      <w:r w:rsidRPr="00340EB7">
        <w:t>а</w:t>
      </w:r>
      <w:r w:rsidRPr="00340EB7">
        <w:t>ционно-просветительских и образовательных программ по вопросам предупр</w:t>
      </w:r>
      <w:r w:rsidRPr="00340EB7">
        <w:t>е</w:t>
      </w:r>
      <w:r w:rsidRPr="00340EB7">
        <w:t>ждения рисков и реагирования на них при пользовании цифровыми средствами массовой информации и информационно-коммуникационными технологиями с привлечением детей, в том числе посредством подготовки доступных для детей информационных материалов;</w:t>
      </w:r>
    </w:p>
    <w:p w:rsidR="00725ABA" w:rsidRPr="00340EB7" w:rsidRDefault="00725ABA" w:rsidP="00725ABA">
      <w:pPr>
        <w:pStyle w:val="SingleTxtGR"/>
      </w:pPr>
      <w:r w:rsidRPr="00340EB7">
        <w:tab/>
        <w:t>е)</w:t>
      </w:r>
      <w:r w:rsidRPr="00340EB7">
        <w:tab/>
        <w:t>организовать надлежащую и непрерывную подготовку сотрудников правоохранительных органов, судебной системы и специалистов, работающих с детьми или в их интересах, с целью повышения их технических навыков;</w:t>
      </w:r>
    </w:p>
    <w:p w:rsidR="00725ABA" w:rsidRPr="00340EB7" w:rsidRDefault="00725ABA" w:rsidP="00725ABA">
      <w:pPr>
        <w:pStyle w:val="SingleTxtGR"/>
      </w:pPr>
      <w:r w:rsidRPr="00340EB7">
        <w:tab/>
        <w:t>f)</w:t>
      </w:r>
      <w:r w:rsidRPr="00340EB7">
        <w:tab/>
        <w:t>обеспечивать создание доступных, безопасных, конфиденциал</w:t>
      </w:r>
      <w:r w:rsidRPr="00340EB7">
        <w:t>ь</w:t>
      </w:r>
      <w:r w:rsidRPr="00340EB7">
        <w:t>ных, ориентированных на конкретные возрастные группы, учитывающих инт</w:t>
      </w:r>
      <w:r w:rsidRPr="00340EB7">
        <w:t>е</w:t>
      </w:r>
      <w:r w:rsidRPr="00340EB7">
        <w:t>ресы и особенности детей эффективные ка</w:t>
      </w:r>
      <w:r>
        <w:t>налы представления сообщений, в</w:t>
      </w:r>
      <w:r>
        <w:rPr>
          <w:lang w:val="en-US"/>
        </w:rPr>
        <w:t> </w:t>
      </w:r>
      <w:r w:rsidRPr="00340EB7">
        <w:t>частности горячие телефонные линии для детей, в интересах информирования о нарушениях прав детей в контексте использования цифровых средств масс</w:t>
      </w:r>
      <w:r w:rsidRPr="00340EB7">
        <w:t>о</w:t>
      </w:r>
      <w:r w:rsidRPr="00340EB7">
        <w:t>вой информации и информационно-коммуникационных технологий;</w:t>
      </w:r>
    </w:p>
    <w:p w:rsidR="00725ABA" w:rsidRPr="00340EB7" w:rsidRDefault="00725ABA" w:rsidP="00725ABA">
      <w:pPr>
        <w:pStyle w:val="SingleTxtGR"/>
      </w:pPr>
      <w:r w:rsidRPr="00340EB7">
        <w:tab/>
        <w:t>g)</w:t>
      </w:r>
      <w:r w:rsidRPr="00340EB7">
        <w:tab/>
        <w:t>с учетом особенностей детей создавать для них безопасные и ко</w:t>
      </w:r>
      <w:r w:rsidRPr="00340EB7">
        <w:t>н</w:t>
      </w:r>
      <w:r w:rsidRPr="00340EB7">
        <w:t>фиденциальные контактные пункты, через которые они могли бы информир</w:t>
      </w:r>
      <w:r w:rsidRPr="00340EB7">
        <w:t>о</w:t>
      </w:r>
      <w:r w:rsidRPr="00340EB7">
        <w:t xml:space="preserve">вать соответствующие органы о самостоятельно </w:t>
      </w:r>
      <w:proofErr w:type="gramStart"/>
      <w:r w:rsidRPr="00340EB7">
        <w:t>генерированном</w:t>
      </w:r>
      <w:proofErr w:type="gramEnd"/>
      <w:r w:rsidRPr="00340EB7">
        <w:t xml:space="preserve"> сексуальном контенте; </w:t>
      </w:r>
    </w:p>
    <w:p w:rsidR="00725ABA" w:rsidRPr="00340EB7" w:rsidRDefault="00725ABA" w:rsidP="00725ABA">
      <w:pPr>
        <w:pStyle w:val="SingleTxtGR"/>
      </w:pPr>
      <w:r w:rsidRPr="00340EB7">
        <w:tab/>
        <w:t>h)</w:t>
      </w:r>
      <w:r w:rsidRPr="00340EB7">
        <w:tab/>
        <w:t>вводить оперативные и эффективные процедуры устранения пред</w:t>
      </w:r>
      <w:r w:rsidRPr="00340EB7">
        <w:t>о</w:t>
      </w:r>
      <w:r w:rsidRPr="00340EB7">
        <w:t>судительных или вредных материалов с участием детей;</w:t>
      </w:r>
    </w:p>
    <w:p w:rsidR="00725ABA" w:rsidRPr="00340EB7" w:rsidRDefault="00725ABA" w:rsidP="00725ABA">
      <w:pPr>
        <w:pStyle w:val="SingleTxtGR"/>
      </w:pPr>
      <w:r w:rsidRPr="00340EB7">
        <w:tab/>
        <w:t>i)</w:t>
      </w:r>
      <w:r w:rsidRPr="00340EB7">
        <w:tab/>
        <w:t>укреплять механизмы идентификации жертв, а также выявления, расследования, привлечения к ответственности и наказания виновных за любые правонарушения, подпадающие под действие Конвенции и Факультативных протоколов к ней;</w:t>
      </w:r>
    </w:p>
    <w:p w:rsidR="00725ABA" w:rsidRPr="00340EB7" w:rsidRDefault="00725ABA" w:rsidP="00725ABA">
      <w:pPr>
        <w:pStyle w:val="SingleTxtGR"/>
      </w:pPr>
      <w:r w:rsidRPr="00340EB7">
        <w:tab/>
        <w:t>j)</w:t>
      </w:r>
      <w:r w:rsidRPr="00340EB7">
        <w:tab/>
        <w:t>укреплять координацию действий между всеми субъектами и се</w:t>
      </w:r>
      <w:r w:rsidRPr="00340EB7">
        <w:t>к</w:t>
      </w:r>
      <w:r w:rsidRPr="00340EB7">
        <w:t xml:space="preserve">торами системы защиты в целях обеспечения передачи на рассмотрение дел и эффективной поддержки пострадавших детей; </w:t>
      </w:r>
    </w:p>
    <w:p w:rsidR="00725ABA" w:rsidRPr="00340EB7" w:rsidRDefault="00725ABA" w:rsidP="00725ABA">
      <w:pPr>
        <w:pStyle w:val="SingleTxtGR"/>
      </w:pPr>
      <w:r w:rsidRPr="00340EB7">
        <w:tab/>
        <w:t>k)</w:t>
      </w:r>
      <w:r w:rsidRPr="00340EB7">
        <w:tab/>
        <w:t>поощрять и поддерживать мероприятия по координации усилий и сотрудничеству на международном и региональном уровнях в интересах эффе</w:t>
      </w:r>
      <w:r w:rsidRPr="00340EB7">
        <w:t>к</w:t>
      </w:r>
      <w:r w:rsidRPr="00340EB7">
        <w:t>тивного обеспечения исполнения применимого законодательства.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Эффективные средства правовой защиты и возмещение, а также помощь жертвам</w:t>
      </w:r>
    </w:p>
    <w:p w:rsidR="00725ABA" w:rsidRPr="00340EB7" w:rsidRDefault="00725ABA" w:rsidP="00725ABA">
      <w:pPr>
        <w:pStyle w:val="SingleTxtGR"/>
      </w:pPr>
      <w:r>
        <w:t>23</w:t>
      </w:r>
      <w:r w:rsidRPr="00340EB7">
        <w:t>.</w:t>
      </w:r>
      <w:r w:rsidRPr="00340EB7">
        <w:tab/>
        <w:t>Государства должны обеспечивать доступ детей-жертв к эффективным средствам правовой защиты, в том числе помощь в получении оперативного и надлежащего возмещения за причиненный вред путем, при необходимости, в</w:t>
      </w:r>
      <w:r w:rsidRPr="00340EB7">
        <w:t>ы</w:t>
      </w:r>
      <w:r w:rsidRPr="00340EB7">
        <w:t>платы государственной компенсации. Государствам также следует предоста</w:t>
      </w:r>
      <w:r w:rsidRPr="00340EB7">
        <w:t>в</w:t>
      </w:r>
      <w:r w:rsidRPr="00340EB7">
        <w:t>лять достаточную поддержку и помощь детям, пострадавшим от нарушений в связи с использованием цифровых средств массовой информации и информ</w:t>
      </w:r>
      <w:r w:rsidRPr="00340EB7">
        <w:t>а</w:t>
      </w:r>
      <w:r w:rsidRPr="00340EB7">
        <w:t xml:space="preserve">ционно-коммуникационных технологий, в том числе комплексные услуги по полному восстановлению и </w:t>
      </w:r>
      <w:proofErr w:type="spellStart"/>
      <w:r w:rsidRPr="00340EB7">
        <w:t>реинтеграции</w:t>
      </w:r>
      <w:proofErr w:type="spellEnd"/>
      <w:r w:rsidRPr="00340EB7">
        <w:t xml:space="preserve"> ребенка, а также предотвращать п</w:t>
      </w:r>
      <w:r w:rsidRPr="00340EB7">
        <w:t>о</w:t>
      </w:r>
      <w:r w:rsidRPr="00340EB7">
        <w:t xml:space="preserve">вторную </w:t>
      </w:r>
      <w:proofErr w:type="spellStart"/>
      <w:r w:rsidRPr="00340EB7">
        <w:t>виктимизацию</w:t>
      </w:r>
      <w:proofErr w:type="spellEnd"/>
      <w:r w:rsidRPr="00340EB7">
        <w:t xml:space="preserve"> пострадавших детей.</w:t>
      </w:r>
    </w:p>
    <w:p w:rsidR="00725ABA" w:rsidRPr="00340EB7" w:rsidRDefault="00725ABA" w:rsidP="00725ABA">
      <w:pPr>
        <w:pStyle w:val="H4GR"/>
      </w:pPr>
      <w:r w:rsidRPr="00340EB7">
        <w:lastRenderedPageBreak/>
        <w:tab/>
      </w:r>
      <w:r w:rsidRPr="00340EB7">
        <w:tab/>
        <w:t>Семейное окружение</w:t>
      </w:r>
    </w:p>
    <w:p w:rsidR="00725ABA" w:rsidRPr="00340EB7" w:rsidRDefault="00725ABA" w:rsidP="00725ABA">
      <w:pPr>
        <w:pStyle w:val="SingleTxtGR"/>
      </w:pPr>
      <w:r>
        <w:t>24</w:t>
      </w:r>
      <w:r w:rsidRPr="00340EB7">
        <w:t>.</w:t>
      </w:r>
      <w:r w:rsidRPr="00340EB7">
        <w:tab/>
        <w:t>Государствам следует обеспечивать подготовку родителей, других заб</w:t>
      </w:r>
      <w:r w:rsidRPr="00340EB7">
        <w:t>о</w:t>
      </w:r>
      <w:r>
        <w:t>тящихся о детях лиц и за</w:t>
      </w:r>
      <w:r w:rsidRPr="00340EB7">
        <w:t>конных опекунов, а также, оказание им помощи и вспомогательных ус</w:t>
      </w:r>
      <w:r>
        <w:t>луг с тем, чтобы они могли выра</w:t>
      </w:r>
      <w:r w:rsidRPr="00340EB7">
        <w:t>батывать у детей навыки ответственного и безопасного пользования цифровыми средствами массовой информации и информационно-коммуникационными технологиями с</w:t>
      </w:r>
      <w:r>
        <w:t xml:space="preserve"> учетом степени развития их спо</w:t>
      </w:r>
      <w:r w:rsidRPr="00340EB7">
        <w:t>собностей. Мероприятия по подготовке и поддержке не должны ограничиваться вопросами технической компетенции, а должны также предусматривать поддержку в деле выполнения ими своих общих обязанностей по воспитанию детей.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Дети-инвалиды</w:t>
      </w:r>
    </w:p>
    <w:p w:rsidR="00725ABA" w:rsidRPr="00340EB7" w:rsidRDefault="00725ABA" w:rsidP="00725ABA">
      <w:pPr>
        <w:pStyle w:val="SingleTxtGR"/>
      </w:pPr>
      <w:r>
        <w:t>25</w:t>
      </w:r>
      <w:r w:rsidRPr="00340EB7">
        <w:t>.</w:t>
      </w:r>
      <w:r w:rsidRPr="00340EB7">
        <w:tab/>
        <w:t>Комитет рекомендует государствам разрабатывать, применять и контр</w:t>
      </w:r>
      <w:r w:rsidRPr="00340EB7">
        <w:t>о</w:t>
      </w:r>
      <w:r w:rsidRPr="00340EB7">
        <w:t>лировать осуществление законодательства и политики по обеспечению досту</w:t>
      </w:r>
      <w:r w:rsidRPr="00340EB7">
        <w:t>п</w:t>
      </w:r>
      <w:r w:rsidRPr="00340EB7">
        <w:t>ности цифровых средств массовой информации и информационно-коммуникационных технологий для детей-инвалидов, в том числе путем вкл</w:t>
      </w:r>
      <w:r w:rsidRPr="00340EB7">
        <w:t>ю</w:t>
      </w:r>
      <w:r w:rsidRPr="00340EB7">
        <w:t>чения требований о доступности в различные политические программы, кас</w:t>
      </w:r>
      <w:r w:rsidRPr="00340EB7">
        <w:t>а</w:t>
      </w:r>
      <w:r w:rsidRPr="00340EB7">
        <w:t>ющиеся частного сектора, международного сотрудничества и государственных закупок. В этом конте</w:t>
      </w:r>
      <w:r>
        <w:t>ксте государствам надлежит обес</w:t>
      </w:r>
      <w:r w:rsidRPr="00340EB7">
        <w:t>печивать использование государственных средств исключительно для поощрения использования цифр</w:t>
      </w:r>
      <w:r w:rsidRPr="00340EB7">
        <w:t>о</w:t>
      </w:r>
      <w:r w:rsidRPr="00340EB7">
        <w:t>вых средств массовой информации и информационно-коммуникационных те</w:t>
      </w:r>
      <w:r w:rsidRPr="00340EB7">
        <w:t>х</w:t>
      </w:r>
      <w:r w:rsidRPr="00340EB7">
        <w:t xml:space="preserve">нологий и неукоснительно избегать создания или усугубления дискриминации в результате предоставления недоступных услуг или продуктов. Кроме того, </w:t>
      </w:r>
      <w:r>
        <w:br/>
      </w:r>
      <w:r w:rsidRPr="00340EB7">
        <w:t>государства должны поощрять использование цифровых средств массовой и</w:t>
      </w:r>
      <w:r w:rsidRPr="00340EB7">
        <w:t>н</w:t>
      </w:r>
      <w:r w:rsidRPr="00340EB7">
        <w:t>формации и информационно-коммуникационных технологий в целях соде</w:t>
      </w:r>
      <w:r w:rsidRPr="00340EB7">
        <w:t>й</w:t>
      </w:r>
      <w:r>
        <w:t>ствия формированию инклю</w:t>
      </w:r>
      <w:r w:rsidRPr="00340EB7">
        <w:t xml:space="preserve">зивных сообществ и систем образования, а также в целях борьбы с </w:t>
      </w:r>
      <w:r>
        <w:t>распространением негативных сте</w:t>
      </w:r>
      <w:r w:rsidRPr="00340EB7">
        <w:t>реотипов, в том числе путем проведения активных консультаций с детьми-инвалидами. Комитет также рек</w:t>
      </w:r>
      <w:r w:rsidRPr="00340EB7">
        <w:t>о</w:t>
      </w:r>
      <w:r w:rsidRPr="00340EB7">
        <w:t xml:space="preserve">мендует государствам ратифицировать Конвенцию о правах инвалидов и </w:t>
      </w:r>
      <w:proofErr w:type="spellStart"/>
      <w:r w:rsidRPr="00340EB7">
        <w:t>Ма</w:t>
      </w:r>
      <w:r w:rsidRPr="00340EB7">
        <w:t>р</w:t>
      </w:r>
      <w:r w:rsidRPr="00340EB7">
        <w:t>ракешский</w:t>
      </w:r>
      <w:proofErr w:type="spellEnd"/>
      <w:r w:rsidRPr="00340EB7">
        <w:t xml:space="preserve"> договор об облегчении доступа слепых и лиц с нарушениями зрения или иными ограниченными возможностями воспринимать печатную информ</w:t>
      </w:r>
      <w:r w:rsidRPr="00340EB7">
        <w:t>а</w:t>
      </w:r>
      <w:r w:rsidRPr="00340EB7">
        <w:t>цию к опубликованным произведениям.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Образование</w:t>
      </w:r>
    </w:p>
    <w:p w:rsidR="00725ABA" w:rsidRPr="00340EB7" w:rsidRDefault="00725ABA" w:rsidP="00725ABA">
      <w:pPr>
        <w:pStyle w:val="SingleTxtGR"/>
      </w:pPr>
      <w:r>
        <w:t>26</w:t>
      </w:r>
      <w:r w:rsidRPr="00340EB7">
        <w:t>.</w:t>
      </w:r>
      <w:r w:rsidRPr="00340EB7">
        <w:tab/>
        <w:t>Комитет рекомендует государствам поощрять формирование цифровой грамотности как элемента базовых образовательных программ в соответствии с развитием способностей детей. Мероприятия по подготовке и образованию не должны ограничиваться вопросами технической компетенции, а должны также включать ознакомление с этическими принципами и ценностями и способств</w:t>
      </w:r>
      <w:r w:rsidRPr="00340EB7">
        <w:t>о</w:t>
      </w:r>
      <w:r w:rsidRPr="00340EB7">
        <w:t>вать формированию у детей навыков ответственного поведения при общении друг с другом в виртуальном пространстве, а также надлежащего и безопасного реагирования на возникающие риски (социальная грамотность). Помимо этого, Комитет рекомендует государствам обеспечивать включение в обязательные школьные учебные программы курсов полового и репродуктивного просвещ</w:t>
      </w:r>
      <w:r w:rsidRPr="00340EB7">
        <w:t>е</w:t>
      </w:r>
      <w:r w:rsidRPr="00340EB7">
        <w:t>ния, разработанные специально для девушек и юношей в подростковом во</w:t>
      </w:r>
      <w:r w:rsidRPr="00340EB7">
        <w:t>з</w:t>
      </w:r>
      <w:r w:rsidRPr="00340EB7">
        <w:t>расте.</w:t>
      </w:r>
    </w:p>
    <w:p w:rsidR="00725ABA" w:rsidRPr="00340EB7" w:rsidRDefault="00725ABA" w:rsidP="00725ABA">
      <w:pPr>
        <w:pStyle w:val="H4GR"/>
      </w:pPr>
      <w:r w:rsidRPr="00340EB7">
        <w:tab/>
      </w:r>
      <w:r w:rsidRPr="00340EB7">
        <w:tab/>
        <w:t>Представление периодических докладов в соответствии с Конвенцией о правах ребенка и Факультативными протоколами к ней</w:t>
      </w:r>
    </w:p>
    <w:p w:rsidR="00725ABA" w:rsidRPr="00340EB7" w:rsidRDefault="00725ABA" w:rsidP="00725ABA">
      <w:pPr>
        <w:pStyle w:val="SingleTxtGR"/>
      </w:pPr>
      <w:r>
        <w:t>27</w:t>
      </w:r>
      <w:r w:rsidRPr="00340EB7">
        <w:t>.</w:t>
      </w:r>
      <w:r w:rsidRPr="00340EB7">
        <w:tab/>
        <w:t xml:space="preserve">Комитет рекомендует государствам-участникам систематически включать информацию о правах ребенка в контексте использования </w:t>
      </w:r>
      <w:r w:rsidRPr="00340EB7">
        <w:lastRenderedPageBreak/>
        <w:t>цифровых средств массовой информации и информационно-коммуникационных технологий в свои периодические доклады, пред</w:t>
      </w:r>
      <w:r>
        <w:t>ставляемые в соответствии с Кон</w:t>
      </w:r>
      <w:r w:rsidRPr="00340EB7">
        <w:t>венцией и Ф</w:t>
      </w:r>
      <w:r w:rsidRPr="00340EB7">
        <w:t>а</w:t>
      </w:r>
      <w:r w:rsidRPr="00340EB7">
        <w:t>культативными протоколами к ней.</w:t>
      </w:r>
    </w:p>
    <w:p w:rsidR="00725ABA" w:rsidRPr="00340EB7" w:rsidRDefault="00725ABA" w:rsidP="00725ABA">
      <w:pPr>
        <w:pStyle w:val="H23GR"/>
      </w:pPr>
      <w:r w:rsidRPr="00340EB7">
        <w:tab/>
      </w:r>
      <w:r w:rsidRPr="00340EB7">
        <w:tab/>
        <w:t>Заключение</w:t>
      </w:r>
    </w:p>
    <w:p w:rsidR="00725ABA" w:rsidRPr="00340EB7" w:rsidRDefault="00725ABA" w:rsidP="00725ABA">
      <w:pPr>
        <w:pStyle w:val="SingleTxtGR"/>
      </w:pPr>
      <w:r>
        <w:t>28</w:t>
      </w:r>
      <w:r w:rsidRPr="00340EB7">
        <w:t>.</w:t>
      </w:r>
      <w:r w:rsidRPr="00340EB7">
        <w:tab/>
        <w:t>Комитет положительно оценивает вклад, внесенный всеми участниками в ходе дня общей дискуссии, как во время обсуждений, так и в письменной фо</w:t>
      </w:r>
      <w:r w:rsidRPr="00340EB7">
        <w:t>р</w:t>
      </w:r>
      <w:r w:rsidRPr="00340EB7">
        <w:t>ме. Комитет на</w:t>
      </w:r>
      <w:r>
        <w:t>стоятельно призывает все заинте</w:t>
      </w:r>
      <w:r w:rsidRPr="00340EB7">
        <w:t>ресованные стороны принимать во внимание вышеизложенные рекомендации. Все дети должны без какой-либо дискриминации пользоваться безопасным доступом к информационно-коммуникационным технологиям и цифровым средствам массовой информ</w:t>
      </w:r>
      <w:r w:rsidRPr="00340EB7">
        <w:t>а</w:t>
      </w:r>
      <w:r w:rsidRPr="00340EB7">
        <w:t>ции, а также возможностями и правами для всестороннего участия, выражения своих мнений, получения информации и осуществления всех прав, закрепле</w:t>
      </w:r>
      <w:r w:rsidRPr="00340EB7">
        <w:t>н</w:t>
      </w:r>
      <w:r w:rsidRPr="00340EB7">
        <w:t>ных в Конвенции о правах ребенка и Факультативных протоколах к ней.</w:t>
      </w:r>
    </w:p>
    <w:p w:rsidR="00565B5A" w:rsidRPr="00725ABA" w:rsidRDefault="00725ABA">
      <w:pPr>
        <w:rPr>
          <w:lang w:val="ru-RU"/>
        </w:rPr>
      </w:pPr>
      <w:bookmarkStart w:id="0" w:name="_GoBack"/>
      <w:bookmarkEnd w:id="0"/>
    </w:p>
    <w:sectPr w:rsidR="00565B5A" w:rsidRPr="00725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BA"/>
    <w:rsid w:val="000B696D"/>
    <w:rsid w:val="00725ABA"/>
    <w:rsid w:val="007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R">
    <w:name w:val="_ H _Ch_GR"/>
    <w:basedOn w:val="Normal"/>
    <w:next w:val="Normal"/>
    <w:qFormat/>
    <w:rsid w:val="00725AB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pacing w:val="4"/>
      <w:w w:val="103"/>
      <w:kern w:val="14"/>
      <w:sz w:val="28"/>
      <w:szCs w:val="20"/>
      <w:lang w:val="ru-RU" w:eastAsia="ru-RU"/>
    </w:rPr>
  </w:style>
  <w:style w:type="paragraph" w:customStyle="1" w:styleId="H1GR">
    <w:name w:val="_ H_1_GR"/>
    <w:basedOn w:val="Normal"/>
    <w:next w:val="Normal"/>
    <w:qFormat/>
    <w:rsid w:val="00725AB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pacing w:val="4"/>
      <w:w w:val="103"/>
      <w:kern w:val="14"/>
      <w:sz w:val="24"/>
      <w:szCs w:val="20"/>
      <w:lang w:val="ru-RU" w:eastAsia="ru-RU"/>
    </w:rPr>
  </w:style>
  <w:style w:type="paragraph" w:customStyle="1" w:styleId="H23GR">
    <w:name w:val="_ H_2/3_GR"/>
    <w:basedOn w:val="Normal"/>
    <w:next w:val="Normal"/>
    <w:qFormat/>
    <w:rsid w:val="00725ABA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pacing w:val="4"/>
      <w:w w:val="103"/>
      <w:kern w:val="14"/>
      <w:sz w:val="20"/>
      <w:szCs w:val="20"/>
      <w:lang w:val="ru-RU" w:eastAsia="ru-RU"/>
    </w:rPr>
  </w:style>
  <w:style w:type="paragraph" w:customStyle="1" w:styleId="H4GR">
    <w:name w:val="_ H_4_GR"/>
    <w:basedOn w:val="Normal"/>
    <w:next w:val="Normal"/>
    <w:qFormat/>
    <w:rsid w:val="00725ABA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3"/>
    </w:pPr>
    <w:rPr>
      <w:rFonts w:ascii="Times New Roman" w:eastAsia="Times New Roman" w:hAnsi="Times New Roman" w:cs="Times New Roman"/>
      <w:i/>
      <w:spacing w:val="3"/>
      <w:w w:val="103"/>
      <w:kern w:val="14"/>
      <w:sz w:val="20"/>
      <w:szCs w:val="20"/>
      <w:lang w:val="ru-RU" w:eastAsia="ru-RU"/>
    </w:rPr>
  </w:style>
  <w:style w:type="paragraph" w:customStyle="1" w:styleId="SingleTxtGR">
    <w:name w:val="_ Single Txt_GR"/>
    <w:basedOn w:val="Normal"/>
    <w:link w:val="SingleTxtGR0"/>
    <w:qFormat/>
    <w:rsid w:val="00725ABA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ru-RU"/>
    </w:rPr>
  </w:style>
  <w:style w:type="character" w:customStyle="1" w:styleId="SingleTxtGR0">
    <w:name w:val="_ Single Txt_GR Знак"/>
    <w:basedOn w:val="DefaultParagraphFont"/>
    <w:link w:val="SingleTxtGR"/>
    <w:rsid w:val="00725ABA"/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R">
    <w:name w:val="_ H _Ch_GR"/>
    <w:basedOn w:val="Normal"/>
    <w:next w:val="Normal"/>
    <w:qFormat/>
    <w:rsid w:val="00725AB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pacing w:val="4"/>
      <w:w w:val="103"/>
      <w:kern w:val="14"/>
      <w:sz w:val="28"/>
      <w:szCs w:val="20"/>
      <w:lang w:val="ru-RU" w:eastAsia="ru-RU"/>
    </w:rPr>
  </w:style>
  <w:style w:type="paragraph" w:customStyle="1" w:styleId="H1GR">
    <w:name w:val="_ H_1_GR"/>
    <w:basedOn w:val="Normal"/>
    <w:next w:val="Normal"/>
    <w:qFormat/>
    <w:rsid w:val="00725AB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pacing w:val="4"/>
      <w:w w:val="103"/>
      <w:kern w:val="14"/>
      <w:sz w:val="24"/>
      <w:szCs w:val="20"/>
      <w:lang w:val="ru-RU" w:eastAsia="ru-RU"/>
    </w:rPr>
  </w:style>
  <w:style w:type="paragraph" w:customStyle="1" w:styleId="H23GR">
    <w:name w:val="_ H_2/3_GR"/>
    <w:basedOn w:val="Normal"/>
    <w:next w:val="Normal"/>
    <w:qFormat/>
    <w:rsid w:val="00725ABA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pacing w:val="4"/>
      <w:w w:val="103"/>
      <w:kern w:val="14"/>
      <w:sz w:val="20"/>
      <w:szCs w:val="20"/>
      <w:lang w:val="ru-RU" w:eastAsia="ru-RU"/>
    </w:rPr>
  </w:style>
  <w:style w:type="paragraph" w:customStyle="1" w:styleId="H4GR">
    <w:name w:val="_ H_4_GR"/>
    <w:basedOn w:val="Normal"/>
    <w:next w:val="Normal"/>
    <w:qFormat/>
    <w:rsid w:val="00725ABA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3"/>
    </w:pPr>
    <w:rPr>
      <w:rFonts w:ascii="Times New Roman" w:eastAsia="Times New Roman" w:hAnsi="Times New Roman" w:cs="Times New Roman"/>
      <w:i/>
      <w:spacing w:val="3"/>
      <w:w w:val="103"/>
      <w:kern w:val="14"/>
      <w:sz w:val="20"/>
      <w:szCs w:val="20"/>
      <w:lang w:val="ru-RU" w:eastAsia="ru-RU"/>
    </w:rPr>
  </w:style>
  <w:style w:type="paragraph" w:customStyle="1" w:styleId="SingleTxtGR">
    <w:name w:val="_ Single Txt_GR"/>
    <w:basedOn w:val="Normal"/>
    <w:link w:val="SingleTxtGR0"/>
    <w:qFormat/>
    <w:rsid w:val="00725ABA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ru-RU"/>
    </w:rPr>
  </w:style>
  <w:style w:type="character" w:customStyle="1" w:styleId="SingleTxtGR0">
    <w:name w:val="_ Single Txt_GR Знак"/>
    <w:basedOn w:val="DefaultParagraphFont"/>
    <w:link w:val="SingleTxtGR"/>
    <w:rsid w:val="00725ABA"/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5DF9FA-5076-4062-B0E1-2EBD829F53EF}"/>
</file>

<file path=customXml/itemProps2.xml><?xml version="1.0" encoding="utf-8"?>
<ds:datastoreItem xmlns:ds="http://schemas.openxmlformats.org/officeDocument/2006/customXml" ds:itemID="{0E299660-CBF0-4172-B515-B627E133AEC6}"/>
</file>

<file path=customXml/itemProps3.xml><?xml version="1.0" encoding="utf-8"?>
<ds:datastoreItem xmlns:ds="http://schemas.openxmlformats.org/officeDocument/2006/customXml" ds:itemID="{1A90599F-9E93-4081-A81B-FCE0CC0D4E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III_RU</dc:title>
  <dc:creator>Allegra Franchetti</dc:creator>
  <cp:lastModifiedBy>Allegra Franchetti</cp:lastModifiedBy>
  <cp:revision>1</cp:revision>
  <dcterms:created xsi:type="dcterms:W3CDTF">2017-06-12T14:24:00Z</dcterms:created>
  <dcterms:modified xsi:type="dcterms:W3CDTF">2017-06-12T14:24:00Z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