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24A" w:rsidRDefault="00CF6D6A" w:rsidP="0028124A">
      <w:pPr>
        <w:jc w:val="center"/>
        <w:rPr>
          <w:b/>
          <w:szCs w:val="20"/>
          <w:lang w:val="fr-CH"/>
        </w:rPr>
      </w:pPr>
      <w:r w:rsidRPr="0028124A">
        <w:rPr>
          <w:b/>
          <w:szCs w:val="20"/>
          <w:lang w:val="fr-CH"/>
        </w:rPr>
        <w:t xml:space="preserve">Projet de lignes directrices sur la mise en œuvre </w:t>
      </w:r>
      <w:r w:rsidR="0028124A" w:rsidRPr="0028124A">
        <w:rPr>
          <w:b/>
          <w:szCs w:val="20"/>
          <w:lang w:val="fr-CH"/>
        </w:rPr>
        <w:t>du Protocole facultatif à la Convention relative aux droits de l’enfant</w:t>
      </w:r>
      <w:r w:rsidR="0028124A">
        <w:rPr>
          <w:b/>
          <w:szCs w:val="20"/>
          <w:lang w:val="fr-CH"/>
        </w:rPr>
        <w:t xml:space="preserve"> </w:t>
      </w:r>
    </w:p>
    <w:p w:rsidR="0028124A" w:rsidRDefault="0028124A" w:rsidP="0028124A">
      <w:pPr>
        <w:jc w:val="center"/>
        <w:rPr>
          <w:b/>
          <w:szCs w:val="20"/>
          <w:lang w:val="fr-CH"/>
        </w:rPr>
      </w:pPr>
    </w:p>
    <w:p w:rsidR="00B3461A" w:rsidRPr="0028124A" w:rsidRDefault="0028124A" w:rsidP="0028124A">
      <w:pPr>
        <w:jc w:val="center"/>
        <w:rPr>
          <w:b/>
          <w:szCs w:val="20"/>
          <w:lang w:val="fr-CH"/>
        </w:rPr>
      </w:pPr>
      <w:r>
        <w:rPr>
          <w:b/>
          <w:szCs w:val="20"/>
          <w:lang w:val="fr-CH"/>
        </w:rPr>
        <w:t>Réponse de la Suisse</w:t>
      </w:r>
    </w:p>
    <w:p w:rsidR="00CF6D6A" w:rsidRDefault="00CF6D6A" w:rsidP="00CF6D6A">
      <w:pPr>
        <w:jc w:val="both"/>
        <w:rPr>
          <w:szCs w:val="20"/>
          <w:lang w:val="fr-CH"/>
        </w:rPr>
      </w:pPr>
    </w:p>
    <w:p w:rsidR="00CF6D6A" w:rsidRDefault="00CF6D6A" w:rsidP="0028124A">
      <w:pPr>
        <w:jc w:val="both"/>
        <w:rPr>
          <w:szCs w:val="20"/>
          <w:lang w:val="fr-CH"/>
        </w:rPr>
      </w:pPr>
      <w:r>
        <w:rPr>
          <w:szCs w:val="20"/>
          <w:lang w:val="fr-CH"/>
        </w:rPr>
        <w:t xml:space="preserve">La Suisse remercie le Comité des droits de l’enfant pour la possibilité de prendre position sur </w:t>
      </w:r>
      <w:r w:rsidR="0028124A">
        <w:rPr>
          <w:szCs w:val="20"/>
          <w:lang w:val="fr-CH"/>
        </w:rPr>
        <w:t xml:space="preserve">le </w:t>
      </w:r>
      <w:r w:rsidR="0028124A" w:rsidRPr="0028124A">
        <w:rPr>
          <w:szCs w:val="20"/>
          <w:lang w:val="fr-CH"/>
        </w:rPr>
        <w:t>Projet de lignes directrices sur la mise en œuvre du Protocole facultatif à la Convention relative aux droits de l’enfant</w:t>
      </w:r>
      <w:r w:rsidR="0028124A">
        <w:rPr>
          <w:szCs w:val="20"/>
          <w:lang w:val="fr-CH"/>
        </w:rPr>
        <w:t xml:space="preserve">. </w:t>
      </w:r>
    </w:p>
    <w:p w:rsidR="0028124A" w:rsidRDefault="0028124A" w:rsidP="0028124A">
      <w:pPr>
        <w:jc w:val="both"/>
        <w:rPr>
          <w:szCs w:val="20"/>
          <w:lang w:val="fr-CH"/>
        </w:rPr>
      </w:pPr>
    </w:p>
    <w:p w:rsidR="00CF6D6A" w:rsidRDefault="0028124A" w:rsidP="00CF6D6A">
      <w:pPr>
        <w:jc w:val="both"/>
        <w:rPr>
          <w:szCs w:val="20"/>
          <w:lang w:val="fr-CH"/>
        </w:rPr>
      </w:pPr>
      <w:r>
        <w:rPr>
          <w:szCs w:val="20"/>
          <w:lang w:val="fr-CH"/>
        </w:rPr>
        <w:t xml:space="preserve">Elle </w:t>
      </w:r>
      <w:r w:rsidR="00CF6D6A">
        <w:rPr>
          <w:szCs w:val="20"/>
          <w:lang w:val="fr-CH"/>
        </w:rPr>
        <w:t xml:space="preserve">souhaite </w:t>
      </w:r>
      <w:r>
        <w:rPr>
          <w:szCs w:val="20"/>
          <w:lang w:val="fr-CH"/>
        </w:rPr>
        <w:t xml:space="preserve">en particulier </w:t>
      </w:r>
      <w:r w:rsidR="00CF6D6A">
        <w:rPr>
          <w:szCs w:val="20"/>
          <w:lang w:val="fr-CH"/>
        </w:rPr>
        <w:t xml:space="preserve">prendre position sur les paragraphes suivants : </w:t>
      </w:r>
    </w:p>
    <w:p w:rsidR="00CF6D6A" w:rsidRDefault="00CF6D6A" w:rsidP="00CF6D6A">
      <w:pPr>
        <w:jc w:val="both"/>
        <w:rPr>
          <w:szCs w:val="20"/>
          <w:lang w:val="fr-CH"/>
        </w:rPr>
      </w:pPr>
    </w:p>
    <w:p w:rsidR="00CF6D6A" w:rsidRPr="00CF6D6A" w:rsidRDefault="00CF6D6A" w:rsidP="00CF6D6A">
      <w:pPr>
        <w:jc w:val="both"/>
        <w:rPr>
          <w:b/>
          <w:szCs w:val="20"/>
          <w:u w:val="single"/>
          <w:lang w:val="fr-CH"/>
        </w:rPr>
      </w:pPr>
      <w:r w:rsidRPr="00CF6D6A">
        <w:rPr>
          <w:b/>
          <w:szCs w:val="20"/>
          <w:u w:val="single"/>
          <w:lang w:val="fr-CH"/>
        </w:rPr>
        <w:t>Paragraphe 15</w:t>
      </w:r>
    </w:p>
    <w:p w:rsidR="00CF6D6A" w:rsidRDefault="00CF6D6A" w:rsidP="00CF6D6A">
      <w:pPr>
        <w:jc w:val="both"/>
        <w:rPr>
          <w:szCs w:val="20"/>
          <w:lang w:val="fr-CH"/>
        </w:rPr>
      </w:pPr>
    </w:p>
    <w:p w:rsidR="00CF6D6A" w:rsidRDefault="00CF6D6A" w:rsidP="00CF6D6A">
      <w:pPr>
        <w:jc w:val="both"/>
        <w:rPr>
          <w:szCs w:val="20"/>
          <w:lang w:val="fr-CH"/>
        </w:rPr>
      </w:pPr>
      <w:r w:rsidRPr="00CF6D6A">
        <w:rPr>
          <w:szCs w:val="20"/>
          <w:lang w:val="fr-CH"/>
        </w:rPr>
        <w:t>Il est possible de prendre en considération les vues des organisations chargées de la protection de l’enfance, mais la Suisse ne dispose pas de structures adéquate</w:t>
      </w:r>
      <w:r>
        <w:rPr>
          <w:szCs w:val="20"/>
          <w:lang w:val="fr-CH"/>
        </w:rPr>
        <w:t>s</w:t>
      </w:r>
      <w:r w:rsidRPr="00CF6D6A">
        <w:rPr>
          <w:szCs w:val="20"/>
          <w:lang w:val="fr-CH"/>
        </w:rPr>
        <w:t xml:space="preserve"> pour prendre en compte les opinions des enfants eux-mêmes dans le cadre de l’élaboration des mesures ou des processus législatifs</w:t>
      </w:r>
      <w:r>
        <w:rPr>
          <w:szCs w:val="20"/>
          <w:lang w:val="fr-CH"/>
        </w:rPr>
        <w:t xml:space="preserve">. </w:t>
      </w:r>
    </w:p>
    <w:p w:rsidR="00CF6D6A" w:rsidRDefault="00CF6D6A" w:rsidP="00CF6D6A">
      <w:pPr>
        <w:jc w:val="both"/>
        <w:rPr>
          <w:szCs w:val="20"/>
          <w:lang w:val="fr-CH"/>
        </w:rPr>
      </w:pPr>
    </w:p>
    <w:p w:rsidR="00CF6D6A" w:rsidRPr="00CF6D6A" w:rsidRDefault="00CF6D6A" w:rsidP="00CF6D6A">
      <w:pPr>
        <w:jc w:val="both"/>
        <w:rPr>
          <w:b/>
          <w:szCs w:val="20"/>
          <w:u w:val="single"/>
          <w:lang w:val="fr-CH"/>
        </w:rPr>
      </w:pPr>
      <w:r w:rsidRPr="00CF6D6A">
        <w:rPr>
          <w:b/>
          <w:szCs w:val="20"/>
          <w:u w:val="single"/>
          <w:lang w:val="fr-CH"/>
        </w:rPr>
        <w:t xml:space="preserve">Paragraphe 16 </w:t>
      </w:r>
    </w:p>
    <w:p w:rsidR="00CF6D6A" w:rsidRDefault="00CF6D6A" w:rsidP="00CF6D6A">
      <w:pPr>
        <w:jc w:val="both"/>
        <w:rPr>
          <w:szCs w:val="20"/>
          <w:lang w:val="fr-CH"/>
        </w:rPr>
      </w:pPr>
    </w:p>
    <w:p w:rsidR="00CF6D6A" w:rsidRDefault="00CF6D6A" w:rsidP="00CF6D6A">
      <w:pPr>
        <w:jc w:val="both"/>
        <w:rPr>
          <w:szCs w:val="20"/>
          <w:lang w:val="fr-CH"/>
        </w:rPr>
      </w:pPr>
      <w:r>
        <w:rPr>
          <w:szCs w:val="20"/>
          <w:lang w:val="fr-CH"/>
        </w:rPr>
        <w:t xml:space="preserve">En lien avec la nécessité de lutter contre l’impunité, la disposition appelant à se concentrer particulièrement sur les situations où l’adoption constitue une vente d’enfants est en ordre pour la Suisse. </w:t>
      </w:r>
      <w:r w:rsidRPr="00CF6D6A">
        <w:rPr>
          <w:szCs w:val="20"/>
          <w:lang w:val="fr-CH"/>
        </w:rPr>
        <w:t>Les dispositions pénales se trouvent au chapitre 5 de la Loi fédérale relative à la Convention de la Haye sur l’adoption et aux mesures de protection de l’enfant en cas d’adoption internationale (RS 211.221.31)</w:t>
      </w:r>
      <w:r>
        <w:rPr>
          <w:szCs w:val="20"/>
          <w:lang w:val="fr-CH"/>
        </w:rPr>
        <w:t xml:space="preserve">. </w:t>
      </w:r>
    </w:p>
    <w:p w:rsidR="00BF1EB7" w:rsidRDefault="00BF1EB7" w:rsidP="00CF6D6A">
      <w:pPr>
        <w:jc w:val="both"/>
        <w:rPr>
          <w:szCs w:val="20"/>
          <w:lang w:val="fr-CH"/>
        </w:rPr>
      </w:pPr>
    </w:p>
    <w:p w:rsidR="00BF1EB7" w:rsidRPr="00BF1EB7" w:rsidRDefault="00BF1EB7" w:rsidP="00CF6D6A">
      <w:pPr>
        <w:jc w:val="both"/>
        <w:rPr>
          <w:b/>
          <w:szCs w:val="20"/>
          <w:u w:val="single"/>
          <w:lang w:val="fr-CH"/>
        </w:rPr>
      </w:pPr>
      <w:r w:rsidRPr="00BF1EB7">
        <w:rPr>
          <w:b/>
          <w:szCs w:val="20"/>
          <w:u w:val="single"/>
          <w:lang w:val="fr-CH"/>
        </w:rPr>
        <w:t>Paragraphe 21</w:t>
      </w:r>
    </w:p>
    <w:p w:rsidR="00CF6D6A" w:rsidRDefault="00CF6D6A" w:rsidP="00CF6D6A">
      <w:pPr>
        <w:jc w:val="both"/>
        <w:rPr>
          <w:szCs w:val="20"/>
          <w:lang w:val="fr-CH"/>
        </w:rPr>
      </w:pPr>
    </w:p>
    <w:p w:rsidR="00070A97" w:rsidRDefault="00070A97" w:rsidP="00070A97">
      <w:pPr>
        <w:jc w:val="both"/>
        <w:rPr>
          <w:szCs w:val="20"/>
          <w:lang w:val="fr-CH"/>
        </w:rPr>
      </w:pPr>
      <w:r>
        <w:rPr>
          <w:szCs w:val="20"/>
          <w:lang w:val="fr-CH"/>
        </w:rPr>
        <w:t>L</w:t>
      </w:r>
      <w:r>
        <w:rPr>
          <w:szCs w:val="20"/>
          <w:lang w:val="fr-CH"/>
        </w:rPr>
        <w:t>’Office fédéral de la police FEDPOL</w:t>
      </w:r>
      <w:r>
        <w:rPr>
          <w:szCs w:val="20"/>
          <w:lang w:val="fr-CH"/>
        </w:rPr>
        <w:t xml:space="preserve"> </w:t>
      </w:r>
      <w:r w:rsidRPr="00070A97">
        <w:rPr>
          <w:szCs w:val="20"/>
          <w:lang w:val="fr-CH"/>
        </w:rPr>
        <w:t>n’est pas co</w:t>
      </w:r>
      <w:r>
        <w:rPr>
          <w:szCs w:val="20"/>
          <w:lang w:val="fr-CH"/>
        </w:rPr>
        <w:t>mpétent pour recueillir toutes l</w:t>
      </w:r>
      <w:r w:rsidRPr="00070A97">
        <w:rPr>
          <w:szCs w:val="20"/>
          <w:lang w:val="fr-CH"/>
        </w:rPr>
        <w:t>es données</w:t>
      </w:r>
      <w:r>
        <w:rPr>
          <w:szCs w:val="20"/>
          <w:lang w:val="fr-CH"/>
        </w:rPr>
        <w:t xml:space="preserve"> requises dans ce paragraphe</w:t>
      </w:r>
      <w:r w:rsidRPr="00070A97">
        <w:rPr>
          <w:szCs w:val="20"/>
          <w:lang w:val="fr-CH"/>
        </w:rPr>
        <w:t xml:space="preserve"> et n’est pas équipé pour cela.</w:t>
      </w:r>
    </w:p>
    <w:p w:rsidR="00070A97" w:rsidRDefault="00070A97" w:rsidP="00070A97">
      <w:pPr>
        <w:jc w:val="both"/>
        <w:rPr>
          <w:szCs w:val="20"/>
          <w:lang w:val="fr-CH"/>
        </w:rPr>
      </w:pPr>
    </w:p>
    <w:p w:rsidR="00CF6D6A" w:rsidRPr="00CF6D6A" w:rsidRDefault="00CF6D6A" w:rsidP="00CF6D6A">
      <w:pPr>
        <w:jc w:val="both"/>
        <w:rPr>
          <w:b/>
          <w:szCs w:val="20"/>
          <w:u w:val="single"/>
          <w:lang w:val="fr-CH"/>
        </w:rPr>
      </w:pPr>
      <w:r w:rsidRPr="00CF6D6A">
        <w:rPr>
          <w:b/>
          <w:szCs w:val="20"/>
          <w:u w:val="single"/>
          <w:lang w:val="fr-CH"/>
        </w:rPr>
        <w:t xml:space="preserve">Paragraphe 23 </w:t>
      </w:r>
    </w:p>
    <w:p w:rsidR="00CF6D6A" w:rsidRDefault="00CF6D6A" w:rsidP="00CF6D6A">
      <w:pPr>
        <w:jc w:val="both"/>
        <w:rPr>
          <w:szCs w:val="20"/>
          <w:lang w:val="fr-CH"/>
        </w:rPr>
      </w:pPr>
    </w:p>
    <w:p w:rsidR="00CF6D6A" w:rsidRPr="00CF6D6A" w:rsidRDefault="00CF6D6A" w:rsidP="00CF6D6A">
      <w:pPr>
        <w:jc w:val="both"/>
        <w:rPr>
          <w:szCs w:val="20"/>
          <w:lang w:val="fr-CH"/>
        </w:rPr>
      </w:pPr>
      <w:r w:rsidRPr="00CF6D6A">
        <w:rPr>
          <w:szCs w:val="20"/>
          <w:lang w:val="fr-CH"/>
        </w:rPr>
        <w:t>Cette disposition pose problème à la Suisse actuellement.</w:t>
      </w:r>
    </w:p>
    <w:p w:rsidR="00CF6D6A" w:rsidRPr="00CF6D6A" w:rsidRDefault="00CF6D6A" w:rsidP="00CF6D6A">
      <w:pPr>
        <w:jc w:val="both"/>
        <w:rPr>
          <w:szCs w:val="20"/>
          <w:lang w:val="fr-CH"/>
        </w:rPr>
      </w:pPr>
    </w:p>
    <w:p w:rsidR="00CF6D6A" w:rsidRPr="00CF6D6A" w:rsidRDefault="00CF6D6A" w:rsidP="00CF6D6A">
      <w:pPr>
        <w:jc w:val="both"/>
        <w:rPr>
          <w:szCs w:val="20"/>
          <w:lang w:val="fr-CH"/>
        </w:rPr>
      </w:pPr>
      <w:r w:rsidRPr="00CF6D6A">
        <w:rPr>
          <w:szCs w:val="20"/>
          <w:lang w:val="fr-CH"/>
        </w:rPr>
        <w:t xml:space="preserve">Le </w:t>
      </w:r>
      <w:r w:rsidR="00BF1EB7">
        <w:rPr>
          <w:szCs w:val="20"/>
          <w:lang w:val="fr-CH"/>
        </w:rPr>
        <w:t>Plan d’action national contre la traite des êtres humains 20</w:t>
      </w:r>
      <w:r w:rsidRPr="00CF6D6A">
        <w:rPr>
          <w:szCs w:val="20"/>
          <w:lang w:val="fr-CH"/>
        </w:rPr>
        <w:t>17-2020 ne répond pas entièrement à cette exigence, étant donné qu’il couvre uniquement les aspects relatifs à la traite. Les questions d’adoption illégales ne sont pas prises en compte et les autorités compétentes pour l’adoption en Suisse ne sont pas associées à la stratégie contre la traite.</w:t>
      </w:r>
    </w:p>
    <w:p w:rsidR="00CF6D6A" w:rsidRPr="00CF6D6A" w:rsidRDefault="00CF6D6A" w:rsidP="00CF6D6A">
      <w:pPr>
        <w:jc w:val="both"/>
        <w:rPr>
          <w:szCs w:val="20"/>
          <w:lang w:val="fr-CH"/>
        </w:rPr>
      </w:pPr>
    </w:p>
    <w:p w:rsidR="00CF6D6A" w:rsidRDefault="00CF6D6A" w:rsidP="00CF6D6A">
      <w:pPr>
        <w:jc w:val="both"/>
        <w:rPr>
          <w:szCs w:val="20"/>
          <w:lang w:val="fr-CH"/>
        </w:rPr>
      </w:pPr>
      <w:r w:rsidRPr="00CF6D6A">
        <w:rPr>
          <w:szCs w:val="20"/>
          <w:lang w:val="fr-CH"/>
        </w:rPr>
        <w:t xml:space="preserve">En l’état actuel, la Suisse ne remplit pas cette exigence et le mandat du </w:t>
      </w:r>
      <w:r w:rsidR="00EC681A">
        <w:rPr>
          <w:szCs w:val="20"/>
          <w:lang w:val="fr-CH"/>
        </w:rPr>
        <w:t>S</w:t>
      </w:r>
      <w:r w:rsidR="00EC681A">
        <w:rPr>
          <w:szCs w:val="20"/>
          <w:lang w:val="fr-CH"/>
        </w:rPr>
        <w:t xml:space="preserve">ervice de lutte contre la traite d’êtres humains et le trafic de migrants </w:t>
      </w:r>
      <w:r w:rsidR="005452E8">
        <w:rPr>
          <w:szCs w:val="20"/>
          <w:lang w:val="fr-CH"/>
        </w:rPr>
        <w:t>(</w:t>
      </w:r>
      <w:hyperlink r:id="rId8" w:history="1">
        <w:r w:rsidR="005452E8">
          <w:rPr>
            <w:rStyle w:val="Hyperlink"/>
            <w:szCs w:val="20"/>
            <w:lang w:val="fr-CH"/>
          </w:rPr>
          <w:t>SETT</w:t>
        </w:r>
      </w:hyperlink>
      <w:r w:rsidR="00EC681A">
        <w:rPr>
          <w:szCs w:val="20"/>
          <w:lang w:val="fr-CH"/>
        </w:rPr>
        <w:t xml:space="preserve">) de l’Office fédéral de la police FEDPOL </w:t>
      </w:r>
      <w:r w:rsidRPr="00CF6D6A">
        <w:rPr>
          <w:szCs w:val="20"/>
          <w:lang w:val="fr-CH"/>
        </w:rPr>
        <w:t>ne prévoit pas que l’on s’occupe de cette question.</w:t>
      </w:r>
    </w:p>
    <w:p w:rsidR="00CF6D6A" w:rsidRPr="00CF6D6A" w:rsidRDefault="00CF6D6A" w:rsidP="00CF6D6A">
      <w:pPr>
        <w:jc w:val="both"/>
        <w:rPr>
          <w:szCs w:val="20"/>
          <w:lang w:val="fr-CH"/>
        </w:rPr>
      </w:pPr>
    </w:p>
    <w:p w:rsidR="00CF6D6A" w:rsidRPr="00EC681A" w:rsidRDefault="00CF6D6A" w:rsidP="00CF6D6A">
      <w:pPr>
        <w:jc w:val="both"/>
        <w:rPr>
          <w:szCs w:val="20"/>
          <w:lang w:val="fr-CH"/>
        </w:rPr>
      </w:pPr>
      <w:r w:rsidRPr="00CF6D6A">
        <w:rPr>
          <w:szCs w:val="20"/>
          <w:lang w:val="fr-CH"/>
        </w:rPr>
        <w:t xml:space="preserve">Dans tous les cas, le mandat du </w:t>
      </w:r>
      <w:r w:rsidR="00EC681A">
        <w:rPr>
          <w:szCs w:val="20"/>
          <w:lang w:val="fr-CH"/>
        </w:rPr>
        <w:t>SETT</w:t>
      </w:r>
      <w:r w:rsidR="00EC681A" w:rsidRPr="00CF6D6A">
        <w:rPr>
          <w:szCs w:val="20"/>
          <w:lang w:val="fr-CH"/>
        </w:rPr>
        <w:t xml:space="preserve"> </w:t>
      </w:r>
      <w:r w:rsidR="00EC681A">
        <w:rPr>
          <w:szCs w:val="20"/>
          <w:lang w:val="fr-CH"/>
        </w:rPr>
        <w:t>et s</w:t>
      </w:r>
      <w:r w:rsidRPr="00CF6D6A">
        <w:rPr>
          <w:szCs w:val="20"/>
          <w:lang w:val="fr-CH"/>
        </w:rPr>
        <w:t xml:space="preserve">es </w:t>
      </w:r>
      <w:r w:rsidR="00BF1EB7" w:rsidRPr="00CF6D6A">
        <w:rPr>
          <w:szCs w:val="20"/>
          <w:lang w:val="fr-CH"/>
        </w:rPr>
        <w:t>ressources</w:t>
      </w:r>
      <w:r w:rsidRPr="00CF6D6A">
        <w:rPr>
          <w:szCs w:val="20"/>
          <w:lang w:val="fr-CH"/>
        </w:rPr>
        <w:t xml:space="preserve"> devraient être modifiées </w:t>
      </w:r>
      <w:r w:rsidR="00BF1EB7" w:rsidRPr="00CF6D6A">
        <w:rPr>
          <w:szCs w:val="20"/>
          <w:lang w:val="fr-CH"/>
        </w:rPr>
        <w:t>s’il</w:t>
      </w:r>
      <w:r w:rsidRPr="00CF6D6A">
        <w:rPr>
          <w:szCs w:val="20"/>
          <w:lang w:val="fr-CH"/>
        </w:rPr>
        <w:t xml:space="preserve"> est décidé de confier l’élaboration d’une telle stratégie au </w:t>
      </w:r>
      <w:r w:rsidR="00EC681A">
        <w:rPr>
          <w:szCs w:val="20"/>
          <w:lang w:val="fr-CH"/>
        </w:rPr>
        <w:t>SETT</w:t>
      </w:r>
      <w:r w:rsidRPr="00CF6D6A">
        <w:rPr>
          <w:szCs w:val="20"/>
          <w:lang w:val="fr-CH"/>
        </w:rPr>
        <w:t>.</w:t>
      </w:r>
      <w:r w:rsidR="00EC681A">
        <w:rPr>
          <w:szCs w:val="20"/>
          <w:lang w:val="fr-CH"/>
        </w:rPr>
        <w:t xml:space="preserve"> </w:t>
      </w:r>
      <w:r w:rsidR="00EC681A" w:rsidRPr="00EC681A">
        <w:rPr>
          <w:szCs w:val="20"/>
          <w:lang w:val="fr-CH"/>
        </w:rPr>
        <w:t>Son mandat</w:t>
      </w:r>
      <w:r w:rsidR="00EC681A">
        <w:rPr>
          <w:szCs w:val="20"/>
          <w:lang w:val="fr-CH"/>
        </w:rPr>
        <w:t xml:space="preserve">, et plus précisément celui de son prédécesseur, à savoir le </w:t>
      </w:r>
      <w:r w:rsidR="00EC681A" w:rsidRPr="00EC681A">
        <w:rPr>
          <w:szCs w:val="20"/>
          <w:lang w:val="fr-CH"/>
        </w:rPr>
        <w:t>Service de coordination contre la traite d’êtres humains et le trafic de migrants (SCOTT)</w:t>
      </w:r>
      <w:r w:rsidR="00EC681A">
        <w:rPr>
          <w:szCs w:val="20"/>
          <w:lang w:val="fr-CH"/>
        </w:rPr>
        <w:t xml:space="preserve">, est défini dans </w:t>
      </w:r>
      <w:hyperlink r:id="rId9" w:history="1">
        <w:r w:rsidR="00EC681A" w:rsidRPr="00EC681A">
          <w:rPr>
            <w:rStyle w:val="Hyperlink"/>
            <w:szCs w:val="20"/>
            <w:lang w:val="fr-CH"/>
          </w:rPr>
          <w:t>l’Ordonnance sur les mesures de prévention de la traite des êtres humains</w:t>
        </w:r>
      </w:hyperlink>
      <w:r w:rsidR="005452E8">
        <w:rPr>
          <w:szCs w:val="20"/>
          <w:lang w:val="fr-CH"/>
        </w:rPr>
        <w:t xml:space="preserve"> (RS </w:t>
      </w:r>
      <w:r w:rsidR="005452E8" w:rsidRPr="005452E8">
        <w:rPr>
          <w:szCs w:val="20"/>
          <w:lang w:val="fr-CH"/>
        </w:rPr>
        <w:t>311.039.3</w:t>
      </w:r>
      <w:r w:rsidR="005452E8">
        <w:rPr>
          <w:szCs w:val="20"/>
          <w:lang w:val="fr-CH"/>
        </w:rPr>
        <w:t>)</w:t>
      </w:r>
      <w:r w:rsidR="00EC681A">
        <w:rPr>
          <w:szCs w:val="20"/>
          <w:lang w:val="fr-CH"/>
        </w:rPr>
        <w:t xml:space="preserve">. </w:t>
      </w:r>
      <w:bookmarkStart w:id="0" w:name="_GoBack"/>
      <w:bookmarkEnd w:id="0"/>
    </w:p>
    <w:p w:rsidR="006E01B7" w:rsidRPr="00EC681A" w:rsidRDefault="006E01B7" w:rsidP="00CF6D6A">
      <w:pPr>
        <w:jc w:val="both"/>
        <w:rPr>
          <w:szCs w:val="20"/>
          <w:lang w:val="fr-CH"/>
        </w:rPr>
      </w:pPr>
    </w:p>
    <w:p w:rsidR="006E01B7" w:rsidRPr="00EC681A" w:rsidRDefault="006E01B7" w:rsidP="00CF6D6A">
      <w:pPr>
        <w:jc w:val="both"/>
        <w:rPr>
          <w:b/>
          <w:szCs w:val="20"/>
          <w:u w:val="single"/>
        </w:rPr>
      </w:pPr>
      <w:r w:rsidRPr="00EC681A">
        <w:rPr>
          <w:b/>
          <w:szCs w:val="20"/>
          <w:u w:val="single"/>
        </w:rPr>
        <w:t xml:space="preserve">Paragraphe 25 </w:t>
      </w:r>
    </w:p>
    <w:p w:rsidR="006E01B7" w:rsidRPr="00EC681A" w:rsidRDefault="006E01B7" w:rsidP="00CF6D6A">
      <w:pPr>
        <w:jc w:val="both"/>
        <w:rPr>
          <w:szCs w:val="20"/>
        </w:rPr>
      </w:pPr>
    </w:p>
    <w:p w:rsidR="006E01B7" w:rsidRPr="006E01B7" w:rsidRDefault="006E01B7" w:rsidP="006E01B7">
      <w:pPr>
        <w:jc w:val="both"/>
        <w:rPr>
          <w:szCs w:val="20"/>
          <w:lang w:val="fr-CH"/>
        </w:rPr>
      </w:pPr>
      <w:r w:rsidRPr="006E01B7">
        <w:rPr>
          <w:szCs w:val="20"/>
          <w:lang w:val="fr-CH"/>
        </w:rPr>
        <w:t>Cette disposition pose problème actuellement à la Suisse.</w:t>
      </w:r>
    </w:p>
    <w:p w:rsidR="006E01B7" w:rsidRPr="006E01B7" w:rsidRDefault="006E01B7" w:rsidP="006E01B7">
      <w:pPr>
        <w:jc w:val="both"/>
        <w:rPr>
          <w:szCs w:val="20"/>
          <w:lang w:val="fr-CH"/>
        </w:rPr>
      </w:pPr>
    </w:p>
    <w:p w:rsidR="006E01B7" w:rsidRPr="006E01B7" w:rsidRDefault="006E01B7" w:rsidP="006E01B7">
      <w:pPr>
        <w:jc w:val="both"/>
        <w:rPr>
          <w:szCs w:val="20"/>
          <w:lang w:val="fr-CH"/>
        </w:rPr>
      </w:pPr>
      <w:r w:rsidRPr="006E01B7">
        <w:rPr>
          <w:szCs w:val="20"/>
          <w:lang w:val="fr-CH"/>
        </w:rPr>
        <w:t xml:space="preserve">Le </w:t>
      </w:r>
      <w:r w:rsidR="00EC681A">
        <w:rPr>
          <w:szCs w:val="20"/>
          <w:lang w:val="fr-CH"/>
        </w:rPr>
        <w:t>SETT</w:t>
      </w:r>
      <w:r w:rsidR="00EC681A" w:rsidRPr="00CF6D6A">
        <w:rPr>
          <w:szCs w:val="20"/>
          <w:lang w:val="fr-CH"/>
        </w:rPr>
        <w:t xml:space="preserve"> </w:t>
      </w:r>
      <w:r w:rsidRPr="006E01B7">
        <w:rPr>
          <w:szCs w:val="20"/>
          <w:lang w:val="fr-CH"/>
        </w:rPr>
        <w:t>ne répond clairement pas à ces exigences :</w:t>
      </w:r>
    </w:p>
    <w:p w:rsidR="006E01B7" w:rsidRDefault="006E01B7" w:rsidP="006E01B7">
      <w:pPr>
        <w:pStyle w:val="ListParagraph"/>
        <w:numPr>
          <w:ilvl w:val="0"/>
          <w:numId w:val="6"/>
        </w:numPr>
        <w:jc w:val="both"/>
        <w:rPr>
          <w:szCs w:val="20"/>
          <w:lang w:val="fr-CH"/>
        </w:rPr>
      </w:pPr>
      <w:r w:rsidRPr="006E01B7">
        <w:rPr>
          <w:szCs w:val="20"/>
          <w:lang w:val="fr-CH"/>
        </w:rPr>
        <w:t xml:space="preserve">Il n’a pas de mandat en matière d’adoption illégale, ni en </w:t>
      </w:r>
      <w:r w:rsidR="00815D1A" w:rsidRPr="006E01B7">
        <w:rPr>
          <w:szCs w:val="20"/>
          <w:lang w:val="fr-CH"/>
        </w:rPr>
        <w:t>matière</w:t>
      </w:r>
      <w:r w:rsidRPr="006E01B7">
        <w:rPr>
          <w:szCs w:val="20"/>
          <w:lang w:val="fr-CH"/>
        </w:rPr>
        <w:t xml:space="preserve"> </w:t>
      </w:r>
      <w:r w:rsidR="00815D1A">
        <w:rPr>
          <w:szCs w:val="20"/>
          <w:lang w:val="fr-CH"/>
        </w:rPr>
        <w:t>de lutte contre la pornographie.</w:t>
      </w:r>
    </w:p>
    <w:p w:rsidR="006E01B7" w:rsidRDefault="006E01B7" w:rsidP="006E01B7">
      <w:pPr>
        <w:pStyle w:val="ListParagraph"/>
        <w:numPr>
          <w:ilvl w:val="0"/>
          <w:numId w:val="6"/>
        </w:numPr>
        <w:jc w:val="both"/>
        <w:rPr>
          <w:szCs w:val="20"/>
          <w:lang w:val="fr-CH"/>
        </w:rPr>
      </w:pPr>
      <w:r w:rsidRPr="006E01B7">
        <w:rPr>
          <w:szCs w:val="20"/>
          <w:lang w:val="fr-CH"/>
        </w:rPr>
        <w:t xml:space="preserve">Il n’a pas l’autorité requise par ces </w:t>
      </w:r>
      <w:r w:rsidR="00815D1A">
        <w:rPr>
          <w:szCs w:val="20"/>
          <w:lang w:val="fr-CH"/>
        </w:rPr>
        <w:t>lignes directrices.</w:t>
      </w:r>
    </w:p>
    <w:p w:rsidR="006E01B7" w:rsidRDefault="006E01B7" w:rsidP="006E01B7">
      <w:pPr>
        <w:pStyle w:val="ListParagraph"/>
        <w:numPr>
          <w:ilvl w:val="0"/>
          <w:numId w:val="6"/>
        </w:numPr>
        <w:jc w:val="both"/>
        <w:rPr>
          <w:szCs w:val="20"/>
          <w:lang w:val="fr-CH"/>
        </w:rPr>
      </w:pPr>
      <w:r w:rsidRPr="006E01B7">
        <w:rPr>
          <w:szCs w:val="20"/>
          <w:lang w:val="fr-CH"/>
        </w:rPr>
        <w:t>Il ne coordonne pas tous les acteurs requis pour couvrir l’en</w:t>
      </w:r>
      <w:r w:rsidR="00815D1A">
        <w:rPr>
          <w:szCs w:val="20"/>
          <w:lang w:val="fr-CH"/>
        </w:rPr>
        <w:t>semble des thématiques touchées.</w:t>
      </w:r>
    </w:p>
    <w:p w:rsidR="006E01B7" w:rsidRPr="006E01B7" w:rsidRDefault="006E01B7" w:rsidP="006E01B7">
      <w:pPr>
        <w:pStyle w:val="ListParagraph"/>
        <w:numPr>
          <w:ilvl w:val="0"/>
          <w:numId w:val="6"/>
        </w:numPr>
        <w:jc w:val="both"/>
        <w:rPr>
          <w:szCs w:val="20"/>
          <w:lang w:val="fr-CH"/>
        </w:rPr>
      </w:pPr>
      <w:r w:rsidRPr="006E01B7">
        <w:rPr>
          <w:szCs w:val="20"/>
          <w:lang w:val="fr-CH"/>
        </w:rPr>
        <w:t xml:space="preserve">Il n’a pas les </w:t>
      </w:r>
      <w:r w:rsidR="00815D1A" w:rsidRPr="006E01B7">
        <w:rPr>
          <w:szCs w:val="20"/>
          <w:lang w:val="fr-CH"/>
        </w:rPr>
        <w:t>ressources</w:t>
      </w:r>
      <w:r w:rsidRPr="006E01B7">
        <w:rPr>
          <w:szCs w:val="20"/>
          <w:lang w:val="fr-CH"/>
        </w:rPr>
        <w:t xml:space="preserve"> nécessaires pour élargir son domaine d’activité.</w:t>
      </w:r>
    </w:p>
    <w:p w:rsidR="006E01B7" w:rsidRPr="006E01B7" w:rsidRDefault="006E01B7" w:rsidP="006E01B7">
      <w:pPr>
        <w:jc w:val="both"/>
        <w:rPr>
          <w:szCs w:val="20"/>
          <w:lang w:val="fr-CH"/>
        </w:rPr>
      </w:pPr>
    </w:p>
    <w:p w:rsidR="006E01B7" w:rsidRDefault="006E01B7" w:rsidP="006E01B7">
      <w:pPr>
        <w:jc w:val="both"/>
        <w:rPr>
          <w:szCs w:val="20"/>
          <w:lang w:val="fr-CH"/>
        </w:rPr>
      </w:pPr>
      <w:r w:rsidRPr="006E01B7">
        <w:rPr>
          <w:szCs w:val="20"/>
          <w:lang w:val="fr-CH"/>
        </w:rPr>
        <w:t xml:space="preserve">Dans le </w:t>
      </w:r>
      <w:r w:rsidR="00815D1A">
        <w:rPr>
          <w:szCs w:val="20"/>
          <w:lang w:val="fr-CH"/>
        </w:rPr>
        <w:t xml:space="preserve">message du </w:t>
      </w:r>
      <w:hyperlink r:id="rId10" w:history="1">
        <w:r w:rsidR="00815D1A" w:rsidRPr="00815D1A">
          <w:rPr>
            <w:rStyle w:val="Hyperlink"/>
            <w:szCs w:val="20"/>
            <w:lang w:val="fr-CH"/>
          </w:rPr>
          <w:t>Conseil fédéral du 11 mars 2005</w:t>
        </w:r>
      </w:hyperlink>
      <w:r w:rsidR="00815D1A">
        <w:rPr>
          <w:szCs w:val="20"/>
          <w:lang w:val="fr-CH"/>
        </w:rPr>
        <w:t xml:space="preserve">, il </w:t>
      </w:r>
      <w:r w:rsidRPr="006E01B7">
        <w:rPr>
          <w:szCs w:val="20"/>
          <w:lang w:val="fr-CH"/>
        </w:rPr>
        <w:t xml:space="preserve">est toutefois fait mention du SCOTT et du </w:t>
      </w:r>
      <w:r w:rsidR="00815D1A" w:rsidRPr="00815D1A">
        <w:rPr>
          <w:szCs w:val="20"/>
          <w:lang w:val="fr-CH"/>
        </w:rPr>
        <w:t xml:space="preserve"> Service de coordination de la lutte contre la criminalité sur Internet</w:t>
      </w:r>
      <w:r w:rsidR="00815D1A">
        <w:rPr>
          <w:szCs w:val="20"/>
          <w:lang w:val="fr-CH"/>
        </w:rPr>
        <w:t xml:space="preserve"> (</w:t>
      </w:r>
      <w:r w:rsidRPr="006E01B7">
        <w:rPr>
          <w:szCs w:val="20"/>
          <w:lang w:val="fr-CH"/>
        </w:rPr>
        <w:t>SCOCI</w:t>
      </w:r>
      <w:r w:rsidR="00815D1A">
        <w:rPr>
          <w:szCs w:val="20"/>
          <w:lang w:val="fr-CH"/>
        </w:rPr>
        <w:t>)</w:t>
      </w:r>
      <w:r w:rsidRPr="006E01B7">
        <w:rPr>
          <w:szCs w:val="20"/>
          <w:lang w:val="fr-CH"/>
        </w:rPr>
        <w:t xml:space="preserve"> (page 2676). Ces deux services ayant été récemment modifiés, ils ne peuvent en l’état actuel répondre aux exigences de ces lignes directrices</w:t>
      </w:r>
      <w:r w:rsidR="00815D1A">
        <w:rPr>
          <w:szCs w:val="20"/>
          <w:lang w:val="fr-CH"/>
        </w:rPr>
        <w:t xml:space="preserve">. </w:t>
      </w:r>
    </w:p>
    <w:p w:rsidR="00815D1A" w:rsidRDefault="00815D1A" w:rsidP="006E01B7">
      <w:pPr>
        <w:jc w:val="both"/>
        <w:rPr>
          <w:szCs w:val="20"/>
          <w:lang w:val="fr-CH"/>
        </w:rPr>
      </w:pPr>
    </w:p>
    <w:p w:rsidR="008743AA" w:rsidRDefault="008743AA" w:rsidP="006E01B7">
      <w:pPr>
        <w:jc w:val="both"/>
        <w:rPr>
          <w:szCs w:val="20"/>
          <w:lang w:val="fr-CH"/>
        </w:rPr>
      </w:pPr>
    </w:p>
    <w:p w:rsidR="008743AA" w:rsidRDefault="008743AA" w:rsidP="006E01B7">
      <w:pPr>
        <w:jc w:val="both"/>
        <w:rPr>
          <w:szCs w:val="20"/>
          <w:lang w:val="fr-CH"/>
        </w:rPr>
      </w:pPr>
    </w:p>
    <w:p w:rsidR="008743AA" w:rsidRDefault="008743AA" w:rsidP="006E01B7">
      <w:pPr>
        <w:jc w:val="both"/>
        <w:rPr>
          <w:szCs w:val="20"/>
          <w:lang w:val="fr-CH"/>
        </w:rPr>
      </w:pPr>
    </w:p>
    <w:p w:rsidR="00815D1A" w:rsidRPr="00815D1A" w:rsidRDefault="00815D1A" w:rsidP="006E01B7">
      <w:pPr>
        <w:jc w:val="both"/>
        <w:rPr>
          <w:b/>
          <w:szCs w:val="20"/>
          <w:u w:val="single"/>
          <w:lang w:val="fr-CH"/>
        </w:rPr>
      </w:pPr>
      <w:r w:rsidRPr="00815D1A">
        <w:rPr>
          <w:b/>
          <w:szCs w:val="20"/>
          <w:u w:val="single"/>
          <w:lang w:val="fr-CH"/>
        </w:rPr>
        <w:t xml:space="preserve">Paragraphe 27 </w:t>
      </w:r>
    </w:p>
    <w:p w:rsidR="00815D1A" w:rsidRDefault="00815D1A" w:rsidP="006E01B7">
      <w:pPr>
        <w:jc w:val="both"/>
        <w:rPr>
          <w:szCs w:val="20"/>
          <w:lang w:val="fr-CH"/>
        </w:rPr>
      </w:pPr>
    </w:p>
    <w:p w:rsidR="00815D1A" w:rsidRDefault="00815D1A" w:rsidP="006E01B7">
      <w:pPr>
        <w:jc w:val="both"/>
        <w:rPr>
          <w:szCs w:val="20"/>
          <w:lang w:val="fr-CH"/>
        </w:rPr>
      </w:pPr>
      <w:r w:rsidRPr="00815D1A">
        <w:rPr>
          <w:szCs w:val="20"/>
          <w:lang w:val="fr-CH"/>
        </w:rPr>
        <w:t xml:space="preserve">Il n’y a pas de budget spécifique alloué à cette thématique. Là également, la Suisse ne répond pas aux exigences de ces </w:t>
      </w:r>
      <w:r>
        <w:rPr>
          <w:szCs w:val="20"/>
          <w:lang w:val="fr-CH"/>
        </w:rPr>
        <w:t>lignes directrices</w:t>
      </w:r>
      <w:r w:rsidRPr="00815D1A">
        <w:rPr>
          <w:szCs w:val="20"/>
          <w:lang w:val="fr-CH"/>
        </w:rPr>
        <w:t>.</w:t>
      </w:r>
    </w:p>
    <w:p w:rsidR="00815D1A" w:rsidRDefault="00815D1A" w:rsidP="006E01B7">
      <w:pPr>
        <w:jc w:val="both"/>
        <w:rPr>
          <w:szCs w:val="20"/>
          <w:lang w:val="fr-CH"/>
        </w:rPr>
      </w:pPr>
    </w:p>
    <w:p w:rsidR="00815D1A" w:rsidRPr="00815D1A" w:rsidRDefault="00815D1A" w:rsidP="006E01B7">
      <w:pPr>
        <w:jc w:val="both"/>
        <w:rPr>
          <w:b/>
          <w:szCs w:val="20"/>
          <w:u w:val="single"/>
          <w:lang w:val="fr-CH"/>
        </w:rPr>
      </w:pPr>
      <w:r w:rsidRPr="00815D1A">
        <w:rPr>
          <w:b/>
          <w:szCs w:val="20"/>
          <w:u w:val="single"/>
          <w:lang w:val="fr-CH"/>
        </w:rPr>
        <w:t xml:space="preserve">Paragraphe 29 </w:t>
      </w:r>
    </w:p>
    <w:p w:rsidR="00815D1A" w:rsidRDefault="00815D1A" w:rsidP="006E01B7">
      <w:pPr>
        <w:jc w:val="both"/>
        <w:rPr>
          <w:szCs w:val="20"/>
          <w:lang w:val="fr-CH"/>
        </w:rPr>
      </w:pPr>
    </w:p>
    <w:p w:rsidR="00815D1A" w:rsidRPr="00815D1A" w:rsidRDefault="00815D1A" w:rsidP="00815D1A">
      <w:pPr>
        <w:jc w:val="both"/>
        <w:rPr>
          <w:szCs w:val="20"/>
          <w:lang w:val="fr-CH"/>
        </w:rPr>
      </w:pPr>
      <w:r w:rsidRPr="00815D1A">
        <w:rPr>
          <w:szCs w:val="20"/>
          <w:lang w:val="fr-CH"/>
        </w:rPr>
        <w:t xml:space="preserve">Ce n’est pas le mandat du </w:t>
      </w:r>
      <w:r w:rsidR="00EC681A">
        <w:rPr>
          <w:szCs w:val="20"/>
          <w:lang w:val="fr-CH"/>
        </w:rPr>
        <w:t>SETT</w:t>
      </w:r>
      <w:r w:rsidRPr="00815D1A">
        <w:rPr>
          <w:szCs w:val="20"/>
          <w:lang w:val="fr-CH"/>
        </w:rPr>
        <w:t xml:space="preserve">. </w:t>
      </w:r>
    </w:p>
    <w:p w:rsidR="00815D1A" w:rsidRPr="00815D1A" w:rsidRDefault="00815D1A" w:rsidP="00815D1A">
      <w:pPr>
        <w:jc w:val="both"/>
        <w:rPr>
          <w:szCs w:val="20"/>
          <w:lang w:val="fr-CH"/>
        </w:rPr>
      </w:pPr>
    </w:p>
    <w:p w:rsidR="00815D1A" w:rsidRPr="00815D1A" w:rsidRDefault="00815D1A" w:rsidP="00815D1A">
      <w:pPr>
        <w:jc w:val="both"/>
        <w:rPr>
          <w:szCs w:val="20"/>
          <w:lang w:val="fr-CH"/>
        </w:rPr>
      </w:pPr>
      <w:r w:rsidRPr="00815D1A">
        <w:rPr>
          <w:szCs w:val="20"/>
          <w:lang w:val="fr-CH"/>
        </w:rPr>
        <w:t xml:space="preserve">Dans le message du </w:t>
      </w:r>
      <w:hyperlink r:id="rId11" w:history="1">
        <w:r w:rsidRPr="00815D1A">
          <w:rPr>
            <w:rStyle w:val="Hyperlink"/>
            <w:szCs w:val="20"/>
            <w:lang w:val="fr-CH"/>
          </w:rPr>
          <w:t>Conseil fédéral du 11 mars 2005</w:t>
        </w:r>
      </w:hyperlink>
      <w:r w:rsidRPr="00815D1A">
        <w:rPr>
          <w:szCs w:val="20"/>
          <w:lang w:val="fr-CH"/>
        </w:rPr>
        <w:t>, il est fait mention de la Centrale pour les questions familiales (page 2675) :</w:t>
      </w:r>
    </w:p>
    <w:p w:rsidR="00815D1A" w:rsidRPr="00815D1A" w:rsidRDefault="00815D1A" w:rsidP="00815D1A">
      <w:pPr>
        <w:jc w:val="both"/>
        <w:rPr>
          <w:szCs w:val="20"/>
          <w:lang w:val="fr-CH"/>
        </w:rPr>
      </w:pPr>
    </w:p>
    <w:p w:rsidR="00815D1A" w:rsidRDefault="00815D1A" w:rsidP="00815D1A">
      <w:pPr>
        <w:jc w:val="both"/>
        <w:rPr>
          <w:szCs w:val="20"/>
          <w:lang w:val="fr-CH"/>
        </w:rPr>
      </w:pPr>
      <w:r w:rsidRPr="00815D1A">
        <w:rPr>
          <w:szCs w:val="20"/>
          <w:lang w:val="fr-CH"/>
        </w:rPr>
        <w:t>« Au niveau fédéral, la Centrale pour les questions familiales exerce actuellement une fonction de coordination en matière de prévention des maltraitances infantiles et de protection de l’enfance. Elle soutient et initie des actions et des projets de sensibilisation et de prévention, notamment dans le domaine de l’exploitation sexuelle des enfants à des fins commerciales, ceci souvent en étroite collaboration avec des organisations non gouvernemental</w:t>
      </w:r>
      <w:r>
        <w:rPr>
          <w:szCs w:val="20"/>
          <w:lang w:val="fr-CH"/>
        </w:rPr>
        <w:t xml:space="preserve">es spécialisées ». </w:t>
      </w:r>
    </w:p>
    <w:p w:rsidR="00815D1A" w:rsidRDefault="00815D1A" w:rsidP="00815D1A">
      <w:pPr>
        <w:jc w:val="both"/>
        <w:rPr>
          <w:szCs w:val="20"/>
          <w:lang w:val="fr-CH"/>
        </w:rPr>
      </w:pPr>
    </w:p>
    <w:p w:rsidR="00815D1A" w:rsidRPr="00815D1A" w:rsidRDefault="00815D1A" w:rsidP="00815D1A">
      <w:pPr>
        <w:jc w:val="both"/>
        <w:rPr>
          <w:b/>
          <w:szCs w:val="20"/>
          <w:u w:val="single"/>
          <w:lang w:val="fr-CH"/>
        </w:rPr>
      </w:pPr>
      <w:r w:rsidRPr="00815D1A">
        <w:rPr>
          <w:b/>
          <w:szCs w:val="20"/>
          <w:u w:val="single"/>
          <w:lang w:val="fr-CH"/>
        </w:rPr>
        <w:t xml:space="preserve">Paragraphe 30 </w:t>
      </w:r>
    </w:p>
    <w:p w:rsidR="00815D1A" w:rsidRDefault="00815D1A" w:rsidP="00815D1A">
      <w:pPr>
        <w:jc w:val="both"/>
        <w:rPr>
          <w:szCs w:val="20"/>
          <w:lang w:val="fr-CH"/>
        </w:rPr>
      </w:pPr>
    </w:p>
    <w:p w:rsidR="00815D1A" w:rsidRPr="00815D1A" w:rsidRDefault="00815D1A" w:rsidP="00815D1A">
      <w:pPr>
        <w:jc w:val="both"/>
        <w:rPr>
          <w:szCs w:val="20"/>
          <w:lang w:val="fr-CH"/>
        </w:rPr>
      </w:pPr>
      <w:r w:rsidRPr="00815D1A">
        <w:rPr>
          <w:szCs w:val="20"/>
          <w:lang w:val="fr-CH"/>
        </w:rPr>
        <w:t xml:space="preserve">La Suisse ne peut pas mettre en </w:t>
      </w:r>
      <w:r w:rsidRPr="00815D1A">
        <w:rPr>
          <w:szCs w:val="20"/>
          <w:lang w:val="fr-CH"/>
        </w:rPr>
        <w:t>œuvre</w:t>
      </w:r>
      <w:r w:rsidRPr="00815D1A">
        <w:rPr>
          <w:szCs w:val="20"/>
          <w:lang w:val="fr-CH"/>
        </w:rPr>
        <w:t xml:space="preserve"> cette disposition actuellement.</w:t>
      </w:r>
    </w:p>
    <w:p w:rsidR="00815D1A" w:rsidRPr="00815D1A" w:rsidRDefault="00815D1A" w:rsidP="00815D1A">
      <w:pPr>
        <w:jc w:val="both"/>
        <w:rPr>
          <w:szCs w:val="20"/>
          <w:lang w:val="fr-CH"/>
        </w:rPr>
      </w:pPr>
    </w:p>
    <w:p w:rsidR="00815D1A" w:rsidRDefault="00815D1A" w:rsidP="00815D1A">
      <w:pPr>
        <w:jc w:val="both"/>
        <w:rPr>
          <w:szCs w:val="20"/>
          <w:lang w:val="fr-CH"/>
        </w:rPr>
      </w:pPr>
      <w:r w:rsidRPr="00815D1A">
        <w:rPr>
          <w:szCs w:val="20"/>
          <w:lang w:val="fr-CH"/>
        </w:rPr>
        <w:t xml:space="preserve">Les formations organisées par le </w:t>
      </w:r>
      <w:r w:rsidR="00EC681A">
        <w:rPr>
          <w:szCs w:val="20"/>
          <w:lang w:val="fr-CH"/>
        </w:rPr>
        <w:t>SETT</w:t>
      </w:r>
      <w:r w:rsidR="00EC681A" w:rsidRPr="00CF6D6A">
        <w:rPr>
          <w:szCs w:val="20"/>
          <w:lang w:val="fr-CH"/>
        </w:rPr>
        <w:t xml:space="preserve"> </w:t>
      </w:r>
      <w:r w:rsidRPr="00815D1A">
        <w:rPr>
          <w:szCs w:val="20"/>
          <w:lang w:val="fr-CH"/>
        </w:rPr>
        <w:t>ne conviennent pas, du fait :</w:t>
      </w:r>
    </w:p>
    <w:p w:rsidR="00815D1A" w:rsidRPr="00815D1A" w:rsidRDefault="00815D1A" w:rsidP="00815D1A">
      <w:pPr>
        <w:jc w:val="both"/>
        <w:rPr>
          <w:szCs w:val="20"/>
          <w:lang w:val="fr-CH"/>
        </w:rPr>
      </w:pPr>
    </w:p>
    <w:p w:rsidR="00815D1A" w:rsidRPr="00815D1A" w:rsidRDefault="00815D1A" w:rsidP="00815D1A">
      <w:pPr>
        <w:jc w:val="both"/>
        <w:rPr>
          <w:szCs w:val="20"/>
          <w:lang w:val="fr-CH"/>
        </w:rPr>
      </w:pPr>
      <w:r w:rsidRPr="00815D1A">
        <w:rPr>
          <w:szCs w:val="20"/>
          <w:lang w:val="fr-CH"/>
        </w:rPr>
        <w:t>1. Qu’elles ne couvrent pas tous les aspects de l’OPSC</w:t>
      </w:r>
      <w:r>
        <w:rPr>
          <w:szCs w:val="20"/>
          <w:lang w:val="fr-CH"/>
        </w:rPr>
        <w:t>.</w:t>
      </w:r>
    </w:p>
    <w:p w:rsidR="00815D1A" w:rsidRPr="00815D1A" w:rsidRDefault="00815D1A" w:rsidP="00815D1A">
      <w:pPr>
        <w:jc w:val="both"/>
        <w:rPr>
          <w:szCs w:val="20"/>
          <w:lang w:val="fr-CH"/>
        </w:rPr>
      </w:pPr>
      <w:r w:rsidRPr="00815D1A">
        <w:rPr>
          <w:szCs w:val="20"/>
          <w:lang w:val="fr-CH"/>
        </w:rPr>
        <w:t>2. Qu’elles ne s’adressent pas exactement aux même professionnels (en partie seulement).</w:t>
      </w:r>
    </w:p>
    <w:p w:rsidR="00815D1A" w:rsidRDefault="00815D1A" w:rsidP="00815D1A">
      <w:pPr>
        <w:jc w:val="both"/>
        <w:rPr>
          <w:szCs w:val="20"/>
          <w:lang w:val="fr-CH"/>
        </w:rPr>
      </w:pPr>
      <w:r w:rsidRPr="00815D1A">
        <w:rPr>
          <w:szCs w:val="20"/>
          <w:lang w:val="fr-CH"/>
        </w:rPr>
        <w:t xml:space="preserve">3. Que le </w:t>
      </w:r>
      <w:r w:rsidR="005F74F4">
        <w:rPr>
          <w:szCs w:val="20"/>
          <w:lang w:val="fr-CH"/>
        </w:rPr>
        <w:t>SETT</w:t>
      </w:r>
      <w:r w:rsidR="005F74F4" w:rsidRPr="00CF6D6A">
        <w:rPr>
          <w:szCs w:val="20"/>
          <w:lang w:val="fr-CH"/>
        </w:rPr>
        <w:t xml:space="preserve"> </w:t>
      </w:r>
      <w:r w:rsidRPr="00815D1A">
        <w:rPr>
          <w:szCs w:val="20"/>
          <w:lang w:val="fr-CH"/>
        </w:rPr>
        <w:t>n’a ni l’autorité ni les moyens pour former systématiquement les professionnels</w:t>
      </w:r>
      <w:r>
        <w:rPr>
          <w:szCs w:val="20"/>
          <w:lang w:val="fr-CH"/>
        </w:rPr>
        <w:t>.</w:t>
      </w:r>
    </w:p>
    <w:p w:rsidR="00550D13" w:rsidRDefault="00550D13" w:rsidP="00815D1A">
      <w:pPr>
        <w:jc w:val="both"/>
        <w:rPr>
          <w:szCs w:val="20"/>
          <w:lang w:val="fr-CH"/>
        </w:rPr>
      </w:pPr>
    </w:p>
    <w:p w:rsidR="00550D13" w:rsidRPr="00550D13" w:rsidRDefault="00550D13" w:rsidP="00815D1A">
      <w:pPr>
        <w:jc w:val="both"/>
        <w:rPr>
          <w:b/>
          <w:szCs w:val="20"/>
          <w:u w:val="single"/>
          <w:lang w:val="fr-CH"/>
        </w:rPr>
      </w:pPr>
      <w:r w:rsidRPr="00550D13">
        <w:rPr>
          <w:b/>
          <w:szCs w:val="20"/>
          <w:u w:val="single"/>
          <w:lang w:val="fr-CH"/>
        </w:rPr>
        <w:t xml:space="preserve">Paragraphe 70 </w:t>
      </w:r>
    </w:p>
    <w:p w:rsidR="00550D13" w:rsidRDefault="00550D13" w:rsidP="00815D1A">
      <w:pPr>
        <w:jc w:val="both"/>
        <w:rPr>
          <w:szCs w:val="20"/>
          <w:lang w:val="fr-CH"/>
        </w:rPr>
      </w:pPr>
    </w:p>
    <w:p w:rsidR="00550D13" w:rsidRDefault="00550D13" w:rsidP="00550D13">
      <w:pPr>
        <w:jc w:val="both"/>
        <w:rPr>
          <w:szCs w:val="20"/>
        </w:rPr>
      </w:pPr>
      <w:r>
        <w:rPr>
          <w:szCs w:val="20"/>
        </w:rPr>
        <w:t>Cette disposition pose actuellement problème à la Suisse, et en particulier le passage suivant: “</w:t>
      </w:r>
      <w:r w:rsidRPr="008743AA">
        <w:rPr>
          <w:i/>
          <w:szCs w:val="20"/>
        </w:rPr>
        <w:t xml:space="preserve">The Committee is concerned that the “self-generated” aspect of such material could increase the risk that the child is considered responsible instead of treated as a victim, and underscores that a child should never be held criminally liable for the production of images of her-/himself </w:t>
      </w:r>
      <w:r w:rsidRPr="00550D13">
        <w:rPr>
          <w:szCs w:val="20"/>
        </w:rPr>
        <w:t xml:space="preserve">“. </w:t>
      </w:r>
    </w:p>
    <w:p w:rsidR="00550D13" w:rsidRDefault="00550D13" w:rsidP="00550D13">
      <w:pPr>
        <w:jc w:val="both"/>
        <w:rPr>
          <w:szCs w:val="20"/>
        </w:rPr>
      </w:pPr>
    </w:p>
    <w:p w:rsidR="00550D13" w:rsidRPr="00550D13" w:rsidRDefault="00550D13" w:rsidP="0028124A">
      <w:pPr>
        <w:jc w:val="both"/>
        <w:rPr>
          <w:szCs w:val="20"/>
          <w:lang w:val="fr-CH"/>
        </w:rPr>
      </w:pPr>
      <w:r>
        <w:rPr>
          <w:szCs w:val="20"/>
          <w:lang w:val="fr-CH"/>
        </w:rPr>
        <w:t>Selon l</w:t>
      </w:r>
      <w:r w:rsidR="0028124A">
        <w:rPr>
          <w:szCs w:val="20"/>
          <w:lang w:val="fr-CH"/>
        </w:rPr>
        <w:t>e droit</w:t>
      </w:r>
      <w:r>
        <w:rPr>
          <w:szCs w:val="20"/>
          <w:lang w:val="fr-CH"/>
        </w:rPr>
        <w:t xml:space="preserve"> </w:t>
      </w:r>
      <w:r w:rsidRPr="00550D13">
        <w:rPr>
          <w:szCs w:val="20"/>
          <w:lang w:val="fr-CH"/>
        </w:rPr>
        <w:t>pénal suisse,</w:t>
      </w:r>
      <w:r>
        <w:rPr>
          <w:szCs w:val="20"/>
          <w:lang w:val="fr-CH"/>
        </w:rPr>
        <w:t xml:space="preserve"> un enfant peut être tenu criminellement responsable pour un tel comportement. </w:t>
      </w:r>
      <w:r w:rsidR="0028124A">
        <w:rPr>
          <w:szCs w:val="20"/>
          <w:lang w:val="fr-CH"/>
        </w:rPr>
        <w:t>Le droit pénal suisse concernant les jeunes délinquants est alors applicable. Celui-ci stipule dans ces cas majoritairement des mesures éducationnelles. Par ailleurs, nous ne comprenons pas les raisons pour lesquelles un enfant responsable pour la production de « </w:t>
      </w:r>
      <w:r w:rsidR="0028124A" w:rsidRPr="0028124A">
        <w:rPr>
          <w:i/>
          <w:szCs w:val="20"/>
          <w:lang w:val="fr-CH"/>
        </w:rPr>
        <w:t xml:space="preserve">self-generated sexual </w:t>
      </w:r>
      <w:r w:rsidR="0028124A" w:rsidRPr="005452E8">
        <w:rPr>
          <w:i/>
          <w:szCs w:val="20"/>
          <w:lang w:val="fr-CH"/>
        </w:rPr>
        <w:t>material</w:t>
      </w:r>
      <w:r w:rsidR="0028124A" w:rsidRPr="005452E8">
        <w:rPr>
          <w:i/>
          <w:szCs w:val="20"/>
          <w:lang w:val="fr-CH"/>
        </w:rPr>
        <w:t> </w:t>
      </w:r>
      <w:r w:rsidR="0028124A" w:rsidRPr="005452E8">
        <w:rPr>
          <w:i/>
          <w:szCs w:val="20"/>
          <w:lang w:val="fr-CH"/>
        </w:rPr>
        <w:t>of her/himself</w:t>
      </w:r>
      <w:r w:rsidR="0028124A">
        <w:rPr>
          <w:szCs w:val="20"/>
          <w:lang w:val="fr-CH"/>
        </w:rPr>
        <w:t xml:space="preserve"> » devrait être traité comme une victime</w:t>
      </w:r>
      <w:r w:rsidR="008743AA">
        <w:rPr>
          <w:szCs w:val="20"/>
          <w:lang w:val="fr-CH"/>
        </w:rPr>
        <w:t>, en particulier de quoi il serait victime</w:t>
      </w:r>
      <w:r w:rsidR="0028124A">
        <w:rPr>
          <w:szCs w:val="20"/>
          <w:lang w:val="fr-CH"/>
        </w:rPr>
        <w:t xml:space="preserve">. La phrase entière devrait donc être supprimée, même si les lignes directrices ne sont pas juridiquement contraignantes. </w:t>
      </w:r>
    </w:p>
    <w:p w:rsidR="00550D13" w:rsidRDefault="00550D13" w:rsidP="00550D13">
      <w:pPr>
        <w:jc w:val="both"/>
        <w:rPr>
          <w:szCs w:val="20"/>
          <w:lang w:val="fr-CH"/>
        </w:rPr>
      </w:pPr>
    </w:p>
    <w:p w:rsidR="00815D1A" w:rsidRPr="00550D13" w:rsidRDefault="00815D1A" w:rsidP="00815D1A">
      <w:pPr>
        <w:jc w:val="both"/>
        <w:rPr>
          <w:szCs w:val="20"/>
        </w:rPr>
      </w:pPr>
    </w:p>
    <w:p w:rsidR="00815D1A" w:rsidRPr="00550D13" w:rsidRDefault="00815D1A" w:rsidP="00815D1A">
      <w:pPr>
        <w:jc w:val="both"/>
        <w:rPr>
          <w:szCs w:val="20"/>
        </w:rPr>
      </w:pPr>
    </w:p>
    <w:p w:rsidR="00815D1A" w:rsidRPr="00550D13" w:rsidRDefault="00815D1A">
      <w:pPr>
        <w:jc w:val="both"/>
        <w:rPr>
          <w:szCs w:val="20"/>
        </w:rPr>
      </w:pPr>
    </w:p>
    <w:sectPr w:rsidR="00815D1A" w:rsidRPr="00550D13" w:rsidSect="00E1146C">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5F1" w:rsidRDefault="002255F1">
      <w:r>
        <w:separator/>
      </w:r>
    </w:p>
  </w:endnote>
  <w:endnote w:type="continuationSeparator" w:id="0">
    <w:p w:rsidR="002255F1" w:rsidRDefault="0022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5F1" w:rsidRDefault="002255F1">
      <w:r>
        <w:separator/>
      </w:r>
    </w:p>
  </w:footnote>
  <w:footnote w:type="continuationSeparator" w:id="0">
    <w:p w:rsidR="002255F1" w:rsidRDefault="00225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3ED123E2"/>
    <w:multiLevelType w:val="hybridMultilevel"/>
    <w:tmpl w:val="BB367E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07"/>
    <w:rsid w:val="000069C8"/>
    <w:rsid w:val="000124D8"/>
    <w:rsid w:val="000235B8"/>
    <w:rsid w:val="000579DB"/>
    <w:rsid w:val="000663AA"/>
    <w:rsid w:val="00070A97"/>
    <w:rsid w:val="000830D3"/>
    <w:rsid w:val="000C379F"/>
    <w:rsid w:val="000C7DCA"/>
    <w:rsid w:val="00125BF4"/>
    <w:rsid w:val="00136234"/>
    <w:rsid w:val="00137B2B"/>
    <w:rsid w:val="0014327D"/>
    <w:rsid w:val="00147A57"/>
    <w:rsid w:val="00150507"/>
    <w:rsid w:val="001545B6"/>
    <w:rsid w:val="001A7506"/>
    <w:rsid w:val="001C26E7"/>
    <w:rsid w:val="001D04CF"/>
    <w:rsid w:val="001E23FF"/>
    <w:rsid w:val="00206300"/>
    <w:rsid w:val="002200CB"/>
    <w:rsid w:val="002202C9"/>
    <w:rsid w:val="002255F1"/>
    <w:rsid w:val="00235850"/>
    <w:rsid w:val="00246F40"/>
    <w:rsid w:val="00265C8D"/>
    <w:rsid w:val="0028124A"/>
    <w:rsid w:val="00281C11"/>
    <w:rsid w:val="00281EC0"/>
    <w:rsid w:val="0028733B"/>
    <w:rsid w:val="002B4F27"/>
    <w:rsid w:val="002C1EEC"/>
    <w:rsid w:val="002F0088"/>
    <w:rsid w:val="002F2DE5"/>
    <w:rsid w:val="00311907"/>
    <w:rsid w:val="003132A3"/>
    <w:rsid w:val="00317B7B"/>
    <w:rsid w:val="00330F50"/>
    <w:rsid w:val="00345274"/>
    <w:rsid w:val="00355BC2"/>
    <w:rsid w:val="00361440"/>
    <w:rsid w:val="00364E08"/>
    <w:rsid w:val="003707C8"/>
    <w:rsid w:val="00385B0E"/>
    <w:rsid w:val="00387147"/>
    <w:rsid w:val="00396572"/>
    <w:rsid w:val="003A0B06"/>
    <w:rsid w:val="003A2E6A"/>
    <w:rsid w:val="003B0AFB"/>
    <w:rsid w:val="003B28EB"/>
    <w:rsid w:val="003B5999"/>
    <w:rsid w:val="003C7402"/>
    <w:rsid w:val="003F231B"/>
    <w:rsid w:val="0043190D"/>
    <w:rsid w:val="00483FAE"/>
    <w:rsid w:val="004D3C5B"/>
    <w:rsid w:val="004E1E5C"/>
    <w:rsid w:val="00536BAE"/>
    <w:rsid w:val="00537DC6"/>
    <w:rsid w:val="005452E8"/>
    <w:rsid w:val="005466E0"/>
    <w:rsid w:val="00550D13"/>
    <w:rsid w:val="00597075"/>
    <w:rsid w:val="005C6A4E"/>
    <w:rsid w:val="005F74F4"/>
    <w:rsid w:val="00615FA5"/>
    <w:rsid w:val="00616296"/>
    <w:rsid w:val="00624A2E"/>
    <w:rsid w:val="00633061"/>
    <w:rsid w:val="006641E8"/>
    <w:rsid w:val="00683078"/>
    <w:rsid w:val="0068340B"/>
    <w:rsid w:val="0069419F"/>
    <w:rsid w:val="006A7644"/>
    <w:rsid w:val="006A77B2"/>
    <w:rsid w:val="006C76BD"/>
    <w:rsid w:val="006E01B7"/>
    <w:rsid w:val="006F0E17"/>
    <w:rsid w:val="006F38F1"/>
    <w:rsid w:val="006F4428"/>
    <w:rsid w:val="006F554B"/>
    <w:rsid w:val="00700C28"/>
    <w:rsid w:val="00706EB7"/>
    <w:rsid w:val="00712626"/>
    <w:rsid w:val="00720DC9"/>
    <w:rsid w:val="00731CD0"/>
    <w:rsid w:val="00737C62"/>
    <w:rsid w:val="00742E61"/>
    <w:rsid w:val="007552B7"/>
    <w:rsid w:val="00770489"/>
    <w:rsid w:val="00774024"/>
    <w:rsid w:val="00774408"/>
    <w:rsid w:val="00782DC4"/>
    <w:rsid w:val="007940BD"/>
    <w:rsid w:val="00795E1D"/>
    <w:rsid w:val="007B6835"/>
    <w:rsid w:val="007D57E9"/>
    <w:rsid w:val="007E4F9F"/>
    <w:rsid w:val="0080125E"/>
    <w:rsid w:val="00812F3B"/>
    <w:rsid w:val="00815D1A"/>
    <w:rsid w:val="008442AF"/>
    <w:rsid w:val="00850DFF"/>
    <w:rsid w:val="008666EE"/>
    <w:rsid w:val="00867E7A"/>
    <w:rsid w:val="00870243"/>
    <w:rsid w:val="008743AA"/>
    <w:rsid w:val="00891259"/>
    <w:rsid w:val="008C7938"/>
    <w:rsid w:val="008D6498"/>
    <w:rsid w:val="009214A8"/>
    <w:rsid w:val="0093094F"/>
    <w:rsid w:val="00945753"/>
    <w:rsid w:val="009723EF"/>
    <w:rsid w:val="009878AC"/>
    <w:rsid w:val="00991559"/>
    <w:rsid w:val="00995066"/>
    <w:rsid w:val="009A1953"/>
    <w:rsid w:val="009B6F2A"/>
    <w:rsid w:val="009F665C"/>
    <w:rsid w:val="00A30785"/>
    <w:rsid w:val="00A4029A"/>
    <w:rsid w:val="00A52A90"/>
    <w:rsid w:val="00A548B5"/>
    <w:rsid w:val="00A82F66"/>
    <w:rsid w:val="00A868EF"/>
    <w:rsid w:val="00AA40A6"/>
    <w:rsid w:val="00AC718A"/>
    <w:rsid w:val="00AC7B7C"/>
    <w:rsid w:val="00AD2EC8"/>
    <w:rsid w:val="00AE327A"/>
    <w:rsid w:val="00B11BD4"/>
    <w:rsid w:val="00B3461A"/>
    <w:rsid w:val="00B63D5B"/>
    <w:rsid w:val="00B84ACE"/>
    <w:rsid w:val="00B90EEC"/>
    <w:rsid w:val="00B95382"/>
    <w:rsid w:val="00BC157D"/>
    <w:rsid w:val="00BE2D89"/>
    <w:rsid w:val="00BF1EB7"/>
    <w:rsid w:val="00C11E0D"/>
    <w:rsid w:val="00C14945"/>
    <w:rsid w:val="00C2305B"/>
    <w:rsid w:val="00C714FC"/>
    <w:rsid w:val="00CA6338"/>
    <w:rsid w:val="00CB2986"/>
    <w:rsid w:val="00CC5433"/>
    <w:rsid w:val="00CF48CA"/>
    <w:rsid w:val="00CF6978"/>
    <w:rsid w:val="00CF6D6A"/>
    <w:rsid w:val="00D31F3A"/>
    <w:rsid w:val="00D46366"/>
    <w:rsid w:val="00D632E3"/>
    <w:rsid w:val="00D9559E"/>
    <w:rsid w:val="00DB0741"/>
    <w:rsid w:val="00DB24A1"/>
    <w:rsid w:val="00DB5DFE"/>
    <w:rsid w:val="00DC621A"/>
    <w:rsid w:val="00DF6B81"/>
    <w:rsid w:val="00E1146C"/>
    <w:rsid w:val="00E1453B"/>
    <w:rsid w:val="00E15A41"/>
    <w:rsid w:val="00E70018"/>
    <w:rsid w:val="00E805DA"/>
    <w:rsid w:val="00EA21F7"/>
    <w:rsid w:val="00EA38FF"/>
    <w:rsid w:val="00EB23A9"/>
    <w:rsid w:val="00EB4D42"/>
    <w:rsid w:val="00EC681A"/>
    <w:rsid w:val="00EE6679"/>
    <w:rsid w:val="00EF17BD"/>
    <w:rsid w:val="00F152C2"/>
    <w:rsid w:val="00F21F16"/>
    <w:rsid w:val="00F42BD8"/>
    <w:rsid w:val="00F437EC"/>
    <w:rsid w:val="00F606B7"/>
    <w:rsid w:val="00F747DD"/>
    <w:rsid w:val="00F830A6"/>
    <w:rsid w:val="00FA6932"/>
    <w:rsid w:val="00FB157D"/>
    <w:rsid w:val="00FB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CD7FB"/>
  <w15:chartTrackingRefBased/>
  <w15:docId w15:val="{B6BBC0C7-9CDE-49A3-B987-4019BAD4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6E01B7"/>
    <w:pPr>
      <w:ind w:left="720"/>
      <w:contextualSpacing/>
    </w:pPr>
  </w:style>
  <w:style w:type="character" w:styleId="Hyperlink">
    <w:name w:val="Hyperlink"/>
    <w:basedOn w:val="DefaultParagraphFont"/>
    <w:uiPriority w:val="99"/>
    <w:unhideWhenUsed/>
    <w:rsid w:val="00815D1A"/>
    <w:rPr>
      <w:color w:val="0000FF" w:themeColor="hyperlink"/>
      <w:u w:val="single"/>
    </w:rPr>
  </w:style>
  <w:style w:type="character" w:styleId="FollowedHyperlink">
    <w:name w:val="FollowedHyperlink"/>
    <w:basedOn w:val="DefaultParagraphFont"/>
    <w:uiPriority w:val="99"/>
    <w:semiHidden/>
    <w:unhideWhenUsed/>
    <w:rsid w:val="00815D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pol.admin.ch/fedpol/fr/home/kriminalitaet/menschenhande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min.ch/opc/fr/federal-gazette/2005/2639.pdf"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admin.ch/opc/fr/federal-gazette/2005/2639.pdf" TargetMode="External"/><Relationship Id="rId4" Type="http://schemas.openxmlformats.org/officeDocument/2006/relationships/settings" Target="settings.xml"/><Relationship Id="rId9" Type="http://schemas.openxmlformats.org/officeDocument/2006/relationships/hyperlink" Target="https://www.admin.ch/opc/fr/classified-compilation/20130817/index.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E770BF-A3E4-4DF7-B9C0-A0634773AF14}">
  <ds:schemaRefs>
    <ds:schemaRef ds:uri="http://schemas.openxmlformats.org/officeDocument/2006/bibliography"/>
  </ds:schemaRefs>
</ds:datastoreItem>
</file>

<file path=customXml/itemProps2.xml><?xml version="1.0" encoding="utf-8"?>
<ds:datastoreItem xmlns:ds="http://schemas.openxmlformats.org/officeDocument/2006/customXml" ds:itemID="{991716D4-69DA-4BB7-9653-F7B61122CD06}"/>
</file>

<file path=customXml/itemProps3.xml><?xml version="1.0" encoding="utf-8"?>
<ds:datastoreItem xmlns:ds="http://schemas.openxmlformats.org/officeDocument/2006/customXml" ds:itemID="{0DC59FF7-A3A1-4BCD-8B78-2BE7084A4DC6}"/>
</file>

<file path=customXml/itemProps4.xml><?xml version="1.0" encoding="utf-8"?>
<ds:datastoreItem xmlns:ds="http://schemas.openxmlformats.org/officeDocument/2006/customXml" ds:itemID="{DDC5872E-BD77-416F-9AAF-DF3EDF5AA5E4}"/>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Fréchin Samantha EDA FRM</dc:creator>
  <cp:keywords/>
  <dc:description/>
  <cp:lastModifiedBy>Fréchin Samantha EDA FRM</cp:lastModifiedBy>
  <cp:revision>7</cp:revision>
  <dcterms:created xsi:type="dcterms:W3CDTF">2019-03-29T08:42:00Z</dcterms:created>
  <dcterms:modified xsi:type="dcterms:W3CDTF">2019-03-29T10:13:00Z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