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4D" w:rsidRPr="00A8170F" w:rsidRDefault="00A91EC9" w:rsidP="0046434D">
      <w:pPr>
        <w:tabs>
          <w:tab w:val="left" w:pos="0"/>
        </w:tabs>
        <w:rPr>
          <w:rFonts w:ascii="Calibri" w:hAnsi="Calibri"/>
          <w:color w:val="404040"/>
          <w:sz w:val="22"/>
          <w:szCs w:val="22"/>
        </w:rPr>
      </w:pPr>
      <w:bookmarkStart w:id="0" w:name="_GoBack"/>
      <w:bookmarkEnd w:id="0"/>
      <w:r w:rsidRPr="00A8170F">
        <w:rPr>
          <w:rFonts w:ascii="Calibri" w:hAnsi="Calibri"/>
          <w:noProof/>
          <w:color w:val="404040"/>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2197100</wp:posOffset>
                </wp:positionH>
                <wp:positionV relativeFrom="paragraph">
                  <wp:posOffset>-642620</wp:posOffset>
                </wp:positionV>
                <wp:extent cx="4254500" cy="1193165"/>
                <wp:effectExtent l="127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1193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34D" w:rsidRPr="003D593C" w:rsidRDefault="0046434D" w:rsidP="0046434D">
                            <w:pPr>
                              <w:jc w:val="center"/>
                              <w:rPr>
                                <w:rFonts w:ascii="Verdana" w:hAnsi="Verdana"/>
                                <w:color w:val="5F5F5F"/>
                                <w:sz w:val="16"/>
                                <w:szCs w:val="16"/>
                              </w:rPr>
                            </w:pPr>
                          </w:p>
                          <w:p w:rsidR="0046434D" w:rsidRPr="003D593C" w:rsidRDefault="0046434D" w:rsidP="0046434D">
                            <w:pPr>
                              <w:jc w:val="center"/>
                              <w:rPr>
                                <w:rFonts w:ascii="Verdana" w:hAnsi="Verdana"/>
                                <w:color w:val="5F5F5F"/>
                                <w:sz w:val="16"/>
                                <w:szCs w:val="16"/>
                              </w:rPr>
                            </w:pPr>
                          </w:p>
                          <w:p w:rsidR="0046434D" w:rsidRPr="007A2936" w:rsidRDefault="0046434D" w:rsidP="0046434D">
                            <w:pPr>
                              <w:jc w:val="right"/>
                              <w:rPr>
                                <w:rFonts w:ascii="Verdana" w:hAnsi="Verdana"/>
                                <w:color w:val="5F5F5F"/>
                                <w:sz w:val="16"/>
                                <w:szCs w:val="16"/>
                                <w:lang w:val="fr-BE"/>
                              </w:rPr>
                            </w:pPr>
                            <w:r w:rsidRPr="007A2936">
                              <w:rPr>
                                <w:rFonts w:ascii="Verdana" w:hAnsi="Verdana"/>
                                <w:color w:val="5F5F5F"/>
                                <w:sz w:val="16"/>
                                <w:szCs w:val="16"/>
                                <w:lang w:val="fr-BE"/>
                              </w:rPr>
                              <w:t>MENTAL HEALTH EUROPE – SANTE MENTALE EUROPE aisbl</w:t>
                            </w:r>
                          </w:p>
                          <w:p w:rsidR="005C10CC" w:rsidRDefault="007A2936" w:rsidP="005C10CC">
                            <w:pPr>
                              <w:jc w:val="right"/>
                              <w:rPr>
                                <w:rFonts w:ascii="Verdana" w:hAnsi="Verdana"/>
                                <w:color w:val="5F5F5F"/>
                                <w:sz w:val="16"/>
                                <w:szCs w:val="16"/>
                                <w:lang w:val="fr-BE"/>
                              </w:rPr>
                            </w:pPr>
                            <w:r>
                              <w:rPr>
                                <w:rFonts w:ascii="Verdana" w:hAnsi="Verdana"/>
                                <w:color w:val="5F5F5F"/>
                                <w:sz w:val="16"/>
                                <w:szCs w:val="16"/>
                                <w:lang w:val="fr-BE"/>
                              </w:rPr>
                              <w:t>rue de la Presse 4</w:t>
                            </w:r>
                          </w:p>
                          <w:p w:rsidR="00AB12CB" w:rsidRDefault="00AB12CB" w:rsidP="005C10CC">
                            <w:pPr>
                              <w:jc w:val="right"/>
                              <w:rPr>
                                <w:rFonts w:ascii="Verdana" w:hAnsi="Verdana"/>
                                <w:color w:val="5F5F5F"/>
                                <w:sz w:val="16"/>
                                <w:szCs w:val="16"/>
                                <w:lang w:val="fr-BE"/>
                              </w:rPr>
                            </w:pPr>
                            <w:r>
                              <w:rPr>
                                <w:rFonts w:ascii="Verdana" w:hAnsi="Verdana"/>
                                <w:color w:val="5F5F5F"/>
                                <w:sz w:val="16"/>
                                <w:szCs w:val="16"/>
                                <w:lang w:val="fr-BE"/>
                              </w:rPr>
                              <w:t>10</w:t>
                            </w:r>
                            <w:r w:rsidR="007A2936">
                              <w:rPr>
                                <w:rFonts w:ascii="Verdana" w:hAnsi="Verdana"/>
                                <w:color w:val="5F5F5F"/>
                                <w:sz w:val="16"/>
                                <w:szCs w:val="16"/>
                                <w:lang w:val="fr-BE"/>
                              </w:rPr>
                              <w:t>0</w:t>
                            </w:r>
                            <w:r>
                              <w:rPr>
                                <w:rFonts w:ascii="Verdana" w:hAnsi="Verdana"/>
                                <w:color w:val="5F5F5F"/>
                                <w:sz w:val="16"/>
                                <w:szCs w:val="16"/>
                                <w:lang w:val="fr-BE"/>
                              </w:rPr>
                              <w:t>0 Brussels, Belgium</w:t>
                            </w:r>
                          </w:p>
                          <w:p w:rsidR="00AB12CB" w:rsidRPr="005C10CC" w:rsidRDefault="00AB12CB" w:rsidP="005C10CC">
                            <w:pPr>
                              <w:jc w:val="right"/>
                              <w:rPr>
                                <w:rFonts w:ascii="Verdana" w:hAnsi="Verdana"/>
                                <w:bCs/>
                                <w:iCs/>
                                <w:color w:val="5F5F5F"/>
                                <w:sz w:val="16"/>
                                <w:szCs w:val="16"/>
                                <w:lang w:val="pt-PT"/>
                              </w:rPr>
                            </w:pPr>
                            <w:r>
                              <w:rPr>
                                <w:rFonts w:ascii="Verdana" w:hAnsi="Verdana"/>
                                <w:color w:val="5F5F5F"/>
                                <w:sz w:val="16"/>
                                <w:szCs w:val="16"/>
                                <w:lang w:val="fr-BE"/>
                              </w:rPr>
                              <w:t xml:space="preserve">+32 </w:t>
                            </w:r>
                            <w:r w:rsidR="007A2936">
                              <w:rPr>
                                <w:rFonts w:ascii="Verdana" w:hAnsi="Verdana"/>
                                <w:color w:val="5F5F5F"/>
                                <w:sz w:val="16"/>
                                <w:szCs w:val="16"/>
                                <w:lang w:val="fr-BE"/>
                              </w:rPr>
                              <w:t>2 2272709</w:t>
                            </w:r>
                          </w:p>
                          <w:p w:rsidR="0046434D" w:rsidRPr="005C10CC" w:rsidRDefault="005C10CC" w:rsidP="005C10CC">
                            <w:pPr>
                              <w:ind w:left="3600"/>
                              <w:rPr>
                                <w:rFonts w:ascii="Verdana" w:hAnsi="Verdana"/>
                                <w:color w:val="5565AB"/>
                                <w:sz w:val="16"/>
                                <w:szCs w:val="16"/>
                                <w:lang w:val="de-DE"/>
                              </w:rPr>
                            </w:pPr>
                            <w:r>
                              <w:rPr>
                                <w:rFonts w:ascii="Verdana" w:hAnsi="Verdana"/>
                                <w:color w:val="5F5F5F"/>
                                <w:sz w:val="16"/>
                                <w:szCs w:val="16"/>
                                <w:lang w:val="de-DE"/>
                              </w:rPr>
                              <w:t xml:space="preserve">          </w:t>
                            </w:r>
                            <w:r w:rsidR="0046434D" w:rsidRPr="005C10CC">
                              <w:rPr>
                                <w:rFonts w:ascii="Verdana" w:hAnsi="Verdana"/>
                                <w:color w:val="5F5F5F"/>
                                <w:sz w:val="16"/>
                                <w:szCs w:val="16"/>
                                <w:lang w:val="de-DE"/>
                              </w:rPr>
                              <w:t xml:space="preserve">E-Mail: </w:t>
                            </w:r>
                            <w:hyperlink r:id="rId8" w:history="1">
                              <w:r w:rsidR="0046434D" w:rsidRPr="005C10CC">
                                <w:rPr>
                                  <w:rStyle w:val="Hyperlink"/>
                                  <w:rFonts w:ascii="Verdana" w:hAnsi="Verdana"/>
                                  <w:color w:val="5565AB"/>
                                  <w:sz w:val="16"/>
                                  <w:szCs w:val="16"/>
                                  <w:lang w:val="de-DE"/>
                                </w:rPr>
                                <w:t>info@mhe-sme.org</w:t>
                              </w:r>
                            </w:hyperlink>
                          </w:p>
                          <w:p w:rsidR="0046434D" w:rsidRPr="003D593C" w:rsidRDefault="0046434D" w:rsidP="0046434D">
                            <w:pPr>
                              <w:jc w:val="right"/>
                              <w:rPr>
                                <w:rFonts w:ascii="Verdana" w:hAnsi="Verdana"/>
                                <w:color w:val="5565AB"/>
                                <w:sz w:val="16"/>
                                <w:szCs w:val="16"/>
                              </w:rPr>
                            </w:pPr>
                            <w:hyperlink r:id="rId9" w:history="1">
                              <w:r w:rsidRPr="003D593C">
                                <w:rPr>
                                  <w:rStyle w:val="Hyperlink"/>
                                  <w:rFonts w:ascii="Verdana" w:hAnsi="Verdana"/>
                                  <w:color w:val="5565AB"/>
                                  <w:sz w:val="16"/>
                                  <w:szCs w:val="16"/>
                                </w:rPr>
                                <w:t>www.mhe-sme.org</w:t>
                              </w:r>
                            </w:hyperlink>
                          </w:p>
                          <w:p w:rsidR="0046434D" w:rsidRPr="003D593C" w:rsidRDefault="0046434D" w:rsidP="0046434D">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pt;margin-top:-50.6pt;width:335pt;height:9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Jggw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" stroked="f">
                <v:textbox>
                  <w:txbxContent>
                    <w:p w:rsidR="0046434D" w:rsidRPr="003D593C" w:rsidRDefault="0046434D" w:rsidP="0046434D">
                      <w:pPr>
                        <w:jc w:val="center"/>
                        <w:rPr>
                          <w:rFonts w:ascii="Verdana" w:hAnsi="Verdana"/>
                          <w:color w:val="5F5F5F"/>
                          <w:sz w:val="16"/>
                          <w:szCs w:val="16"/>
                        </w:rPr>
                      </w:pPr>
                    </w:p>
                    <w:p w:rsidR="0046434D" w:rsidRPr="003D593C" w:rsidRDefault="0046434D" w:rsidP="0046434D">
                      <w:pPr>
                        <w:jc w:val="center"/>
                        <w:rPr>
                          <w:rFonts w:ascii="Verdana" w:hAnsi="Verdana"/>
                          <w:color w:val="5F5F5F"/>
                          <w:sz w:val="16"/>
                          <w:szCs w:val="16"/>
                        </w:rPr>
                      </w:pPr>
                    </w:p>
                    <w:p w:rsidR="0046434D" w:rsidRPr="007A2936" w:rsidRDefault="0046434D" w:rsidP="0046434D">
                      <w:pPr>
                        <w:jc w:val="right"/>
                        <w:rPr>
                          <w:rFonts w:ascii="Verdana" w:hAnsi="Verdana"/>
                          <w:color w:val="5F5F5F"/>
                          <w:sz w:val="16"/>
                          <w:szCs w:val="16"/>
                          <w:lang w:val="fr-BE"/>
                        </w:rPr>
                      </w:pPr>
                      <w:r w:rsidRPr="007A2936">
                        <w:rPr>
                          <w:rFonts w:ascii="Verdana" w:hAnsi="Verdana"/>
                          <w:color w:val="5F5F5F"/>
                          <w:sz w:val="16"/>
                          <w:szCs w:val="16"/>
                          <w:lang w:val="fr-BE"/>
                        </w:rPr>
                        <w:t>MENTAL HEALTH EUROPE – SANTE MENTALE EUROPE aisbl</w:t>
                      </w:r>
                    </w:p>
                    <w:p w:rsidR="005C10CC" w:rsidRDefault="007A2936" w:rsidP="005C10CC">
                      <w:pPr>
                        <w:jc w:val="right"/>
                        <w:rPr>
                          <w:rFonts w:ascii="Verdana" w:hAnsi="Verdana"/>
                          <w:color w:val="5F5F5F"/>
                          <w:sz w:val="16"/>
                          <w:szCs w:val="16"/>
                          <w:lang w:val="fr-BE"/>
                        </w:rPr>
                      </w:pPr>
                      <w:r>
                        <w:rPr>
                          <w:rFonts w:ascii="Verdana" w:hAnsi="Verdana"/>
                          <w:color w:val="5F5F5F"/>
                          <w:sz w:val="16"/>
                          <w:szCs w:val="16"/>
                          <w:lang w:val="fr-BE"/>
                        </w:rPr>
                        <w:t>rue de la Presse 4</w:t>
                      </w:r>
                    </w:p>
                    <w:p w:rsidR="00AB12CB" w:rsidRDefault="00AB12CB" w:rsidP="005C10CC">
                      <w:pPr>
                        <w:jc w:val="right"/>
                        <w:rPr>
                          <w:rFonts w:ascii="Verdana" w:hAnsi="Verdana"/>
                          <w:color w:val="5F5F5F"/>
                          <w:sz w:val="16"/>
                          <w:szCs w:val="16"/>
                          <w:lang w:val="fr-BE"/>
                        </w:rPr>
                      </w:pPr>
                      <w:r>
                        <w:rPr>
                          <w:rFonts w:ascii="Verdana" w:hAnsi="Verdana"/>
                          <w:color w:val="5F5F5F"/>
                          <w:sz w:val="16"/>
                          <w:szCs w:val="16"/>
                          <w:lang w:val="fr-BE"/>
                        </w:rPr>
                        <w:t>10</w:t>
                      </w:r>
                      <w:r w:rsidR="007A2936">
                        <w:rPr>
                          <w:rFonts w:ascii="Verdana" w:hAnsi="Verdana"/>
                          <w:color w:val="5F5F5F"/>
                          <w:sz w:val="16"/>
                          <w:szCs w:val="16"/>
                          <w:lang w:val="fr-BE"/>
                        </w:rPr>
                        <w:t>0</w:t>
                      </w:r>
                      <w:r>
                        <w:rPr>
                          <w:rFonts w:ascii="Verdana" w:hAnsi="Verdana"/>
                          <w:color w:val="5F5F5F"/>
                          <w:sz w:val="16"/>
                          <w:szCs w:val="16"/>
                          <w:lang w:val="fr-BE"/>
                        </w:rPr>
                        <w:t>0 Brussels, Belgium</w:t>
                      </w:r>
                    </w:p>
                    <w:p w:rsidR="00AB12CB" w:rsidRPr="005C10CC" w:rsidRDefault="00AB12CB" w:rsidP="005C10CC">
                      <w:pPr>
                        <w:jc w:val="right"/>
                        <w:rPr>
                          <w:rFonts w:ascii="Verdana" w:hAnsi="Verdana"/>
                          <w:bCs/>
                          <w:iCs/>
                          <w:color w:val="5F5F5F"/>
                          <w:sz w:val="16"/>
                          <w:szCs w:val="16"/>
                          <w:lang w:val="pt-PT"/>
                        </w:rPr>
                      </w:pPr>
                      <w:r>
                        <w:rPr>
                          <w:rFonts w:ascii="Verdana" w:hAnsi="Verdana"/>
                          <w:color w:val="5F5F5F"/>
                          <w:sz w:val="16"/>
                          <w:szCs w:val="16"/>
                          <w:lang w:val="fr-BE"/>
                        </w:rPr>
                        <w:t xml:space="preserve">+32 </w:t>
                      </w:r>
                      <w:r w:rsidR="007A2936">
                        <w:rPr>
                          <w:rFonts w:ascii="Verdana" w:hAnsi="Verdana"/>
                          <w:color w:val="5F5F5F"/>
                          <w:sz w:val="16"/>
                          <w:szCs w:val="16"/>
                          <w:lang w:val="fr-BE"/>
                        </w:rPr>
                        <w:t>2 2272709</w:t>
                      </w:r>
                    </w:p>
                    <w:p w:rsidR="0046434D" w:rsidRPr="005C10CC" w:rsidRDefault="005C10CC" w:rsidP="005C10CC">
                      <w:pPr>
                        <w:ind w:left="3600"/>
                        <w:rPr>
                          <w:rFonts w:ascii="Verdana" w:hAnsi="Verdana"/>
                          <w:color w:val="5565AB"/>
                          <w:sz w:val="16"/>
                          <w:szCs w:val="16"/>
                          <w:lang w:val="de-DE"/>
                        </w:rPr>
                      </w:pPr>
                      <w:r>
                        <w:rPr>
                          <w:rFonts w:ascii="Verdana" w:hAnsi="Verdana"/>
                          <w:color w:val="5F5F5F"/>
                          <w:sz w:val="16"/>
                          <w:szCs w:val="16"/>
                          <w:lang w:val="de-DE"/>
                        </w:rPr>
                        <w:t xml:space="preserve">          </w:t>
                      </w:r>
                      <w:r w:rsidR="0046434D" w:rsidRPr="005C10CC">
                        <w:rPr>
                          <w:rFonts w:ascii="Verdana" w:hAnsi="Verdana"/>
                          <w:color w:val="5F5F5F"/>
                          <w:sz w:val="16"/>
                          <w:szCs w:val="16"/>
                          <w:lang w:val="de-DE"/>
                        </w:rPr>
                        <w:t xml:space="preserve">E-Mail: </w:t>
                      </w:r>
                      <w:hyperlink r:id="rId10" w:history="1">
                        <w:r w:rsidR="0046434D" w:rsidRPr="005C10CC">
                          <w:rPr>
                            <w:rStyle w:val="Hyperlink"/>
                            <w:rFonts w:ascii="Verdana" w:hAnsi="Verdana"/>
                            <w:color w:val="5565AB"/>
                            <w:sz w:val="16"/>
                            <w:szCs w:val="16"/>
                            <w:lang w:val="de-DE"/>
                          </w:rPr>
                          <w:t>info@mhe-sme.org</w:t>
                        </w:r>
                      </w:hyperlink>
                    </w:p>
                    <w:p w:rsidR="0046434D" w:rsidRPr="003D593C" w:rsidRDefault="0046434D" w:rsidP="0046434D">
                      <w:pPr>
                        <w:jc w:val="right"/>
                        <w:rPr>
                          <w:rFonts w:ascii="Verdana" w:hAnsi="Verdana"/>
                          <w:color w:val="5565AB"/>
                          <w:sz w:val="16"/>
                          <w:szCs w:val="16"/>
                        </w:rPr>
                      </w:pPr>
                      <w:hyperlink r:id="rId11" w:history="1">
                        <w:r w:rsidRPr="003D593C">
                          <w:rPr>
                            <w:rStyle w:val="Hyperlink"/>
                            <w:rFonts w:ascii="Verdana" w:hAnsi="Verdana"/>
                            <w:color w:val="5565AB"/>
                            <w:sz w:val="16"/>
                            <w:szCs w:val="16"/>
                          </w:rPr>
                          <w:t>www.mhe-sme.org</w:t>
                        </w:r>
                      </w:hyperlink>
                    </w:p>
                    <w:p w:rsidR="0046434D" w:rsidRPr="003D593C" w:rsidRDefault="0046434D" w:rsidP="0046434D">
                      <w:pPr>
                        <w:rPr>
                          <w:rFonts w:ascii="Verdana" w:hAnsi="Verdana"/>
                          <w:sz w:val="16"/>
                          <w:szCs w:val="16"/>
                        </w:rPr>
                      </w:pPr>
                    </w:p>
                  </w:txbxContent>
                </v:textbox>
              </v:shape>
            </w:pict>
          </mc:Fallback>
        </mc:AlternateContent>
      </w:r>
      <w:r w:rsidRPr="00A8170F">
        <w:rPr>
          <w:rFonts w:ascii="Calibri" w:hAnsi="Calibri"/>
          <w:noProof/>
          <w:color w:val="404040"/>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-463550</wp:posOffset>
                </wp:positionH>
                <wp:positionV relativeFrom="paragraph">
                  <wp:posOffset>-642620</wp:posOffset>
                </wp:positionV>
                <wp:extent cx="1840865" cy="1320800"/>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32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110" w:rsidRDefault="00A91EC9">
                            <w:r>
                              <w:rPr>
                                <w:noProof/>
                                <w:lang w:eastAsia="en-GB"/>
                              </w:rPr>
                              <w:drawing>
                                <wp:inline distT="0" distB="0" distL="0" distR="0">
                                  <wp:extent cx="1657350" cy="1228725"/>
                                  <wp:effectExtent l="0" t="0" r="0" b="0"/>
                                  <wp:docPr id="1" name="Picture 1" descr="MHE_logo_v02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_logo_v02 cr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228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6.5pt;margin-top:-50.6pt;width:144.95pt;height:10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" stroked="f">
                <v:textbox style="mso-fit-shape-to-text:t">
                  <w:txbxContent>
                    <w:p w:rsidR="00DE1110" w:rsidRDefault="00A91EC9">
                      <w:r>
                        <w:rPr>
                          <w:noProof/>
                          <w:lang w:eastAsia="en-GB"/>
                        </w:rPr>
                        <w:drawing>
                          <wp:inline distT="0" distB="0" distL="0" distR="0">
                            <wp:extent cx="1657350" cy="1228725"/>
                            <wp:effectExtent l="0" t="0" r="0" b="0"/>
                            <wp:docPr id="1" name="Picture 1" descr="MHE_logo_v02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_logo_v02 cr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228725"/>
                                    </a:xfrm>
                                    <a:prstGeom prst="rect">
                                      <a:avLst/>
                                    </a:prstGeom>
                                    <a:noFill/>
                                    <a:ln>
                                      <a:noFill/>
                                    </a:ln>
                                  </pic:spPr>
                                </pic:pic>
                              </a:graphicData>
                            </a:graphic>
                          </wp:inline>
                        </w:drawing>
                      </w:r>
                    </w:p>
                  </w:txbxContent>
                </v:textbox>
              </v:shape>
            </w:pict>
          </mc:Fallback>
        </mc:AlternateContent>
      </w:r>
    </w:p>
    <w:p w:rsidR="0046434D" w:rsidRPr="00A8170F" w:rsidRDefault="0046434D" w:rsidP="0046434D">
      <w:pPr>
        <w:jc w:val="both"/>
        <w:rPr>
          <w:rFonts w:ascii="Calibri" w:hAnsi="Calibri"/>
          <w:color w:val="404040"/>
          <w:sz w:val="22"/>
          <w:szCs w:val="22"/>
        </w:rPr>
      </w:pPr>
    </w:p>
    <w:p w:rsidR="00AD2B5F" w:rsidRPr="00A8170F" w:rsidRDefault="00AD2B5F" w:rsidP="0046434D">
      <w:pPr>
        <w:jc w:val="both"/>
        <w:rPr>
          <w:rFonts w:ascii="Calibri" w:hAnsi="Calibri"/>
          <w:color w:val="404040"/>
          <w:sz w:val="22"/>
          <w:szCs w:val="22"/>
        </w:rPr>
      </w:pPr>
    </w:p>
    <w:p w:rsidR="00AD2B5F" w:rsidRPr="00A8170F" w:rsidRDefault="00AD2B5F" w:rsidP="000765AE">
      <w:pPr>
        <w:jc w:val="both"/>
        <w:rPr>
          <w:rFonts w:ascii="Calibri" w:hAnsi="Calibri"/>
          <w:color w:val="404040"/>
          <w:sz w:val="22"/>
          <w:szCs w:val="22"/>
        </w:rPr>
      </w:pPr>
    </w:p>
    <w:p w:rsidR="007A2936" w:rsidRPr="007A2936" w:rsidRDefault="007A2936" w:rsidP="007A2936">
      <w:pPr>
        <w:spacing w:after="200"/>
        <w:ind w:left="7080"/>
        <w:jc w:val="right"/>
        <w:rPr>
          <w:rFonts w:ascii="Calibri" w:hAnsi="Calibri"/>
          <w:b/>
          <w:bCs/>
          <w:color w:val="44546A"/>
          <w:sz w:val="22"/>
          <w:szCs w:val="22"/>
          <w:shd w:val="clear" w:color="auto" w:fill="F8F8F8"/>
        </w:rPr>
      </w:pPr>
      <w:r w:rsidRPr="007A2936">
        <w:rPr>
          <w:rFonts w:ascii="Calibri" w:hAnsi="Calibri"/>
          <w:b/>
          <w:bCs/>
          <w:color w:val="44546A"/>
          <w:sz w:val="22"/>
          <w:szCs w:val="22"/>
          <w:shd w:val="clear" w:color="auto" w:fill="F8F8F8"/>
        </w:rPr>
        <w:t>15 May 2018</w:t>
      </w:r>
    </w:p>
    <w:p w:rsidR="007A2936" w:rsidRDefault="007A2936" w:rsidP="007A2936">
      <w:pPr>
        <w:spacing w:after="200"/>
        <w:jc w:val="center"/>
        <w:rPr>
          <w:rFonts w:ascii="Calibri" w:eastAsia="Calibri" w:hAnsi="Calibri"/>
          <w:b/>
          <w:color w:val="1F497D"/>
          <w:sz w:val="22"/>
          <w:szCs w:val="22"/>
          <w:u w:val="single"/>
          <w:lang w:val="en-IE"/>
        </w:rPr>
      </w:pPr>
    </w:p>
    <w:p w:rsidR="007A2936" w:rsidRPr="007A2936" w:rsidRDefault="007A2936" w:rsidP="007A2936">
      <w:pPr>
        <w:spacing w:after="200" w:line="276" w:lineRule="auto"/>
        <w:jc w:val="center"/>
        <w:rPr>
          <w:rFonts w:ascii="Calibri" w:hAnsi="Calibri"/>
          <w:b/>
          <w:bCs/>
          <w:color w:val="44546A"/>
          <w:sz w:val="22"/>
          <w:szCs w:val="22"/>
          <w:u w:val="single"/>
          <w:shd w:val="clear" w:color="auto" w:fill="F8F8F8"/>
        </w:rPr>
      </w:pPr>
      <w:r w:rsidRPr="007A2936">
        <w:rPr>
          <w:rFonts w:ascii="Calibri" w:hAnsi="Calibri"/>
          <w:b/>
          <w:bCs/>
          <w:color w:val="44546A"/>
          <w:sz w:val="22"/>
          <w:szCs w:val="22"/>
          <w:u w:val="single"/>
          <w:shd w:val="clear" w:color="auto" w:fill="F8F8F8"/>
        </w:rPr>
        <w:t xml:space="preserve">Mental Health Europe contribution to the call for submissions from the Committee on the Rights of Persons with Disabilities on the Draft General Comment No. 7 on articles 4 (3) and 33 (3), relating to consultation and involvement of persons with disabilities, including children with disabilities in decision-making processes through their representative </w:t>
      </w:r>
      <w:r w:rsidR="00336D95">
        <w:rPr>
          <w:rFonts w:ascii="Calibri" w:hAnsi="Calibri"/>
          <w:b/>
          <w:bCs/>
          <w:color w:val="44546A"/>
          <w:sz w:val="22"/>
          <w:szCs w:val="22"/>
          <w:u w:val="single"/>
          <w:shd w:val="clear" w:color="auto" w:fill="F8F8F8"/>
        </w:rPr>
        <w:t>organisation</w:t>
      </w:r>
      <w:r w:rsidRPr="007A2936">
        <w:rPr>
          <w:rFonts w:ascii="Calibri" w:hAnsi="Calibri"/>
          <w:b/>
          <w:bCs/>
          <w:color w:val="44546A"/>
          <w:sz w:val="22"/>
          <w:szCs w:val="22"/>
          <w:u w:val="single"/>
          <w:shd w:val="clear" w:color="auto" w:fill="F8F8F8"/>
        </w:rPr>
        <w:t>s</w:t>
      </w:r>
    </w:p>
    <w:p w:rsidR="007A2936" w:rsidRPr="007A2936" w:rsidRDefault="007A2936" w:rsidP="007A2936">
      <w:pPr>
        <w:spacing w:after="200" w:line="276" w:lineRule="auto"/>
        <w:rPr>
          <w:rFonts w:ascii="Calibri" w:eastAsia="Calibri" w:hAnsi="Calibri"/>
          <w:b/>
          <w:color w:val="1F497D"/>
          <w:sz w:val="22"/>
          <w:szCs w:val="22"/>
          <w:u w:val="single"/>
          <w:lang w:val="en-IE"/>
        </w:rPr>
      </w:pPr>
    </w:p>
    <w:p w:rsidR="007A2936" w:rsidRPr="00C96493" w:rsidRDefault="007A2936" w:rsidP="007A2936">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INTRODUCTION</w:t>
      </w:r>
    </w:p>
    <w:p w:rsidR="007A2936" w:rsidRPr="00C96493" w:rsidRDefault="007A2936" w:rsidP="00006E64">
      <w:pPr>
        <w:spacing w:after="200" w:line="276" w:lineRule="auto"/>
        <w:jc w:val="both"/>
        <w:rPr>
          <w:rFonts w:ascii="Calibri" w:eastAsia="Calibri" w:hAnsi="Calibri" w:cs="Calibri"/>
          <w:color w:val="262626"/>
          <w:sz w:val="22"/>
          <w:szCs w:val="22"/>
          <w:lang w:val="en-IE"/>
        </w:rPr>
      </w:pPr>
      <w:hyperlink r:id="rId13" w:history="1">
        <w:r w:rsidRPr="00C96493">
          <w:rPr>
            <w:rFonts w:ascii="Calibri" w:eastAsia="Calibri" w:hAnsi="Calibri" w:cs="Calibri"/>
            <w:color w:val="262626"/>
            <w:sz w:val="22"/>
            <w:szCs w:val="22"/>
            <w:u w:val="single"/>
            <w:lang w:val="en-IE"/>
          </w:rPr>
          <w:t>Mental Health Europe</w:t>
        </w:r>
      </w:hyperlink>
      <w:r w:rsidRPr="00C96493">
        <w:rPr>
          <w:rFonts w:ascii="Calibri" w:eastAsia="Calibri" w:hAnsi="Calibri" w:cs="Calibri"/>
          <w:color w:val="262626"/>
          <w:sz w:val="22"/>
          <w:szCs w:val="22"/>
          <w:lang w:val="en-IE"/>
        </w:rPr>
        <w:t xml:space="preserve"> (MHE) </w:t>
      </w:r>
      <w:r w:rsidR="00006E64" w:rsidRPr="001411AE">
        <w:rPr>
          <w:rFonts w:ascii="Calibri" w:eastAsia="Calibri" w:hAnsi="Calibri" w:cs="Calibri"/>
          <w:color w:val="262626"/>
          <w:sz w:val="22"/>
          <w:szCs w:val="22"/>
          <w:lang w:val="en-IE"/>
        </w:rPr>
        <w:t>is a European non-governmental network organisation committed to the promotion of positive mental health, the prevention of mental distress, the improvement of care, advocacy for social inclusion and the protection of the rights of (ex)users of mental health services, persons with psychosocial disabilities, their families and carers. MHE’s</w:t>
      </w:r>
      <w:r w:rsidR="00006E64" w:rsidRPr="00BD3DD1">
        <w:rPr>
          <w:rFonts w:ascii="Calibri" w:eastAsia="Calibri" w:hAnsi="Calibri" w:cs="Calibri"/>
          <w:color w:val="262626"/>
          <w:sz w:val="22"/>
          <w:szCs w:val="22"/>
          <w:lang w:val="en-IE"/>
        </w:rPr>
        <w:t xml:space="preserve"> work is underlined and guided by the United Nations Convention on the Rights of Persons with Disabilities</w:t>
      </w:r>
      <w:r w:rsidR="00006E64" w:rsidRPr="00C96493">
        <w:rPr>
          <w:rFonts w:ascii="Calibri" w:eastAsia="Calibri" w:hAnsi="Calibri" w:cs="Calibri"/>
          <w:color w:val="262626"/>
          <w:sz w:val="22"/>
          <w:szCs w:val="22"/>
          <w:lang w:val="en-IE"/>
        </w:rPr>
        <w:t>.</w:t>
      </w:r>
    </w:p>
    <w:p w:rsidR="007A2936" w:rsidRPr="00C96493" w:rsidRDefault="007A2936" w:rsidP="007A2936">
      <w:pPr>
        <w:spacing w:after="200" w:line="276" w:lineRule="auto"/>
        <w:jc w:val="both"/>
        <w:rPr>
          <w:rFonts w:ascii="Calibri" w:eastAsia="Calibri" w:hAnsi="Calibri" w:cs="Calibri"/>
          <w:color w:val="262626"/>
          <w:sz w:val="22"/>
          <w:szCs w:val="22"/>
          <w:lang w:val="en-IE"/>
        </w:rPr>
      </w:pPr>
      <w:r w:rsidRPr="00C96493">
        <w:rPr>
          <w:rFonts w:ascii="Calibri" w:eastAsia="Calibri" w:hAnsi="Calibri" w:cs="Calibri"/>
          <w:color w:val="262626"/>
          <w:sz w:val="22"/>
          <w:szCs w:val="22"/>
          <w:lang w:val="en-IE"/>
        </w:rPr>
        <w:t>MHE very much welcomes the call for submissions from the Committee on the Rights of Persons with Disabilities on the Draft General Comment No. 7 on articles 4 (3) and 33 (3), relating to consultation and involvement of persons with disabilities, including children with disabilities</w:t>
      </w:r>
      <w:r w:rsidR="001F74AB">
        <w:rPr>
          <w:rFonts w:ascii="Calibri" w:eastAsia="Calibri" w:hAnsi="Calibri" w:cs="Calibri"/>
          <w:color w:val="262626"/>
          <w:sz w:val="22"/>
          <w:szCs w:val="22"/>
          <w:lang w:val="en-IE"/>
        </w:rPr>
        <w:t>,</w:t>
      </w:r>
      <w:r w:rsidRPr="00C96493">
        <w:rPr>
          <w:rFonts w:ascii="Calibri" w:eastAsia="Calibri" w:hAnsi="Calibri" w:cs="Calibri"/>
          <w:color w:val="262626"/>
          <w:sz w:val="22"/>
          <w:szCs w:val="22"/>
          <w:lang w:val="en-IE"/>
        </w:rPr>
        <w:t xml:space="preserve"> in decision-making processes through their representative organi</w:t>
      </w:r>
      <w:r w:rsidR="001F74AB">
        <w:rPr>
          <w:rFonts w:ascii="Calibri" w:eastAsia="Calibri" w:hAnsi="Calibri" w:cs="Calibri"/>
          <w:color w:val="262626"/>
          <w:sz w:val="22"/>
          <w:szCs w:val="22"/>
          <w:lang w:val="en-IE"/>
        </w:rPr>
        <w:t>s</w:t>
      </w:r>
      <w:r w:rsidRPr="00C96493">
        <w:rPr>
          <w:rFonts w:ascii="Calibri" w:eastAsia="Calibri" w:hAnsi="Calibri" w:cs="Calibri"/>
          <w:color w:val="262626"/>
          <w:sz w:val="22"/>
          <w:szCs w:val="22"/>
          <w:lang w:val="en-IE"/>
        </w:rPr>
        <w:t xml:space="preserve">ations. </w:t>
      </w:r>
    </w:p>
    <w:p w:rsidR="007A2936" w:rsidRPr="00C96493" w:rsidRDefault="007A2936" w:rsidP="007A2936">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People with psychosocial disabilities are often discriminated against due to a lack of meaningful participation in decision-making processes that concern them, particularly when being deprived </w:t>
      </w:r>
      <w:r w:rsidRPr="00C96493">
        <w:rPr>
          <w:rFonts w:ascii="Calibri" w:eastAsia="Calibri" w:hAnsi="Calibri" w:cs="Calibri"/>
          <w:color w:val="262626"/>
          <w:sz w:val="22"/>
          <w:szCs w:val="22"/>
        </w:rPr>
        <w:lastRenderedPageBreak/>
        <w:t>of, or restricted in, the exercise of their right to legal capacity. This results in violations of decision-making on a daily basis, as well as any decision-making processes regarding the development or implementation of policies or legislation, which might have an impact on their lives.</w:t>
      </w:r>
    </w:p>
    <w:p w:rsidR="007A2936" w:rsidRPr="00C96493" w:rsidRDefault="007A2936" w:rsidP="007A2936">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The changes MHE suggests mainly regard the definitions as currently detailed in the draft General Comment. These are detailed below and follow the structure of the draft General Comment. </w:t>
      </w:r>
    </w:p>
    <w:p w:rsidR="007A2936" w:rsidRPr="00C96493" w:rsidRDefault="007A2936" w:rsidP="007A2936">
      <w:pPr>
        <w:spacing w:after="200" w:line="276" w:lineRule="auto"/>
        <w:rPr>
          <w:rFonts w:ascii="Calibri" w:eastAsia="Calibri" w:hAnsi="Calibri" w:cs="Calibri"/>
          <w:b/>
          <w:sz w:val="22"/>
          <w:szCs w:val="22"/>
          <w:lang w:val="en-IE"/>
        </w:rPr>
      </w:pPr>
    </w:p>
    <w:p w:rsidR="007A2936" w:rsidRPr="00C96493" w:rsidRDefault="007A2936" w:rsidP="007A2936">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DRAFT GENERAL COMMENT</w:t>
      </w:r>
    </w:p>
    <w:p w:rsidR="007A2936" w:rsidRPr="00C96493" w:rsidRDefault="007A2936" w:rsidP="007A2936">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II. Normative content of articles 4(3) and 33(3)</w:t>
      </w:r>
    </w:p>
    <w:p w:rsidR="007A2936" w:rsidRPr="00C96493" w:rsidRDefault="007A2936" w:rsidP="007A2936">
      <w:pPr>
        <w:numPr>
          <w:ilvl w:val="0"/>
          <w:numId w:val="39"/>
        </w:numPr>
        <w:spacing w:after="160" w:line="259" w:lineRule="auto"/>
        <w:contextualSpacing/>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Definitions</w:t>
      </w:r>
    </w:p>
    <w:p w:rsidR="007A2936" w:rsidRPr="00C96493" w:rsidRDefault="007A2936" w:rsidP="007A2936">
      <w:pPr>
        <w:spacing w:after="160" w:line="259" w:lineRule="auto"/>
        <w:ind w:left="720"/>
        <w:contextualSpacing/>
        <w:rPr>
          <w:rFonts w:ascii="Calibri" w:hAnsi="Calibri" w:cs="Calibri"/>
          <w:b/>
          <w:color w:val="323E4F"/>
          <w:sz w:val="22"/>
          <w:szCs w:val="22"/>
          <w:lang w:eastAsia="fr-BE"/>
        </w:rPr>
      </w:pPr>
    </w:p>
    <w:p w:rsidR="007A2936" w:rsidRPr="00C96493" w:rsidRDefault="007A2936" w:rsidP="007A2936">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Overall, we appreciate the Committee’s efforts to distinguish between organisations that are governed, led and directed </w:t>
      </w:r>
      <w:r w:rsidRPr="00C96493">
        <w:rPr>
          <w:rFonts w:ascii="Calibri" w:eastAsia="Calibri" w:hAnsi="Calibri" w:cs="Calibri"/>
          <w:i/>
          <w:color w:val="262626"/>
          <w:sz w:val="22"/>
          <w:szCs w:val="22"/>
        </w:rPr>
        <w:t>by</w:t>
      </w:r>
      <w:r w:rsidRPr="00C96493">
        <w:rPr>
          <w:rFonts w:ascii="Calibri" w:eastAsia="Calibri" w:hAnsi="Calibri" w:cs="Calibri"/>
          <w:color w:val="262626"/>
          <w:sz w:val="22"/>
          <w:szCs w:val="22"/>
        </w:rPr>
        <w:t xml:space="preserve"> persons with disabilities and </w:t>
      </w:r>
      <w:r w:rsidRPr="00C96493">
        <w:rPr>
          <w:rFonts w:ascii="Calibri" w:eastAsia="Calibri" w:hAnsi="Calibri" w:cs="Calibri"/>
          <w:color w:val="262626"/>
          <w:sz w:val="22"/>
          <w:szCs w:val="22"/>
          <w:lang w:val="en-IE"/>
        </w:rPr>
        <w:t xml:space="preserve">organisations for persons with disabilities, which are any </w:t>
      </w:r>
      <w:r w:rsidR="00336D95">
        <w:rPr>
          <w:rFonts w:ascii="Calibri" w:eastAsia="Calibri" w:hAnsi="Calibri" w:cs="Calibri"/>
          <w:color w:val="262626"/>
          <w:sz w:val="22"/>
          <w:szCs w:val="22"/>
          <w:lang w:val="en-IE"/>
        </w:rPr>
        <w:t>organisation</w:t>
      </w:r>
      <w:r w:rsidRPr="00C96493">
        <w:rPr>
          <w:rFonts w:ascii="Calibri" w:eastAsia="Calibri" w:hAnsi="Calibri" w:cs="Calibri"/>
          <w:color w:val="262626"/>
          <w:sz w:val="22"/>
          <w:szCs w:val="22"/>
          <w:lang w:val="en-IE"/>
        </w:rPr>
        <w:t xml:space="preserve"> established to provide service to and for persons with disabilities,</w:t>
      </w:r>
      <w:r w:rsidRPr="00C96493">
        <w:rPr>
          <w:rFonts w:ascii="Calibri" w:eastAsia="Calibri" w:hAnsi="Calibri" w:cs="Calibri"/>
          <w:color w:val="262626"/>
          <w:sz w:val="22"/>
          <w:szCs w:val="22"/>
        </w:rPr>
        <w:t xml:space="preserve"> including organisations of family members of persons with disabilities. Organisations </w:t>
      </w:r>
      <w:r w:rsidRPr="00C96493">
        <w:rPr>
          <w:rFonts w:ascii="Calibri" w:eastAsia="Calibri" w:hAnsi="Calibri" w:cs="Calibri"/>
          <w:i/>
          <w:color w:val="262626"/>
          <w:sz w:val="22"/>
          <w:szCs w:val="22"/>
        </w:rPr>
        <w:t>for</w:t>
      </w:r>
      <w:r w:rsidRPr="00C96493">
        <w:rPr>
          <w:rFonts w:ascii="Calibri" w:eastAsia="Calibri" w:hAnsi="Calibri" w:cs="Calibri"/>
          <w:color w:val="262626"/>
          <w:sz w:val="22"/>
          <w:szCs w:val="22"/>
        </w:rPr>
        <w:t xml:space="preserve"> persons with disabilities are neither comprised by a majority of persons with disabilities, nor controlled and directed by persons with disabilities. This distinction is particularly important for persons with psychosocial disabilities who are disproportionately affected by denial of legal capacity. As stated in paragraph 14 (d), persons with disabilities can be supported by (organisations of) parents and relatives but it is important to ensure that they are and remain in full control</w:t>
      </w:r>
      <w:r w:rsidR="00006E64">
        <w:rPr>
          <w:rFonts w:ascii="Calibri" w:eastAsia="Calibri" w:hAnsi="Calibri" w:cs="Calibri"/>
          <w:color w:val="262626"/>
          <w:sz w:val="22"/>
          <w:szCs w:val="22"/>
        </w:rPr>
        <w:t xml:space="preserve"> </w:t>
      </w:r>
      <w:r w:rsidR="00006E64" w:rsidRPr="00006E64">
        <w:rPr>
          <w:rFonts w:ascii="Calibri" w:eastAsia="Calibri" w:hAnsi="Calibri" w:cs="Calibri"/>
          <w:color w:val="262626"/>
          <w:sz w:val="22"/>
          <w:szCs w:val="22"/>
        </w:rPr>
        <w:t xml:space="preserve">of decisions concerning issues relating to </w:t>
      </w:r>
      <w:r w:rsidR="003430DF" w:rsidRPr="00006E64">
        <w:rPr>
          <w:rFonts w:ascii="Calibri" w:eastAsia="Calibri" w:hAnsi="Calibri" w:cs="Calibri"/>
          <w:color w:val="262626"/>
          <w:sz w:val="22"/>
          <w:szCs w:val="22"/>
        </w:rPr>
        <w:t>them</w:t>
      </w:r>
      <w:r w:rsidRPr="00C96493">
        <w:rPr>
          <w:rFonts w:ascii="Calibri" w:eastAsia="Calibri" w:hAnsi="Calibri" w:cs="Calibri"/>
          <w:color w:val="262626"/>
          <w:sz w:val="22"/>
          <w:szCs w:val="22"/>
        </w:rPr>
        <w:t xml:space="preserve"> and are heard independently.</w:t>
      </w:r>
    </w:p>
    <w:p w:rsidR="007A2936" w:rsidRPr="00C96493" w:rsidRDefault="007A2936" w:rsidP="007A2936">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 xml:space="preserve">Paragraph 14 </w:t>
      </w:r>
    </w:p>
    <w:p w:rsidR="007A2936" w:rsidRPr="00C96493" w:rsidRDefault="007A2936" w:rsidP="007A2936">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 xml:space="preserve">(a) Disabled persons </w:t>
      </w:r>
      <w:r w:rsidR="00336D95">
        <w:rPr>
          <w:rFonts w:ascii="Calibri" w:hAnsi="Calibri" w:cs="Calibri"/>
          <w:b/>
          <w:bCs/>
          <w:color w:val="44546A"/>
          <w:sz w:val="22"/>
          <w:szCs w:val="22"/>
          <w:shd w:val="clear" w:color="auto" w:fill="F8F8F8"/>
        </w:rPr>
        <w:t>organisation</w:t>
      </w:r>
      <w:r w:rsidRPr="00C96493">
        <w:rPr>
          <w:rFonts w:ascii="Calibri" w:hAnsi="Calibri" w:cs="Calibri"/>
          <w:b/>
          <w:bCs/>
          <w:color w:val="44546A"/>
          <w:sz w:val="22"/>
          <w:szCs w:val="22"/>
          <w:shd w:val="clear" w:color="auto" w:fill="F8F8F8"/>
        </w:rPr>
        <w:t>s (DPOs)</w:t>
      </w:r>
      <w:r w:rsidR="001F74AB">
        <w:rPr>
          <w:rFonts w:ascii="Calibri" w:hAnsi="Calibri" w:cs="Calibri"/>
          <w:b/>
          <w:bCs/>
          <w:color w:val="44546A"/>
          <w:sz w:val="22"/>
          <w:szCs w:val="22"/>
          <w:shd w:val="clear" w:color="auto" w:fill="F8F8F8"/>
        </w:rPr>
        <w:t xml:space="preserve"> </w:t>
      </w:r>
      <w:r w:rsidRPr="00C96493">
        <w:rPr>
          <w:rFonts w:ascii="Calibri" w:hAnsi="Calibri" w:cs="Calibri"/>
          <w:b/>
          <w:bCs/>
          <w:color w:val="44546A"/>
          <w:sz w:val="22"/>
          <w:szCs w:val="22"/>
          <w:shd w:val="clear" w:color="auto" w:fill="F8F8F8"/>
        </w:rPr>
        <w:t xml:space="preserve">/ </w:t>
      </w:r>
      <w:r w:rsidR="00336D95">
        <w:rPr>
          <w:rFonts w:ascii="Calibri" w:hAnsi="Calibri" w:cs="Calibri"/>
          <w:b/>
          <w:bCs/>
          <w:color w:val="44546A"/>
          <w:sz w:val="22"/>
          <w:szCs w:val="22"/>
          <w:shd w:val="clear" w:color="auto" w:fill="F8F8F8"/>
        </w:rPr>
        <w:t>Organisation</w:t>
      </w:r>
      <w:r w:rsidRPr="00C96493">
        <w:rPr>
          <w:rFonts w:ascii="Calibri" w:hAnsi="Calibri" w:cs="Calibri"/>
          <w:b/>
          <w:bCs/>
          <w:color w:val="44546A"/>
          <w:sz w:val="22"/>
          <w:szCs w:val="22"/>
          <w:shd w:val="clear" w:color="auto" w:fill="F8F8F8"/>
        </w:rPr>
        <w:t>s of persons with disabilities (OPDs)</w:t>
      </w:r>
    </w:p>
    <w:p w:rsidR="007A2936" w:rsidRPr="00C96493" w:rsidRDefault="007A2936" w:rsidP="007A2936">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lastRenderedPageBreak/>
        <w:t xml:space="preserve">(i) MHE finds the sentence </w:t>
      </w:r>
      <w:r w:rsidR="001F74AB">
        <w:rPr>
          <w:rFonts w:ascii="Calibri" w:eastAsia="Calibri" w:hAnsi="Calibri" w:cs="Calibri"/>
          <w:color w:val="262626"/>
          <w:sz w:val="22"/>
          <w:szCs w:val="22"/>
        </w:rPr>
        <w:t>“</w:t>
      </w:r>
      <w:r w:rsidRPr="00C96493">
        <w:rPr>
          <w:rFonts w:ascii="Calibri" w:eastAsia="Calibri" w:hAnsi="Calibri" w:cs="Calibri"/>
          <w:color w:val="262626"/>
          <w:sz w:val="22"/>
          <w:szCs w:val="22"/>
        </w:rPr>
        <w:t>the large majority of DPOs/OPDs are independent from non-governmental membership-based organisations</w:t>
      </w:r>
      <w:r w:rsidR="001F74AB">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 confusing. As stated in paragraph 16, DPOs/OPDs are part of civil society and are</w:t>
      </w:r>
      <w:r w:rsidR="001F74AB">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 by extension</w:t>
      </w:r>
      <w:r w:rsidR="001F74AB">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 civil society organisations, among which non-governmental organisations. According to our understanding, DPOs/OPDs are non-governmental organisations of a special kind. MHE suggests rephrasing this part saying that DPOs/OPDs are a spe</w:t>
      </w:r>
      <w:r w:rsidR="00006E64">
        <w:rPr>
          <w:rFonts w:ascii="Calibri" w:eastAsia="Calibri" w:hAnsi="Calibri" w:cs="Calibri"/>
          <w:color w:val="262626"/>
          <w:sz w:val="22"/>
          <w:szCs w:val="22"/>
        </w:rPr>
        <w:t>cific</w:t>
      </w:r>
      <w:r w:rsidRPr="00C96493">
        <w:rPr>
          <w:rFonts w:ascii="Calibri" w:eastAsia="Calibri" w:hAnsi="Calibri" w:cs="Calibri"/>
          <w:color w:val="262626"/>
          <w:sz w:val="22"/>
          <w:szCs w:val="22"/>
        </w:rPr>
        <w:t xml:space="preserve"> category of non-governmental organisations. </w:t>
      </w:r>
    </w:p>
    <w:p w:rsidR="007A2936" w:rsidRPr="007A2936" w:rsidRDefault="007A2936" w:rsidP="002B2862">
      <w:pPr>
        <w:pStyle w:val="MediumGrid2"/>
        <w:rPr>
          <w:rFonts w:eastAsia="Calibri"/>
          <w:lang w:val="en-IE"/>
        </w:rPr>
      </w:pPr>
    </w:p>
    <w:p w:rsidR="007A2936" w:rsidRPr="00C96493" w:rsidRDefault="007A2936" w:rsidP="007A2936">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 xml:space="preserve">(b) Umbrella </w:t>
      </w:r>
      <w:r w:rsidR="00336D95">
        <w:rPr>
          <w:rFonts w:ascii="Calibri" w:hAnsi="Calibri" w:cs="Calibri"/>
          <w:b/>
          <w:bCs/>
          <w:color w:val="44546A"/>
          <w:sz w:val="22"/>
          <w:szCs w:val="22"/>
          <w:shd w:val="clear" w:color="auto" w:fill="F8F8F8"/>
        </w:rPr>
        <w:t>organisation</w:t>
      </w:r>
      <w:r w:rsidRPr="00C96493">
        <w:rPr>
          <w:rFonts w:ascii="Calibri" w:hAnsi="Calibri" w:cs="Calibri"/>
          <w:b/>
          <w:bCs/>
          <w:color w:val="44546A"/>
          <w:sz w:val="22"/>
          <w:szCs w:val="22"/>
          <w:shd w:val="clear" w:color="auto" w:fill="F8F8F8"/>
        </w:rPr>
        <w:t xml:space="preserve"> of persons with disabilities and (c) Cross-disability organi</w:t>
      </w:r>
      <w:r w:rsidR="00336D95">
        <w:rPr>
          <w:rFonts w:ascii="Calibri" w:hAnsi="Calibri" w:cs="Calibri"/>
          <w:b/>
          <w:bCs/>
          <w:color w:val="44546A"/>
          <w:sz w:val="22"/>
          <w:szCs w:val="22"/>
          <w:shd w:val="clear" w:color="auto" w:fill="F8F8F8"/>
        </w:rPr>
        <w:t>s</w:t>
      </w:r>
      <w:r w:rsidRPr="00C96493">
        <w:rPr>
          <w:rFonts w:ascii="Calibri" w:hAnsi="Calibri" w:cs="Calibri"/>
          <w:b/>
          <w:bCs/>
          <w:color w:val="44546A"/>
          <w:sz w:val="22"/>
          <w:szCs w:val="22"/>
          <w:shd w:val="clear" w:color="auto" w:fill="F8F8F8"/>
        </w:rPr>
        <w:t>ations</w:t>
      </w:r>
    </w:p>
    <w:p w:rsidR="007A2936" w:rsidRPr="00C96493" w:rsidRDefault="007A2936" w:rsidP="00362F99">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The distinction between umbrella organisations and cross-disability organisations does not seem to be reflective of many real-life situations. For </w:t>
      </w:r>
      <w:r w:rsidR="00751BCD" w:rsidRPr="00C96493">
        <w:rPr>
          <w:rFonts w:ascii="Calibri" w:eastAsia="Calibri" w:hAnsi="Calibri" w:cs="Calibri"/>
          <w:color w:val="262626"/>
          <w:sz w:val="22"/>
          <w:szCs w:val="22"/>
        </w:rPr>
        <w:t>example,</w:t>
      </w:r>
      <w:r w:rsidRPr="00C96493">
        <w:rPr>
          <w:rFonts w:ascii="Calibri" w:eastAsia="Calibri" w:hAnsi="Calibri" w:cs="Calibri"/>
          <w:color w:val="262626"/>
          <w:sz w:val="22"/>
          <w:szCs w:val="22"/>
        </w:rPr>
        <w:t xml:space="preserve"> if a national umbrella </w:t>
      </w:r>
      <w:r w:rsidR="00336D95">
        <w:rPr>
          <w:rFonts w:ascii="Calibri" w:eastAsia="Calibri" w:hAnsi="Calibri" w:cs="Calibri"/>
          <w:color w:val="262626"/>
          <w:sz w:val="22"/>
          <w:szCs w:val="22"/>
        </w:rPr>
        <w:t>organisation</w:t>
      </w:r>
      <w:r w:rsidRPr="00C96493">
        <w:rPr>
          <w:rFonts w:ascii="Calibri" w:eastAsia="Calibri" w:hAnsi="Calibri" w:cs="Calibri"/>
          <w:color w:val="262626"/>
          <w:sz w:val="22"/>
          <w:szCs w:val="22"/>
        </w:rPr>
        <w:t xml:space="preserve"> consists of regional or local organisations representing different types of disabilities, is it then an umbrella organi</w:t>
      </w:r>
      <w:r w:rsidR="00336D95">
        <w:rPr>
          <w:rFonts w:ascii="Calibri" w:eastAsia="Calibri" w:hAnsi="Calibri" w:cs="Calibri"/>
          <w:color w:val="262626"/>
          <w:sz w:val="22"/>
          <w:szCs w:val="22"/>
        </w:rPr>
        <w:t>s</w:t>
      </w:r>
      <w:r w:rsidRPr="00C96493">
        <w:rPr>
          <w:rFonts w:ascii="Calibri" w:eastAsia="Calibri" w:hAnsi="Calibri" w:cs="Calibri"/>
          <w:color w:val="262626"/>
          <w:sz w:val="22"/>
          <w:szCs w:val="22"/>
        </w:rPr>
        <w:t>ation or a cross-disability organi</w:t>
      </w:r>
      <w:r w:rsidR="00336D95">
        <w:rPr>
          <w:rFonts w:ascii="Calibri" w:eastAsia="Calibri" w:hAnsi="Calibri" w:cs="Calibri"/>
          <w:color w:val="262626"/>
          <w:sz w:val="22"/>
          <w:szCs w:val="22"/>
        </w:rPr>
        <w:t>s</w:t>
      </w:r>
      <w:r w:rsidRPr="00C96493">
        <w:rPr>
          <w:rFonts w:ascii="Calibri" w:eastAsia="Calibri" w:hAnsi="Calibri" w:cs="Calibri"/>
          <w:color w:val="262626"/>
          <w:sz w:val="22"/>
          <w:szCs w:val="22"/>
        </w:rPr>
        <w:t xml:space="preserve">ation? The concept of umbrella organisations already covers those DPOs/OPDs that work on a cross-disability basis. The distinction seems unnecessary and </w:t>
      </w:r>
      <w:r w:rsidR="00751BCD" w:rsidRPr="00C96493">
        <w:rPr>
          <w:rFonts w:ascii="Calibri" w:eastAsia="Calibri" w:hAnsi="Calibri" w:cs="Calibri"/>
          <w:color w:val="262626"/>
          <w:sz w:val="22"/>
          <w:szCs w:val="22"/>
        </w:rPr>
        <w:t>confusing,</w:t>
      </w:r>
      <w:r w:rsidRPr="00C96493">
        <w:rPr>
          <w:rFonts w:ascii="Calibri" w:eastAsia="Calibri" w:hAnsi="Calibri" w:cs="Calibri"/>
          <w:color w:val="262626"/>
          <w:sz w:val="22"/>
          <w:szCs w:val="22"/>
        </w:rPr>
        <w:t xml:space="preserve"> so we would suggest removing the paragraph on (c) </w:t>
      </w:r>
      <w:r w:rsidR="00336D95">
        <w:rPr>
          <w:rFonts w:ascii="Calibri" w:eastAsia="Calibri" w:hAnsi="Calibri" w:cs="Calibri"/>
          <w:color w:val="262626"/>
          <w:sz w:val="22"/>
          <w:szCs w:val="22"/>
        </w:rPr>
        <w:t>c</w:t>
      </w:r>
      <w:r w:rsidRPr="00C96493">
        <w:rPr>
          <w:rFonts w:ascii="Calibri" w:eastAsia="Calibri" w:hAnsi="Calibri" w:cs="Calibri"/>
          <w:color w:val="262626"/>
          <w:sz w:val="22"/>
          <w:szCs w:val="22"/>
        </w:rPr>
        <w:t>ross</w:t>
      </w:r>
      <w:r w:rsidR="00336D95">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disability organisations.  </w:t>
      </w:r>
      <w:r w:rsidR="00751BCD" w:rsidRPr="00C96493">
        <w:rPr>
          <w:rFonts w:ascii="Calibri" w:eastAsia="Calibri" w:hAnsi="Calibri" w:cs="Calibri"/>
          <w:color w:val="262626"/>
          <w:sz w:val="22"/>
          <w:szCs w:val="22"/>
        </w:rPr>
        <w:t>Alternatively,</w:t>
      </w:r>
      <w:r w:rsidRPr="00C96493">
        <w:rPr>
          <w:rFonts w:ascii="Calibri" w:eastAsia="Calibri" w:hAnsi="Calibri" w:cs="Calibri"/>
          <w:color w:val="262626"/>
          <w:sz w:val="22"/>
          <w:szCs w:val="22"/>
        </w:rPr>
        <w:t xml:space="preserve"> we suggest referring to cross</w:t>
      </w:r>
      <w:r w:rsidR="00336D95">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disability organisations within the paragraph on umbrella organisations.  </w:t>
      </w:r>
    </w:p>
    <w:p w:rsidR="007A2936" w:rsidRPr="00C96493" w:rsidRDefault="007A2936" w:rsidP="00362F99">
      <w:pPr>
        <w:suppressAutoHyphens/>
        <w:spacing w:after="120" w:line="276" w:lineRule="auto"/>
        <w:ind w:right="95"/>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In addition, stating that </w:t>
      </w:r>
      <w:r w:rsidR="00336D95">
        <w:rPr>
          <w:rFonts w:ascii="Calibri" w:eastAsia="Calibri" w:hAnsi="Calibri" w:cs="Calibri"/>
          <w:color w:val="262626"/>
          <w:sz w:val="22"/>
          <w:szCs w:val="22"/>
        </w:rPr>
        <w:t>“</w:t>
      </w:r>
      <w:r w:rsidRPr="00C96493">
        <w:rPr>
          <w:rFonts w:ascii="Calibri" w:eastAsia="Calibri" w:hAnsi="Calibri" w:cs="Calibri"/>
          <w:color w:val="262626"/>
          <w:sz w:val="22"/>
          <w:szCs w:val="22"/>
        </w:rPr>
        <w:t>there is usually only one or perhaps two umbrella DPOs/OPDs in a given State party</w:t>
      </w:r>
      <w:r w:rsidR="00336D95">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 implies that some umbrella organisations </w:t>
      </w:r>
      <w:r w:rsidR="00336D95">
        <w:rPr>
          <w:rFonts w:ascii="Calibri" w:eastAsia="Calibri" w:hAnsi="Calibri" w:cs="Calibri"/>
          <w:color w:val="262626"/>
          <w:sz w:val="22"/>
          <w:szCs w:val="22"/>
        </w:rPr>
        <w:t>are</w:t>
      </w:r>
      <w:r w:rsidRPr="00C96493">
        <w:rPr>
          <w:rFonts w:ascii="Calibri" w:eastAsia="Calibri" w:hAnsi="Calibri" w:cs="Calibri"/>
          <w:color w:val="262626"/>
          <w:sz w:val="22"/>
          <w:szCs w:val="22"/>
        </w:rPr>
        <w:t xml:space="preserve"> more important</w:t>
      </w:r>
      <w:r w:rsidR="00336D95">
        <w:rPr>
          <w:rFonts w:ascii="Calibri" w:eastAsia="Calibri" w:hAnsi="Calibri" w:cs="Calibri"/>
          <w:color w:val="262626"/>
          <w:sz w:val="22"/>
          <w:szCs w:val="22"/>
        </w:rPr>
        <w:t xml:space="preserve"> than</w:t>
      </w:r>
      <w:r w:rsidRPr="00C96493">
        <w:rPr>
          <w:rFonts w:ascii="Calibri" w:eastAsia="Calibri" w:hAnsi="Calibri" w:cs="Calibri"/>
          <w:color w:val="262626"/>
          <w:sz w:val="22"/>
          <w:szCs w:val="22"/>
        </w:rPr>
        <w:t xml:space="preserve"> others. The same risk exists at the regional European leve</w:t>
      </w:r>
      <w:r w:rsidR="00336D95">
        <w:rPr>
          <w:rFonts w:ascii="Calibri" w:eastAsia="Calibri" w:hAnsi="Calibri" w:cs="Calibri"/>
          <w:color w:val="262626"/>
          <w:sz w:val="22"/>
          <w:szCs w:val="22"/>
        </w:rPr>
        <w:t>l,</w:t>
      </w:r>
      <w:r w:rsidRPr="00C96493">
        <w:rPr>
          <w:rFonts w:ascii="Calibri" w:eastAsia="Calibri" w:hAnsi="Calibri" w:cs="Calibri"/>
          <w:color w:val="262626"/>
          <w:sz w:val="22"/>
          <w:szCs w:val="22"/>
        </w:rPr>
        <w:t xml:space="preserve"> where many umbrella organisations are active. Given the wide range and complexity of types of disabilities, having different umbrella organisations bringing their own expertise is necessary to have a proper representation of the different interests in European policy processes. As the European Union is a party to the CRPD, it is essential to avoid </w:t>
      </w:r>
      <w:r w:rsidR="00336D95">
        <w:rPr>
          <w:rFonts w:ascii="Calibri" w:eastAsia="Calibri" w:hAnsi="Calibri" w:cs="Calibri"/>
          <w:color w:val="262626"/>
          <w:sz w:val="22"/>
          <w:szCs w:val="22"/>
        </w:rPr>
        <w:t>a situation where</w:t>
      </w:r>
      <w:r w:rsidRPr="00C96493">
        <w:rPr>
          <w:rFonts w:ascii="Calibri" w:eastAsia="Calibri" w:hAnsi="Calibri" w:cs="Calibri"/>
          <w:color w:val="262626"/>
          <w:sz w:val="22"/>
          <w:szCs w:val="22"/>
        </w:rPr>
        <w:t xml:space="preserve"> one or two umbrella organisations are considered more important</w:t>
      </w:r>
      <w:r w:rsidR="00336D95">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 and </w:t>
      </w:r>
      <w:r w:rsidR="00336D95">
        <w:rPr>
          <w:rFonts w:ascii="Calibri" w:eastAsia="Calibri" w:hAnsi="Calibri" w:cs="Calibri"/>
          <w:color w:val="262626"/>
          <w:sz w:val="22"/>
          <w:szCs w:val="22"/>
        </w:rPr>
        <w:t>thus are given greater consideration,</w:t>
      </w:r>
      <w:r w:rsidRPr="00C96493">
        <w:rPr>
          <w:rFonts w:ascii="Calibri" w:eastAsia="Calibri" w:hAnsi="Calibri" w:cs="Calibri"/>
          <w:color w:val="262626"/>
          <w:sz w:val="22"/>
          <w:szCs w:val="22"/>
        </w:rPr>
        <w:t xml:space="preserve"> than others. We suggest removing this sentence.</w:t>
      </w:r>
    </w:p>
    <w:p w:rsidR="007A2936" w:rsidRPr="007A2936" w:rsidRDefault="007A2936" w:rsidP="002B2862">
      <w:pPr>
        <w:pStyle w:val="MediumGrid2"/>
        <w:rPr>
          <w:rFonts w:eastAsia="Calibri"/>
          <w:lang w:val="en-GB"/>
        </w:rPr>
      </w:pPr>
    </w:p>
    <w:p w:rsidR="007A2936" w:rsidRPr="00C96493" w:rsidRDefault="007A2936" w:rsidP="00CB0611">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lastRenderedPageBreak/>
        <w:t xml:space="preserve">(d) </w:t>
      </w:r>
      <w:r w:rsidR="00336D95">
        <w:rPr>
          <w:rFonts w:ascii="Calibri" w:hAnsi="Calibri" w:cs="Calibri"/>
          <w:b/>
          <w:bCs/>
          <w:color w:val="44546A"/>
          <w:sz w:val="22"/>
          <w:szCs w:val="22"/>
          <w:shd w:val="clear" w:color="auto" w:fill="F8F8F8"/>
        </w:rPr>
        <w:t>Organisation</w:t>
      </w:r>
      <w:r w:rsidRPr="00C96493">
        <w:rPr>
          <w:rFonts w:ascii="Calibri" w:hAnsi="Calibri" w:cs="Calibri"/>
          <w:b/>
          <w:bCs/>
          <w:color w:val="44546A"/>
          <w:sz w:val="22"/>
          <w:szCs w:val="22"/>
          <w:shd w:val="clear" w:color="auto" w:fill="F8F8F8"/>
        </w:rPr>
        <w:t xml:space="preserve">s of self-advocates </w:t>
      </w:r>
    </w:p>
    <w:p w:rsidR="007A2936" w:rsidRPr="00C96493" w:rsidRDefault="007A2936" w:rsidP="007A2936">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The Committee defines organisations of self-advocates as organisations composed of and representing persons with intellectual disabilities, autistic persons or persons with psychosocial disabilities. First, the distinction between DPOs/OPDs and </w:t>
      </w:r>
      <w:r w:rsidR="00336D95">
        <w:rPr>
          <w:rFonts w:ascii="Calibri" w:eastAsia="Calibri" w:hAnsi="Calibri" w:cs="Calibri"/>
          <w:color w:val="262626"/>
          <w:sz w:val="22"/>
          <w:szCs w:val="22"/>
        </w:rPr>
        <w:t>organisation</w:t>
      </w:r>
      <w:r w:rsidRPr="00C96493">
        <w:rPr>
          <w:rFonts w:ascii="Calibri" w:eastAsia="Calibri" w:hAnsi="Calibri" w:cs="Calibri"/>
          <w:color w:val="262626"/>
          <w:sz w:val="22"/>
          <w:szCs w:val="22"/>
        </w:rPr>
        <w:t xml:space="preserve">s of self-advocates seems to be done </w:t>
      </w:r>
      <w:r w:rsidR="00006E64">
        <w:rPr>
          <w:rFonts w:ascii="Calibri" w:eastAsia="Calibri" w:hAnsi="Calibri" w:cs="Calibri"/>
          <w:color w:val="262626"/>
          <w:sz w:val="22"/>
          <w:szCs w:val="22"/>
        </w:rPr>
        <w:t xml:space="preserve">regardless of the </w:t>
      </w:r>
      <w:r w:rsidRPr="00C96493">
        <w:rPr>
          <w:rFonts w:ascii="Calibri" w:eastAsia="Calibri" w:hAnsi="Calibri" w:cs="Calibri"/>
          <w:color w:val="262626"/>
          <w:sz w:val="22"/>
          <w:szCs w:val="22"/>
        </w:rPr>
        <w:t xml:space="preserve">differences between the categories listed here. Even if one person can have several types of disabilities, the general comment should not lead to more confusion by creating a separate category of these three distinct groups. According to our understanding, organisations of self-advocates are organisations of person with disabilities who advocate for their rights as well as the rights of other persons with disabilities. As such, we do not see how they are different than DPOs/OPDs. Indeed, all DPOs/OPDs are self-advocates, regardless of the type of disability. Therefore, all organisations controlled by autistic people, people with an intellectual disability or people with a psychosocial disability are DPOs/OPDs, already covered in Para 14 (a). In addition, persons with psychosocial disabilities rarely or never call themselves self-advocates on the </w:t>
      </w:r>
      <w:r w:rsidR="00336D95">
        <w:rPr>
          <w:rFonts w:ascii="Calibri" w:eastAsia="Calibri" w:hAnsi="Calibri" w:cs="Calibri"/>
          <w:color w:val="262626"/>
          <w:sz w:val="22"/>
          <w:szCs w:val="22"/>
        </w:rPr>
        <w:t>organisation</w:t>
      </w:r>
      <w:r w:rsidR="00006E64">
        <w:rPr>
          <w:rFonts w:ascii="Calibri" w:eastAsia="Calibri" w:hAnsi="Calibri" w:cs="Calibri"/>
          <w:color w:val="262626"/>
          <w:sz w:val="22"/>
          <w:szCs w:val="22"/>
        </w:rPr>
        <w:t>al level</w:t>
      </w:r>
      <w:r w:rsidRPr="00C96493">
        <w:rPr>
          <w:rFonts w:ascii="Calibri" w:eastAsia="Calibri" w:hAnsi="Calibri" w:cs="Calibri"/>
          <w:color w:val="262626"/>
          <w:sz w:val="22"/>
          <w:szCs w:val="22"/>
        </w:rPr>
        <w:t>.</w:t>
      </w:r>
    </w:p>
    <w:p w:rsidR="00E20506" w:rsidRPr="00C96493" w:rsidRDefault="007A2936" w:rsidP="00362F99">
      <w:pPr>
        <w:suppressAutoHyphens/>
        <w:spacing w:after="120" w:line="276" w:lineRule="auto"/>
        <w:ind w:right="95"/>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Second, organisations of self-advocates are considered a different category than DPOs/OPDs in view of the degree to which support is required. No distinction should be made based on the actual or perceived need for support. To be considered a DPO/OPD should be independent on the (level or kind of) support required and there should be no distinct definition to this regard. </w:t>
      </w:r>
    </w:p>
    <w:p w:rsidR="007A2936" w:rsidRPr="00C96493" w:rsidRDefault="007A2936" w:rsidP="00362F99">
      <w:pPr>
        <w:suppressAutoHyphens/>
        <w:spacing w:after="120" w:line="276" w:lineRule="auto"/>
        <w:ind w:right="95"/>
        <w:jc w:val="both"/>
        <w:rPr>
          <w:rFonts w:ascii="Calibri" w:eastAsia="Calibri" w:hAnsi="Calibri" w:cs="Calibri"/>
          <w:color w:val="262626"/>
          <w:sz w:val="22"/>
          <w:szCs w:val="22"/>
        </w:rPr>
      </w:pPr>
      <w:r w:rsidRPr="00C96493">
        <w:rPr>
          <w:rFonts w:ascii="Calibri" w:eastAsia="Calibri" w:hAnsi="Calibri" w:cs="Calibri"/>
          <w:color w:val="262626"/>
          <w:sz w:val="22"/>
          <w:szCs w:val="22"/>
          <w:lang w:val="uz-Cyrl-UZ"/>
        </w:rPr>
        <w:t xml:space="preserve">Overall, we recommend to delete this paragraph and make the DPO/OPD definition inclusive for </w:t>
      </w:r>
      <w:r w:rsidRPr="00C96493">
        <w:rPr>
          <w:rFonts w:ascii="Calibri" w:eastAsia="Calibri" w:hAnsi="Calibri" w:cs="Calibri"/>
          <w:color w:val="262626"/>
          <w:sz w:val="22"/>
          <w:szCs w:val="22"/>
        </w:rPr>
        <w:t>organisations of persons with psychosocial disabilities, intellectual disabilities or autistic persons. Alternatively, we would ask to remove persons with psychosocial disabilities from this paragraph.</w:t>
      </w:r>
    </w:p>
    <w:p w:rsidR="00362F99" w:rsidRDefault="00362F99" w:rsidP="002B2862">
      <w:pPr>
        <w:pStyle w:val="MediumGrid2"/>
        <w:rPr>
          <w:shd w:val="clear" w:color="auto" w:fill="F8F8F8"/>
          <w:lang w:val="en-GB"/>
        </w:rPr>
      </w:pPr>
    </w:p>
    <w:p w:rsidR="007A2936" w:rsidRPr="00C96493" w:rsidRDefault="007A2936" w:rsidP="00CB0611">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 xml:space="preserve">(e) </w:t>
      </w:r>
      <w:r w:rsidR="00336D95">
        <w:rPr>
          <w:rFonts w:ascii="Calibri" w:hAnsi="Calibri" w:cs="Calibri"/>
          <w:b/>
          <w:bCs/>
          <w:color w:val="44546A"/>
          <w:sz w:val="22"/>
          <w:szCs w:val="22"/>
          <w:shd w:val="clear" w:color="auto" w:fill="F8F8F8"/>
        </w:rPr>
        <w:t>Organisation</w:t>
      </w:r>
      <w:r w:rsidRPr="00C96493">
        <w:rPr>
          <w:rFonts w:ascii="Calibri" w:hAnsi="Calibri" w:cs="Calibri"/>
          <w:b/>
          <w:bCs/>
          <w:color w:val="44546A"/>
          <w:sz w:val="22"/>
          <w:szCs w:val="22"/>
          <w:shd w:val="clear" w:color="auto" w:fill="F8F8F8"/>
        </w:rPr>
        <w:t xml:space="preserve">s of parents of children with disabilities </w:t>
      </w:r>
    </w:p>
    <w:p w:rsidR="007A2936" w:rsidRPr="00C96493" w:rsidRDefault="007A2936" w:rsidP="00362F99">
      <w:pPr>
        <w:suppressAutoHyphens/>
        <w:spacing w:after="120" w:line="276" w:lineRule="auto"/>
        <w:ind w:right="-46"/>
        <w:jc w:val="both"/>
        <w:rPr>
          <w:rFonts w:ascii="Calibri" w:hAnsi="Calibri" w:cs="Calibri"/>
          <w:color w:val="262626"/>
          <w:sz w:val="22"/>
          <w:szCs w:val="22"/>
          <w:lang w:val="nl-NL"/>
        </w:rPr>
      </w:pPr>
      <w:r w:rsidRPr="00C96493">
        <w:rPr>
          <w:rFonts w:ascii="Calibri" w:eastAsia="Calibri" w:hAnsi="Calibri" w:cs="Calibri"/>
          <w:color w:val="262626"/>
          <w:sz w:val="22"/>
          <w:szCs w:val="22"/>
        </w:rPr>
        <w:t xml:space="preserve">MHE agrees that </w:t>
      </w:r>
      <w:r w:rsidR="00336D95">
        <w:rPr>
          <w:rFonts w:ascii="Calibri" w:eastAsia="Calibri" w:hAnsi="Calibri" w:cs="Calibri"/>
          <w:color w:val="262626"/>
          <w:sz w:val="22"/>
          <w:szCs w:val="22"/>
        </w:rPr>
        <w:t>organisation</w:t>
      </w:r>
      <w:r w:rsidRPr="00C96493">
        <w:rPr>
          <w:rFonts w:ascii="Calibri" w:eastAsia="Calibri" w:hAnsi="Calibri" w:cs="Calibri"/>
          <w:color w:val="262626"/>
          <w:sz w:val="22"/>
          <w:szCs w:val="22"/>
        </w:rPr>
        <w:t xml:space="preserve">s of parents of children with disabilities are key to facilitating, promoting and securing the interests, autonomy and active participation of their children with </w:t>
      </w:r>
      <w:r w:rsidRPr="00C96493">
        <w:rPr>
          <w:rFonts w:ascii="Calibri" w:eastAsia="Calibri" w:hAnsi="Calibri" w:cs="Calibri"/>
          <w:color w:val="262626"/>
          <w:sz w:val="22"/>
          <w:szCs w:val="22"/>
        </w:rPr>
        <w:lastRenderedPageBreak/>
        <w:t>disabilities and should be included in the consultation, decision-making and monitoring processes. However, as stated in article 12 of Convention on the Rights of the Child, it is equally important that children with disabilities who are capable of forming their own views have the right to be heard and express their views freely in all matters affecting them. While parents surely aim to represent the best interests of their children, the principle ‘nothing about us without us’ applies to children as well. Their views thus need to be given due weight in accordance with their age and maturity.</w:t>
      </w:r>
    </w:p>
    <w:p w:rsidR="007A2936" w:rsidRPr="007A2936" w:rsidRDefault="007A2936" w:rsidP="002B2862">
      <w:pPr>
        <w:pStyle w:val="MediumGrid2"/>
        <w:rPr>
          <w:lang w:val="nl-NL"/>
        </w:rPr>
      </w:pPr>
    </w:p>
    <w:p w:rsidR="007A2936" w:rsidRPr="00C96493" w:rsidRDefault="007A2936" w:rsidP="007A2936">
      <w:pPr>
        <w:spacing w:after="200" w:line="276" w:lineRule="auto"/>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Paragraph 16</w:t>
      </w:r>
    </w:p>
    <w:p w:rsidR="007A2936" w:rsidRPr="00C96493" w:rsidRDefault="00C10232" w:rsidP="00362F99">
      <w:pPr>
        <w:spacing w:after="200" w:line="276" w:lineRule="auto"/>
        <w:jc w:val="both"/>
        <w:rPr>
          <w:rFonts w:ascii="Calibri" w:hAnsi="Calibri" w:cs="Calibri"/>
          <w:color w:val="262626"/>
          <w:sz w:val="22"/>
          <w:szCs w:val="22"/>
        </w:rPr>
      </w:pPr>
      <w:r w:rsidRPr="00C96493">
        <w:rPr>
          <w:rFonts w:ascii="Calibri" w:eastAsia="Calibri" w:hAnsi="Calibri" w:cs="Calibri"/>
          <w:color w:val="262626"/>
          <w:sz w:val="22"/>
          <w:szCs w:val="22"/>
        </w:rPr>
        <w:t xml:space="preserve">16. </w:t>
      </w:r>
      <w:r w:rsidR="007A2936" w:rsidRPr="00C96493">
        <w:rPr>
          <w:rFonts w:ascii="Calibri" w:eastAsia="Calibri" w:hAnsi="Calibri" w:cs="Calibri"/>
          <w:color w:val="262626"/>
          <w:sz w:val="22"/>
          <w:szCs w:val="22"/>
        </w:rPr>
        <w:t>MHE would add that States Parties should ensure that civil society organisations meaningfully consult with DPOs/OPDs</w:t>
      </w:r>
      <w:r w:rsidR="007A2936" w:rsidRPr="00C96493">
        <w:rPr>
          <w:rFonts w:ascii="Calibri" w:eastAsia="Calibri" w:hAnsi="Calibri" w:cs="Calibri"/>
          <w:color w:val="262626"/>
          <w:sz w:val="22"/>
          <w:szCs w:val="22"/>
          <w:lang w:val="en-IE"/>
        </w:rPr>
        <w:t xml:space="preserve"> throughout their activities relating to persons with disabilities.</w:t>
      </w:r>
      <w:r w:rsidR="00362F99" w:rsidRPr="00C96493">
        <w:rPr>
          <w:rFonts w:ascii="Calibri" w:eastAsia="Calibri" w:hAnsi="Calibri" w:cs="Calibri"/>
          <w:color w:val="262626"/>
          <w:sz w:val="22"/>
          <w:szCs w:val="22"/>
          <w:lang w:val="en-IE"/>
        </w:rPr>
        <w:t xml:space="preserve"> </w:t>
      </w:r>
      <w:r w:rsidR="007A2936" w:rsidRPr="00C96493">
        <w:rPr>
          <w:rFonts w:ascii="Calibri" w:hAnsi="Calibri" w:cs="Calibri"/>
          <w:color w:val="262626"/>
          <w:sz w:val="22"/>
          <w:szCs w:val="22"/>
        </w:rPr>
        <w:t>In addition, for the monitoring of the convention, MHE suggests adding that a broad range of CSOs (or NGOs), including but not exclusively DPOs/OPDs are consulted to ensure a good balance and pursue social progress altogether.</w:t>
      </w:r>
    </w:p>
    <w:p w:rsidR="007A2936" w:rsidRPr="007A2936" w:rsidRDefault="007A2936" w:rsidP="002B2862">
      <w:pPr>
        <w:pStyle w:val="MediumGrid2"/>
        <w:rPr>
          <w:lang w:val="en-GB"/>
        </w:rPr>
      </w:pPr>
    </w:p>
    <w:p w:rsidR="007A2936" w:rsidRPr="00C96493" w:rsidRDefault="007A2936" w:rsidP="007A2936">
      <w:pPr>
        <w:numPr>
          <w:ilvl w:val="0"/>
          <w:numId w:val="39"/>
        </w:numPr>
        <w:spacing w:after="160" w:line="259" w:lineRule="auto"/>
        <w:contextualSpacing/>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Scope of art. 4.3</w:t>
      </w:r>
      <w:r w:rsidR="00E20506" w:rsidRPr="00C96493">
        <w:rPr>
          <w:rFonts w:ascii="Calibri" w:hAnsi="Calibri" w:cs="Calibri"/>
          <w:b/>
          <w:bCs/>
          <w:color w:val="44546A"/>
          <w:sz w:val="22"/>
          <w:szCs w:val="22"/>
          <w:shd w:val="clear" w:color="auto" w:fill="F8F8F8"/>
        </w:rPr>
        <w:t>.</w:t>
      </w:r>
    </w:p>
    <w:p w:rsidR="00E20506" w:rsidRPr="00C96493" w:rsidRDefault="00E20506" w:rsidP="00362F99">
      <w:pPr>
        <w:spacing w:after="160" w:line="259" w:lineRule="auto"/>
        <w:contextualSpacing/>
        <w:rPr>
          <w:rFonts w:ascii="Calibri" w:hAnsi="Calibri" w:cs="Calibri"/>
          <w:b/>
          <w:color w:val="323E4F"/>
          <w:sz w:val="22"/>
          <w:szCs w:val="22"/>
          <w:lang w:eastAsia="fr-BE"/>
        </w:rPr>
      </w:pPr>
    </w:p>
    <w:p w:rsidR="00362F99" w:rsidRPr="00C96493" w:rsidRDefault="00362F99" w:rsidP="00362F99">
      <w:pPr>
        <w:spacing w:after="200" w:line="276" w:lineRule="auto"/>
        <w:rPr>
          <w:rFonts w:ascii="Calibri" w:hAnsi="Calibri" w:cs="Calibri"/>
          <w:b/>
          <w:color w:val="323E4F"/>
          <w:sz w:val="22"/>
          <w:szCs w:val="22"/>
          <w:lang w:eastAsia="fr-BE"/>
        </w:rPr>
      </w:pPr>
      <w:r w:rsidRPr="00362F99">
        <w:rPr>
          <w:rFonts w:ascii="Calibri" w:hAnsi="Calibri" w:cs="Calibri"/>
          <w:b/>
          <w:bCs/>
          <w:color w:val="44546A"/>
          <w:sz w:val="22"/>
          <w:szCs w:val="22"/>
          <w:shd w:val="clear" w:color="auto" w:fill="F8F8F8"/>
        </w:rPr>
        <w:t>Paragraph 1</w:t>
      </w:r>
      <w:r>
        <w:rPr>
          <w:rFonts w:ascii="Calibri" w:hAnsi="Calibri" w:cs="Calibri"/>
          <w:b/>
          <w:bCs/>
          <w:color w:val="44546A"/>
          <w:sz w:val="22"/>
          <w:szCs w:val="22"/>
          <w:shd w:val="clear" w:color="auto" w:fill="F8F8F8"/>
        </w:rPr>
        <w:t>8</w:t>
      </w:r>
    </w:p>
    <w:p w:rsidR="007A2936" w:rsidRPr="00C96493" w:rsidRDefault="007A2936" w:rsidP="007A2936">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18. MHE welcomes the need for legal and regulatory frameworks and procedures, across all levels and branches of government, to ensure the close and active involvement of persons with disabilities in the </w:t>
      </w:r>
      <w:r w:rsidR="00596590">
        <w:rPr>
          <w:rFonts w:ascii="Calibri" w:eastAsia="Calibri" w:hAnsi="Calibri" w:cs="Calibri"/>
          <w:color w:val="262626"/>
          <w:sz w:val="22"/>
          <w:szCs w:val="22"/>
        </w:rPr>
        <w:t>“</w:t>
      </w:r>
      <w:r w:rsidRPr="00C96493">
        <w:rPr>
          <w:rFonts w:ascii="Calibri" w:eastAsia="Calibri" w:hAnsi="Calibri" w:cs="Calibri"/>
          <w:color w:val="262626"/>
          <w:sz w:val="22"/>
          <w:szCs w:val="22"/>
        </w:rPr>
        <w:t>development and implementation of legislation and policies to implement the present Convention, and in other decision-making processes</w:t>
      </w:r>
      <w:r w:rsidR="00596590">
        <w:rPr>
          <w:rFonts w:ascii="Calibri" w:eastAsia="Calibri" w:hAnsi="Calibri" w:cs="Calibri"/>
          <w:color w:val="262626"/>
          <w:sz w:val="22"/>
          <w:szCs w:val="22"/>
        </w:rPr>
        <w:t>”</w:t>
      </w:r>
      <w:r w:rsidRPr="00C96493">
        <w:rPr>
          <w:rFonts w:ascii="Calibri" w:eastAsia="Calibri" w:hAnsi="Calibri" w:cs="Calibri"/>
          <w:color w:val="262626"/>
          <w:sz w:val="22"/>
          <w:szCs w:val="22"/>
        </w:rPr>
        <w:t>. We suggest including the different levels where such frameworks need to be set in place, i.e. local, national, regional and international levels. As the European Union is a party to the CRPD, DPOs/OPDs should equally be consulted at each of the decision-making processes at the regional European level, and this should be stipulated in corresponding frameworks.</w:t>
      </w:r>
    </w:p>
    <w:p w:rsidR="002B2862" w:rsidRPr="00C96493" w:rsidRDefault="002B2862" w:rsidP="007A2936">
      <w:pPr>
        <w:spacing w:after="200" w:line="276" w:lineRule="auto"/>
        <w:jc w:val="both"/>
        <w:rPr>
          <w:rFonts w:ascii="Calibri" w:eastAsia="Calibri" w:hAnsi="Calibri" w:cs="Calibri"/>
          <w:color w:val="262626"/>
          <w:sz w:val="22"/>
          <w:szCs w:val="22"/>
        </w:rPr>
      </w:pPr>
    </w:p>
    <w:p w:rsidR="00362F99" w:rsidRPr="00C96493" w:rsidRDefault="00362F99" w:rsidP="00362F99">
      <w:pPr>
        <w:spacing w:after="200" w:line="276" w:lineRule="auto"/>
        <w:rPr>
          <w:rFonts w:ascii="Calibri" w:eastAsia="Calibri" w:hAnsi="Calibri" w:cs="Calibri"/>
          <w:color w:val="262626"/>
          <w:sz w:val="22"/>
          <w:szCs w:val="22"/>
        </w:rPr>
      </w:pPr>
      <w:r w:rsidRPr="00362F99">
        <w:rPr>
          <w:rFonts w:ascii="Calibri" w:hAnsi="Calibri" w:cs="Calibri"/>
          <w:b/>
          <w:bCs/>
          <w:color w:val="44546A"/>
          <w:sz w:val="22"/>
          <w:szCs w:val="22"/>
          <w:shd w:val="clear" w:color="auto" w:fill="F8F8F8"/>
        </w:rPr>
        <w:t xml:space="preserve">Paragraph </w:t>
      </w:r>
      <w:r>
        <w:rPr>
          <w:rFonts w:ascii="Calibri" w:hAnsi="Calibri" w:cs="Calibri"/>
          <w:b/>
          <w:bCs/>
          <w:color w:val="44546A"/>
          <w:sz w:val="22"/>
          <w:szCs w:val="22"/>
          <w:shd w:val="clear" w:color="auto" w:fill="F8F8F8"/>
        </w:rPr>
        <w:t>21</w:t>
      </w:r>
    </w:p>
    <w:p w:rsidR="007A2936" w:rsidRPr="00C96493" w:rsidRDefault="007A2936" w:rsidP="007A2936">
      <w:pPr>
        <w:spacing w:after="200" w:line="276" w:lineRule="auto"/>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21. MHE suggests specifying that the consultation and involvement of persons with disabilities in all decision-making processes, </w:t>
      </w:r>
      <w:r w:rsidR="00596590">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is a full-fledged strong obligation under international human rights law </w:t>
      </w:r>
      <w:r w:rsidRPr="00C96493">
        <w:rPr>
          <w:rFonts w:ascii="Calibri" w:eastAsia="Calibri" w:hAnsi="Calibri" w:cs="Calibri"/>
          <w:i/>
          <w:color w:val="262626"/>
          <w:sz w:val="22"/>
          <w:szCs w:val="22"/>
        </w:rPr>
        <w:t>recogni</w:t>
      </w:r>
      <w:r w:rsidR="00596590">
        <w:rPr>
          <w:rFonts w:ascii="Calibri" w:eastAsia="Calibri" w:hAnsi="Calibri" w:cs="Calibri"/>
          <w:i/>
          <w:color w:val="262626"/>
          <w:sz w:val="22"/>
          <w:szCs w:val="22"/>
        </w:rPr>
        <w:t>s</w:t>
      </w:r>
      <w:r w:rsidRPr="00C96493">
        <w:rPr>
          <w:rFonts w:ascii="Calibri" w:eastAsia="Calibri" w:hAnsi="Calibri" w:cs="Calibri"/>
          <w:i/>
          <w:color w:val="262626"/>
          <w:sz w:val="22"/>
          <w:szCs w:val="22"/>
        </w:rPr>
        <w:t>ing every person’s legal capacity</w:t>
      </w:r>
      <w:r w:rsidR="00596590">
        <w:rPr>
          <w:rFonts w:ascii="Calibri" w:eastAsia="Calibri" w:hAnsi="Calibri" w:cs="Calibri"/>
          <w:i/>
          <w:color w:val="262626"/>
          <w:sz w:val="22"/>
          <w:szCs w:val="22"/>
        </w:rPr>
        <w:t>”</w:t>
      </w:r>
      <w:r w:rsidRPr="00C96493">
        <w:rPr>
          <w:rFonts w:ascii="Calibri" w:eastAsia="Calibri" w:hAnsi="Calibri" w:cs="Calibri"/>
          <w:color w:val="262626"/>
          <w:sz w:val="22"/>
          <w:szCs w:val="22"/>
        </w:rPr>
        <w:t xml:space="preserve">. </w:t>
      </w:r>
    </w:p>
    <w:p w:rsidR="007A2936" w:rsidRPr="007A2936" w:rsidRDefault="007A2936" w:rsidP="002B2862">
      <w:pPr>
        <w:pStyle w:val="MediumGrid2"/>
        <w:rPr>
          <w:lang w:val="nl-NL"/>
        </w:rPr>
      </w:pPr>
    </w:p>
    <w:p w:rsidR="007A2936" w:rsidRPr="00C96493" w:rsidRDefault="007A2936" w:rsidP="00E20506">
      <w:pPr>
        <w:spacing w:after="200" w:line="276" w:lineRule="auto"/>
        <w:jc w:val="both"/>
        <w:rPr>
          <w:rFonts w:ascii="Calibri" w:hAnsi="Calibri" w:cs="Calibri"/>
          <w:b/>
          <w:bCs/>
          <w:color w:val="44546A"/>
          <w:sz w:val="22"/>
          <w:szCs w:val="22"/>
          <w:shd w:val="clear" w:color="auto" w:fill="F8F8F8"/>
        </w:rPr>
      </w:pPr>
      <w:r w:rsidRPr="00C96493">
        <w:rPr>
          <w:rFonts w:ascii="Calibri" w:hAnsi="Calibri" w:cs="Calibri"/>
          <w:b/>
          <w:bCs/>
          <w:color w:val="44546A"/>
          <w:sz w:val="22"/>
          <w:szCs w:val="22"/>
          <w:shd w:val="clear" w:color="auto" w:fill="F8F8F8"/>
        </w:rPr>
        <w:t>V. Implementation at the national level</w:t>
      </w:r>
    </w:p>
    <w:p w:rsidR="00362F99" w:rsidRPr="007A2936" w:rsidRDefault="00362F99" w:rsidP="00362F99">
      <w:pPr>
        <w:spacing w:after="200" w:line="276" w:lineRule="auto"/>
        <w:rPr>
          <w:rFonts w:ascii="Calibri" w:eastAsia="Calibri" w:hAnsi="Calibri" w:cs="Calibri"/>
          <w:color w:val="262626"/>
          <w:sz w:val="22"/>
          <w:szCs w:val="22"/>
        </w:rPr>
      </w:pPr>
      <w:r w:rsidRPr="00362F99">
        <w:rPr>
          <w:rFonts w:ascii="Calibri" w:hAnsi="Calibri" w:cs="Calibri"/>
          <w:b/>
          <w:bCs/>
          <w:color w:val="44546A"/>
          <w:sz w:val="22"/>
          <w:szCs w:val="22"/>
          <w:shd w:val="clear" w:color="auto" w:fill="F8F8F8"/>
        </w:rPr>
        <w:t xml:space="preserve">Paragraph </w:t>
      </w:r>
      <w:r>
        <w:rPr>
          <w:rFonts w:ascii="Calibri" w:hAnsi="Calibri" w:cs="Calibri"/>
          <w:b/>
          <w:bCs/>
          <w:color w:val="44546A"/>
          <w:sz w:val="22"/>
          <w:szCs w:val="22"/>
          <w:shd w:val="clear" w:color="auto" w:fill="F8F8F8"/>
        </w:rPr>
        <w:t>75</w:t>
      </w:r>
    </w:p>
    <w:p w:rsidR="007A2936" w:rsidRPr="00C96493" w:rsidRDefault="007A2936" w:rsidP="00C10232">
      <w:pPr>
        <w:suppressAutoHyphens/>
        <w:spacing w:after="120" w:line="276" w:lineRule="auto"/>
        <w:ind w:right="95"/>
        <w:jc w:val="both"/>
        <w:rPr>
          <w:rFonts w:ascii="Calibri" w:eastAsia="Calibri" w:hAnsi="Calibri" w:cs="Calibri"/>
          <w:color w:val="262626"/>
          <w:sz w:val="22"/>
          <w:szCs w:val="22"/>
        </w:rPr>
      </w:pPr>
      <w:r w:rsidRPr="00C96493">
        <w:rPr>
          <w:rFonts w:ascii="Calibri" w:eastAsia="Calibri" w:hAnsi="Calibri" w:cs="Calibri"/>
          <w:color w:val="262626"/>
          <w:sz w:val="22"/>
          <w:szCs w:val="22"/>
        </w:rPr>
        <w:t xml:space="preserve">75. (a) MHE suggests completing the sentence as follows: </w:t>
      </w:r>
      <w:r w:rsidR="00596590">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Repeal all laws that prevent any person with disabilities, regardless of type of impairment, to be closely consulted with and actively involved, through their DPOs/OPDs, </w:t>
      </w:r>
      <w:r w:rsidRPr="00C96493">
        <w:rPr>
          <w:rFonts w:ascii="Calibri" w:eastAsia="Calibri" w:hAnsi="Calibri" w:cs="Calibri"/>
          <w:i/>
          <w:color w:val="262626"/>
          <w:sz w:val="22"/>
          <w:szCs w:val="22"/>
        </w:rPr>
        <w:t>including laws that allow for restriction or deprivation of a person’s legal capacity as well as</w:t>
      </w:r>
      <w:r w:rsidRPr="00C96493">
        <w:rPr>
          <w:rFonts w:ascii="Calibri" w:eastAsia="Calibri" w:hAnsi="Calibri" w:cs="Calibri"/>
          <w:color w:val="262626"/>
          <w:sz w:val="22"/>
          <w:szCs w:val="22"/>
        </w:rPr>
        <w:t xml:space="preserve"> the right not to be confined, </w:t>
      </w:r>
      <w:bookmarkStart w:id="1" w:name="_Hlk498526824"/>
      <w:r w:rsidRPr="00C96493">
        <w:rPr>
          <w:rFonts w:ascii="Calibri" w:eastAsia="Calibri" w:hAnsi="Calibri" w:cs="Calibri"/>
          <w:color w:val="262626"/>
          <w:sz w:val="22"/>
          <w:szCs w:val="22"/>
        </w:rPr>
        <w:t>including through forced institutionalisation and isolation within the family, on the basis of any kind of disability</w:t>
      </w:r>
      <w:r w:rsidR="00596590">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 </w:t>
      </w:r>
      <w:bookmarkEnd w:id="1"/>
    </w:p>
    <w:p w:rsidR="007A2936" w:rsidRPr="00C96493" w:rsidRDefault="007A2936" w:rsidP="007A2936">
      <w:pPr>
        <w:spacing w:after="200" w:line="276" w:lineRule="auto"/>
        <w:jc w:val="both"/>
        <w:rPr>
          <w:rFonts w:ascii="Calibri" w:eastAsia="Calibri" w:hAnsi="Calibri" w:cs="Calibri"/>
          <w:color w:val="262626"/>
          <w:sz w:val="22"/>
          <w:szCs w:val="22"/>
        </w:rPr>
      </w:pPr>
    </w:p>
    <w:p w:rsidR="00907EE2" w:rsidRPr="00C96493" w:rsidRDefault="007A2936" w:rsidP="002B2862">
      <w:pPr>
        <w:spacing w:after="200" w:line="276" w:lineRule="auto"/>
        <w:jc w:val="both"/>
        <w:rPr>
          <w:rFonts w:ascii="Calibri" w:hAnsi="Calibri" w:cs="Calibri"/>
          <w:bCs/>
          <w:color w:val="000000"/>
          <w:sz w:val="22"/>
          <w:szCs w:val="22"/>
          <w:shd w:val="clear" w:color="auto" w:fill="F8F8F8"/>
          <w:lang w:val="en-IE"/>
        </w:rPr>
      </w:pPr>
      <w:r w:rsidRPr="00C96493">
        <w:rPr>
          <w:rFonts w:ascii="Calibri" w:eastAsia="Calibri" w:hAnsi="Calibri" w:cs="Calibri"/>
          <w:color w:val="262626"/>
          <w:sz w:val="22"/>
          <w:szCs w:val="22"/>
        </w:rPr>
        <w:t xml:space="preserve">(i) MHE suggests adding </w:t>
      </w:r>
      <w:r w:rsidR="00596590">
        <w:rPr>
          <w:rFonts w:ascii="Calibri" w:eastAsia="Calibri" w:hAnsi="Calibri" w:cs="Calibri"/>
          <w:color w:val="262626"/>
          <w:sz w:val="22"/>
          <w:szCs w:val="22"/>
        </w:rPr>
        <w:t>“</w:t>
      </w:r>
      <w:r w:rsidRPr="00C96493">
        <w:rPr>
          <w:rFonts w:ascii="Calibri" w:eastAsia="Calibri" w:hAnsi="Calibri" w:cs="Calibri"/>
          <w:color w:val="262626"/>
          <w:sz w:val="22"/>
          <w:szCs w:val="22"/>
        </w:rPr>
        <w:t xml:space="preserve">Encourage and support the creation, capacity-building, funding and effective participation of DPOs/OPDs or groups of persons with disabilities, including parents and families of persons with disabilities in their supportive role, </w:t>
      </w:r>
      <w:r w:rsidRPr="00C96493">
        <w:rPr>
          <w:rFonts w:ascii="Calibri" w:eastAsia="Calibri" w:hAnsi="Calibri" w:cs="Calibri"/>
          <w:i/>
          <w:color w:val="262626"/>
          <w:sz w:val="22"/>
          <w:szCs w:val="22"/>
        </w:rPr>
        <w:t>at the local, national,</w:t>
      </w:r>
      <w:r w:rsidRPr="00C96493">
        <w:rPr>
          <w:rFonts w:ascii="Calibri" w:eastAsia="Calibri" w:hAnsi="Calibri" w:cs="Calibri"/>
          <w:color w:val="262626"/>
          <w:sz w:val="22"/>
          <w:szCs w:val="22"/>
        </w:rPr>
        <w:t xml:space="preserve"> </w:t>
      </w:r>
      <w:r w:rsidRPr="00C96493">
        <w:rPr>
          <w:rFonts w:ascii="Calibri" w:eastAsia="Calibri" w:hAnsi="Calibri" w:cs="Calibri"/>
          <w:i/>
          <w:color w:val="262626"/>
          <w:sz w:val="22"/>
          <w:szCs w:val="22"/>
        </w:rPr>
        <w:t>regional and international levels</w:t>
      </w:r>
      <w:r w:rsidRPr="00C96493">
        <w:rPr>
          <w:rFonts w:ascii="Calibri" w:eastAsia="Calibri" w:hAnsi="Calibri" w:cs="Calibri"/>
          <w:color w:val="262626"/>
          <w:sz w:val="22"/>
          <w:szCs w:val="22"/>
        </w:rPr>
        <w:t xml:space="preserve"> in the conception, design, reform and implementation of policies and programmes</w:t>
      </w:r>
      <w:r w:rsidR="00596590">
        <w:rPr>
          <w:rFonts w:ascii="Calibri" w:eastAsia="Calibri" w:hAnsi="Calibri" w:cs="Calibri"/>
          <w:color w:val="262626"/>
          <w:sz w:val="22"/>
          <w:szCs w:val="22"/>
        </w:rPr>
        <w:t>”</w:t>
      </w:r>
      <w:r w:rsidRPr="00C96493">
        <w:rPr>
          <w:rFonts w:ascii="Calibri" w:eastAsia="Calibri" w:hAnsi="Calibri" w:cs="Calibri"/>
          <w:color w:val="262626"/>
          <w:sz w:val="22"/>
          <w:szCs w:val="22"/>
        </w:rPr>
        <w:t>.</w:t>
      </w:r>
    </w:p>
    <w:sectPr w:rsidR="00907EE2" w:rsidRPr="00C96493" w:rsidSect="00C94440">
      <w:type w:val="continuous"/>
      <w:pgSz w:w="12240" w:h="15840"/>
      <w:pgMar w:top="1417" w:right="1417" w:bottom="426"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865" w:rsidRDefault="00567865" w:rsidP="005C10CC">
      <w:r>
        <w:separator/>
      </w:r>
    </w:p>
  </w:endnote>
  <w:endnote w:type="continuationSeparator" w:id="0">
    <w:p w:rsidR="00567865" w:rsidRDefault="00567865" w:rsidP="005C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865" w:rsidRDefault="00567865" w:rsidP="005C10CC">
      <w:r>
        <w:separator/>
      </w:r>
    </w:p>
  </w:footnote>
  <w:footnote w:type="continuationSeparator" w:id="0">
    <w:p w:rsidR="00567865" w:rsidRDefault="00567865" w:rsidP="005C1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3in;height:3in" o:bullet="t"/>
    </w:pict>
  </w:numPicBullet>
  <w:numPicBullet w:numPicBulletId="12">
    <w:pict>
      <v:shape id="_x0000_i1037" type="#_x0000_t75" style="width:3in;height:3in" o:bullet="t"/>
    </w:pict>
  </w:numPicBullet>
  <w:numPicBullet w:numPicBulletId="13">
    <w:pict>
      <v:shape id="_x0000_i1038" type="#_x0000_t75" style="width:3in;height:3in" o:bullet="t"/>
    </w:pict>
  </w:numPicBullet>
  <w:numPicBullet w:numPicBulletId="14">
    <w:pict>
      <v:shape id="_x0000_i1039" type="#_x0000_t75" style="width:3in;height:3in" o:bullet="t"/>
    </w:pict>
  </w:numPicBullet>
  <w:numPicBullet w:numPicBulletId="15">
    <w:pict>
      <v:shape id="_x0000_i1040" type="#_x0000_t75" style="width:3in;height:3in" o:bullet="t"/>
    </w:pict>
  </w:numPicBullet>
  <w:numPicBullet w:numPicBulletId="16">
    <w:pict>
      <v:shape id="_x0000_i1041" type="#_x0000_t75" style="width:3in;height:3in" o:bullet="t"/>
    </w:pict>
  </w:numPicBullet>
  <w:numPicBullet w:numPicBulletId="17">
    <w:pict>
      <v:shape id="_x0000_i1042" type="#_x0000_t75" style="width:3in;height:3in" o:bullet="t"/>
    </w:pict>
  </w:numPicBullet>
  <w:abstractNum w:abstractNumId="0" w15:restartNumberingAfterBreak="0">
    <w:nsid w:val="84FF44D0"/>
    <w:multiLevelType w:val="hybridMultilevel"/>
    <w:tmpl w:val="0DECED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FDF258"/>
    <w:multiLevelType w:val="hybridMultilevel"/>
    <w:tmpl w:val="6CBC06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787ABE"/>
    <w:multiLevelType w:val="hybridMultilevel"/>
    <w:tmpl w:val="869EF86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844578"/>
    <w:multiLevelType w:val="hybridMultilevel"/>
    <w:tmpl w:val="6323301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1561DF"/>
    <w:multiLevelType w:val="hybridMultilevel"/>
    <w:tmpl w:val="0F2F937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17F141C"/>
    <w:multiLevelType w:val="hybridMultilevel"/>
    <w:tmpl w:val="36A31DF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D3D0315"/>
    <w:multiLevelType w:val="hybridMultilevel"/>
    <w:tmpl w:val="74474D0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87AEA6"/>
    <w:multiLevelType w:val="hybridMultilevel"/>
    <w:tmpl w:val="9E201FF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088AB3A"/>
    <w:multiLevelType w:val="hybridMultilevel"/>
    <w:tmpl w:val="691D67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55F94E4"/>
    <w:multiLevelType w:val="hybridMultilevel"/>
    <w:tmpl w:val="87CA08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7C5D7B"/>
    <w:multiLevelType w:val="hybridMultilevel"/>
    <w:tmpl w:val="F99ACD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D507F65"/>
    <w:multiLevelType w:val="hybridMultilevel"/>
    <w:tmpl w:val="38A6541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E8D2B6A"/>
    <w:multiLevelType w:val="hybridMultilevel"/>
    <w:tmpl w:val="45510CF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F904956"/>
    <w:multiLevelType w:val="hybridMultilevel"/>
    <w:tmpl w:val="F160B1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4116D15"/>
    <w:multiLevelType w:val="hybridMultilevel"/>
    <w:tmpl w:val="093908D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75F9EB2"/>
    <w:multiLevelType w:val="hybridMultilevel"/>
    <w:tmpl w:val="659CE8A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BB3A0A6"/>
    <w:multiLevelType w:val="hybridMultilevel"/>
    <w:tmpl w:val="6EFE93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FFFFF1D"/>
    <w:multiLevelType w:val="multilevel"/>
    <w:tmpl w:val="30022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8" w15:restartNumberingAfterBreak="0">
    <w:nsid w:val="06B21D72"/>
    <w:multiLevelType w:val="hybridMultilevel"/>
    <w:tmpl w:val="C52CA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6E3B944"/>
    <w:multiLevelType w:val="hybridMultilevel"/>
    <w:tmpl w:val="545E5C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3794BD9"/>
    <w:multiLevelType w:val="hybridMultilevel"/>
    <w:tmpl w:val="716A65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B74A6A"/>
    <w:multiLevelType w:val="hybridMultilevel"/>
    <w:tmpl w:val="78F7F02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15389F7"/>
    <w:multiLevelType w:val="hybridMultilevel"/>
    <w:tmpl w:val="1F53590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4852C05"/>
    <w:multiLevelType w:val="hybridMultilevel"/>
    <w:tmpl w:val="474C7E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419966"/>
    <w:multiLevelType w:val="hybridMultilevel"/>
    <w:tmpl w:val="CDFB2A8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1FA103B"/>
    <w:multiLevelType w:val="hybridMultilevel"/>
    <w:tmpl w:val="F60572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63AAB3E"/>
    <w:multiLevelType w:val="hybridMultilevel"/>
    <w:tmpl w:val="12E7AF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F52229"/>
    <w:multiLevelType w:val="hybridMultilevel"/>
    <w:tmpl w:val="72964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03339"/>
    <w:multiLevelType w:val="hybridMultilevel"/>
    <w:tmpl w:val="A49A4266"/>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29" w15:restartNumberingAfterBreak="0">
    <w:nsid w:val="423B1EEF"/>
    <w:multiLevelType w:val="multilevel"/>
    <w:tmpl w:val="F1B68FD0"/>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750A2"/>
    <w:multiLevelType w:val="hybridMultilevel"/>
    <w:tmpl w:val="2F3D94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59746E1"/>
    <w:multiLevelType w:val="multilevel"/>
    <w:tmpl w:val="D24C5EA2"/>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8E447"/>
    <w:multiLevelType w:val="hybridMultilevel"/>
    <w:tmpl w:val="C20CBFC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990A2EE"/>
    <w:multiLevelType w:val="hybridMultilevel"/>
    <w:tmpl w:val="D16458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9ED863E"/>
    <w:multiLevelType w:val="hybridMultilevel"/>
    <w:tmpl w:val="8D56D0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3E7698A"/>
    <w:multiLevelType w:val="hybridMultilevel"/>
    <w:tmpl w:val="E40D85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DE57E6"/>
    <w:multiLevelType w:val="hybridMultilevel"/>
    <w:tmpl w:val="FAA087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7E925FB"/>
    <w:multiLevelType w:val="hybridMultilevel"/>
    <w:tmpl w:val="C96DF9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58041C"/>
    <w:multiLevelType w:val="hybridMultilevel"/>
    <w:tmpl w:val="E21791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8023C2"/>
    <w:multiLevelType w:val="multilevel"/>
    <w:tmpl w:val="EAB84ECE"/>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5"/>
  </w:num>
  <w:num w:numId="3">
    <w:abstractNumId w:val="37"/>
  </w:num>
  <w:num w:numId="4">
    <w:abstractNumId w:val="34"/>
  </w:num>
  <w:num w:numId="5">
    <w:abstractNumId w:val="13"/>
  </w:num>
  <w:num w:numId="6">
    <w:abstractNumId w:val="38"/>
  </w:num>
  <w:num w:numId="7">
    <w:abstractNumId w:val="14"/>
  </w:num>
  <w:num w:numId="8">
    <w:abstractNumId w:val="15"/>
  </w:num>
  <w:num w:numId="9">
    <w:abstractNumId w:val="21"/>
  </w:num>
  <w:num w:numId="10">
    <w:abstractNumId w:val="32"/>
  </w:num>
  <w:num w:numId="11">
    <w:abstractNumId w:val="0"/>
  </w:num>
  <w:num w:numId="12">
    <w:abstractNumId w:val="8"/>
  </w:num>
  <w:num w:numId="13">
    <w:abstractNumId w:val="1"/>
  </w:num>
  <w:num w:numId="14">
    <w:abstractNumId w:val="16"/>
  </w:num>
  <w:num w:numId="15">
    <w:abstractNumId w:val="30"/>
  </w:num>
  <w:num w:numId="16">
    <w:abstractNumId w:val="11"/>
  </w:num>
  <w:num w:numId="17">
    <w:abstractNumId w:val="4"/>
  </w:num>
  <w:num w:numId="18">
    <w:abstractNumId w:val="22"/>
  </w:num>
  <w:num w:numId="19">
    <w:abstractNumId w:val="7"/>
  </w:num>
  <w:num w:numId="20">
    <w:abstractNumId w:val="24"/>
  </w:num>
  <w:num w:numId="21">
    <w:abstractNumId w:val="3"/>
  </w:num>
  <w:num w:numId="22">
    <w:abstractNumId w:val="33"/>
  </w:num>
  <w:num w:numId="23">
    <w:abstractNumId w:val="5"/>
  </w:num>
  <w:num w:numId="24">
    <w:abstractNumId w:val="26"/>
  </w:num>
  <w:num w:numId="25">
    <w:abstractNumId w:val="2"/>
  </w:num>
  <w:num w:numId="26">
    <w:abstractNumId w:val="36"/>
  </w:num>
  <w:num w:numId="27">
    <w:abstractNumId w:val="25"/>
  </w:num>
  <w:num w:numId="28">
    <w:abstractNumId w:val="19"/>
  </w:num>
  <w:num w:numId="29">
    <w:abstractNumId w:val="10"/>
  </w:num>
  <w:num w:numId="30">
    <w:abstractNumId w:val="9"/>
  </w:num>
  <w:num w:numId="31">
    <w:abstractNumId w:val="6"/>
  </w:num>
  <w:num w:numId="32">
    <w:abstractNumId w:val="18"/>
  </w:num>
  <w:num w:numId="33">
    <w:abstractNumId w:val="27"/>
  </w:num>
  <w:num w:numId="34">
    <w:abstractNumId w:val="39"/>
  </w:num>
  <w:num w:numId="35">
    <w:abstractNumId w:val="29"/>
  </w:num>
  <w:num w:numId="36">
    <w:abstractNumId w:val="31"/>
  </w:num>
  <w:num w:numId="37">
    <w:abstractNumId w:val="20"/>
  </w:num>
  <w:num w:numId="38">
    <w:abstractNumId w:val="28"/>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00"/>
    <w:rsid w:val="00003C4E"/>
    <w:rsid w:val="00006E64"/>
    <w:rsid w:val="00011496"/>
    <w:rsid w:val="00025A88"/>
    <w:rsid w:val="00034594"/>
    <w:rsid w:val="000360B8"/>
    <w:rsid w:val="0004740B"/>
    <w:rsid w:val="00052CB0"/>
    <w:rsid w:val="00056903"/>
    <w:rsid w:val="00057856"/>
    <w:rsid w:val="00060FA6"/>
    <w:rsid w:val="00065677"/>
    <w:rsid w:val="000657FD"/>
    <w:rsid w:val="000765AE"/>
    <w:rsid w:val="00094EB4"/>
    <w:rsid w:val="00095C3D"/>
    <w:rsid w:val="000A1BFE"/>
    <w:rsid w:val="000A5E0F"/>
    <w:rsid w:val="000C0723"/>
    <w:rsid w:val="000D1422"/>
    <w:rsid w:val="000F1F5C"/>
    <w:rsid w:val="000F5DE2"/>
    <w:rsid w:val="001555AB"/>
    <w:rsid w:val="00175323"/>
    <w:rsid w:val="00175739"/>
    <w:rsid w:val="0019043B"/>
    <w:rsid w:val="001A4519"/>
    <w:rsid w:val="001C2FA5"/>
    <w:rsid w:val="001C6CC5"/>
    <w:rsid w:val="001F4EFF"/>
    <w:rsid w:val="001F72C9"/>
    <w:rsid w:val="001F74AB"/>
    <w:rsid w:val="0022394A"/>
    <w:rsid w:val="00273532"/>
    <w:rsid w:val="00282A46"/>
    <w:rsid w:val="002B2862"/>
    <w:rsid w:val="002C4062"/>
    <w:rsid w:val="002F6EDF"/>
    <w:rsid w:val="00304C59"/>
    <w:rsid w:val="003200C0"/>
    <w:rsid w:val="00325874"/>
    <w:rsid w:val="00336D95"/>
    <w:rsid w:val="003430DF"/>
    <w:rsid w:val="00357CBC"/>
    <w:rsid w:val="00362F99"/>
    <w:rsid w:val="0039452B"/>
    <w:rsid w:val="003A59B3"/>
    <w:rsid w:val="003A67B8"/>
    <w:rsid w:val="003D1E8E"/>
    <w:rsid w:val="003D5847"/>
    <w:rsid w:val="003D593C"/>
    <w:rsid w:val="003E29E7"/>
    <w:rsid w:val="003F0D8D"/>
    <w:rsid w:val="003F7F61"/>
    <w:rsid w:val="00400245"/>
    <w:rsid w:val="00415D66"/>
    <w:rsid w:val="00416858"/>
    <w:rsid w:val="00424FEA"/>
    <w:rsid w:val="004264A7"/>
    <w:rsid w:val="004349B5"/>
    <w:rsid w:val="00435723"/>
    <w:rsid w:val="0044193F"/>
    <w:rsid w:val="0046434D"/>
    <w:rsid w:val="00494B28"/>
    <w:rsid w:val="004A7C7B"/>
    <w:rsid w:val="004B6A44"/>
    <w:rsid w:val="004F365F"/>
    <w:rsid w:val="00502ED1"/>
    <w:rsid w:val="00511C08"/>
    <w:rsid w:val="005159A0"/>
    <w:rsid w:val="005224E9"/>
    <w:rsid w:val="00522B97"/>
    <w:rsid w:val="00522E6F"/>
    <w:rsid w:val="00553EBE"/>
    <w:rsid w:val="00555882"/>
    <w:rsid w:val="00567107"/>
    <w:rsid w:val="00567865"/>
    <w:rsid w:val="00593D00"/>
    <w:rsid w:val="00596590"/>
    <w:rsid w:val="005B05B8"/>
    <w:rsid w:val="005C10CC"/>
    <w:rsid w:val="005C4AED"/>
    <w:rsid w:val="005C5CDE"/>
    <w:rsid w:val="005C6E79"/>
    <w:rsid w:val="00602965"/>
    <w:rsid w:val="0061379A"/>
    <w:rsid w:val="00664163"/>
    <w:rsid w:val="00690704"/>
    <w:rsid w:val="00696D59"/>
    <w:rsid w:val="006A6419"/>
    <w:rsid w:val="006B0D34"/>
    <w:rsid w:val="006C2346"/>
    <w:rsid w:val="006C7EED"/>
    <w:rsid w:val="006D4E7D"/>
    <w:rsid w:val="006D5C4C"/>
    <w:rsid w:val="00700B91"/>
    <w:rsid w:val="007075AC"/>
    <w:rsid w:val="00721E26"/>
    <w:rsid w:val="00723812"/>
    <w:rsid w:val="007279CF"/>
    <w:rsid w:val="007519DC"/>
    <w:rsid w:val="00751BCD"/>
    <w:rsid w:val="00774AD8"/>
    <w:rsid w:val="0078443D"/>
    <w:rsid w:val="007936B6"/>
    <w:rsid w:val="007A2936"/>
    <w:rsid w:val="007C0179"/>
    <w:rsid w:val="007C4D97"/>
    <w:rsid w:val="007F0230"/>
    <w:rsid w:val="007F3FF2"/>
    <w:rsid w:val="00801B67"/>
    <w:rsid w:val="008042E0"/>
    <w:rsid w:val="00825318"/>
    <w:rsid w:val="00827E07"/>
    <w:rsid w:val="00847BE6"/>
    <w:rsid w:val="008A0089"/>
    <w:rsid w:val="008B0762"/>
    <w:rsid w:val="008B2FD4"/>
    <w:rsid w:val="008B4652"/>
    <w:rsid w:val="008C4422"/>
    <w:rsid w:val="008C4658"/>
    <w:rsid w:val="008C738A"/>
    <w:rsid w:val="008E5274"/>
    <w:rsid w:val="00903B29"/>
    <w:rsid w:val="00907EE2"/>
    <w:rsid w:val="009229AE"/>
    <w:rsid w:val="00945B38"/>
    <w:rsid w:val="0094611E"/>
    <w:rsid w:val="00952682"/>
    <w:rsid w:val="0096536D"/>
    <w:rsid w:val="009710EC"/>
    <w:rsid w:val="00972F64"/>
    <w:rsid w:val="00997728"/>
    <w:rsid w:val="009B6F91"/>
    <w:rsid w:val="009C0991"/>
    <w:rsid w:val="009C6DCC"/>
    <w:rsid w:val="009D41AE"/>
    <w:rsid w:val="00A1387F"/>
    <w:rsid w:val="00A20C07"/>
    <w:rsid w:val="00A6376B"/>
    <w:rsid w:val="00A70B0E"/>
    <w:rsid w:val="00A7205F"/>
    <w:rsid w:val="00A8170F"/>
    <w:rsid w:val="00A9050A"/>
    <w:rsid w:val="00A91EC9"/>
    <w:rsid w:val="00AB12CB"/>
    <w:rsid w:val="00AB2176"/>
    <w:rsid w:val="00AB5A9D"/>
    <w:rsid w:val="00AD15B1"/>
    <w:rsid w:val="00AD2B5F"/>
    <w:rsid w:val="00AD3AB9"/>
    <w:rsid w:val="00B15039"/>
    <w:rsid w:val="00B31AE0"/>
    <w:rsid w:val="00B536A1"/>
    <w:rsid w:val="00B60536"/>
    <w:rsid w:val="00B66853"/>
    <w:rsid w:val="00B80A59"/>
    <w:rsid w:val="00BB0BBB"/>
    <w:rsid w:val="00BB3F32"/>
    <w:rsid w:val="00BB71B1"/>
    <w:rsid w:val="00BC6885"/>
    <w:rsid w:val="00BE2E7C"/>
    <w:rsid w:val="00C05F7D"/>
    <w:rsid w:val="00C10232"/>
    <w:rsid w:val="00C20381"/>
    <w:rsid w:val="00C3485F"/>
    <w:rsid w:val="00C607E6"/>
    <w:rsid w:val="00C931BD"/>
    <w:rsid w:val="00C94440"/>
    <w:rsid w:val="00C96493"/>
    <w:rsid w:val="00CB0611"/>
    <w:rsid w:val="00CC2216"/>
    <w:rsid w:val="00CD4B06"/>
    <w:rsid w:val="00CF04E9"/>
    <w:rsid w:val="00CF2B49"/>
    <w:rsid w:val="00D00C5A"/>
    <w:rsid w:val="00D055BA"/>
    <w:rsid w:val="00D73150"/>
    <w:rsid w:val="00D736AE"/>
    <w:rsid w:val="00D85061"/>
    <w:rsid w:val="00D86C7A"/>
    <w:rsid w:val="00DA6188"/>
    <w:rsid w:val="00DC69F8"/>
    <w:rsid w:val="00DD3B29"/>
    <w:rsid w:val="00DE1110"/>
    <w:rsid w:val="00DE2BC3"/>
    <w:rsid w:val="00DE63B1"/>
    <w:rsid w:val="00DF3A2A"/>
    <w:rsid w:val="00E03A3E"/>
    <w:rsid w:val="00E03DE0"/>
    <w:rsid w:val="00E07571"/>
    <w:rsid w:val="00E20506"/>
    <w:rsid w:val="00E40577"/>
    <w:rsid w:val="00E40A4D"/>
    <w:rsid w:val="00E518DC"/>
    <w:rsid w:val="00E67B31"/>
    <w:rsid w:val="00EC7823"/>
    <w:rsid w:val="00F226E8"/>
    <w:rsid w:val="00F469B3"/>
    <w:rsid w:val="00F6071C"/>
    <w:rsid w:val="00F9013A"/>
    <w:rsid w:val="00F9048C"/>
    <w:rsid w:val="00FF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8D5E8D-28C2-4911-B949-652CF6EB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381"/>
    <w:rPr>
      <w:sz w:val="24"/>
      <w:szCs w:val="24"/>
      <w:lang w:eastAsia="en-US"/>
    </w:rPr>
  </w:style>
  <w:style w:type="paragraph" w:styleId="Heading5">
    <w:name w:val="heading 5"/>
    <w:basedOn w:val="Normal"/>
    <w:next w:val="Normal"/>
    <w:qFormat/>
    <w:rsid w:val="00903B29"/>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2394A"/>
    <w:rPr>
      <w:color w:val="0000FF"/>
      <w:u w:val="single"/>
    </w:rPr>
  </w:style>
  <w:style w:type="paragraph" w:customStyle="1" w:styleId="titre5">
    <w:name w:val="titre 5"/>
    <w:basedOn w:val="Heading5"/>
    <w:rsid w:val="00903B29"/>
    <w:rPr>
      <w:rFonts w:ascii="Verdana" w:hAnsi="Verdana" w:cs="Arial"/>
      <w:b w:val="0"/>
      <w:i w:val="0"/>
      <w:sz w:val="18"/>
      <w:szCs w:val="18"/>
      <w:u w:val="single"/>
      <w:lang w:val="fr-BE"/>
    </w:rPr>
  </w:style>
  <w:style w:type="paragraph" w:styleId="FootnoteText">
    <w:name w:val="footnote text"/>
    <w:basedOn w:val="Normal"/>
    <w:semiHidden/>
    <w:rsid w:val="00723812"/>
    <w:rPr>
      <w:sz w:val="20"/>
      <w:szCs w:val="20"/>
    </w:rPr>
  </w:style>
  <w:style w:type="character" w:styleId="FootnoteReference">
    <w:name w:val="footnote reference"/>
    <w:semiHidden/>
    <w:rsid w:val="00723812"/>
    <w:rPr>
      <w:vertAlign w:val="superscript"/>
    </w:rPr>
  </w:style>
  <w:style w:type="paragraph" w:styleId="Header">
    <w:name w:val="header"/>
    <w:basedOn w:val="Normal"/>
    <w:link w:val="HeaderChar"/>
    <w:uiPriority w:val="99"/>
    <w:semiHidden/>
    <w:unhideWhenUsed/>
    <w:rsid w:val="005C10CC"/>
    <w:pPr>
      <w:tabs>
        <w:tab w:val="center" w:pos="4536"/>
        <w:tab w:val="right" w:pos="9072"/>
      </w:tabs>
    </w:pPr>
  </w:style>
  <w:style w:type="character" w:customStyle="1" w:styleId="HeaderChar">
    <w:name w:val="Header Char"/>
    <w:link w:val="Header"/>
    <w:uiPriority w:val="99"/>
    <w:semiHidden/>
    <w:rsid w:val="005C10CC"/>
    <w:rPr>
      <w:sz w:val="24"/>
      <w:szCs w:val="24"/>
      <w:lang w:val="en-US" w:eastAsia="en-US"/>
    </w:rPr>
  </w:style>
  <w:style w:type="paragraph" w:styleId="Footer">
    <w:name w:val="footer"/>
    <w:basedOn w:val="Normal"/>
    <w:link w:val="FooterChar"/>
    <w:uiPriority w:val="99"/>
    <w:unhideWhenUsed/>
    <w:rsid w:val="005C10CC"/>
    <w:pPr>
      <w:tabs>
        <w:tab w:val="center" w:pos="4536"/>
        <w:tab w:val="right" w:pos="9072"/>
      </w:tabs>
    </w:pPr>
  </w:style>
  <w:style w:type="character" w:customStyle="1" w:styleId="FooterChar">
    <w:name w:val="Footer Char"/>
    <w:link w:val="Footer"/>
    <w:uiPriority w:val="99"/>
    <w:rsid w:val="005C10CC"/>
    <w:rPr>
      <w:sz w:val="24"/>
      <w:szCs w:val="24"/>
      <w:lang w:val="en-US" w:eastAsia="en-US"/>
    </w:rPr>
  </w:style>
  <w:style w:type="paragraph" w:styleId="BalloonText">
    <w:name w:val="Balloon Text"/>
    <w:basedOn w:val="Normal"/>
    <w:link w:val="BalloonTextChar"/>
    <w:uiPriority w:val="99"/>
    <w:semiHidden/>
    <w:unhideWhenUsed/>
    <w:rsid w:val="005C10CC"/>
    <w:rPr>
      <w:rFonts w:ascii="Tahoma" w:hAnsi="Tahoma" w:cs="Tahoma"/>
      <w:sz w:val="16"/>
      <w:szCs w:val="16"/>
    </w:rPr>
  </w:style>
  <w:style w:type="character" w:customStyle="1" w:styleId="BalloonTextChar">
    <w:name w:val="Balloon Text Char"/>
    <w:link w:val="BalloonText"/>
    <w:uiPriority w:val="99"/>
    <w:semiHidden/>
    <w:rsid w:val="005C10CC"/>
    <w:rPr>
      <w:rFonts w:ascii="Tahoma" w:hAnsi="Tahoma" w:cs="Tahoma"/>
      <w:sz w:val="16"/>
      <w:szCs w:val="16"/>
      <w:lang w:val="en-US" w:eastAsia="en-US"/>
    </w:rPr>
  </w:style>
  <w:style w:type="paragraph" w:customStyle="1" w:styleId="Paragraphe">
    <w:name w:val="Paragraphe"/>
    <w:basedOn w:val="Normal"/>
    <w:uiPriority w:val="99"/>
    <w:rsid w:val="00AD3AB9"/>
    <w:pPr>
      <w:spacing w:after="210" w:line="210" w:lineRule="atLeast"/>
      <w:jc w:val="both"/>
    </w:pPr>
    <w:rPr>
      <w:rFonts w:ascii="Roboto Condensed" w:eastAsia="Calibri" w:hAnsi="Roboto Condensed"/>
      <w:color w:val="758085"/>
      <w:sz w:val="22"/>
      <w:szCs w:val="22"/>
      <w:lang w:val="fr-BE" w:eastAsia="fr-BE"/>
    </w:rPr>
  </w:style>
  <w:style w:type="paragraph" w:styleId="NormalWeb">
    <w:name w:val="Normal (Web)"/>
    <w:basedOn w:val="Normal"/>
    <w:uiPriority w:val="99"/>
    <w:unhideWhenUsed/>
    <w:rsid w:val="00567107"/>
  </w:style>
  <w:style w:type="character" w:styleId="CommentReference">
    <w:name w:val="annotation reference"/>
    <w:uiPriority w:val="99"/>
    <w:semiHidden/>
    <w:unhideWhenUsed/>
    <w:rsid w:val="00282A46"/>
    <w:rPr>
      <w:sz w:val="16"/>
      <w:szCs w:val="16"/>
    </w:rPr>
  </w:style>
  <w:style w:type="paragraph" w:styleId="CommentText">
    <w:name w:val="annotation text"/>
    <w:basedOn w:val="Normal"/>
    <w:link w:val="CommentTextChar"/>
    <w:uiPriority w:val="99"/>
    <w:semiHidden/>
    <w:unhideWhenUsed/>
    <w:rsid w:val="00282A46"/>
    <w:rPr>
      <w:sz w:val="20"/>
      <w:szCs w:val="20"/>
    </w:rPr>
  </w:style>
  <w:style w:type="character" w:customStyle="1" w:styleId="CommentTextChar">
    <w:name w:val="Comment Text Char"/>
    <w:link w:val="CommentText"/>
    <w:uiPriority w:val="99"/>
    <w:semiHidden/>
    <w:rsid w:val="00282A46"/>
    <w:rPr>
      <w:lang w:val="en-US" w:eastAsia="en-US"/>
    </w:rPr>
  </w:style>
  <w:style w:type="paragraph" w:styleId="CommentSubject">
    <w:name w:val="annotation subject"/>
    <w:basedOn w:val="CommentText"/>
    <w:next w:val="CommentText"/>
    <w:link w:val="CommentSubjectChar"/>
    <w:uiPriority w:val="99"/>
    <w:semiHidden/>
    <w:unhideWhenUsed/>
    <w:rsid w:val="00282A46"/>
    <w:rPr>
      <w:b/>
      <w:bCs/>
    </w:rPr>
  </w:style>
  <w:style w:type="character" w:customStyle="1" w:styleId="CommentSubjectChar">
    <w:name w:val="Comment Subject Char"/>
    <w:link w:val="CommentSubject"/>
    <w:uiPriority w:val="99"/>
    <w:semiHidden/>
    <w:rsid w:val="00282A46"/>
    <w:rPr>
      <w:b/>
      <w:bCs/>
      <w:lang w:val="en-US" w:eastAsia="en-US"/>
    </w:rPr>
  </w:style>
  <w:style w:type="paragraph" w:styleId="ColorfulList-Accent1">
    <w:name w:val="Colorful List Accent 1"/>
    <w:basedOn w:val="Normal"/>
    <w:uiPriority w:val="34"/>
    <w:qFormat/>
    <w:rsid w:val="000765AE"/>
    <w:pPr>
      <w:spacing w:after="200" w:line="276" w:lineRule="auto"/>
      <w:ind w:left="720"/>
      <w:contextualSpacing/>
    </w:pPr>
    <w:rPr>
      <w:rFonts w:ascii="Calibri" w:eastAsia="Calibri" w:hAnsi="Calibri"/>
      <w:sz w:val="22"/>
      <w:szCs w:val="22"/>
      <w:lang w:val="fr-BE"/>
    </w:rPr>
  </w:style>
  <w:style w:type="character" w:styleId="FollowedHyperlink">
    <w:name w:val="FollowedHyperlink"/>
    <w:uiPriority w:val="99"/>
    <w:semiHidden/>
    <w:unhideWhenUsed/>
    <w:rsid w:val="008E5274"/>
    <w:rPr>
      <w:color w:val="800080"/>
      <w:u w:val="single"/>
    </w:rPr>
  </w:style>
  <w:style w:type="paragraph" w:styleId="EndnoteText">
    <w:name w:val="endnote text"/>
    <w:basedOn w:val="Normal"/>
    <w:link w:val="EndnoteTextChar"/>
    <w:uiPriority w:val="99"/>
    <w:semiHidden/>
    <w:unhideWhenUsed/>
    <w:rsid w:val="003A67B8"/>
    <w:rPr>
      <w:sz w:val="20"/>
      <w:szCs w:val="20"/>
    </w:rPr>
  </w:style>
  <w:style w:type="character" w:customStyle="1" w:styleId="EndnoteTextChar">
    <w:name w:val="Endnote Text Char"/>
    <w:link w:val="EndnoteText"/>
    <w:uiPriority w:val="99"/>
    <w:semiHidden/>
    <w:rsid w:val="003A67B8"/>
    <w:rPr>
      <w:lang w:val="en-US" w:eastAsia="en-US"/>
    </w:rPr>
  </w:style>
  <w:style w:type="character" w:styleId="EndnoteReference">
    <w:name w:val="endnote reference"/>
    <w:uiPriority w:val="99"/>
    <w:semiHidden/>
    <w:unhideWhenUsed/>
    <w:rsid w:val="003A67B8"/>
    <w:rPr>
      <w:vertAlign w:val="superscript"/>
    </w:rPr>
  </w:style>
  <w:style w:type="paragraph" w:styleId="MediumGrid2">
    <w:name w:val="Medium Grid 2"/>
    <w:uiPriority w:val="1"/>
    <w:qFormat/>
    <w:rsid w:val="002B28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721">
      <w:bodyDiv w:val="1"/>
      <w:marLeft w:val="0"/>
      <w:marRight w:val="0"/>
      <w:marTop w:val="0"/>
      <w:marBottom w:val="0"/>
      <w:divBdr>
        <w:top w:val="none" w:sz="0" w:space="0" w:color="auto"/>
        <w:left w:val="none" w:sz="0" w:space="0" w:color="auto"/>
        <w:bottom w:val="none" w:sz="0" w:space="0" w:color="auto"/>
        <w:right w:val="none" w:sz="0" w:space="0" w:color="auto"/>
      </w:divBdr>
    </w:div>
    <w:div w:id="124474600">
      <w:bodyDiv w:val="1"/>
      <w:marLeft w:val="0"/>
      <w:marRight w:val="0"/>
      <w:marTop w:val="0"/>
      <w:marBottom w:val="0"/>
      <w:divBdr>
        <w:top w:val="none" w:sz="0" w:space="0" w:color="auto"/>
        <w:left w:val="none" w:sz="0" w:space="0" w:color="auto"/>
        <w:bottom w:val="none" w:sz="0" w:space="0" w:color="auto"/>
        <w:right w:val="none" w:sz="0" w:space="0" w:color="auto"/>
      </w:divBdr>
    </w:div>
    <w:div w:id="191892086">
      <w:bodyDiv w:val="1"/>
      <w:marLeft w:val="0"/>
      <w:marRight w:val="0"/>
      <w:marTop w:val="0"/>
      <w:marBottom w:val="0"/>
      <w:divBdr>
        <w:top w:val="none" w:sz="0" w:space="0" w:color="auto"/>
        <w:left w:val="none" w:sz="0" w:space="0" w:color="auto"/>
        <w:bottom w:val="none" w:sz="0" w:space="0" w:color="auto"/>
        <w:right w:val="none" w:sz="0" w:space="0" w:color="auto"/>
      </w:divBdr>
      <w:divsChild>
        <w:div w:id="1294022657">
          <w:marLeft w:val="0"/>
          <w:marRight w:val="0"/>
          <w:marTop w:val="0"/>
          <w:marBottom w:val="0"/>
          <w:divBdr>
            <w:top w:val="none" w:sz="0" w:space="0" w:color="auto"/>
            <w:left w:val="none" w:sz="0" w:space="0" w:color="auto"/>
            <w:bottom w:val="none" w:sz="0" w:space="0" w:color="auto"/>
            <w:right w:val="none" w:sz="0" w:space="0" w:color="auto"/>
          </w:divBdr>
          <w:divsChild>
            <w:div w:id="152574139">
              <w:marLeft w:val="0"/>
              <w:marRight w:val="0"/>
              <w:marTop w:val="0"/>
              <w:marBottom w:val="0"/>
              <w:divBdr>
                <w:top w:val="none" w:sz="0" w:space="0" w:color="auto"/>
                <w:left w:val="none" w:sz="0" w:space="0" w:color="auto"/>
                <w:bottom w:val="none" w:sz="0" w:space="0" w:color="auto"/>
                <w:right w:val="none" w:sz="0" w:space="0" w:color="auto"/>
              </w:divBdr>
            </w:div>
            <w:div w:id="218053940">
              <w:marLeft w:val="0"/>
              <w:marRight w:val="0"/>
              <w:marTop w:val="0"/>
              <w:marBottom w:val="0"/>
              <w:divBdr>
                <w:top w:val="none" w:sz="0" w:space="0" w:color="auto"/>
                <w:left w:val="none" w:sz="0" w:space="0" w:color="auto"/>
                <w:bottom w:val="none" w:sz="0" w:space="0" w:color="auto"/>
                <w:right w:val="none" w:sz="0" w:space="0" w:color="auto"/>
              </w:divBdr>
            </w:div>
            <w:div w:id="641807256">
              <w:marLeft w:val="0"/>
              <w:marRight w:val="0"/>
              <w:marTop w:val="0"/>
              <w:marBottom w:val="0"/>
              <w:divBdr>
                <w:top w:val="none" w:sz="0" w:space="0" w:color="auto"/>
                <w:left w:val="none" w:sz="0" w:space="0" w:color="auto"/>
                <w:bottom w:val="none" w:sz="0" w:space="0" w:color="auto"/>
                <w:right w:val="none" w:sz="0" w:space="0" w:color="auto"/>
              </w:divBdr>
            </w:div>
            <w:div w:id="778061550">
              <w:marLeft w:val="0"/>
              <w:marRight w:val="0"/>
              <w:marTop w:val="0"/>
              <w:marBottom w:val="0"/>
              <w:divBdr>
                <w:top w:val="none" w:sz="0" w:space="0" w:color="auto"/>
                <w:left w:val="none" w:sz="0" w:space="0" w:color="auto"/>
                <w:bottom w:val="none" w:sz="0" w:space="0" w:color="auto"/>
                <w:right w:val="none" w:sz="0" w:space="0" w:color="auto"/>
              </w:divBdr>
            </w:div>
            <w:div w:id="1130246565">
              <w:marLeft w:val="0"/>
              <w:marRight w:val="0"/>
              <w:marTop w:val="0"/>
              <w:marBottom w:val="0"/>
              <w:divBdr>
                <w:top w:val="none" w:sz="0" w:space="0" w:color="auto"/>
                <w:left w:val="none" w:sz="0" w:space="0" w:color="auto"/>
                <w:bottom w:val="none" w:sz="0" w:space="0" w:color="auto"/>
                <w:right w:val="none" w:sz="0" w:space="0" w:color="auto"/>
              </w:divBdr>
            </w:div>
            <w:div w:id="1937783566">
              <w:marLeft w:val="0"/>
              <w:marRight w:val="0"/>
              <w:marTop w:val="0"/>
              <w:marBottom w:val="0"/>
              <w:divBdr>
                <w:top w:val="none" w:sz="0" w:space="0" w:color="auto"/>
                <w:left w:val="none" w:sz="0" w:space="0" w:color="auto"/>
                <w:bottom w:val="none" w:sz="0" w:space="0" w:color="auto"/>
                <w:right w:val="none" w:sz="0" w:space="0" w:color="auto"/>
              </w:divBdr>
            </w:div>
            <w:div w:id="20130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1646">
      <w:bodyDiv w:val="1"/>
      <w:marLeft w:val="0"/>
      <w:marRight w:val="0"/>
      <w:marTop w:val="0"/>
      <w:marBottom w:val="0"/>
      <w:divBdr>
        <w:top w:val="none" w:sz="0" w:space="0" w:color="auto"/>
        <w:left w:val="none" w:sz="0" w:space="0" w:color="auto"/>
        <w:bottom w:val="none" w:sz="0" w:space="0" w:color="auto"/>
        <w:right w:val="none" w:sz="0" w:space="0" w:color="auto"/>
      </w:divBdr>
    </w:div>
    <w:div w:id="391389369">
      <w:bodyDiv w:val="1"/>
      <w:marLeft w:val="0"/>
      <w:marRight w:val="0"/>
      <w:marTop w:val="0"/>
      <w:marBottom w:val="0"/>
      <w:divBdr>
        <w:top w:val="none" w:sz="0" w:space="0" w:color="auto"/>
        <w:left w:val="none" w:sz="0" w:space="0" w:color="auto"/>
        <w:bottom w:val="none" w:sz="0" w:space="0" w:color="auto"/>
        <w:right w:val="none" w:sz="0" w:space="0" w:color="auto"/>
      </w:divBdr>
    </w:div>
    <w:div w:id="800268942">
      <w:bodyDiv w:val="1"/>
      <w:marLeft w:val="150"/>
      <w:marRight w:val="150"/>
      <w:marTop w:val="0"/>
      <w:marBottom w:val="150"/>
      <w:divBdr>
        <w:top w:val="none" w:sz="0" w:space="0" w:color="auto"/>
        <w:left w:val="none" w:sz="0" w:space="0" w:color="auto"/>
        <w:bottom w:val="none" w:sz="0" w:space="0" w:color="auto"/>
        <w:right w:val="none" w:sz="0" w:space="0" w:color="auto"/>
      </w:divBdr>
      <w:divsChild>
        <w:div w:id="1460755757">
          <w:marLeft w:val="0"/>
          <w:marRight w:val="0"/>
          <w:marTop w:val="0"/>
          <w:marBottom w:val="0"/>
          <w:divBdr>
            <w:top w:val="none" w:sz="0" w:space="0" w:color="auto"/>
            <w:left w:val="none" w:sz="0" w:space="0" w:color="auto"/>
            <w:bottom w:val="none" w:sz="0" w:space="0" w:color="auto"/>
            <w:right w:val="none" w:sz="0" w:space="0" w:color="auto"/>
          </w:divBdr>
          <w:divsChild>
            <w:div w:id="15351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7868">
      <w:bodyDiv w:val="1"/>
      <w:marLeft w:val="0"/>
      <w:marRight w:val="0"/>
      <w:marTop w:val="0"/>
      <w:marBottom w:val="0"/>
      <w:divBdr>
        <w:top w:val="none" w:sz="0" w:space="0" w:color="auto"/>
        <w:left w:val="none" w:sz="0" w:space="0" w:color="auto"/>
        <w:bottom w:val="none" w:sz="0" w:space="0" w:color="auto"/>
        <w:right w:val="none" w:sz="0" w:space="0" w:color="auto"/>
      </w:divBdr>
    </w:div>
    <w:div w:id="1082096768">
      <w:bodyDiv w:val="1"/>
      <w:marLeft w:val="0"/>
      <w:marRight w:val="0"/>
      <w:marTop w:val="0"/>
      <w:marBottom w:val="0"/>
      <w:divBdr>
        <w:top w:val="none" w:sz="0" w:space="0" w:color="auto"/>
        <w:left w:val="none" w:sz="0" w:space="0" w:color="auto"/>
        <w:bottom w:val="none" w:sz="0" w:space="0" w:color="auto"/>
        <w:right w:val="none" w:sz="0" w:space="0" w:color="auto"/>
      </w:divBdr>
    </w:div>
    <w:div w:id="1102721731">
      <w:bodyDiv w:val="1"/>
      <w:marLeft w:val="0"/>
      <w:marRight w:val="0"/>
      <w:marTop w:val="0"/>
      <w:marBottom w:val="0"/>
      <w:divBdr>
        <w:top w:val="none" w:sz="0" w:space="0" w:color="auto"/>
        <w:left w:val="none" w:sz="0" w:space="0" w:color="auto"/>
        <w:bottom w:val="none" w:sz="0" w:space="0" w:color="auto"/>
        <w:right w:val="none" w:sz="0" w:space="0" w:color="auto"/>
      </w:divBdr>
    </w:div>
    <w:div w:id="1273629444">
      <w:bodyDiv w:val="1"/>
      <w:marLeft w:val="0"/>
      <w:marRight w:val="0"/>
      <w:marTop w:val="0"/>
      <w:marBottom w:val="0"/>
      <w:divBdr>
        <w:top w:val="none" w:sz="0" w:space="0" w:color="auto"/>
        <w:left w:val="none" w:sz="0" w:space="0" w:color="auto"/>
        <w:bottom w:val="none" w:sz="0" w:space="0" w:color="auto"/>
        <w:right w:val="none" w:sz="0" w:space="0" w:color="auto"/>
      </w:divBdr>
    </w:div>
    <w:div w:id="1302079678">
      <w:bodyDiv w:val="1"/>
      <w:marLeft w:val="0"/>
      <w:marRight w:val="0"/>
      <w:marTop w:val="0"/>
      <w:marBottom w:val="0"/>
      <w:divBdr>
        <w:top w:val="none" w:sz="0" w:space="0" w:color="auto"/>
        <w:left w:val="none" w:sz="0" w:space="0" w:color="auto"/>
        <w:bottom w:val="none" w:sz="0" w:space="0" w:color="auto"/>
        <w:right w:val="none" w:sz="0" w:space="0" w:color="auto"/>
      </w:divBdr>
    </w:div>
    <w:div w:id="1336297780">
      <w:bodyDiv w:val="1"/>
      <w:marLeft w:val="0"/>
      <w:marRight w:val="0"/>
      <w:marTop w:val="0"/>
      <w:marBottom w:val="0"/>
      <w:divBdr>
        <w:top w:val="none" w:sz="0" w:space="0" w:color="auto"/>
        <w:left w:val="none" w:sz="0" w:space="0" w:color="auto"/>
        <w:bottom w:val="none" w:sz="0" w:space="0" w:color="auto"/>
        <w:right w:val="none" w:sz="0" w:space="0" w:color="auto"/>
      </w:divBdr>
    </w:div>
    <w:div w:id="1382631990">
      <w:bodyDiv w:val="1"/>
      <w:marLeft w:val="0"/>
      <w:marRight w:val="0"/>
      <w:marTop w:val="0"/>
      <w:marBottom w:val="0"/>
      <w:divBdr>
        <w:top w:val="none" w:sz="0" w:space="0" w:color="auto"/>
        <w:left w:val="none" w:sz="0" w:space="0" w:color="auto"/>
        <w:bottom w:val="none" w:sz="0" w:space="0" w:color="auto"/>
        <w:right w:val="none" w:sz="0" w:space="0" w:color="auto"/>
      </w:divBdr>
    </w:div>
    <w:div w:id="1600527102">
      <w:bodyDiv w:val="1"/>
      <w:marLeft w:val="150"/>
      <w:marRight w:val="150"/>
      <w:marTop w:val="0"/>
      <w:marBottom w:val="150"/>
      <w:divBdr>
        <w:top w:val="none" w:sz="0" w:space="0" w:color="auto"/>
        <w:left w:val="none" w:sz="0" w:space="0" w:color="auto"/>
        <w:bottom w:val="none" w:sz="0" w:space="0" w:color="auto"/>
        <w:right w:val="none" w:sz="0" w:space="0" w:color="auto"/>
      </w:divBdr>
      <w:divsChild>
        <w:div w:id="611086603">
          <w:marLeft w:val="0"/>
          <w:marRight w:val="0"/>
          <w:marTop w:val="0"/>
          <w:marBottom w:val="0"/>
          <w:divBdr>
            <w:top w:val="none" w:sz="0" w:space="0" w:color="auto"/>
            <w:left w:val="none" w:sz="0" w:space="0" w:color="auto"/>
            <w:bottom w:val="none" w:sz="0" w:space="0" w:color="auto"/>
            <w:right w:val="none" w:sz="0" w:space="0" w:color="auto"/>
          </w:divBdr>
          <w:divsChild>
            <w:div w:id="17620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709">
      <w:bodyDiv w:val="1"/>
      <w:marLeft w:val="0"/>
      <w:marRight w:val="0"/>
      <w:marTop w:val="0"/>
      <w:marBottom w:val="0"/>
      <w:divBdr>
        <w:top w:val="none" w:sz="0" w:space="0" w:color="auto"/>
        <w:left w:val="none" w:sz="0" w:space="0" w:color="auto"/>
        <w:bottom w:val="none" w:sz="0" w:space="0" w:color="auto"/>
        <w:right w:val="none" w:sz="0" w:space="0" w:color="auto"/>
      </w:divBdr>
    </w:div>
    <w:div w:id="1936984409">
      <w:bodyDiv w:val="1"/>
      <w:marLeft w:val="0"/>
      <w:marRight w:val="0"/>
      <w:marTop w:val="0"/>
      <w:marBottom w:val="0"/>
      <w:divBdr>
        <w:top w:val="none" w:sz="0" w:space="0" w:color="auto"/>
        <w:left w:val="none" w:sz="0" w:space="0" w:color="auto"/>
        <w:bottom w:val="none" w:sz="0" w:space="0" w:color="auto"/>
        <w:right w:val="none" w:sz="0" w:space="0" w:color="auto"/>
      </w:divBdr>
    </w:div>
    <w:div w:id="21386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mhe-sme.org" TargetMode="External"/><Relationship Id="rId13" Type="http://schemas.openxmlformats.org/officeDocument/2006/relationships/hyperlink" Target="http://www.mhe-sme.org/"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e-sm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he-sme.org" TargetMode="External"/><Relationship Id="rId4" Type="http://schemas.openxmlformats.org/officeDocument/2006/relationships/settings" Target="settings.xml"/><Relationship Id="rId9" Type="http://schemas.openxmlformats.org/officeDocument/2006/relationships/hyperlink" Target="http://www.mhe-sm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25DBD3-F673-4C78-BE6B-B2B1C9312A84}">
  <ds:schemaRefs>
    <ds:schemaRef ds:uri="http://schemas.openxmlformats.org/officeDocument/2006/bibliography"/>
  </ds:schemaRefs>
</ds:datastoreItem>
</file>

<file path=customXml/itemProps2.xml><?xml version="1.0" encoding="utf-8"?>
<ds:datastoreItem xmlns:ds="http://schemas.openxmlformats.org/officeDocument/2006/customXml" ds:itemID="{9D6821E9-9FD9-4A74-8CA9-E5B6BCE5D1B0}"/>
</file>

<file path=customXml/itemProps3.xml><?xml version="1.0" encoding="utf-8"?>
<ds:datastoreItem xmlns:ds="http://schemas.openxmlformats.org/officeDocument/2006/customXml" ds:itemID="{367E7A56-F68C-4CEA-83E7-16DD0797DD44}"/>
</file>

<file path=customXml/itemProps4.xml><?xml version="1.0" encoding="utf-8"?>
<ds:datastoreItem xmlns:ds="http://schemas.openxmlformats.org/officeDocument/2006/customXml" ds:itemID="{BCA8E781-F96C-4FDF-9955-6EDE73C5E436}"/>
</file>

<file path=docProps/app.xml><?xml version="1.0" encoding="utf-8"?>
<Properties xmlns="http://schemas.openxmlformats.org/officeDocument/2006/extended-properties" xmlns:vt="http://schemas.openxmlformats.org/officeDocument/2006/docPropsVTypes">
  <Template>Normal.dotm</Template>
  <TotalTime>1</TotalTime>
  <Pages>4</Pages>
  <Words>1534</Words>
  <Characters>8744</Characters>
  <Application>Microsoft Office Word</Application>
  <DocSecurity>4</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MENTAL HEALTH AND HUMAN RIGHTS</vt:lpstr>
      <vt:lpstr>MENTAL HEALTH AND HUMAN RIGHTS</vt:lpstr>
    </vt:vector>
  </TitlesOfParts>
  <Company/>
  <LinksUpToDate>false</LinksUpToDate>
  <CharactersWithSpaces>10258</CharactersWithSpaces>
  <SharedDoc>false</SharedDoc>
  <HLinks>
    <vt:vector size="24" baseType="variant">
      <vt:variant>
        <vt:i4>3997707</vt:i4>
      </vt:variant>
      <vt:variant>
        <vt:i4>0</vt:i4>
      </vt:variant>
      <vt:variant>
        <vt:i4>0</vt:i4>
      </vt:variant>
      <vt:variant>
        <vt:i4>5</vt:i4>
      </vt:variant>
      <vt:variant>
        <vt:lpwstr>http://www.mhe-sme.org/</vt:lpwstr>
      </vt:variant>
      <vt:variant>
        <vt:lpwstr/>
      </vt:variant>
      <vt:variant>
        <vt:i4>3997707</vt:i4>
      </vt:variant>
      <vt:variant>
        <vt:i4>3</vt:i4>
      </vt:variant>
      <vt:variant>
        <vt:i4>0</vt:i4>
      </vt:variant>
      <vt:variant>
        <vt:i4>5</vt:i4>
      </vt:variant>
      <vt:variant>
        <vt:lpwstr>http://www.mhe-sme.org/</vt:lpwstr>
      </vt:variant>
      <vt:variant>
        <vt:lpwstr/>
      </vt:variant>
      <vt:variant>
        <vt:i4>5832797</vt:i4>
      </vt:variant>
      <vt:variant>
        <vt:i4>0</vt:i4>
      </vt:variant>
      <vt:variant>
        <vt:i4>0</vt:i4>
      </vt:variant>
      <vt:variant>
        <vt:i4>5</vt:i4>
      </vt:variant>
      <vt:variant>
        <vt:lpwstr>mailto:info@mhe-sme.org</vt:lpwstr>
      </vt:variant>
      <vt:variant>
        <vt:lpwstr/>
      </vt:variant>
      <vt:variant>
        <vt:i4>8323150</vt:i4>
      </vt:variant>
      <vt:variant>
        <vt:i4>12599</vt:i4>
      </vt:variant>
      <vt:variant>
        <vt:i4>1025</vt:i4>
      </vt:variant>
      <vt:variant>
        <vt:i4>1</vt:i4>
      </vt:variant>
      <vt:variant>
        <vt:lpwstr>MHE_logo_v02 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HUMAN RIGHTS</dc:title>
  <dc:subject/>
  <dc:creator>Fanny</dc:creator>
  <cp:keywords/>
  <cp:lastModifiedBy>Jorge ARAYA</cp:lastModifiedBy>
  <cp:revision>2</cp:revision>
  <cp:lastPrinted>2016-02-16T16:07:00Z</cp:lastPrinted>
  <dcterms:created xsi:type="dcterms:W3CDTF">2018-05-16T07:29:00Z</dcterms:created>
  <dcterms:modified xsi:type="dcterms:W3CDTF">2018-05-16T07:29:00Z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