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C33" w:rsidRDefault="000E4C33" w:rsidP="00C00F6B">
      <w:pPr>
        <w:spacing w:after="0" w:line="240" w:lineRule="auto"/>
        <w:jc w:val="both"/>
        <w:rPr>
          <w:rFonts w:ascii="Arial" w:hAnsi="Arial" w:cs="Arial"/>
          <w:lang w:val="en-GB"/>
        </w:rPr>
      </w:pPr>
      <w:r>
        <w:rPr>
          <w:rFonts w:ascii="Arial" w:hAnsi="Arial" w:cs="Arial"/>
          <w:lang w:val="en-GB"/>
        </w:rPr>
        <w:t>IDA’s concluding statement for the Day of General Discussion</w:t>
      </w:r>
    </w:p>
    <w:p w:rsidR="000E4C33" w:rsidRDefault="000E4C33" w:rsidP="00C00F6B">
      <w:pPr>
        <w:spacing w:after="0" w:line="240" w:lineRule="auto"/>
        <w:jc w:val="both"/>
        <w:rPr>
          <w:rFonts w:ascii="Arial" w:hAnsi="Arial" w:cs="Arial"/>
          <w:lang w:val="en-GB"/>
        </w:rPr>
      </w:pPr>
    </w:p>
    <w:p w:rsidR="00720EE8" w:rsidRDefault="007F4A0E" w:rsidP="00C00F6B">
      <w:pPr>
        <w:spacing w:after="0" w:line="240" w:lineRule="auto"/>
        <w:jc w:val="both"/>
        <w:rPr>
          <w:rFonts w:ascii="Arial" w:hAnsi="Arial" w:cs="Arial"/>
          <w:lang w:val="en-GB"/>
        </w:rPr>
      </w:pPr>
      <w:r w:rsidRPr="00D64387">
        <w:rPr>
          <w:rFonts w:ascii="Arial" w:hAnsi="Arial" w:cs="Arial"/>
          <w:lang w:val="en-GB"/>
        </w:rPr>
        <w:t xml:space="preserve">IDA welcomes the </w:t>
      </w:r>
      <w:r w:rsidR="00BC66D8">
        <w:rPr>
          <w:rFonts w:ascii="Arial" w:hAnsi="Arial" w:cs="Arial"/>
          <w:lang w:val="en-GB"/>
        </w:rPr>
        <w:t xml:space="preserve">opportunity provided by </w:t>
      </w:r>
      <w:r w:rsidRPr="00D64387">
        <w:rPr>
          <w:rFonts w:ascii="Arial" w:hAnsi="Arial" w:cs="Arial"/>
          <w:lang w:val="en-GB"/>
        </w:rPr>
        <w:t>the Committee</w:t>
      </w:r>
      <w:r w:rsidR="008752E0">
        <w:rPr>
          <w:rFonts w:ascii="Arial" w:hAnsi="Arial" w:cs="Arial"/>
          <w:lang w:val="en-GB"/>
        </w:rPr>
        <w:t xml:space="preserve"> on the Rights of Persons with Disabilities</w:t>
      </w:r>
      <w:r w:rsidR="00720EE8">
        <w:rPr>
          <w:rFonts w:ascii="Arial" w:hAnsi="Arial" w:cs="Arial"/>
          <w:lang w:val="en-GB"/>
        </w:rPr>
        <w:t xml:space="preserve"> </w:t>
      </w:r>
      <w:r w:rsidR="008752E0">
        <w:rPr>
          <w:rFonts w:ascii="Arial" w:hAnsi="Arial" w:cs="Arial"/>
          <w:lang w:val="en-GB"/>
        </w:rPr>
        <w:t xml:space="preserve">to </w:t>
      </w:r>
      <w:r w:rsidR="00BC66D8">
        <w:rPr>
          <w:rFonts w:ascii="Arial" w:hAnsi="Arial" w:cs="Arial"/>
          <w:lang w:val="en-GB"/>
        </w:rPr>
        <w:t xml:space="preserve">deliver a closing statement on its Day of General Discussion </w:t>
      </w:r>
      <w:r w:rsidR="00FE322C" w:rsidRPr="00D64387">
        <w:rPr>
          <w:rFonts w:ascii="Arial" w:hAnsi="Arial" w:cs="Arial"/>
          <w:lang w:val="en-GB"/>
        </w:rPr>
        <w:t>on</w:t>
      </w:r>
      <w:r w:rsidR="00BC66D8">
        <w:rPr>
          <w:rFonts w:ascii="Arial" w:hAnsi="Arial" w:cs="Arial"/>
          <w:lang w:val="en-GB"/>
        </w:rPr>
        <w:t xml:space="preserve"> CRPD’s article 5 on equality and non discrimination</w:t>
      </w:r>
      <w:r w:rsidR="00FE322C" w:rsidRPr="00D64387">
        <w:rPr>
          <w:rFonts w:ascii="Arial" w:hAnsi="Arial" w:cs="Arial"/>
          <w:lang w:val="en-GB"/>
        </w:rPr>
        <w:t>.</w:t>
      </w:r>
      <w:r w:rsidR="00C027D2" w:rsidRPr="00D64387">
        <w:rPr>
          <w:rFonts w:ascii="Arial" w:hAnsi="Arial" w:cs="Arial"/>
          <w:lang w:val="en-GB"/>
        </w:rPr>
        <w:t xml:space="preserve"> </w:t>
      </w:r>
      <w:r w:rsidR="00720EE8">
        <w:rPr>
          <w:rFonts w:ascii="Arial" w:hAnsi="Arial" w:cs="Arial"/>
          <w:lang w:val="en-GB"/>
        </w:rPr>
        <w:t xml:space="preserve">we </w:t>
      </w:r>
      <w:r w:rsidR="00BC66D8">
        <w:rPr>
          <w:rFonts w:ascii="Arial" w:hAnsi="Arial" w:cs="Arial"/>
          <w:lang w:val="en-GB"/>
        </w:rPr>
        <w:t xml:space="preserve">comment </w:t>
      </w:r>
      <w:r w:rsidR="00720EE8">
        <w:rPr>
          <w:rFonts w:ascii="Arial" w:hAnsi="Arial" w:cs="Arial"/>
          <w:lang w:val="en-GB"/>
        </w:rPr>
        <w:t xml:space="preserve">by stressing some key points </w:t>
      </w:r>
      <w:r w:rsidR="00BC66D8">
        <w:rPr>
          <w:rFonts w:ascii="Arial" w:hAnsi="Arial" w:cs="Arial"/>
          <w:lang w:val="en-GB"/>
        </w:rPr>
        <w:t xml:space="preserve">we particularly ask </w:t>
      </w:r>
      <w:r w:rsidR="00720EE8">
        <w:rPr>
          <w:rFonts w:ascii="Arial" w:hAnsi="Arial" w:cs="Arial"/>
          <w:lang w:val="en-GB"/>
        </w:rPr>
        <w:t xml:space="preserve">to be considered by the Committee. </w:t>
      </w:r>
    </w:p>
    <w:p w:rsidR="002E2DCE" w:rsidRDefault="002E2DCE" w:rsidP="00C00F6B">
      <w:pPr>
        <w:spacing w:after="0" w:line="240" w:lineRule="auto"/>
        <w:jc w:val="both"/>
        <w:rPr>
          <w:rFonts w:ascii="Arial" w:hAnsi="Arial" w:cs="Arial"/>
          <w:lang w:val="en-GB"/>
        </w:rPr>
      </w:pPr>
    </w:p>
    <w:p w:rsidR="00737BF5" w:rsidRDefault="00E10C32" w:rsidP="002E2DCE">
      <w:pPr>
        <w:spacing w:after="0" w:line="240" w:lineRule="auto"/>
        <w:jc w:val="both"/>
        <w:outlineLvl w:val="0"/>
        <w:rPr>
          <w:rFonts w:ascii="Arial" w:hAnsi="Arial" w:cs="Arial"/>
          <w:b/>
          <w:sz w:val="21"/>
          <w:lang w:val="en-GB"/>
        </w:rPr>
      </w:pPr>
      <w:r>
        <w:rPr>
          <w:rFonts w:ascii="Arial" w:hAnsi="Arial" w:cs="Arial"/>
          <w:b/>
          <w:sz w:val="21"/>
          <w:lang w:val="en-GB"/>
        </w:rPr>
        <w:t>1</w:t>
      </w:r>
      <w:r w:rsidR="00720EE8">
        <w:rPr>
          <w:rFonts w:ascii="Arial" w:hAnsi="Arial" w:cs="Arial"/>
          <w:b/>
          <w:sz w:val="21"/>
          <w:lang w:val="en-GB"/>
        </w:rPr>
        <w:t>- Article 5 of the CRPD a</w:t>
      </w:r>
      <w:r w:rsidR="00F35814">
        <w:rPr>
          <w:rFonts w:ascii="Arial" w:hAnsi="Arial" w:cs="Arial"/>
          <w:b/>
          <w:sz w:val="21"/>
          <w:lang w:val="en-GB"/>
        </w:rPr>
        <w:t>nd transformative equality</w:t>
      </w:r>
    </w:p>
    <w:p w:rsidR="002E2DCE" w:rsidRDefault="002E2DCE" w:rsidP="00C00F6B">
      <w:pPr>
        <w:spacing w:after="0" w:line="240" w:lineRule="auto"/>
        <w:jc w:val="both"/>
        <w:rPr>
          <w:rFonts w:ascii="Arial" w:hAnsi="Arial" w:cs="Arial"/>
          <w:sz w:val="21"/>
          <w:lang w:val="en-GB"/>
        </w:rPr>
      </w:pPr>
    </w:p>
    <w:p w:rsidR="00342035" w:rsidRDefault="0083385F" w:rsidP="00C00F6B">
      <w:pPr>
        <w:spacing w:after="0" w:line="240" w:lineRule="auto"/>
        <w:jc w:val="both"/>
        <w:rPr>
          <w:rFonts w:ascii="Arial" w:hAnsi="Arial" w:cs="Arial"/>
          <w:sz w:val="21"/>
          <w:lang w:val="en-GB"/>
        </w:rPr>
      </w:pPr>
      <w:r>
        <w:rPr>
          <w:rFonts w:ascii="Arial" w:hAnsi="Arial" w:cs="Arial"/>
          <w:sz w:val="21"/>
          <w:lang w:val="en-GB"/>
        </w:rPr>
        <w:t>Arti</w:t>
      </w:r>
      <w:r w:rsidR="00FB45E3">
        <w:rPr>
          <w:rFonts w:ascii="Arial" w:hAnsi="Arial" w:cs="Arial"/>
          <w:sz w:val="21"/>
          <w:lang w:val="en-GB"/>
        </w:rPr>
        <w:t>cle 5 of the CRPD, and the CRPD as a whole, reflects the evolution of the notions of equality and non-discrimination in human rights law.</w:t>
      </w:r>
      <w:r w:rsidR="00FF57AF">
        <w:rPr>
          <w:rFonts w:ascii="Arial" w:hAnsi="Arial" w:cs="Arial"/>
          <w:sz w:val="21"/>
          <w:lang w:val="en-GB"/>
        </w:rPr>
        <w:t xml:space="preserve"> H</w:t>
      </w:r>
      <w:r w:rsidR="00FB45E3">
        <w:rPr>
          <w:rFonts w:ascii="Arial" w:hAnsi="Arial" w:cs="Arial"/>
          <w:sz w:val="21"/>
          <w:lang w:val="en-GB"/>
        </w:rPr>
        <w:t xml:space="preserve">uman rights law has </w:t>
      </w:r>
      <w:r w:rsidR="00FF57AF">
        <w:rPr>
          <w:rFonts w:ascii="Arial" w:hAnsi="Arial" w:cs="Arial"/>
          <w:sz w:val="21"/>
          <w:lang w:val="en-GB"/>
        </w:rPr>
        <w:t xml:space="preserve">long ago </w:t>
      </w:r>
      <w:r w:rsidR="00FB45E3">
        <w:rPr>
          <w:rFonts w:ascii="Arial" w:hAnsi="Arial" w:cs="Arial"/>
          <w:sz w:val="21"/>
          <w:lang w:val="en-GB"/>
        </w:rPr>
        <w:t xml:space="preserve">moved </w:t>
      </w:r>
      <w:r w:rsidR="00F555AE">
        <w:rPr>
          <w:rFonts w:ascii="Arial" w:hAnsi="Arial" w:cs="Arial"/>
          <w:sz w:val="21"/>
          <w:lang w:val="en-GB"/>
        </w:rPr>
        <w:t>beyond formal equality</w:t>
      </w:r>
      <w:r w:rsidR="00853DF7">
        <w:rPr>
          <w:rFonts w:ascii="Arial" w:hAnsi="Arial" w:cs="Arial"/>
          <w:sz w:val="21"/>
          <w:lang w:val="en-GB"/>
        </w:rPr>
        <w:t xml:space="preserve">.  </w:t>
      </w:r>
      <w:r w:rsidR="00FF57AF">
        <w:rPr>
          <w:rFonts w:ascii="Arial" w:hAnsi="Arial" w:cs="Arial"/>
          <w:sz w:val="21"/>
          <w:lang w:val="en-GB"/>
        </w:rPr>
        <w:t xml:space="preserve">Instead, substantive equality seeks to </w:t>
      </w:r>
      <w:r w:rsidR="00612F41">
        <w:rPr>
          <w:rFonts w:ascii="Arial" w:hAnsi="Arial" w:cs="Arial"/>
          <w:sz w:val="21"/>
          <w:lang w:val="en-GB"/>
        </w:rPr>
        <w:t>ensure equality of enjoyment of rights focus</w:t>
      </w:r>
      <w:r w:rsidR="00E47F68">
        <w:rPr>
          <w:rFonts w:ascii="Arial" w:hAnsi="Arial" w:cs="Arial"/>
          <w:sz w:val="21"/>
          <w:lang w:val="en-GB"/>
        </w:rPr>
        <w:t>ed</w:t>
      </w:r>
      <w:r w:rsidR="00612F41">
        <w:rPr>
          <w:rFonts w:ascii="Arial" w:hAnsi="Arial" w:cs="Arial"/>
          <w:sz w:val="21"/>
          <w:lang w:val="en-GB"/>
        </w:rPr>
        <w:t xml:space="preserve"> not only on equal treatment</w:t>
      </w:r>
      <w:r w:rsidR="008A650F">
        <w:rPr>
          <w:rFonts w:ascii="Arial" w:hAnsi="Arial" w:cs="Arial"/>
          <w:sz w:val="21"/>
          <w:lang w:val="en-GB"/>
        </w:rPr>
        <w:t xml:space="preserve"> but rather on outcomes, including “special measures” favouring a group to promote equality, wi</w:t>
      </w:r>
      <w:r w:rsidR="00E47F68">
        <w:rPr>
          <w:rFonts w:ascii="Arial" w:hAnsi="Arial" w:cs="Arial"/>
          <w:sz w:val="21"/>
          <w:lang w:val="en-GB"/>
        </w:rPr>
        <w:t xml:space="preserve">thout entailing discrimination. </w:t>
      </w:r>
      <w:r w:rsidR="00872C18">
        <w:rPr>
          <w:rFonts w:ascii="Arial" w:hAnsi="Arial" w:cs="Arial"/>
          <w:sz w:val="21"/>
          <w:lang w:val="en-GB"/>
        </w:rPr>
        <w:t xml:space="preserve">More recently, </w:t>
      </w:r>
      <w:r w:rsidR="00CB6003">
        <w:rPr>
          <w:rFonts w:ascii="Arial" w:hAnsi="Arial" w:cs="Arial"/>
          <w:sz w:val="21"/>
          <w:lang w:val="en-GB"/>
        </w:rPr>
        <w:t xml:space="preserve">the notion of </w:t>
      </w:r>
      <w:r w:rsidR="00CB6003" w:rsidRPr="00CB173D">
        <w:rPr>
          <w:rFonts w:ascii="Arial" w:hAnsi="Arial" w:cs="Arial"/>
          <w:b/>
          <w:i/>
          <w:sz w:val="21"/>
          <w:lang w:val="en-GB"/>
        </w:rPr>
        <w:t>transformative equality</w:t>
      </w:r>
      <w:r w:rsidR="00CB6003">
        <w:rPr>
          <w:rFonts w:ascii="Arial" w:hAnsi="Arial" w:cs="Arial"/>
          <w:sz w:val="21"/>
          <w:lang w:val="en-GB"/>
        </w:rPr>
        <w:t xml:space="preserve"> has been</w:t>
      </w:r>
      <w:r w:rsidR="00872C18">
        <w:rPr>
          <w:rFonts w:ascii="Arial" w:hAnsi="Arial" w:cs="Arial"/>
          <w:sz w:val="21"/>
          <w:lang w:val="en-GB"/>
        </w:rPr>
        <w:t xml:space="preserve">gaining </w:t>
      </w:r>
      <w:r w:rsidR="00E47F68">
        <w:rPr>
          <w:rFonts w:ascii="Arial" w:hAnsi="Arial" w:cs="Arial"/>
          <w:sz w:val="21"/>
          <w:lang w:val="en-GB"/>
        </w:rPr>
        <w:t>ground</w:t>
      </w:r>
      <w:r w:rsidR="00853DF7">
        <w:rPr>
          <w:rFonts w:ascii="Arial" w:hAnsi="Arial" w:cs="Arial"/>
          <w:sz w:val="21"/>
          <w:lang w:val="en-GB"/>
        </w:rPr>
        <w:t xml:space="preserve">, </w:t>
      </w:r>
      <w:r w:rsidR="00840D60">
        <w:rPr>
          <w:rFonts w:ascii="Arial" w:hAnsi="Arial" w:cs="Arial"/>
          <w:sz w:val="21"/>
          <w:lang w:val="en-GB"/>
        </w:rPr>
        <w:t>distinguishing</w:t>
      </w:r>
      <w:r w:rsidR="00872C18">
        <w:rPr>
          <w:rFonts w:ascii="Arial" w:hAnsi="Arial" w:cs="Arial"/>
          <w:sz w:val="21"/>
          <w:lang w:val="en-GB"/>
        </w:rPr>
        <w:t xml:space="preserve"> from substantive equality</w:t>
      </w:r>
      <w:r w:rsidR="00F5279A">
        <w:rPr>
          <w:rFonts w:ascii="Arial" w:hAnsi="Arial" w:cs="Arial"/>
          <w:sz w:val="21"/>
          <w:lang w:val="en-GB"/>
        </w:rPr>
        <w:t xml:space="preserve">. While </w:t>
      </w:r>
      <w:r w:rsidR="00F5279A" w:rsidRPr="00F5279A">
        <w:rPr>
          <w:rFonts w:ascii="Arial" w:hAnsi="Arial" w:cs="Arial"/>
          <w:sz w:val="21"/>
          <w:lang w:val="en-GB"/>
        </w:rPr>
        <w:t xml:space="preserve">substantive </w:t>
      </w:r>
      <w:r w:rsidR="00F5279A">
        <w:rPr>
          <w:rFonts w:ascii="Arial" w:hAnsi="Arial" w:cs="Arial"/>
          <w:sz w:val="21"/>
          <w:lang w:val="en-GB"/>
        </w:rPr>
        <w:t>equality “</w:t>
      </w:r>
      <w:r w:rsidR="00F5279A" w:rsidRPr="00F5279A">
        <w:rPr>
          <w:rFonts w:ascii="Arial" w:hAnsi="Arial" w:cs="Arial"/>
          <w:sz w:val="21"/>
          <w:lang w:val="en-GB"/>
        </w:rPr>
        <w:t>seeks to combat discriminatory behavio</w:t>
      </w:r>
      <w:r w:rsidR="003B0EA1">
        <w:rPr>
          <w:rFonts w:ascii="Arial" w:hAnsi="Arial" w:cs="Arial"/>
          <w:sz w:val="21"/>
          <w:lang w:val="en-GB"/>
        </w:rPr>
        <w:t>u</w:t>
      </w:r>
      <w:r w:rsidR="00F5279A" w:rsidRPr="00F5279A">
        <w:rPr>
          <w:rFonts w:ascii="Arial" w:hAnsi="Arial" w:cs="Arial"/>
          <w:sz w:val="21"/>
          <w:lang w:val="en-GB"/>
        </w:rPr>
        <w:t>r, structures and systems, the transformative equality concept targets changing these structures and systems with a variety of positive measures.</w:t>
      </w:r>
      <w:r w:rsidR="00F5279A">
        <w:rPr>
          <w:rFonts w:ascii="Arial" w:hAnsi="Arial" w:cs="Arial"/>
          <w:sz w:val="21"/>
          <w:lang w:val="en-GB"/>
        </w:rPr>
        <w:t>”</w:t>
      </w:r>
      <w:r w:rsidR="00853DF7">
        <w:rPr>
          <w:rFonts w:ascii="Arial" w:hAnsi="Arial" w:cs="Arial"/>
          <w:sz w:val="21"/>
          <w:lang w:val="en-GB"/>
        </w:rPr>
        <w:t xml:space="preserve"> </w:t>
      </w:r>
      <w:r w:rsidR="0019777E">
        <w:rPr>
          <w:rFonts w:ascii="Arial" w:hAnsi="Arial" w:cs="Arial"/>
          <w:sz w:val="21"/>
          <w:lang w:val="en-GB"/>
        </w:rPr>
        <w:t xml:space="preserve">In this </w:t>
      </w:r>
      <w:r w:rsidR="00E47F68">
        <w:rPr>
          <w:rFonts w:ascii="Arial" w:hAnsi="Arial" w:cs="Arial"/>
          <w:sz w:val="21"/>
          <w:lang w:val="en-GB"/>
        </w:rPr>
        <w:t>way</w:t>
      </w:r>
      <w:r w:rsidR="0019777E">
        <w:rPr>
          <w:rFonts w:ascii="Arial" w:hAnsi="Arial" w:cs="Arial"/>
          <w:sz w:val="21"/>
          <w:lang w:val="en-GB"/>
        </w:rPr>
        <w:t>, transformative equality is consistent with the human rights based approach to disability, which seeks removal of barriers to participation and enjoyment of rights leading to structural and systemic changes (i.e. inclusive education).</w:t>
      </w:r>
    </w:p>
    <w:p w:rsidR="00C00F6B" w:rsidRDefault="00C00F6B" w:rsidP="00C00F6B">
      <w:pPr>
        <w:spacing w:after="0" w:line="240" w:lineRule="auto"/>
        <w:jc w:val="both"/>
        <w:rPr>
          <w:rFonts w:ascii="Arial" w:hAnsi="Arial" w:cs="Arial"/>
          <w:sz w:val="21"/>
          <w:lang w:val="en-GB"/>
        </w:rPr>
      </w:pPr>
    </w:p>
    <w:p w:rsidR="0083385F" w:rsidRDefault="00DF3CDD" w:rsidP="00C00F6B">
      <w:pPr>
        <w:spacing w:after="0" w:line="240" w:lineRule="auto"/>
        <w:jc w:val="both"/>
        <w:rPr>
          <w:rFonts w:ascii="Arial" w:hAnsi="Arial" w:cs="Arial"/>
          <w:sz w:val="21"/>
          <w:lang w:val="en-GB"/>
        </w:rPr>
      </w:pPr>
      <w:r>
        <w:rPr>
          <w:rFonts w:ascii="Arial" w:hAnsi="Arial" w:cs="Arial"/>
          <w:b/>
          <w:sz w:val="21"/>
          <w:lang w:val="en-GB"/>
        </w:rPr>
        <w:t>Ida</w:t>
      </w:r>
      <w:r w:rsidR="0019777E" w:rsidRPr="00F35814">
        <w:rPr>
          <w:rFonts w:ascii="Arial" w:hAnsi="Arial" w:cs="Arial"/>
          <w:b/>
          <w:sz w:val="21"/>
          <w:lang w:val="en-GB"/>
        </w:rPr>
        <w:t xml:space="preserve"> would like to encourage the Committee to formally adopt the language of “transformative equality,” as this is the notion that better reflects the paradigm shift and the obligations brought by the CRPD, </w:t>
      </w:r>
      <w:r w:rsidR="00255F0B" w:rsidRPr="00F35814">
        <w:rPr>
          <w:rFonts w:ascii="Arial" w:hAnsi="Arial" w:cs="Arial"/>
          <w:b/>
          <w:sz w:val="21"/>
          <w:lang w:val="en-GB"/>
        </w:rPr>
        <w:t>making explicit</w:t>
      </w:r>
      <w:r w:rsidR="0019777E" w:rsidRPr="00F35814">
        <w:rPr>
          <w:rFonts w:ascii="Arial" w:hAnsi="Arial" w:cs="Arial"/>
          <w:b/>
          <w:sz w:val="21"/>
          <w:lang w:val="en-GB"/>
        </w:rPr>
        <w:t xml:space="preserve"> that formal equality and substantive equality have still a role to play in preventing and addressing discrimination</w:t>
      </w:r>
      <w:r w:rsidR="0019777E">
        <w:rPr>
          <w:rFonts w:ascii="Arial" w:hAnsi="Arial" w:cs="Arial"/>
          <w:sz w:val="21"/>
          <w:lang w:val="en-GB"/>
        </w:rPr>
        <w:t>.</w:t>
      </w:r>
    </w:p>
    <w:p w:rsidR="002E2DCE" w:rsidRDefault="002E2DCE" w:rsidP="00C00F6B">
      <w:pPr>
        <w:spacing w:after="0" w:line="240" w:lineRule="auto"/>
        <w:jc w:val="both"/>
        <w:rPr>
          <w:rFonts w:ascii="Arial" w:hAnsi="Arial" w:cs="Arial"/>
          <w:sz w:val="21"/>
          <w:lang w:val="en-GB"/>
        </w:rPr>
      </w:pPr>
    </w:p>
    <w:p w:rsidR="007F32B8" w:rsidRDefault="007F32B8" w:rsidP="002E2DCE">
      <w:pPr>
        <w:spacing w:after="0" w:line="240" w:lineRule="auto"/>
        <w:jc w:val="both"/>
        <w:outlineLvl w:val="0"/>
        <w:rPr>
          <w:rFonts w:ascii="Arial" w:hAnsi="Arial" w:cs="Arial"/>
          <w:b/>
          <w:sz w:val="21"/>
          <w:lang w:val="en-GB"/>
        </w:rPr>
      </w:pPr>
      <w:r w:rsidRPr="007F32B8">
        <w:rPr>
          <w:rFonts w:ascii="Arial" w:hAnsi="Arial" w:cs="Arial"/>
          <w:b/>
          <w:sz w:val="21"/>
          <w:lang w:val="en-GB"/>
        </w:rPr>
        <w:t>2- the key role of participation of organisations of persons with disabilities</w:t>
      </w:r>
      <w:r w:rsidR="001F4439">
        <w:rPr>
          <w:rFonts w:ascii="Arial" w:hAnsi="Arial" w:cs="Arial"/>
          <w:b/>
          <w:sz w:val="21"/>
          <w:lang w:val="en-GB"/>
        </w:rPr>
        <w:t xml:space="preserve"> </w:t>
      </w:r>
    </w:p>
    <w:p w:rsidR="002E2DCE" w:rsidRDefault="002E2DCE" w:rsidP="00C00F6B">
      <w:pPr>
        <w:spacing w:after="0" w:line="240" w:lineRule="auto"/>
        <w:jc w:val="both"/>
        <w:rPr>
          <w:rFonts w:ascii="Arial" w:hAnsi="Arial" w:cs="Arial"/>
          <w:sz w:val="21"/>
          <w:lang w:val="en-GB"/>
        </w:rPr>
      </w:pPr>
    </w:p>
    <w:p w:rsidR="009A3516" w:rsidRDefault="00013505" w:rsidP="00C00F6B">
      <w:pPr>
        <w:spacing w:after="0" w:line="240" w:lineRule="auto"/>
        <w:jc w:val="both"/>
        <w:rPr>
          <w:rFonts w:ascii="Arial" w:hAnsi="Arial" w:cs="Arial"/>
          <w:sz w:val="21"/>
          <w:lang w:val="en-GB"/>
        </w:rPr>
      </w:pPr>
      <w:r>
        <w:rPr>
          <w:rFonts w:ascii="Arial" w:hAnsi="Arial" w:cs="Arial"/>
          <w:sz w:val="21"/>
          <w:lang w:val="en-GB"/>
        </w:rPr>
        <w:t xml:space="preserve">Ensuring persons with disabilities the enjoyment of their rights on equal basis with others constitutes both the </w:t>
      </w:r>
      <w:r w:rsidR="00971481">
        <w:rPr>
          <w:rFonts w:ascii="Arial" w:hAnsi="Arial" w:cs="Arial"/>
          <w:i/>
          <w:sz w:val="21"/>
          <w:lang w:val="en-GB"/>
        </w:rPr>
        <w:t>rai</w:t>
      </w:r>
      <w:r w:rsidRPr="00013505">
        <w:rPr>
          <w:rFonts w:ascii="Arial" w:hAnsi="Arial" w:cs="Arial"/>
          <w:i/>
          <w:sz w:val="21"/>
          <w:lang w:val="en-GB"/>
        </w:rPr>
        <w:t>son d´etre</w:t>
      </w:r>
      <w:r>
        <w:rPr>
          <w:rFonts w:ascii="Arial" w:hAnsi="Arial" w:cs="Arial"/>
          <w:sz w:val="21"/>
          <w:lang w:val="en-GB"/>
        </w:rPr>
        <w:t xml:space="preserve"> and major goal of the CRPD. Many dimensions can be highlighted such as the need to make environments, transportation, communication and information accessible, and raising awareness on the rights</w:t>
      </w:r>
      <w:r w:rsidR="009A3516">
        <w:rPr>
          <w:rFonts w:ascii="Arial" w:hAnsi="Arial" w:cs="Arial"/>
          <w:sz w:val="21"/>
          <w:lang w:val="en-GB"/>
        </w:rPr>
        <w:t xml:space="preserve"> among persons with disabilities, professionals and society in general to remove attitudinal barriers, as</w:t>
      </w:r>
      <w:r>
        <w:rPr>
          <w:rFonts w:ascii="Arial" w:hAnsi="Arial" w:cs="Arial"/>
          <w:sz w:val="21"/>
          <w:lang w:val="en-GB"/>
        </w:rPr>
        <w:t xml:space="preserve"> key precondition</w:t>
      </w:r>
      <w:r w:rsidR="009A3516">
        <w:rPr>
          <w:rFonts w:ascii="Arial" w:hAnsi="Arial" w:cs="Arial"/>
          <w:sz w:val="21"/>
          <w:lang w:val="en-GB"/>
        </w:rPr>
        <w:t>s</w:t>
      </w:r>
      <w:r>
        <w:rPr>
          <w:rFonts w:ascii="Arial" w:hAnsi="Arial" w:cs="Arial"/>
          <w:sz w:val="21"/>
          <w:lang w:val="en-GB"/>
        </w:rPr>
        <w:t xml:space="preserve"> for the exercise of rights by all persons with disabilities</w:t>
      </w:r>
      <w:r w:rsidR="009A3516">
        <w:rPr>
          <w:rFonts w:ascii="Arial" w:hAnsi="Arial" w:cs="Arial"/>
          <w:sz w:val="21"/>
          <w:lang w:val="en-GB"/>
        </w:rPr>
        <w:t>. From an individual perspective, enabling rights, s</w:t>
      </w:r>
      <w:r w:rsidR="009A3516" w:rsidRPr="009A3516">
        <w:rPr>
          <w:rFonts w:ascii="Arial" w:hAnsi="Arial" w:cs="Arial"/>
          <w:sz w:val="21"/>
          <w:lang w:val="en-GB"/>
        </w:rPr>
        <w:t>uch as equal recognition before the law</w:t>
      </w:r>
      <w:r w:rsidR="009A3516">
        <w:rPr>
          <w:rFonts w:ascii="Arial" w:hAnsi="Arial" w:cs="Arial"/>
          <w:sz w:val="21"/>
          <w:lang w:val="en-GB"/>
        </w:rPr>
        <w:t xml:space="preserve"> and inclusive education, are also key to foster exercise of other rights on equal basis with others.</w:t>
      </w:r>
    </w:p>
    <w:p w:rsidR="00C00F6B" w:rsidRDefault="00C00F6B" w:rsidP="00C00F6B">
      <w:pPr>
        <w:spacing w:after="0" w:line="240" w:lineRule="auto"/>
        <w:jc w:val="both"/>
        <w:rPr>
          <w:rFonts w:ascii="Arial" w:hAnsi="Arial" w:cs="Arial"/>
          <w:sz w:val="21"/>
          <w:lang w:val="en-GB"/>
        </w:rPr>
      </w:pPr>
    </w:p>
    <w:p w:rsidR="001F4439" w:rsidRDefault="003D54F5" w:rsidP="00C00F6B">
      <w:pPr>
        <w:spacing w:after="0" w:line="240" w:lineRule="auto"/>
        <w:jc w:val="both"/>
        <w:rPr>
          <w:rFonts w:ascii="Arial" w:hAnsi="Arial" w:cs="Arial"/>
          <w:sz w:val="21"/>
          <w:lang w:val="en-GB"/>
        </w:rPr>
      </w:pPr>
      <w:r>
        <w:rPr>
          <w:rFonts w:ascii="Arial" w:hAnsi="Arial" w:cs="Arial"/>
          <w:sz w:val="21"/>
          <w:lang w:val="en-GB"/>
        </w:rPr>
        <w:t xml:space="preserve">A key element of the human rights based approach is participation of rights holders in the design, implementation and evaluation of legislations and policies. Article 4.3 of the CRPD requires “close consultation with and active involvement of persons with disabilities, through their representative organisations.” </w:t>
      </w:r>
      <w:r w:rsidRPr="00F35814">
        <w:rPr>
          <w:rFonts w:ascii="Arial" w:hAnsi="Arial" w:cs="Arial"/>
          <w:b/>
          <w:sz w:val="21"/>
          <w:lang w:val="en-GB"/>
        </w:rPr>
        <w:t xml:space="preserve">IDA believes that this crucial element needs to be </w:t>
      </w:r>
      <w:r w:rsidR="00A1000F">
        <w:rPr>
          <w:rFonts w:ascii="Arial" w:hAnsi="Arial" w:cs="Arial"/>
          <w:b/>
          <w:sz w:val="21"/>
          <w:lang w:val="en-GB"/>
        </w:rPr>
        <w:t>stressed</w:t>
      </w:r>
      <w:r w:rsidRPr="00F35814">
        <w:rPr>
          <w:rFonts w:ascii="Arial" w:hAnsi="Arial" w:cs="Arial"/>
          <w:b/>
          <w:sz w:val="21"/>
          <w:lang w:val="en-GB"/>
        </w:rPr>
        <w:t xml:space="preserve"> from the </w:t>
      </w:r>
      <w:r w:rsidR="00612B8A" w:rsidRPr="00F35814">
        <w:rPr>
          <w:rFonts w:ascii="Arial" w:hAnsi="Arial" w:cs="Arial"/>
          <w:b/>
          <w:sz w:val="21"/>
          <w:lang w:val="en-GB"/>
        </w:rPr>
        <w:t>outset</w:t>
      </w:r>
      <w:r w:rsidRPr="00F35814">
        <w:rPr>
          <w:rFonts w:ascii="Arial" w:hAnsi="Arial" w:cs="Arial"/>
          <w:b/>
          <w:sz w:val="21"/>
          <w:lang w:val="en-GB"/>
        </w:rPr>
        <w:t>, as to constitute the mandatory frame in which all elements are developed</w:t>
      </w:r>
      <w:r>
        <w:rPr>
          <w:rFonts w:ascii="Arial" w:hAnsi="Arial" w:cs="Arial"/>
          <w:sz w:val="21"/>
          <w:lang w:val="en-GB"/>
        </w:rPr>
        <w:t xml:space="preserve">.  </w:t>
      </w:r>
    </w:p>
    <w:p w:rsidR="00C00F6B" w:rsidRDefault="00C00F6B" w:rsidP="00C00F6B">
      <w:pPr>
        <w:spacing w:after="0" w:line="240" w:lineRule="auto"/>
        <w:jc w:val="both"/>
        <w:rPr>
          <w:rFonts w:ascii="Arial" w:hAnsi="Arial" w:cs="Arial"/>
          <w:sz w:val="21"/>
          <w:lang w:val="en-GB"/>
        </w:rPr>
      </w:pPr>
    </w:p>
    <w:p w:rsidR="00013505" w:rsidRPr="00013505" w:rsidRDefault="00612B8A" w:rsidP="00C00F6B">
      <w:pPr>
        <w:spacing w:after="0" w:line="240" w:lineRule="auto"/>
        <w:jc w:val="both"/>
        <w:rPr>
          <w:rFonts w:ascii="Arial" w:hAnsi="Arial" w:cs="Arial"/>
          <w:sz w:val="21"/>
          <w:lang w:val="en-GB"/>
        </w:rPr>
      </w:pPr>
      <w:r>
        <w:rPr>
          <w:rFonts w:ascii="Arial" w:hAnsi="Arial" w:cs="Arial"/>
          <w:sz w:val="21"/>
          <w:lang w:val="en-GB"/>
        </w:rPr>
        <w:t xml:space="preserve">IDA </w:t>
      </w:r>
      <w:r w:rsidR="005377DE">
        <w:rPr>
          <w:rFonts w:ascii="Arial" w:hAnsi="Arial" w:cs="Arial"/>
          <w:sz w:val="21"/>
          <w:lang w:val="en-GB"/>
        </w:rPr>
        <w:t xml:space="preserve">underlines </w:t>
      </w:r>
      <w:r w:rsidRPr="00F35814">
        <w:rPr>
          <w:rFonts w:ascii="Arial" w:hAnsi="Arial" w:cs="Arial"/>
          <w:b/>
          <w:sz w:val="21"/>
          <w:lang w:val="en-GB"/>
        </w:rPr>
        <w:t>the relevance and momentum of the Sustainable Development Agenda</w:t>
      </w:r>
      <w:r w:rsidR="00054CED" w:rsidRPr="00F35814">
        <w:rPr>
          <w:rFonts w:ascii="Arial" w:hAnsi="Arial" w:cs="Arial"/>
          <w:b/>
          <w:sz w:val="21"/>
          <w:lang w:val="en-GB"/>
        </w:rPr>
        <w:t xml:space="preserve"> and Goals</w:t>
      </w:r>
      <w:r w:rsidRPr="00F35814">
        <w:rPr>
          <w:rFonts w:ascii="Arial" w:hAnsi="Arial" w:cs="Arial"/>
          <w:b/>
          <w:sz w:val="21"/>
          <w:lang w:val="en-GB"/>
        </w:rPr>
        <w:t xml:space="preserve"> in fostering equality and non-discrimination</w:t>
      </w:r>
      <w:r>
        <w:rPr>
          <w:rFonts w:ascii="Arial" w:hAnsi="Arial" w:cs="Arial"/>
          <w:sz w:val="21"/>
          <w:lang w:val="en-GB"/>
        </w:rPr>
        <w:t xml:space="preserve">. Building the bridge between human rights, including the proposed notion of transformative equality, and development, to ensure the CRPD compliant implementation of SDGs, </w:t>
      </w:r>
      <w:r w:rsidR="00F35814">
        <w:rPr>
          <w:rFonts w:ascii="Arial" w:hAnsi="Arial" w:cs="Arial"/>
          <w:sz w:val="21"/>
          <w:lang w:val="en-GB"/>
        </w:rPr>
        <w:t>would require</w:t>
      </w:r>
      <w:r>
        <w:rPr>
          <w:rFonts w:ascii="Arial" w:hAnsi="Arial" w:cs="Arial"/>
          <w:sz w:val="21"/>
          <w:lang w:val="en-GB"/>
        </w:rPr>
        <w:t xml:space="preserve"> an explicit reference to SDGs in this initial part of the general comment. </w:t>
      </w:r>
    </w:p>
    <w:p w:rsidR="002E4E89" w:rsidRDefault="002E4E89" w:rsidP="00C00F6B">
      <w:pPr>
        <w:spacing w:after="0" w:line="240" w:lineRule="auto"/>
        <w:jc w:val="both"/>
        <w:rPr>
          <w:rFonts w:ascii="Arial" w:hAnsi="Arial" w:cs="Arial"/>
          <w:sz w:val="21"/>
          <w:lang w:val="en-GB"/>
        </w:rPr>
      </w:pPr>
    </w:p>
    <w:p w:rsidR="002E2DCE" w:rsidRPr="00720EE8" w:rsidRDefault="002E2DCE" w:rsidP="00C00F6B">
      <w:pPr>
        <w:spacing w:after="0" w:line="240" w:lineRule="auto"/>
        <w:jc w:val="both"/>
        <w:rPr>
          <w:rFonts w:ascii="Arial" w:hAnsi="Arial" w:cs="Arial"/>
          <w:sz w:val="21"/>
          <w:lang w:val="en-GB"/>
        </w:rPr>
      </w:pPr>
    </w:p>
    <w:p w:rsidR="00737BF5" w:rsidRDefault="007472A1" w:rsidP="002E2DCE">
      <w:pPr>
        <w:spacing w:after="0" w:line="240" w:lineRule="auto"/>
        <w:jc w:val="both"/>
        <w:outlineLvl w:val="0"/>
        <w:rPr>
          <w:rFonts w:ascii="Arial" w:hAnsi="Arial" w:cs="Arial"/>
          <w:b/>
          <w:sz w:val="21"/>
          <w:lang w:val="en-GB"/>
        </w:rPr>
      </w:pPr>
      <w:r>
        <w:rPr>
          <w:rFonts w:ascii="Arial" w:hAnsi="Arial" w:cs="Arial"/>
          <w:b/>
          <w:sz w:val="21"/>
          <w:lang w:val="en-GB"/>
        </w:rPr>
        <w:t>3</w:t>
      </w:r>
      <w:r w:rsidR="00737BF5">
        <w:rPr>
          <w:rFonts w:ascii="Arial" w:hAnsi="Arial" w:cs="Arial"/>
          <w:b/>
          <w:sz w:val="21"/>
          <w:lang w:val="en-GB"/>
        </w:rPr>
        <w:t xml:space="preserve">- </w:t>
      </w:r>
      <w:r w:rsidR="00255F0B">
        <w:rPr>
          <w:rFonts w:ascii="Arial" w:hAnsi="Arial" w:cs="Arial"/>
          <w:b/>
          <w:sz w:val="21"/>
          <w:lang w:val="en-GB"/>
        </w:rPr>
        <w:t>The right to equality and non-discrimi</w:t>
      </w:r>
      <w:r w:rsidR="001F4439">
        <w:rPr>
          <w:rFonts w:ascii="Arial" w:hAnsi="Arial" w:cs="Arial"/>
          <w:b/>
          <w:sz w:val="21"/>
          <w:lang w:val="en-GB"/>
        </w:rPr>
        <w:t>nation: an autonomous right</w:t>
      </w:r>
    </w:p>
    <w:p w:rsidR="002E2DCE" w:rsidRDefault="002E2DCE" w:rsidP="00C00F6B">
      <w:pPr>
        <w:spacing w:after="0" w:line="240" w:lineRule="auto"/>
        <w:jc w:val="both"/>
        <w:rPr>
          <w:rFonts w:ascii="Arial" w:hAnsi="Arial" w:cs="Arial"/>
          <w:sz w:val="21"/>
          <w:lang w:val="en-GB"/>
        </w:rPr>
      </w:pPr>
    </w:p>
    <w:p w:rsidR="00255F0B" w:rsidRDefault="00DC55DA" w:rsidP="00C00F6B">
      <w:pPr>
        <w:spacing w:after="0" w:line="240" w:lineRule="auto"/>
        <w:jc w:val="both"/>
        <w:rPr>
          <w:rFonts w:ascii="Arial" w:hAnsi="Arial" w:cs="Arial"/>
          <w:sz w:val="21"/>
          <w:lang w:val="en-GB"/>
        </w:rPr>
      </w:pPr>
      <w:r>
        <w:rPr>
          <w:rFonts w:ascii="Arial" w:hAnsi="Arial" w:cs="Arial"/>
          <w:sz w:val="21"/>
          <w:lang w:val="en-GB"/>
        </w:rPr>
        <w:t xml:space="preserve">The issue of whether equality and non-discrimination is a principle or a right is connected to the issue of its autonomy vis-à-vis other rights under the </w:t>
      </w:r>
      <w:r w:rsidR="00FE1F4D">
        <w:rPr>
          <w:rFonts w:ascii="Arial" w:hAnsi="Arial" w:cs="Arial"/>
          <w:sz w:val="21"/>
          <w:lang w:val="en-GB"/>
        </w:rPr>
        <w:t>CRPD</w:t>
      </w:r>
      <w:r>
        <w:rPr>
          <w:rFonts w:ascii="Arial" w:hAnsi="Arial" w:cs="Arial"/>
          <w:sz w:val="21"/>
          <w:lang w:val="en-GB"/>
        </w:rPr>
        <w:t xml:space="preserve">. The </w:t>
      </w:r>
      <w:r w:rsidR="00FE1F4D">
        <w:rPr>
          <w:rFonts w:ascii="Arial" w:hAnsi="Arial" w:cs="Arial"/>
          <w:sz w:val="21"/>
          <w:lang w:val="en-GB"/>
        </w:rPr>
        <w:t>specific</w:t>
      </w:r>
      <w:r>
        <w:rPr>
          <w:rFonts w:ascii="Arial" w:hAnsi="Arial" w:cs="Arial"/>
          <w:sz w:val="21"/>
          <w:lang w:val="en-GB"/>
        </w:rPr>
        <w:t xml:space="preserve"> issue to address is ultimately whether CRPD Article 5 on equality and non-discrimination can be invoked </w:t>
      </w:r>
      <w:r w:rsidR="00757236">
        <w:rPr>
          <w:rFonts w:ascii="Arial" w:hAnsi="Arial" w:cs="Arial"/>
          <w:sz w:val="21"/>
          <w:lang w:val="en-GB"/>
        </w:rPr>
        <w:t>within a</w:t>
      </w:r>
      <w:r>
        <w:rPr>
          <w:rFonts w:ascii="Arial" w:hAnsi="Arial" w:cs="Arial"/>
          <w:sz w:val="21"/>
          <w:lang w:val="en-GB"/>
        </w:rPr>
        <w:t xml:space="preserve"> standing alone claim and not </w:t>
      </w:r>
      <w:r w:rsidR="00757236">
        <w:rPr>
          <w:rFonts w:ascii="Arial" w:hAnsi="Arial" w:cs="Arial"/>
          <w:sz w:val="21"/>
          <w:lang w:val="en-GB"/>
        </w:rPr>
        <w:t xml:space="preserve">necessarily </w:t>
      </w:r>
      <w:r>
        <w:rPr>
          <w:rFonts w:ascii="Arial" w:hAnsi="Arial" w:cs="Arial"/>
          <w:sz w:val="21"/>
          <w:lang w:val="en-GB"/>
        </w:rPr>
        <w:t>in connection with other right</w:t>
      </w:r>
      <w:r w:rsidR="00757236">
        <w:rPr>
          <w:rFonts w:ascii="Arial" w:hAnsi="Arial" w:cs="Arial"/>
          <w:sz w:val="21"/>
          <w:lang w:val="en-GB"/>
        </w:rPr>
        <w:t>s</w:t>
      </w:r>
      <w:r>
        <w:rPr>
          <w:rFonts w:ascii="Arial" w:hAnsi="Arial" w:cs="Arial"/>
          <w:sz w:val="21"/>
          <w:lang w:val="en-GB"/>
        </w:rPr>
        <w:t xml:space="preserve"> recognised in the CRPD. </w:t>
      </w:r>
    </w:p>
    <w:p w:rsidR="00C00F6B" w:rsidRDefault="00C00F6B" w:rsidP="00C00F6B">
      <w:pPr>
        <w:spacing w:after="0" w:line="240" w:lineRule="auto"/>
        <w:jc w:val="both"/>
        <w:rPr>
          <w:rFonts w:ascii="Arial" w:hAnsi="Arial" w:cs="Arial"/>
          <w:sz w:val="21"/>
          <w:lang w:val="en-GB"/>
        </w:rPr>
      </w:pPr>
    </w:p>
    <w:p w:rsidR="006F475A" w:rsidRDefault="009C6C1F" w:rsidP="00C00F6B">
      <w:pPr>
        <w:spacing w:after="0" w:line="240" w:lineRule="auto"/>
        <w:jc w:val="both"/>
        <w:rPr>
          <w:rFonts w:ascii="Arial" w:hAnsi="Arial" w:cs="Arial"/>
          <w:sz w:val="21"/>
          <w:lang w:val="en-GB"/>
        </w:rPr>
      </w:pPr>
      <w:r w:rsidRPr="00FE1F4D">
        <w:rPr>
          <w:rFonts w:ascii="Arial" w:hAnsi="Arial" w:cs="Arial"/>
          <w:sz w:val="21"/>
          <w:lang w:val="en-GB"/>
        </w:rPr>
        <w:lastRenderedPageBreak/>
        <w:t>CRPD counts</w:t>
      </w:r>
      <w:r w:rsidR="00FE1F4D">
        <w:rPr>
          <w:rFonts w:ascii="Arial" w:hAnsi="Arial" w:cs="Arial"/>
          <w:sz w:val="21"/>
          <w:lang w:val="en-GB"/>
        </w:rPr>
        <w:t xml:space="preserve"> first with </w:t>
      </w:r>
      <w:r w:rsidRPr="00FE1F4D">
        <w:rPr>
          <w:rFonts w:ascii="Arial" w:hAnsi="Arial" w:cs="Arial"/>
          <w:sz w:val="21"/>
          <w:lang w:val="en-GB"/>
        </w:rPr>
        <w:t>general provision</w:t>
      </w:r>
      <w:r w:rsidR="00FE1F4D">
        <w:rPr>
          <w:rFonts w:ascii="Arial" w:hAnsi="Arial" w:cs="Arial"/>
          <w:sz w:val="21"/>
          <w:lang w:val="en-GB"/>
        </w:rPr>
        <w:t>s referring to equality and non-</w:t>
      </w:r>
      <w:r w:rsidRPr="00FE1F4D">
        <w:rPr>
          <w:rFonts w:ascii="Arial" w:hAnsi="Arial" w:cs="Arial"/>
          <w:sz w:val="21"/>
          <w:lang w:val="en-GB"/>
        </w:rPr>
        <w:t xml:space="preserve">discrimination, including </w:t>
      </w:r>
      <w:r w:rsidR="009142CD" w:rsidRPr="00FE1F4D">
        <w:rPr>
          <w:rFonts w:ascii="Arial" w:hAnsi="Arial" w:cs="Arial"/>
          <w:sz w:val="21"/>
          <w:lang w:val="en-GB"/>
        </w:rPr>
        <w:t>Articles 3(b), (e) and (g), 4(1), 4(1)</w:t>
      </w:r>
      <w:r w:rsidR="00427ACC" w:rsidRPr="00FE1F4D">
        <w:rPr>
          <w:rFonts w:ascii="Arial" w:hAnsi="Arial" w:cs="Arial"/>
          <w:sz w:val="21"/>
          <w:lang w:val="en-GB"/>
        </w:rPr>
        <w:t>(b) and (e)</w:t>
      </w:r>
      <w:r w:rsidR="00FE1F4D">
        <w:rPr>
          <w:rFonts w:ascii="Arial" w:hAnsi="Arial" w:cs="Arial"/>
          <w:sz w:val="21"/>
          <w:lang w:val="en-GB"/>
        </w:rPr>
        <w:t xml:space="preserve">, and secondly, with Article 5, specific on equality and non-discrimination. Being this the case, </w:t>
      </w:r>
      <w:r w:rsidR="00757236" w:rsidRPr="00662616">
        <w:rPr>
          <w:rFonts w:ascii="Arial" w:hAnsi="Arial" w:cs="Arial"/>
          <w:b/>
          <w:sz w:val="21"/>
          <w:lang w:val="en-GB"/>
        </w:rPr>
        <w:t>IDA believes that the CRPD Committee should simultaneously adopt the language of “</w:t>
      </w:r>
      <w:r w:rsidR="00757236" w:rsidRPr="00F35814">
        <w:rPr>
          <w:rFonts w:ascii="Arial" w:hAnsi="Arial" w:cs="Arial"/>
          <w:b/>
          <w:sz w:val="21"/>
          <w:u w:val="single"/>
          <w:lang w:val="en-GB"/>
        </w:rPr>
        <w:t xml:space="preserve">right </w:t>
      </w:r>
      <w:r w:rsidR="00757236" w:rsidRPr="00662616">
        <w:rPr>
          <w:rFonts w:ascii="Arial" w:hAnsi="Arial" w:cs="Arial"/>
          <w:b/>
          <w:sz w:val="21"/>
          <w:lang w:val="en-GB"/>
        </w:rPr>
        <w:t>to equality and non-discrimination”</w:t>
      </w:r>
      <w:r w:rsidR="00FE1F4D" w:rsidRPr="00662616">
        <w:rPr>
          <w:rFonts w:ascii="Arial" w:hAnsi="Arial" w:cs="Arial"/>
          <w:b/>
          <w:sz w:val="21"/>
          <w:lang w:val="en-GB"/>
        </w:rPr>
        <w:t xml:space="preserve"> under Article 5</w:t>
      </w:r>
      <w:r w:rsidR="00757236" w:rsidRPr="00662616">
        <w:rPr>
          <w:rFonts w:ascii="Arial" w:hAnsi="Arial" w:cs="Arial"/>
          <w:b/>
          <w:sz w:val="21"/>
          <w:lang w:val="en-GB"/>
        </w:rPr>
        <w:t xml:space="preserve"> and uphold its autonomous character.</w:t>
      </w:r>
    </w:p>
    <w:p w:rsidR="00662616" w:rsidRPr="00BB0B50" w:rsidRDefault="00662616" w:rsidP="00C00F6B">
      <w:pPr>
        <w:spacing w:after="0" w:line="240" w:lineRule="auto"/>
        <w:jc w:val="both"/>
        <w:rPr>
          <w:rFonts w:ascii="Arial" w:hAnsi="Arial" w:cs="Arial"/>
          <w:sz w:val="21"/>
          <w:lang w:val="en-GB"/>
        </w:rPr>
      </w:pPr>
    </w:p>
    <w:p w:rsidR="00F35814" w:rsidRDefault="00F35814" w:rsidP="00F35814">
      <w:pPr>
        <w:spacing w:after="0" w:line="240" w:lineRule="auto"/>
        <w:jc w:val="both"/>
        <w:rPr>
          <w:rFonts w:ascii="Arial" w:hAnsi="Arial" w:cs="Arial"/>
          <w:b/>
          <w:sz w:val="21"/>
          <w:lang w:val="en-GB"/>
        </w:rPr>
      </w:pPr>
    </w:p>
    <w:p w:rsidR="00F35814" w:rsidRDefault="007472A1" w:rsidP="002E2DCE">
      <w:pPr>
        <w:spacing w:after="0" w:line="240" w:lineRule="auto"/>
        <w:jc w:val="both"/>
        <w:outlineLvl w:val="0"/>
        <w:rPr>
          <w:rFonts w:ascii="Arial" w:hAnsi="Arial" w:cs="Arial"/>
          <w:b/>
          <w:sz w:val="21"/>
          <w:lang w:val="en-GB"/>
        </w:rPr>
      </w:pPr>
      <w:r>
        <w:rPr>
          <w:rFonts w:ascii="Arial" w:hAnsi="Arial" w:cs="Arial"/>
          <w:b/>
          <w:sz w:val="21"/>
          <w:lang w:val="en-GB"/>
        </w:rPr>
        <w:t>4</w:t>
      </w:r>
      <w:r w:rsidR="00D01045">
        <w:rPr>
          <w:rFonts w:ascii="Arial" w:hAnsi="Arial" w:cs="Arial"/>
          <w:b/>
          <w:sz w:val="21"/>
          <w:lang w:val="en-GB"/>
        </w:rPr>
        <w:t>-</w:t>
      </w:r>
      <w:r w:rsidR="007E3BC7">
        <w:rPr>
          <w:rFonts w:ascii="Arial" w:hAnsi="Arial" w:cs="Arial"/>
          <w:b/>
          <w:sz w:val="21"/>
          <w:lang w:val="en-GB"/>
        </w:rPr>
        <w:t>Covering all k</w:t>
      </w:r>
      <w:r w:rsidR="0034545E">
        <w:rPr>
          <w:rFonts w:ascii="Arial" w:hAnsi="Arial" w:cs="Arial"/>
          <w:b/>
          <w:sz w:val="21"/>
          <w:lang w:val="en-GB"/>
        </w:rPr>
        <w:t>inds of discrimination</w:t>
      </w:r>
      <w:r w:rsidR="007E3BC7">
        <w:rPr>
          <w:rFonts w:ascii="Arial" w:hAnsi="Arial" w:cs="Arial"/>
          <w:b/>
          <w:sz w:val="21"/>
          <w:lang w:val="en-GB"/>
        </w:rPr>
        <w:t>, including</w:t>
      </w:r>
      <w:r w:rsidR="0034545E">
        <w:rPr>
          <w:rFonts w:ascii="Arial" w:hAnsi="Arial" w:cs="Arial"/>
          <w:b/>
          <w:sz w:val="21"/>
          <w:lang w:val="en-GB"/>
        </w:rPr>
        <w:t xml:space="preserve"> discrimination by association</w:t>
      </w:r>
    </w:p>
    <w:p w:rsidR="00255F0B" w:rsidRDefault="00255F0B" w:rsidP="00C00F6B">
      <w:pPr>
        <w:spacing w:after="0" w:line="240" w:lineRule="auto"/>
        <w:jc w:val="both"/>
        <w:rPr>
          <w:rFonts w:ascii="Arial" w:hAnsi="Arial" w:cs="Arial"/>
          <w:b/>
          <w:sz w:val="21"/>
          <w:lang w:val="en-GB"/>
        </w:rPr>
      </w:pPr>
    </w:p>
    <w:p w:rsidR="00004FED" w:rsidRDefault="00EF16BA" w:rsidP="00C00F6B">
      <w:pPr>
        <w:spacing w:after="0" w:line="240" w:lineRule="auto"/>
        <w:jc w:val="both"/>
        <w:rPr>
          <w:rFonts w:ascii="Arial" w:hAnsi="Arial" w:cs="Arial"/>
          <w:sz w:val="21"/>
          <w:lang w:val="en-GB"/>
        </w:rPr>
      </w:pPr>
      <w:r w:rsidRPr="00EF16BA">
        <w:rPr>
          <w:rFonts w:ascii="Arial" w:hAnsi="Arial" w:cs="Arial"/>
          <w:sz w:val="21"/>
          <w:lang w:val="en-GB"/>
        </w:rPr>
        <w:t>IDA welcomes the initiative of the Committee to include all kind of discriminations</w:t>
      </w:r>
      <w:r>
        <w:rPr>
          <w:rFonts w:ascii="Arial" w:hAnsi="Arial" w:cs="Arial"/>
          <w:sz w:val="21"/>
          <w:lang w:val="en-GB"/>
        </w:rPr>
        <w:t xml:space="preserve"> mentioned in the outline that seeks to provide the widest protection possible against discrimination on the basis of disability, and also other grounds. IDA encourages the Committee to include explicitly: </w:t>
      </w:r>
      <w:r w:rsidR="00F27AEF">
        <w:rPr>
          <w:rFonts w:ascii="Arial" w:hAnsi="Arial" w:cs="Arial"/>
          <w:sz w:val="21"/>
          <w:lang w:val="en-GB"/>
        </w:rPr>
        <w:t xml:space="preserve">multiple and intersectional forms of discrimination, </w:t>
      </w:r>
      <w:r>
        <w:rPr>
          <w:rFonts w:ascii="Arial" w:hAnsi="Arial" w:cs="Arial"/>
          <w:sz w:val="21"/>
          <w:lang w:val="en-GB"/>
        </w:rPr>
        <w:t>d</w:t>
      </w:r>
      <w:r w:rsidR="00004FED" w:rsidRPr="00004FED">
        <w:rPr>
          <w:rFonts w:ascii="Arial" w:hAnsi="Arial" w:cs="Arial"/>
          <w:sz w:val="21"/>
          <w:lang w:val="en-GB"/>
        </w:rPr>
        <w:t xml:space="preserve">enial of access, denial of procedural accommodation, </w:t>
      </w:r>
      <w:r>
        <w:rPr>
          <w:rFonts w:ascii="Arial" w:hAnsi="Arial" w:cs="Arial"/>
          <w:sz w:val="21"/>
          <w:lang w:val="en-GB"/>
        </w:rPr>
        <w:t xml:space="preserve">denial of reasonable accommodation by association, and </w:t>
      </w:r>
      <w:r w:rsidR="00004FED" w:rsidRPr="00004FED">
        <w:rPr>
          <w:rFonts w:ascii="Arial" w:hAnsi="Arial" w:cs="Arial"/>
          <w:sz w:val="21"/>
          <w:lang w:val="en-GB"/>
        </w:rPr>
        <w:t>disability based violence</w:t>
      </w:r>
      <w:r>
        <w:rPr>
          <w:rFonts w:ascii="Arial" w:hAnsi="Arial" w:cs="Arial"/>
          <w:sz w:val="21"/>
          <w:lang w:val="en-GB"/>
        </w:rPr>
        <w:t>.</w:t>
      </w:r>
    </w:p>
    <w:p w:rsidR="00F27AEF" w:rsidRDefault="00F27AEF" w:rsidP="00C00F6B">
      <w:pPr>
        <w:spacing w:after="0" w:line="240" w:lineRule="auto"/>
        <w:jc w:val="both"/>
        <w:rPr>
          <w:rFonts w:ascii="Arial" w:hAnsi="Arial" w:cs="Arial"/>
          <w:sz w:val="21"/>
          <w:lang w:val="en-GB"/>
        </w:rPr>
      </w:pPr>
    </w:p>
    <w:p w:rsidR="00F27AEF" w:rsidRDefault="00F27AEF" w:rsidP="00C00F6B">
      <w:pPr>
        <w:spacing w:after="0" w:line="240" w:lineRule="auto"/>
        <w:jc w:val="both"/>
        <w:rPr>
          <w:rFonts w:ascii="Arial" w:hAnsi="Arial" w:cs="Arial"/>
          <w:sz w:val="21"/>
          <w:lang w:val="en-GB"/>
        </w:rPr>
      </w:pPr>
      <w:r>
        <w:rPr>
          <w:rFonts w:ascii="Arial" w:hAnsi="Arial" w:cs="Arial"/>
          <w:sz w:val="21"/>
          <w:lang w:val="en-GB"/>
        </w:rPr>
        <w:t xml:space="preserve">Disability based discrimination may be compounded or aggravated when other </w:t>
      </w:r>
      <w:r w:rsidR="008B78AE">
        <w:rPr>
          <w:rFonts w:ascii="Arial" w:hAnsi="Arial" w:cs="Arial"/>
          <w:sz w:val="21"/>
          <w:lang w:val="en-GB"/>
        </w:rPr>
        <w:t xml:space="preserve">prohibited </w:t>
      </w:r>
      <w:r>
        <w:rPr>
          <w:rFonts w:ascii="Arial" w:hAnsi="Arial" w:cs="Arial"/>
          <w:sz w:val="21"/>
          <w:lang w:val="en-GB"/>
        </w:rPr>
        <w:t xml:space="preserve">grounds </w:t>
      </w:r>
      <w:r w:rsidR="00AB77E1">
        <w:rPr>
          <w:rFonts w:ascii="Arial" w:hAnsi="Arial" w:cs="Arial"/>
          <w:sz w:val="21"/>
          <w:lang w:val="en-GB"/>
        </w:rPr>
        <w:t xml:space="preserve">of discrimination operate or interact. In particular, IDA asks the Committee to particularly note the link between poverty and discrimination, and how these two are mutually aggravating, and how these multiple and intersectional dimensions particularly affect persons with intellectual, psychosocial and multiple disabilities, women, girls, hoys and sexually diverse persons with disabilities, including intersex persons. </w:t>
      </w:r>
    </w:p>
    <w:p w:rsidR="00EF16BA" w:rsidRDefault="00EF16BA" w:rsidP="00C00F6B">
      <w:pPr>
        <w:spacing w:after="0" w:line="240" w:lineRule="auto"/>
        <w:jc w:val="both"/>
        <w:rPr>
          <w:rFonts w:ascii="Arial" w:hAnsi="Arial" w:cs="Arial"/>
          <w:sz w:val="21"/>
          <w:lang w:val="en-GB"/>
        </w:rPr>
      </w:pPr>
    </w:p>
    <w:p w:rsidR="00EF16BA" w:rsidRDefault="00B22FD5" w:rsidP="00C00F6B">
      <w:pPr>
        <w:spacing w:after="0" w:line="240" w:lineRule="auto"/>
        <w:jc w:val="both"/>
        <w:rPr>
          <w:rFonts w:ascii="Arial" w:hAnsi="Arial" w:cs="Arial"/>
          <w:sz w:val="21"/>
          <w:lang w:val="en-GB"/>
        </w:rPr>
      </w:pPr>
      <w:r>
        <w:rPr>
          <w:rFonts w:ascii="Arial" w:hAnsi="Arial" w:cs="Arial"/>
          <w:sz w:val="21"/>
          <w:lang w:val="en-GB"/>
        </w:rPr>
        <w:t xml:space="preserve">The CRPD Committee has </w:t>
      </w:r>
      <w:r w:rsidR="00D0113B">
        <w:rPr>
          <w:rFonts w:ascii="Arial" w:hAnsi="Arial" w:cs="Arial"/>
          <w:sz w:val="21"/>
          <w:lang w:val="en-GB"/>
        </w:rPr>
        <w:t>stated that “</w:t>
      </w:r>
      <w:r w:rsidR="00B21B66">
        <w:rPr>
          <w:rFonts w:ascii="Arial" w:hAnsi="Arial" w:cs="Arial"/>
          <w:b/>
          <w:sz w:val="21"/>
          <w:lang w:val="en-GB"/>
        </w:rPr>
        <w:t>d</w:t>
      </w:r>
      <w:r w:rsidR="00D0113B" w:rsidRPr="00D0113B">
        <w:rPr>
          <w:rFonts w:ascii="Arial" w:hAnsi="Arial" w:cs="Arial"/>
          <w:b/>
          <w:sz w:val="21"/>
          <w:lang w:val="en-GB"/>
        </w:rPr>
        <w:t xml:space="preserve">enial of access </w:t>
      </w:r>
      <w:r w:rsidR="00D0113B" w:rsidRPr="00D0113B">
        <w:rPr>
          <w:rFonts w:ascii="Arial" w:hAnsi="Arial" w:cs="Arial"/>
          <w:sz w:val="21"/>
          <w:lang w:val="en-GB"/>
        </w:rPr>
        <w:t>to the physical environment, transportation, information and communication, and services open to the public constitutes an act of disability-based discrimination that is prohibited by article 5 of the Convention</w:t>
      </w:r>
      <w:r w:rsidR="00D0113B">
        <w:rPr>
          <w:rFonts w:ascii="Arial" w:hAnsi="Arial" w:cs="Arial"/>
          <w:sz w:val="21"/>
          <w:lang w:val="en-GB"/>
        </w:rPr>
        <w:t xml:space="preserve">.” Consistently, it should be included as a form of discrimination. IDA </w:t>
      </w:r>
      <w:r w:rsidR="00923D26">
        <w:rPr>
          <w:rFonts w:ascii="Arial" w:hAnsi="Arial" w:cs="Arial"/>
          <w:sz w:val="21"/>
          <w:lang w:val="en-GB"/>
        </w:rPr>
        <w:t>believes, however, that this concept needs clarification to prevent misunderstandings in connection with the kind of obligations under non-discrimination (immediate) and under accessibility (</w:t>
      </w:r>
      <w:r w:rsidR="0031071D">
        <w:rPr>
          <w:rFonts w:ascii="Arial" w:hAnsi="Arial" w:cs="Arial"/>
          <w:sz w:val="21"/>
          <w:lang w:val="en-GB"/>
        </w:rPr>
        <w:t>“</w:t>
      </w:r>
      <w:r w:rsidR="00923D26">
        <w:rPr>
          <w:rFonts w:ascii="Arial" w:hAnsi="Arial" w:cs="Arial"/>
          <w:sz w:val="21"/>
          <w:lang w:val="en-GB"/>
        </w:rPr>
        <w:t>gradual</w:t>
      </w:r>
      <w:r w:rsidR="0031071D">
        <w:rPr>
          <w:rFonts w:ascii="Arial" w:hAnsi="Arial" w:cs="Arial"/>
          <w:sz w:val="21"/>
          <w:lang w:val="en-GB"/>
        </w:rPr>
        <w:t xml:space="preserve"> implementation”</w:t>
      </w:r>
      <w:r w:rsidR="00923D26">
        <w:rPr>
          <w:rFonts w:ascii="Arial" w:hAnsi="Arial" w:cs="Arial"/>
          <w:sz w:val="21"/>
          <w:lang w:val="en-GB"/>
        </w:rPr>
        <w:t>)</w:t>
      </w:r>
      <w:r w:rsidR="0031071D">
        <w:rPr>
          <w:rFonts w:ascii="Arial" w:hAnsi="Arial" w:cs="Arial"/>
          <w:sz w:val="21"/>
          <w:lang w:val="en-GB"/>
        </w:rPr>
        <w:t>.</w:t>
      </w:r>
    </w:p>
    <w:p w:rsidR="0031071D" w:rsidRDefault="0031071D" w:rsidP="00C00F6B">
      <w:pPr>
        <w:spacing w:after="0" w:line="240" w:lineRule="auto"/>
        <w:jc w:val="both"/>
        <w:rPr>
          <w:rFonts w:ascii="Arial" w:hAnsi="Arial" w:cs="Arial"/>
          <w:sz w:val="21"/>
          <w:lang w:val="en-GB"/>
        </w:rPr>
      </w:pPr>
    </w:p>
    <w:p w:rsidR="0031071D" w:rsidRDefault="0031071D" w:rsidP="00C00F6B">
      <w:pPr>
        <w:spacing w:after="0" w:line="240" w:lineRule="auto"/>
        <w:jc w:val="both"/>
        <w:rPr>
          <w:rFonts w:ascii="Arial" w:hAnsi="Arial" w:cs="Arial"/>
          <w:sz w:val="21"/>
          <w:lang w:val="en-GB"/>
        </w:rPr>
      </w:pPr>
      <w:r>
        <w:rPr>
          <w:rFonts w:ascii="Arial" w:hAnsi="Arial" w:cs="Arial"/>
          <w:sz w:val="21"/>
          <w:lang w:val="en-GB"/>
        </w:rPr>
        <w:t xml:space="preserve">Turning to including </w:t>
      </w:r>
      <w:r w:rsidRPr="003410CC">
        <w:rPr>
          <w:rFonts w:ascii="Arial" w:hAnsi="Arial" w:cs="Arial"/>
          <w:b/>
          <w:sz w:val="21"/>
          <w:lang w:val="en-GB"/>
        </w:rPr>
        <w:t>disability-based violence as a form of discrimination</w:t>
      </w:r>
      <w:r>
        <w:rPr>
          <w:rFonts w:ascii="Arial" w:hAnsi="Arial" w:cs="Arial"/>
          <w:sz w:val="21"/>
          <w:lang w:val="en-GB"/>
        </w:rPr>
        <w:t xml:space="preserve">, IDA </w:t>
      </w:r>
      <w:r w:rsidR="00DC5FC2">
        <w:rPr>
          <w:rFonts w:ascii="Arial" w:hAnsi="Arial" w:cs="Arial"/>
          <w:sz w:val="21"/>
          <w:lang w:val="en-GB"/>
        </w:rPr>
        <w:t>observes</w:t>
      </w:r>
      <w:r>
        <w:rPr>
          <w:rFonts w:ascii="Arial" w:hAnsi="Arial" w:cs="Arial"/>
          <w:sz w:val="21"/>
          <w:lang w:val="en-GB"/>
        </w:rPr>
        <w:t xml:space="preserve"> the criteria adopted by the CEDAW Committee </w:t>
      </w:r>
      <w:r w:rsidR="003410CC">
        <w:rPr>
          <w:rFonts w:ascii="Arial" w:hAnsi="Arial" w:cs="Arial"/>
          <w:sz w:val="21"/>
          <w:lang w:val="en-GB"/>
        </w:rPr>
        <w:t>regarding gender-based violence: “</w:t>
      </w:r>
      <w:r w:rsidR="003410CC" w:rsidRPr="003410CC">
        <w:rPr>
          <w:rFonts w:ascii="Arial" w:hAnsi="Arial" w:cs="Arial"/>
          <w:sz w:val="21"/>
          <w:lang w:val="en-GB"/>
        </w:rPr>
        <w:t xml:space="preserve">Discrimination against women on the basis of sex and gender comprises, </w:t>
      </w:r>
      <w:r w:rsidR="003410CC">
        <w:rPr>
          <w:rFonts w:ascii="Arial" w:hAnsi="Arial" w:cs="Arial"/>
          <w:sz w:val="21"/>
          <w:lang w:val="en-GB"/>
        </w:rPr>
        <w:t>[…]</w:t>
      </w:r>
      <w:r w:rsidR="003410CC" w:rsidRPr="003410CC">
        <w:rPr>
          <w:rFonts w:ascii="Arial" w:hAnsi="Arial" w:cs="Arial"/>
          <w:sz w:val="21"/>
          <w:lang w:val="en-GB"/>
        </w:rPr>
        <w:t>, gender-based violence, namely, violence that is directed against a woman because she is a woman or violence that affects women disproportionately</w:t>
      </w:r>
      <w:r w:rsidR="003410CC">
        <w:rPr>
          <w:rFonts w:ascii="Arial" w:hAnsi="Arial" w:cs="Arial"/>
          <w:sz w:val="21"/>
          <w:lang w:val="en-GB"/>
        </w:rPr>
        <w:t>.”</w:t>
      </w:r>
      <w:r w:rsidR="00DC5FC2">
        <w:rPr>
          <w:rFonts w:ascii="Arial" w:hAnsi="Arial" w:cs="Arial"/>
          <w:sz w:val="21"/>
          <w:lang w:val="en-GB"/>
        </w:rPr>
        <w:t xml:space="preserve"> IDA invites the CRPD Committee to do likewise.</w:t>
      </w:r>
    </w:p>
    <w:p w:rsidR="002E2DCE" w:rsidRDefault="002E2DCE" w:rsidP="00C00F6B">
      <w:pPr>
        <w:spacing w:after="0" w:line="240" w:lineRule="auto"/>
        <w:jc w:val="both"/>
        <w:rPr>
          <w:rFonts w:ascii="Arial" w:hAnsi="Arial" w:cs="Arial"/>
          <w:b/>
          <w:sz w:val="21"/>
          <w:lang w:val="en-GB"/>
        </w:rPr>
      </w:pPr>
    </w:p>
    <w:p w:rsidR="0060426F" w:rsidRDefault="007472A1" w:rsidP="002E2DCE">
      <w:pPr>
        <w:spacing w:after="0" w:line="240" w:lineRule="auto"/>
        <w:jc w:val="both"/>
        <w:outlineLvl w:val="0"/>
        <w:rPr>
          <w:rFonts w:ascii="Arial" w:hAnsi="Arial" w:cs="Arial"/>
          <w:b/>
          <w:sz w:val="21"/>
          <w:lang w:val="en-GB"/>
        </w:rPr>
      </w:pPr>
      <w:r>
        <w:rPr>
          <w:rFonts w:ascii="Arial" w:hAnsi="Arial" w:cs="Arial"/>
          <w:b/>
          <w:sz w:val="21"/>
          <w:lang w:val="en-GB"/>
        </w:rPr>
        <w:t>5</w:t>
      </w:r>
      <w:r w:rsidR="00737BF5">
        <w:rPr>
          <w:rFonts w:ascii="Arial" w:hAnsi="Arial" w:cs="Arial"/>
          <w:b/>
          <w:sz w:val="21"/>
          <w:lang w:val="en-GB"/>
        </w:rPr>
        <w:t>- Reasonab</w:t>
      </w:r>
      <w:r w:rsidR="007E3BC7">
        <w:rPr>
          <w:rFonts w:ascii="Arial" w:hAnsi="Arial" w:cs="Arial"/>
          <w:b/>
          <w:sz w:val="21"/>
          <w:lang w:val="en-GB"/>
        </w:rPr>
        <w:t>le accommodation and its denial as a form of discrimination</w:t>
      </w:r>
    </w:p>
    <w:p w:rsidR="002E2DCE" w:rsidRDefault="002E2DCE" w:rsidP="00C00F6B">
      <w:pPr>
        <w:spacing w:after="0" w:line="240" w:lineRule="auto"/>
        <w:jc w:val="both"/>
        <w:rPr>
          <w:rFonts w:ascii="Arial" w:hAnsi="Arial" w:cs="Arial"/>
          <w:sz w:val="21"/>
          <w:lang w:val="en-GB"/>
        </w:rPr>
      </w:pPr>
    </w:p>
    <w:p w:rsidR="00BB0B50" w:rsidRPr="00054CED" w:rsidRDefault="004649C2" w:rsidP="00C00F6B">
      <w:pPr>
        <w:spacing w:after="0" w:line="240" w:lineRule="auto"/>
        <w:jc w:val="both"/>
        <w:rPr>
          <w:rFonts w:ascii="Arial" w:hAnsi="Arial" w:cs="Arial"/>
          <w:b/>
          <w:sz w:val="21"/>
          <w:lang w:val="en-GB"/>
        </w:rPr>
      </w:pPr>
      <w:r>
        <w:rPr>
          <w:rFonts w:ascii="Arial" w:hAnsi="Arial" w:cs="Arial"/>
          <w:sz w:val="21"/>
          <w:lang w:val="en-GB"/>
        </w:rPr>
        <w:t>Reasonable accommodation and its denial as a form of discrimination emerged within national practices, notably in the USA, and was referred for the first time in human rights law by the CESCR Committee.</w:t>
      </w:r>
      <w:r w:rsidR="00D66220">
        <w:rPr>
          <w:rFonts w:ascii="Arial" w:hAnsi="Arial" w:cs="Arial"/>
          <w:sz w:val="21"/>
          <w:lang w:val="en-GB"/>
        </w:rPr>
        <w:t xml:space="preserve"> Other developments have occurred before and after the CRPD, at both the national and international levels</w:t>
      </w:r>
      <w:r w:rsidR="000023A7">
        <w:rPr>
          <w:rFonts w:ascii="Arial" w:hAnsi="Arial" w:cs="Arial"/>
          <w:sz w:val="21"/>
          <w:lang w:val="en-GB"/>
        </w:rPr>
        <w:t>, including legislation and jurisprudence</w:t>
      </w:r>
      <w:r w:rsidR="00D66220">
        <w:rPr>
          <w:rFonts w:ascii="Arial" w:hAnsi="Arial" w:cs="Arial"/>
          <w:sz w:val="21"/>
          <w:lang w:val="en-GB"/>
        </w:rPr>
        <w:t>.</w:t>
      </w:r>
      <w:r w:rsidR="008740B8">
        <w:rPr>
          <w:rFonts w:ascii="Arial" w:hAnsi="Arial" w:cs="Arial"/>
          <w:sz w:val="21"/>
          <w:lang w:val="en-GB"/>
        </w:rPr>
        <w:t xml:space="preserve"> </w:t>
      </w:r>
      <w:r w:rsidR="00486360">
        <w:rPr>
          <w:rFonts w:ascii="Arial" w:hAnsi="Arial" w:cs="Arial"/>
          <w:sz w:val="21"/>
          <w:lang w:val="en-GB"/>
        </w:rPr>
        <w:t>H</w:t>
      </w:r>
      <w:r w:rsidR="004B1D46">
        <w:rPr>
          <w:rFonts w:ascii="Arial" w:hAnsi="Arial" w:cs="Arial"/>
          <w:sz w:val="21"/>
          <w:lang w:val="en-GB"/>
        </w:rPr>
        <w:t>owever, States review</w:t>
      </w:r>
      <w:r w:rsidR="00844A8D">
        <w:rPr>
          <w:rFonts w:ascii="Arial" w:hAnsi="Arial" w:cs="Arial"/>
          <w:sz w:val="21"/>
          <w:lang w:val="en-GB"/>
        </w:rPr>
        <w:t>s</w:t>
      </w:r>
      <w:r w:rsidR="004B1D46">
        <w:rPr>
          <w:rFonts w:ascii="Arial" w:hAnsi="Arial" w:cs="Arial"/>
          <w:sz w:val="21"/>
          <w:lang w:val="en-GB"/>
        </w:rPr>
        <w:t xml:space="preserve"> andcertain</w:t>
      </w:r>
      <w:r w:rsidR="00486360">
        <w:rPr>
          <w:rFonts w:ascii="Arial" w:hAnsi="Arial" w:cs="Arial"/>
          <w:sz w:val="21"/>
          <w:lang w:val="en-GB"/>
        </w:rPr>
        <w:t xml:space="preserve"> developments show there is a </w:t>
      </w:r>
      <w:r w:rsidR="004B1D46">
        <w:rPr>
          <w:rFonts w:ascii="Arial" w:hAnsi="Arial" w:cs="Arial"/>
          <w:sz w:val="21"/>
          <w:lang w:val="en-GB"/>
        </w:rPr>
        <w:t xml:space="preserve">lack of </w:t>
      </w:r>
      <w:r w:rsidR="00486360">
        <w:rPr>
          <w:rFonts w:ascii="Arial" w:hAnsi="Arial" w:cs="Arial"/>
          <w:sz w:val="21"/>
          <w:lang w:val="en-GB"/>
        </w:rPr>
        <w:t>clear understanding</w:t>
      </w:r>
      <w:r w:rsidR="003E57A5">
        <w:rPr>
          <w:rFonts w:ascii="Arial" w:hAnsi="Arial" w:cs="Arial"/>
          <w:sz w:val="21"/>
          <w:lang w:val="en-GB"/>
        </w:rPr>
        <w:t xml:space="preserve"> of the concept, its implications, its distinction from other concepts</w:t>
      </w:r>
      <w:r w:rsidR="005800A6">
        <w:rPr>
          <w:rFonts w:ascii="Arial" w:hAnsi="Arial" w:cs="Arial"/>
          <w:sz w:val="21"/>
          <w:lang w:val="en-GB"/>
        </w:rPr>
        <w:t xml:space="preserve">, its applicability to all </w:t>
      </w:r>
      <w:r w:rsidR="00844A8D">
        <w:rPr>
          <w:rFonts w:ascii="Arial" w:hAnsi="Arial" w:cs="Arial"/>
          <w:sz w:val="21"/>
          <w:lang w:val="en-GB"/>
        </w:rPr>
        <w:t>rights and areas of life</w:t>
      </w:r>
      <w:r w:rsidR="003E57A5">
        <w:rPr>
          <w:rFonts w:ascii="Arial" w:hAnsi="Arial" w:cs="Arial"/>
          <w:sz w:val="21"/>
          <w:lang w:val="en-GB"/>
        </w:rPr>
        <w:t xml:space="preserve"> and the obligations emanating from it. In this sense, IDA encourages the Committee to </w:t>
      </w:r>
      <w:r w:rsidR="00844A8D">
        <w:rPr>
          <w:rFonts w:ascii="Arial" w:hAnsi="Arial" w:cs="Arial"/>
          <w:sz w:val="21"/>
          <w:lang w:val="en-GB"/>
        </w:rPr>
        <w:t xml:space="preserve">refer </w:t>
      </w:r>
      <w:r w:rsidR="003E57A5">
        <w:rPr>
          <w:rFonts w:ascii="Arial" w:hAnsi="Arial" w:cs="Arial"/>
          <w:sz w:val="21"/>
          <w:lang w:val="en-GB"/>
        </w:rPr>
        <w:t xml:space="preserve">the OHCHR´s </w:t>
      </w:r>
      <w:r w:rsidR="004B1D46">
        <w:rPr>
          <w:rFonts w:ascii="Arial" w:hAnsi="Arial" w:cs="Arial"/>
          <w:sz w:val="21"/>
          <w:lang w:val="en-GB"/>
        </w:rPr>
        <w:t>thematic s</w:t>
      </w:r>
      <w:r w:rsidR="003E57A5">
        <w:rPr>
          <w:rFonts w:ascii="Arial" w:hAnsi="Arial" w:cs="Arial"/>
          <w:sz w:val="21"/>
          <w:lang w:val="en-GB"/>
        </w:rPr>
        <w:t xml:space="preserve">tudy, to address the following points:  </w:t>
      </w:r>
    </w:p>
    <w:p w:rsidR="006D011B" w:rsidRDefault="006D011B" w:rsidP="00C00F6B">
      <w:pPr>
        <w:pStyle w:val="Prrafodelista"/>
        <w:spacing w:after="0" w:line="240" w:lineRule="auto"/>
        <w:ind w:left="0"/>
        <w:jc w:val="both"/>
        <w:rPr>
          <w:rFonts w:ascii="Arial" w:hAnsi="Arial" w:cs="Arial"/>
          <w:b/>
          <w:sz w:val="21"/>
          <w:lang w:val="en-GB"/>
        </w:rPr>
      </w:pPr>
    </w:p>
    <w:p w:rsidR="002E2DCE" w:rsidRDefault="002E2DCE" w:rsidP="00C00F6B">
      <w:pPr>
        <w:pStyle w:val="Prrafodelista"/>
        <w:spacing w:after="0" w:line="240" w:lineRule="auto"/>
        <w:ind w:left="0"/>
        <w:jc w:val="both"/>
        <w:rPr>
          <w:rFonts w:ascii="Arial" w:hAnsi="Arial" w:cs="Arial"/>
          <w:b/>
          <w:sz w:val="21"/>
          <w:lang w:val="en-GB"/>
        </w:rPr>
      </w:pPr>
    </w:p>
    <w:p w:rsidR="00A54678" w:rsidRDefault="00D02CDD" w:rsidP="002E2DCE">
      <w:pPr>
        <w:pStyle w:val="Prrafodelista"/>
        <w:spacing w:after="0" w:line="240" w:lineRule="auto"/>
        <w:ind w:left="0"/>
        <w:jc w:val="both"/>
        <w:outlineLvl w:val="0"/>
        <w:rPr>
          <w:rFonts w:ascii="Arial" w:hAnsi="Arial" w:cs="Arial"/>
          <w:b/>
          <w:sz w:val="21"/>
          <w:lang w:val="en-GB"/>
        </w:rPr>
      </w:pPr>
      <w:r>
        <w:rPr>
          <w:rFonts w:ascii="Arial" w:hAnsi="Arial" w:cs="Arial"/>
          <w:b/>
          <w:sz w:val="21"/>
          <w:lang w:val="en-GB"/>
        </w:rPr>
        <w:t xml:space="preserve">a) </w:t>
      </w:r>
      <w:r w:rsidR="00A54678">
        <w:rPr>
          <w:rFonts w:ascii="Arial" w:hAnsi="Arial" w:cs="Arial"/>
          <w:b/>
          <w:sz w:val="21"/>
          <w:lang w:val="en-GB"/>
        </w:rPr>
        <w:t>Make a</w:t>
      </w:r>
      <w:r w:rsidR="00737BF5">
        <w:rPr>
          <w:rFonts w:ascii="Arial" w:hAnsi="Arial" w:cs="Arial"/>
          <w:b/>
          <w:sz w:val="21"/>
          <w:lang w:val="en-GB"/>
        </w:rPr>
        <w:t xml:space="preserve">bsolutely </w:t>
      </w:r>
      <w:r w:rsidR="00A54678">
        <w:rPr>
          <w:rFonts w:ascii="Arial" w:hAnsi="Arial" w:cs="Arial"/>
          <w:b/>
          <w:sz w:val="21"/>
          <w:lang w:val="en-GB"/>
        </w:rPr>
        <w:t>clear that reasonable accommodation</w:t>
      </w:r>
      <w:r w:rsidR="00737BF5">
        <w:rPr>
          <w:rFonts w:ascii="Arial" w:hAnsi="Arial" w:cs="Arial"/>
          <w:b/>
          <w:sz w:val="21"/>
          <w:lang w:val="en-GB"/>
        </w:rPr>
        <w:t xml:space="preserve"> is of immediate application</w:t>
      </w:r>
      <w:r w:rsidR="00B812FA">
        <w:rPr>
          <w:rFonts w:ascii="Arial" w:hAnsi="Arial" w:cs="Arial"/>
          <w:b/>
          <w:sz w:val="21"/>
          <w:lang w:val="en-GB"/>
        </w:rPr>
        <w:t>:</w:t>
      </w:r>
    </w:p>
    <w:p w:rsidR="002E2DCE" w:rsidRDefault="002E2DCE" w:rsidP="00C00F6B">
      <w:pPr>
        <w:spacing w:after="0" w:line="240" w:lineRule="auto"/>
        <w:jc w:val="both"/>
        <w:rPr>
          <w:rFonts w:ascii="Arial" w:hAnsi="Arial" w:cs="Arial"/>
          <w:sz w:val="21"/>
          <w:lang w:val="en-GB"/>
        </w:rPr>
      </w:pPr>
    </w:p>
    <w:p w:rsidR="006D011B" w:rsidRDefault="00A54678" w:rsidP="00C00F6B">
      <w:pPr>
        <w:spacing w:after="0" w:line="240" w:lineRule="auto"/>
        <w:jc w:val="both"/>
        <w:rPr>
          <w:rFonts w:ascii="Arial" w:hAnsi="Arial" w:cs="Arial"/>
          <w:sz w:val="21"/>
          <w:lang w:val="en-GB"/>
        </w:rPr>
      </w:pPr>
      <w:r>
        <w:rPr>
          <w:rFonts w:ascii="Arial" w:hAnsi="Arial" w:cs="Arial"/>
          <w:sz w:val="21"/>
          <w:lang w:val="en-GB"/>
        </w:rPr>
        <w:t>Non-discrimination provides for immediate obligations.</w:t>
      </w:r>
      <w:r w:rsidR="004B3B3B">
        <w:rPr>
          <w:rFonts w:ascii="Arial" w:hAnsi="Arial" w:cs="Arial"/>
          <w:sz w:val="21"/>
          <w:lang w:val="en-GB"/>
        </w:rPr>
        <w:t xml:space="preserve"> </w:t>
      </w:r>
      <w:r w:rsidR="005A6D08">
        <w:rPr>
          <w:rFonts w:ascii="Arial" w:hAnsi="Arial" w:cs="Arial"/>
          <w:sz w:val="21"/>
          <w:lang w:val="en-GB"/>
        </w:rPr>
        <w:t>Articles 2 and 5 of the CRPD show that t</w:t>
      </w:r>
      <w:r>
        <w:rPr>
          <w:rFonts w:ascii="Arial" w:hAnsi="Arial" w:cs="Arial"/>
          <w:sz w:val="21"/>
          <w:lang w:val="en-GB"/>
        </w:rPr>
        <w:t>he duty to provide reasonable accommodation is part of non-discrimination</w:t>
      </w:r>
      <w:r w:rsidR="00677AA6">
        <w:rPr>
          <w:rFonts w:ascii="Arial" w:hAnsi="Arial" w:cs="Arial"/>
          <w:sz w:val="21"/>
          <w:lang w:val="en-GB"/>
        </w:rPr>
        <w:t>, entails an individual approach</w:t>
      </w:r>
      <w:r>
        <w:rPr>
          <w:rFonts w:ascii="Arial" w:hAnsi="Arial" w:cs="Arial"/>
          <w:sz w:val="21"/>
          <w:lang w:val="en-GB"/>
        </w:rPr>
        <w:t xml:space="preserve"> and its denial constitutes discrimination. Consequently</w:t>
      </w:r>
      <w:r w:rsidR="00150A74">
        <w:rPr>
          <w:rFonts w:ascii="Arial" w:hAnsi="Arial" w:cs="Arial"/>
          <w:sz w:val="21"/>
          <w:lang w:val="en-GB"/>
        </w:rPr>
        <w:t xml:space="preserve">, the general comment must state </w:t>
      </w:r>
      <w:r>
        <w:rPr>
          <w:rFonts w:ascii="Arial" w:hAnsi="Arial" w:cs="Arial"/>
          <w:sz w:val="21"/>
          <w:lang w:val="en-GB"/>
        </w:rPr>
        <w:t>clear</w:t>
      </w:r>
      <w:r w:rsidR="00150A74">
        <w:rPr>
          <w:rFonts w:ascii="Arial" w:hAnsi="Arial" w:cs="Arial"/>
          <w:sz w:val="21"/>
          <w:lang w:val="en-GB"/>
        </w:rPr>
        <w:t>ly</w:t>
      </w:r>
      <w:r>
        <w:rPr>
          <w:rFonts w:ascii="Arial" w:hAnsi="Arial" w:cs="Arial"/>
          <w:sz w:val="21"/>
          <w:lang w:val="en-GB"/>
        </w:rPr>
        <w:t xml:space="preserve"> that the duty to provide reasonable accommodation </w:t>
      </w:r>
      <w:r w:rsidRPr="00844A8D">
        <w:rPr>
          <w:rFonts w:ascii="Arial" w:hAnsi="Arial" w:cs="Arial"/>
          <w:b/>
          <w:sz w:val="21"/>
          <w:lang w:val="en-GB"/>
        </w:rPr>
        <w:t>is of immediate application and not subject to progressive reali</w:t>
      </w:r>
      <w:r w:rsidR="00B80534" w:rsidRPr="00844A8D">
        <w:rPr>
          <w:rFonts w:ascii="Arial" w:hAnsi="Arial" w:cs="Arial"/>
          <w:b/>
          <w:sz w:val="21"/>
          <w:lang w:val="en-GB"/>
        </w:rPr>
        <w:t>sation</w:t>
      </w:r>
      <w:r w:rsidR="00B80534">
        <w:rPr>
          <w:rFonts w:ascii="Arial" w:hAnsi="Arial" w:cs="Arial"/>
          <w:sz w:val="21"/>
          <w:lang w:val="en-GB"/>
        </w:rPr>
        <w:t xml:space="preserve">, in line with previous Committee´s </w:t>
      </w:r>
      <w:r w:rsidR="00125FA9">
        <w:rPr>
          <w:rFonts w:ascii="Arial" w:hAnsi="Arial" w:cs="Arial"/>
          <w:sz w:val="21"/>
          <w:lang w:val="en-GB"/>
        </w:rPr>
        <w:t>jurisprudence, and notably its recent general comment no. 4 on Article 24</w:t>
      </w:r>
      <w:r w:rsidR="00257FDF">
        <w:rPr>
          <w:rFonts w:ascii="Arial" w:hAnsi="Arial" w:cs="Arial"/>
          <w:sz w:val="21"/>
          <w:lang w:val="en-GB"/>
        </w:rPr>
        <w:t xml:space="preserve">: </w:t>
      </w:r>
      <w:r w:rsidR="00257FDF" w:rsidRPr="00257FDF">
        <w:rPr>
          <w:rFonts w:ascii="Arial" w:hAnsi="Arial" w:cs="Arial"/>
          <w:sz w:val="21"/>
          <w:lang w:val="en-GB"/>
        </w:rPr>
        <w:t>Right to inclusive education</w:t>
      </w:r>
      <w:r w:rsidR="00257FDF">
        <w:rPr>
          <w:rFonts w:ascii="Arial" w:hAnsi="Arial" w:cs="Arial"/>
          <w:sz w:val="21"/>
          <w:lang w:val="en-GB"/>
        </w:rPr>
        <w:t>.</w:t>
      </w:r>
    </w:p>
    <w:p w:rsidR="00D02CDD" w:rsidRDefault="00D02CDD" w:rsidP="00C00F6B">
      <w:pPr>
        <w:pStyle w:val="Prrafodelista"/>
        <w:tabs>
          <w:tab w:val="left" w:pos="284"/>
        </w:tabs>
        <w:spacing w:after="0" w:line="240" w:lineRule="auto"/>
        <w:ind w:left="0"/>
        <w:jc w:val="both"/>
        <w:rPr>
          <w:rFonts w:ascii="Arial" w:hAnsi="Arial" w:cs="Arial"/>
          <w:sz w:val="21"/>
          <w:lang w:val="en-GB"/>
        </w:rPr>
      </w:pPr>
    </w:p>
    <w:p w:rsidR="002E2DCE" w:rsidRDefault="002E2DCE" w:rsidP="00C00F6B">
      <w:pPr>
        <w:pStyle w:val="Prrafodelista"/>
        <w:tabs>
          <w:tab w:val="left" w:pos="284"/>
        </w:tabs>
        <w:spacing w:after="0" w:line="240" w:lineRule="auto"/>
        <w:ind w:left="0"/>
        <w:jc w:val="both"/>
        <w:rPr>
          <w:rFonts w:ascii="Arial" w:hAnsi="Arial" w:cs="Arial"/>
          <w:sz w:val="21"/>
          <w:lang w:val="en-GB"/>
        </w:rPr>
      </w:pPr>
    </w:p>
    <w:p w:rsidR="007D6D52" w:rsidRDefault="00D02CDD" w:rsidP="002E2DCE">
      <w:pPr>
        <w:pStyle w:val="Prrafodelista"/>
        <w:tabs>
          <w:tab w:val="left" w:pos="284"/>
        </w:tabs>
        <w:spacing w:after="0" w:line="240" w:lineRule="auto"/>
        <w:ind w:left="0"/>
        <w:jc w:val="both"/>
        <w:outlineLvl w:val="0"/>
        <w:rPr>
          <w:rFonts w:ascii="Arial" w:hAnsi="Arial" w:cs="Arial"/>
          <w:b/>
          <w:sz w:val="21"/>
          <w:lang w:val="en-GB"/>
        </w:rPr>
      </w:pPr>
      <w:r w:rsidRPr="00D02CDD">
        <w:rPr>
          <w:rFonts w:ascii="Arial" w:hAnsi="Arial" w:cs="Arial"/>
          <w:b/>
          <w:sz w:val="21"/>
          <w:lang w:val="en-GB"/>
        </w:rPr>
        <w:lastRenderedPageBreak/>
        <w:t>b)</w:t>
      </w:r>
      <w:r w:rsidR="00596A47">
        <w:rPr>
          <w:rFonts w:ascii="Arial" w:hAnsi="Arial" w:cs="Arial"/>
          <w:b/>
          <w:sz w:val="21"/>
          <w:lang w:val="en-GB"/>
        </w:rPr>
        <w:t xml:space="preserve">The concept of </w:t>
      </w:r>
      <w:r w:rsidR="00737BF5">
        <w:rPr>
          <w:rFonts w:ascii="Arial" w:hAnsi="Arial" w:cs="Arial"/>
          <w:b/>
          <w:sz w:val="21"/>
          <w:lang w:val="en-GB"/>
        </w:rPr>
        <w:t>“</w:t>
      </w:r>
      <w:r w:rsidR="00596A47">
        <w:rPr>
          <w:rFonts w:ascii="Arial" w:hAnsi="Arial" w:cs="Arial"/>
          <w:b/>
          <w:sz w:val="21"/>
          <w:lang w:val="en-GB"/>
        </w:rPr>
        <w:t>d</w:t>
      </w:r>
      <w:r w:rsidR="00737BF5">
        <w:rPr>
          <w:rFonts w:ascii="Arial" w:hAnsi="Arial" w:cs="Arial"/>
          <w:b/>
          <w:sz w:val="21"/>
          <w:lang w:val="en-GB"/>
        </w:rPr>
        <w:t xml:space="preserve">isproportionate </w:t>
      </w:r>
      <w:r w:rsidR="00596A47">
        <w:rPr>
          <w:rFonts w:ascii="Arial" w:hAnsi="Arial" w:cs="Arial"/>
          <w:b/>
          <w:sz w:val="21"/>
          <w:lang w:val="en-GB"/>
        </w:rPr>
        <w:t>or</w:t>
      </w:r>
      <w:r w:rsidR="00737BF5">
        <w:rPr>
          <w:rFonts w:ascii="Arial" w:hAnsi="Arial" w:cs="Arial"/>
          <w:b/>
          <w:sz w:val="21"/>
          <w:lang w:val="en-GB"/>
        </w:rPr>
        <w:t xml:space="preserve"> undue burden”</w:t>
      </w:r>
      <w:r w:rsidR="00596A47">
        <w:rPr>
          <w:rFonts w:ascii="Arial" w:hAnsi="Arial" w:cs="Arial"/>
          <w:b/>
          <w:sz w:val="21"/>
          <w:lang w:val="en-GB"/>
        </w:rPr>
        <w:t xml:space="preserve"> is one only concept and frames</w:t>
      </w:r>
      <w:r w:rsidR="007D6D52">
        <w:rPr>
          <w:rFonts w:ascii="Arial" w:hAnsi="Arial" w:cs="Arial"/>
          <w:b/>
          <w:sz w:val="21"/>
          <w:lang w:val="en-GB"/>
        </w:rPr>
        <w:t xml:space="preserve"> the any eventual discussion </w:t>
      </w:r>
      <w:r w:rsidR="00150A74">
        <w:rPr>
          <w:rFonts w:ascii="Arial" w:hAnsi="Arial" w:cs="Arial"/>
          <w:b/>
          <w:sz w:val="21"/>
          <w:lang w:val="en-GB"/>
        </w:rPr>
        <w:t xml:space="preserve">on </w:t>
      </w:r>
      <w:r w:rsidR="007D6D52">
        <w:rPr>
          <w:rFonts w:ascii="Arial" w:hAnsi="Arial" w:cs="Arial"/>
          <w:b/>
          <w:sz w:val="21"/>
          <w:lang w:val="en-GB"/>
        </w:rPr>
        <w:t>resources</w:t>
      </w:r>
      <w:r w:rsidR="00150A74">
        <w:rPr>
          <w:rFonts w:ascii="Arial" w:hAnsi="Arial" w:cs="Arial"/>
          <w:b/>
          <w:sz w:val="21"/>
          <w:lang w:val="en-GB"/>
        </w:rPr>
        <w:t xml:space="preserve"> for reasonable accommodation</w:t>
      </w:r>
    </w:p>
    <w:p w:rsidR="002E2DCE" w:rsidRDefault="002E2DCE" w:rsidP="00C00F6B">
      <w:pPr>
        <w:pStyle w:val="Prrafodelista"/>
        <w:tabs>
          <w:tab w:val="left" w:pos="284"/>
        </w:tabs>
        <w:spacing w:after="0" w:line="240" w:lineRule="auto"/>
        <w:ind w:left="0"/>
        <w:jc w:val="both"/>
        <w:rPr>
          <w:rFonts w:ascii="Arial" w:hAnsi="Arial" w:cs="Arial"/>
          <w:sz w:val="21"/>
          <w:lang w:val="en-GB"/>
        </w:rPr>
      </w:pPr>
    </w:p>
    <w:p w:rsidR="009F74DC" w:rsidRDefault="007D6D52" w:rsidP="00C00F6B">
      <w:pPr>
        <w:pStyle w:val="Prrafodelista"/>
        <w:tabs>
          <w:tab w:val="left" w:pos="284"/>
        </w:tabs>
        <w:spacing w:after="0" w:line="240" w:lineRule="auto"/>
        <w:ind w:left="0"/>
        <w:jc w:val="both"/>
        <w:rPr>
          <w:rFonts w:ascii="Arial" w:hAnsi="Arial" w:cs="Arial"/>
          <w:sz w:val="21"/>
          <w:lang w:val="en-GB"/>
        </w:rPr>
      </w:pPr>
      <w:r>
        <w:rPr>
          <w:rFonts w:ascii="Arial" w:hAnsi="Arial" w:cs="Arial"/>
          <w:sz w:val="21"/>
          <w:lang w:val="en-GB"/>
        </w:rPr>
        <w:t xml:space="preserve">CRPD negotiations show that “disproportionate or undue burden” </w:t>
      </w:r>
      <w:r w:rsidR="00C4330B">
        <w:rPr>
          <w:rFonts w:ascii="Arial" w:hAnsi="Arial" w:cs="Arial"/>
          <w:sz w:val="21"/>
          <w:lang w:val="en-GB"/>
        </w:rPr>
        <w:t>is</w:t>
      </w:r>
      <w:r w:rsidR="004B3B3B">
        <w:rPr>
          <w:rFonts w:ascii="Arial" w:hAnsi="Arial" w:cs="Arial"/>
          <w:sz w:val="21"/>
          <w:lang w:val="en-GB"/>
        </w:rPr>
        <w:t xml:space="preserve"> </w:t>
      </w:r>
      <w:r w:rsidR="00C4330B">
        <w:rPr>
          <w:rFonts w:ascii="Arial" w:hAnsi="Arial" w:cs="Arial"/>
          <w:sz w:val="21"/>
          <w:lang w:val="en-GB"/>
        </w:rPr>
        <w:t xml:space="preserve">one and </w:t>
      </w:r>
      <w:r>
        <w:rPr>
          <w:rFonts w:ascii="Arial" w:hAnsi="Arial" w:cs="Arial"/>
          <w:sz w:val="21"/>
          <w:lang w:val="en-GB"/>
        </w:rPr>
        <w:t xml:space="preserve">only </w:t>
      </w:r>
      <w:r w:rsidR="00C4330B">
        <w:rPr>
          <w:rFonts w:ascii="Arial" w:hAnsi="Arial" w:cs="Arial"/>
          <w:sz w:val="21"/>
          <w:lang w:val="en-GB"/>
        </w:rPr>
        <w:t>concept. The phrasing constitutes a compromise to easily relate to</w:t>
      </w:r>
      <w:r>
        <w:rPr>
          <w:rFonts w:ascii="Arial" w:hAnsi="Arial" w:cs="Arial"/>
          <w:sz w:val="21"/>
          <w:lang w:val="en-GB"/>
        </w:rPr>
        <w:t xml:space="preserve"> different national practices.</w:t>
      </w:r>
      <w:r w:rsidR="00851A9F">
        <w:rPr>
          <w:rFonts w:ascii="Arial" w:hAnsi="Arial" w:cs="Arial"/>
          <w:sz w:val="21"/>
          <w:lang w:val="en-GB"/>
        </w:rPr>
        <w:t xml:space="preserve"> To prevent any further discussion, IDA highly encourages the Committee to always use the written form </w:t>
      </w:r>
      <w:r w:rsidR="00851A9F" w:rsidRPr="00C4330B">
        <w:rPr>
          <w:rFonts w:ascii="Arial" w:hAnsi="Arial" w:cs="Arial"/>
          <w:b/>
          <w:sz w:val="21"/>
          <w:lang w:val="en-GB"/>
        </w:rPr>
        <w:t>“disproportionate or undue burden”</w:t>
      </w:r>
      <w:r w:rsidR="00851A9F" w:rsidRPr="00C4330B">
        <w:rPr>
          <w:rFonts w:ascii="Arial" w:hAnsi="Arial" w:cs="Arial"/>
          <w:sz w:val="21"/>
          <w:lang w:val="en-GB"/>
        </w:rPr>
        <w:t>,</w:t>
      </w:r>
      <w:r w:rsidR="00851A9F">
        <w:rPr>
          <w:rFonts w:ascii="Arial" w:hAnsi="Arial" w:cs="Arial"/>
          <w:sz w:val="21"/>
          <w:lang w:val="en-GB"/>
        </w:rPr>
        <w:t xml:space="preserve"> as done in the very beginning of its jurisprudence.</w:t>
      </w:r>
    </w:p>
    <w:p w:rsidR="00D02CDD" w:rsidRDefault="00D02CDD" w:rsidP="00C00F6B">
      <w:pPr>
        <w:pStyle w:val="Prrafodelista"/>
        <w:tabs>
          <w:tab w:val="left" w:pos="284"/>
        </w:tabs>
        <w:spacing w:after="0" w:line="240" w:lineRule="auto"/>
        <w:ind w:left="0"/>
        <w:jc w:val="both"/>
        <w:rPr>
          <w:rFonts w:ascii="Arial" w:hAnsi="Arial" w:cs="Arial"/>
          <w:sz w:val="21"/>
          <w:lang w:val="en-GB"/>
        </w:rPr>
      </w:pPr>
    </w:p>
    <w:p w:rsidR="00D02CDD" w:rsidRDefault="00D02CDD" w:rsidP="00C00F6B">
      <w:pPr>
        <w:pStyle w:val="Prrafodelista"/>
        <w:tabs>
          <w:tab w:val="left" w:pos="284"/>
        </w:tabs>
        <w:spacing w:after="0" w:line="240" w:lineRule="auto"/>
        <w:ind w:left="0"/>
        <w:jc w:val="both"/>
        <w:rPr>
          <w:rFonts w:ascii="Arial" w:hAnsi="Arial" w:cs="Arial"/>
          <w:sz w:val="21"/>
          <w:lang w:val="en-GB"/>
        </w:rPr>
      </w:pPr>
      <w:r>
        <w:rPr>
          <w:rFonts w:ascii="Arial" w:hAnsi="Arial" w:cs="Arial"/>
          <w:sz w:val="21"/>
          <w:lang w:val="en-GB"/>
        </w:rPr>
        <w:t>I</w:t>
      </w:r>
      <w:r w:rsidR="00677AA6">
        <w:rPr>
          <w:rFonts w:ascii="Arial" w:hAnsi="Arial" w:cs="Arial"/>
          <w:sz w:val="21"/>
          <w:lang w:val="en-GB"/>
        </w:rPr>
        <w:t>n connection to the previous point (immediate application of reasonable accommodation, and no subjection to progressive realisation), i</w:t>
      </w:r>
      <w:r>
        <w:rPr>
          <w:rFonts w:ascii="Arial" w:hAnsi="Arial" w:cs="Arial"/>
          <w:sz w:val="21"/>
          <w:lang w:val="en-GB"/>
        </w:rPr>
        <w:t>t is important to highlight</w:t>
      </w:r>
      <w:r w:rsidR="0060426F">
        <w:rPr>
          <w:rFonts w:ascii="Arial" w:hAnsi="Arial" w:cs="Arial"/>
          <w:sz w:val="21"/>
          <w:lang w:val="en-GB"/>
        </w:rPr>
        <w:t>, in order to prevent</w:t>
      </w:r>
      <w:r w:rsidR="00150A74">
        <w:rPr>
          <w:rFonts w:ascii="Arial" w:hAnsi="Arial" w:cs="Arial"/>
          <w:sz w:val="21"/>
          <w:lang w:val="en-GB"/>
        </w:rPr>
        <w:t xml:space="preserve"> any further confusions</w:t>
      </w:r>
      <w:r w:rsidR="007335E2">
        <w:rPr>
          <w:rFonts w:ascii="Arial" w:hAnsi="Arial" w:cs="Arial"/>
          <w:sz w:val="21"/>
          <w:lang w:val="en-GB"/>
        </w:rPr>
        <w:t xml:space="preserve">, that </w:t>
      </w:r>
      <w:r w:rsidR="007335E2" w:rsidRPr="009024E5">
        <w:rPr>
          <w:rFonts w:ascii="Arial" w:hAnsi="Arial" w:cs="Arial"/>
          <w:b/>
          <w:sz w:val="21"/>
          <w:lang w:val="en-GB"/>
        </w:rPr>
        <w:t>any eventual discussion on financial resources for the implementation of reasonable accommodation will fall under the concept of “disproportionate or undue burden” and the elements that the Committee further elaborates on it</w:t>
      </w:r>
      <w:r w:rsidR="001D36E5">
        <w:rPr>
          <w:rFonts w:ascii="Arial" w:hAnsi="Arial" w:cs="Arial"/>
          <w:sz w:val="21"/>
          <w:lang w:val="en-GB"/>
        </w:rPr>
        <w:t>.</w:t>
      </w:r>
    </w:p>
    <w:p w:rsidR="00677AA6" w:rsidRDefault="00677AA6" w:rsidP="00C00F6B">
      <w:pPr>
        <w:pStyle w:val="Prrafodelista"/>
        <w:tabs>
          <w:tab w:val="left" w:pos="284"/>
        </w:tabs>
        <w:spacing w:after="0" w:line="240" w:lineRule="auto"/>
        <w:ind w:left="0"/>
        <w:jc w:val="both"/>
        <w:rPr>
          <w:rFonts w:ascii="Arial" w:hAnsi="Arial" w:cs="Arial"/>
          <w:sz w:val="21"/>
          <w:lang w:val="en-GB"/>
        </w:rPr>
      </w:pPr>
    </w:p>
    <w:p w:rsidR="002E2DCE" w:rsidRDefault="002E2DCE" w:rsidP="00C00F6B">
      <w:pPr>
        <w:pStyle w:val="Prrafodelista"/>
        <w:tabs>
          <w:tab w:val="left" w:pos="284"/>
        </w:tabs>
        <w:spacing w:after="0" w:line="240" w:lineRule="auto"/>
        <w:ind w:left="0"/>
        <w:jc w:val="both"/>
        <w:rPr>
          <w:rFonts w:ascii="Arial" w:hAnsi="Arial" w:cs="Arial"/>
          <w:sz w:val="21"/>
          <w:lang w:val="en-GB"/>
        </w:rPr>
      </w:pPr>
    </w:p>
    <w:p w:rsidR="0034545E" w:rsidRPr="0060426F" w:rsidRDefault="00677AA6" w:rsidP="002E2DCE">
      <w:pPr>
        <w:pStyle w:val="Prrafodelista"/>
        <w:tabs>
          <w:tab w:val="left" w:pos="284"/>
        </w:tabs>
        <w:spacing w:after="0" w:line="240" w:lineRule="auto"/>
        <w:ind w:left="0"/>
        <w:jc w:val="both"/>
        <w:outlineLvl w:val="0"/>
        <w:rPr>
          <w:rFonts w:ascii="Arial" w:hAnsi="Arial" w:cs="Arial"/>
          <w:sz w:val="21"/>
          <w:lang w:val="en-GB"/>
        </w:rPr>
      </w:pPr>
      <w:r>
        <w:rPr>
          <w:rFonts w:ascii="Arial" w:hAnsi="Arial" w:cs="Arial"/>
          <w:b/>
          <w:sz w:val="21"/>
          <w:lang w:val="en-GB"/>
        </w:rPr>
        <w:t xml:space="preserve">c) </w:t>
      </w:r>
      <w:r w:rsidR="0034545E">
        <w:rPr>
          <w:rFonts w:ascii="Arial" w:hAnsi="Arial" w:cs="Arial"/>
          <w:b/>
          <w:sz w:val="21"/>
          <w:lang w:val="en-GB"/>
        </w:rPr>
        <w:t>Regulate criteria and develop guidance</w:t>
      </w:r>
      <w:r w:rsidR="00C76FA8">
        <w:rPr>
          <w:rFonts w:ascii="Arial" w:hAnsi="Arial" w:cs="Arial"/>
          <w:b/>
          <w:sz w:val="21"/>
          <w:lang w:val="en-GB"/>
        </w:rPr>
        <w:t xml:space="preserve"> on the duty to provide reasonable accommodation.</w:t>
      </w:r>
    </w:p>
    <w:p w:rsidR="002E2DCE" w:rsidRDefault="002E2DCE" w:rsidP="00C00F6B">
      <w:pPr>
        <w:spacing w:after="0" w:line="240" w:lineRule="auto"/>
        <w:jc w:val="both"/>
        <w:rPr>
          <w:rFonts w:ascii="Arial" w:hAnsi="Arial" w:cs="Arial"/>
          <w:sz w:val="21"/>
          <w:lang w:val="en-GB"/>
        </w:rPr>
      </w:pPr>
    </w:p>
    <w:p w:rsidR="0060426F" w:rsidRDefault="00C1723A" w:rsidP="00C00F6B">
      <w:pPr>
        <w:spacing w:after="0" w:line="240" w:lineRule="auto"/>
        <w:jc w:val="both"/>
        <w:rPr>
          <w:rFonts w:ascii="Arial" w:hAnsi="Arial" w:cs="Arial"/>
          <w:sz w:val="21"/>
          <w:lang w:val="en-GB"/>
        </w:rPr>
      </w:pPr>
      <w:r>
        <w:rPr>
          <w:rFonts w:ascii="Arial" w:hAnsi="Arial" w:cs="Arial"/>
          <w:sz w:val="21"/>
          <w:lang w:val="en-GB"/>
        </w:rPr>
        <w:t xml:space="preserve">In occasions, the CRPD Committee has mentioned the need to regulate criteria </w:t>
      </w:r>
      <w:r w:rsidR="00C76FA8">
        <w:rPr>
          <w:rFonts w:ascii="Arial" w:hAnsi="Arial" w:cs="Arial"/>
          <w:sz w:val="21"/>
          <w:lang w:val="en-GB"/>
        </w:rPr>
        <w:t>for the provision of reasonable accommodation</w:t>
      </w:r>
      <w:r w:rsidR="00407B4F" w:rsidRPr="00B305D9">
        <w:rPr>
          <w:rFonts w:ascii="Arial" w:hAnsi="Arial" w:cs="Arial"/>
          <w:b/>
          <w:sz w:val="21"/>
          <w:lang w:val="en-GB"/>
        </w:rPr>
        <w:t>.</w:t>
      </w:r>
    </w:p>
    <w:p w:rsidR="00407B4F" w:rsidRDefault="00407B4F" w:rsidP="00C00F6B">
      <w:pPr>
        <w:spacing w:after="0" w:line="240" w:lineRule="auto"/>
        <w:jc w:val="both"/>
        <w:rPr>
          <w:rFonts w:ascii="Arial" w:hAnsi="Arial" w:cs="Arial"/>
          <w:sz w:val="21"/>
          <w:lang w:val="en-GB"/>
        </w:rPr>
      </w:pPr>
    </w:p>
    <w:p w:rsidR="00100853" w:rsidRDefault="00100853" w:rsidP="00C00F6B">
      <w:pPr>
        <w:spacing w:after="0" w:line="240" w:lineRule="auto"/>
        <w:jc w:val="both"/>
        <w:rPr>
          <w:rFonts w:ascii="Arial" w:hAnsi="Arial" w:cs="Arial"/>
          <w:sz w:val="21"/>
          <w:lang w:val="en-GB"/>
        </w:rPr>
      </w:pPr>
      <w:r>
        <w:rPr>
          <w:rFonts w:ascii="Arial" w:hAnsi="Arial" w:cs="Arial"/>
          <w:sz w:val="21"/>
          <w:lang w:val="en-GB"/>
        </w:rPr>
        <w:t>I</w:t>
      </w:r>
      <w:r w:rsidR="00F32CA8">
        <w:rPr>
          <w:rFonts w:ascii="Arial" w:hAnsi="Arial" w:cs="Arial"/>
          <w:sz w:val="21"/>
          <w:lang w:val="en-GB"/>
        </w:rPr>
        <w:t>t is crucial to require States to clearly set out in legislations, regulations and guidance documents the rights and duties of right holders and persons/entities obliged, procedures</w:t>
      </w:r>
      <w:r w:rsidR="008B5DC2">
        <w:rPr>
          <w:rFonts w:ascii="Arial" w:hAnsi="Arial" w:cs="Arial"/>
          <w:sz w:val="21"/>
          <w:lang w:val="en-GB"/>
        </w:rPr>
        <w:t>,</w:t>
      </w:r>
      <w:r w:rsidR="00F32CA8">
        <w:rPr>
          <w:rFonts w:ascii="Arial" w:hAnsi="Arial" w:cs="Arial"/>
          <w:sz w:val="21"/>
          <w:lang w:val="en-GB"/>
        </w:rPr>
        <w:t xml:space="preserve"> time frames</w:t>
      </w:r>
      <w:r w:rsidR="008B5DC2">
        <w:rPr>
          <w:rFonts w:ascii="Arial" w:hAnsi="Arial" w:cs="Arial"/>
          <w:sz w:val="21"/>
          <w:lang w:val="en-GB"/>
        </w:rPr>
        <w:t xml:space="preserve"> when appropriate</w:t>
      </w:r>
      <w:r w:rsidR="00DE35D0">
        <w:rPr>
          <w:rFonts w:ascii="Arial" w:hAnsi="Arial" w:cs="Arial"/>
          <w:sz w:val="21"/>
          <w:lang w:val="en-GB"/>
        </w:rPr>
        <w:t>, and the criteria to assess requests, offers and denials of reasonable accommodation.</w:t>
      </w:r>
    </w:p>
    <w:p w:rsidR="00225089" w:rsidRDefault="00225089" w:rsidP="00C00F6B">
      <w:pPr>
        <w:spacing w:after="0" w:line="240" w:lineRule="auto"/>
        <w:jc w:val="both"/>
        <w:rPr>
          <w:rFonts w:ascii="Arial" w:hAnsi="Arial" w:cs="Arial"/>
          <w:sz w:val="21"/>
          <w:lang w:val="en-GB"/>
        </w:rPr>
      </w:pPr>
      <w:r>
        <w:rPr>
          <w:rFonts w:ascii="Arial" w:hAnsi="Arial" w:cs="Arial"/>
          <w:sz w:val="21"/>
          <w:lang w:val="en-GB"/>
        </w:rPr>
        <w:t>OHCHR has stressed the importance that the proportionality test be objective</w:t>
      </w:r>
      <w:r w:rsidR="00C26C80">
        <w:rPr>
          <w:rFonts w:ascii="Arial" w:hAnsi="Arial" w:cs="Arial"/>
          <w:sz w:val="21"/>
          <w:lang w:val="en-GB"/>
        </w:rPr>
        <w:t xml:space="preserve">, and Human Rights Watch has emphasized that the </w:t>
      </w:r>
      <w:r w:rsidR="00AB77E1">
        <w:rPr>
          <w:rFonts w:ascii="Arial" w:hAnsi="Arial" w:cs="Arial"/>
          <w:sz w:val="21"/>
          <w:lang w:val="en-GB"/>
        </w:rPr>
        <w:t xml:space="preserve">burden </w:t>
      </w:r>
      <w:r w:rsidR="00C26C80">
        <w:rPr>
          <w:rFonts w:ascii="Arial" w:hAnsi="Arial" w:cs="Arial"/>
          <w:sz w:val="21"/>
          <w:lang w:val="en-GB"/>
        </w:rPr>
        <w:t>of the proof when reasonable accommodation is denied lie</w:t>
      </w:r>
      <w:r w:rsidR="00AB77E1">
        <w:rPr>
          <w:rFonts w:ascii="Arial" w:hAnsi="Arial" w:cs="Arial"/>
          <w:sz w:val="21"/>
          <w:lang w:val="en-GB"/>
        </w:rPr>
        <w:t>s</w:t>
      </w:r>
      <w:r w:rsidR="00C26C80">
        <w:rPr>
          <w:rFonts w:ascii="Arial" w:hAnsi="Arial" w:cs="Arial"/>
          <w:sz w:val="21"/>
          <w:lang w:val="en-GB"/>
        </w:rPr>
        <w:t xml:space="preserve"> entirely on the obligated entity</w:t>
      </w:r>
      <w:r w:rsidR="00635CFF">
        <w:rPr>
          <w:rFonts w:ascii="Arial" w:hAnsi="Arial" w:cs="Arial"/>
          <w:sz w:val="21"/>
          <w:lang w:val="en-GB"/>
        </w:rPr>
        <w:t xml:space="preserve"> and be resolved only after all reasonable options have been exhausted.</w:t>
      </w:r>
    </w:p>
    <w:p w:rsidR="00100853" w:rsidRDefault="00100853" w:rsidP="00C00F6B">
      <w:pPr>
        <w:spacing w:after="0" w:line="240" w:lineRule="auto"/>
        <w:jc w:val="both"/>
        <w:rPr>
          <w:rFonts w:ascii="Arial" w:hAnsi="Arial" w:cs="Arial"/>
          <w:sz w:val="21"/>
          <w:lang w:val="en-GB"/>
        </w:rPr>
      </w:pPr>
    </w:p>
    <w:p w:rsidR="000450FB" w:rsidRDefault="00100853" w:rsidP="00C00F6B">
      <w:pPr>
        <w:spacing w:after="0" w:line="240" w:lineRule="auto"/>
        <w:jc w:val="both"/>
        <w:rPr>
          <w:rFonts w:ascii="Arial" w:hAnsi="Arial" w:cs="Arial"/>
          <w:sz w:val="21"/>
          <w:lang w:val="en-GB"/>
        </w:rPr>
      </w:pPr>
      <w:r>
        <w:rPr>
          <w:rFonts w:ascii="Arial" w:hAnsi="Arial" w:cs="Arial"/>
          <w:sz w:val="21"/>
          <w:lang w:val="en-GB"/>
        </w:rPr>
        <w:t xml:space="preserve">In particular, </w:t>
      </w:r>
      <w:r w:rsidR="004A3A56">
        <w:rPr>
          <w:rFonts w:ascii="Arial" w:hAnsi="Arial" w:cs="Arial"/>
          <w:sz w:val="21"/>
          <w:lang w:val="en-GB"/>
        </w:rPr>
        <w:t>IDA would like to highlight</w:t>
      </w:r>
      <w:r>
        <w:rPr>
          <w:rFonts w:ascii="Arial" w:hAnsi="Arial" w:cs="Arial"/>
          <w:sz w:val="21"/>
          <w:lang w:val="en-GB"/>
        </w:rPr>
        <w:t>, firstly,</w:t>
      </w:r>
      <w:r w:rsidR="004A3A56">
        <w:rPr>
          <w:rFonts w:ascii="Arial" w:hAnsi="Arial" w:cs="Arial"/>
          <w:sz w:val="21"/>
          <w:lang w:val="en-GB"/>
        </w:rPr>
        <w:t xml:space="preserve"> that the obligation to provide reasonable accommodation must not be </w:t>
      </w:r>
      <w:r>
        <w:rPr>
          <w:rFonts w:ascii="Arial" w:hAnsi="Arial" w:cs="Arial"/>
          <w:sz w:val="21"/>
          <w:lang w:val="en-GB"/>
        </w:rPr>
        <w:t>assessed in isolation</w:t>
      </w:r>
      <w:r w:rsidR="004A3A56">
        <w:rPr>
          <w:rFonts w:ascii="Arial" w:hAnsi="Arial" w:cs="Arial"/>
          <w:sz w:val="21"/>
          <w:lang w:val="en-GB"/>
        </w:rPr>
        <w:t xml:space="preserve"> from other CRPD related obligations. Therefore, </w:t>
      </w:r>
      <w:r w:rsidR="004A3A56" w:rsidRPr="00100853">
        <w:rPr>
          <w:rFonts w:ascii="Arial" w:hAnsi="Arial" w:cs="Arial"/>
          <w:b/>
          <w:sz w:val="21"/>
          <w:lang w:val="en-GB"/>
        </w:rPr>
        <w:t>the existence of “concurring” or related obligations (e.g. on accessibility or provision of support) should weigh in favour of rejecting the claim of a “disproportionate or undue burden.”</w:t>
      </w:r>
    </w:p>
    <w:p w:rsidR="000450FB" w:rsidRDefault="000450FB" w:rsidP="00C00F6B">
      <w:pPr>
        <w:spacing w:after="0" w:line="240" w:lineRule="auto"/>
        <w:jc w:val="both"/>
        <w:rPr>
          <w:rFonts w:ascii="Arial" w:hAnsi="Arial" w:cs="Arial"/>
          <w:sz w:val="21"/>
          <w:lang w:val="en-GB"/>
        </w:rPr>
      </w:pPr>
    </w:p>
    <w:p w:rsidR="00100853" w:rsidRDefault="00100853" w:rsidP="00C00F6B">
      <w:pPr>
        <w:spacing w:after="0" w:line="240" w:lineRule="auto"/>
        <w:jc w:val="both"/>
        <w:rPr>
          <w:rFonts w:ascii="Arial" w:hAnsi="Arial" w:cs="Arial"/>
          <w:sz w:val="21"/>
          <w:lang w:val="en-GB"/>
        </w:rPr>
      </w:pPr>
      <w:r>
        <w:rPr>
          <w:rFonts w:ascii="Arial" w:hAnsi="Arial" w:cs="Arial"/>
          <w:sz w:val="21"/>
          <w:lang w:val="en-GB"/>
        </w:rPr>
        <w:t xml:space="preserve">Secondly, it is extremely important, regarding both the State as a whole and the private </w:t>
      </w:r>
      <w:r w:rsidR="00D6482D">
        <w:rPr>
          <w:rFonts w:ascii="Arial" w:hAnsi="Arial" w:cs="Arial"/>
          <w:sz w:val="21"/>
          <w:lang w:val="en-GB"/>
        </w:rPr>
        <w:t>sector entities, to note that “o</w:t>
      </w:r>
      <w:r w:rsidRPr="00100853">
        <w:rPr>
          <w:rFonts w:ascii="Arial" w:hAnsi="Arial" w:cs="Arial"/>
          <w:sz w:val="21"/>
          <w:lang w:val="en-GB"/>
        </w:rPr>
        <w:t>verall assets rather than just the resources of a unit or a department within an organizational structure must be considered</w:t>
      </w:r>
      <w:r>
        <w:rPr>
          <w:rFonts w:ascii="Arial" w:hAnsi="Arial" w:cs="Arial"/>
          <w:sz w:val="21"/>
          <w:lang w:val="en-GB"/>
        </w:rPr>
        <w:t>.”</w:t>
      </w:r>
    </w:p>
    <w:p w:rsidR="002E2DCE" w:rsidRDefault="002E2DCE" w:rsidP="00C00F6B">
      <w:pPr>
        <w:spacing w:after="0" w:line="240" w:lineRule="auto"/>
        <w:jc w:val="both"/>
        <w:rPr>
          <w:rFonts w:ascii="Arial" w:hAnsi="Arial" w:cs="Arial"/>
          <w:sz w:val="21"/>
          <w:lang w:val="en-GB"/>
        </w:rPr>
      </w:pPr>
    </w:p>
    <w:p w:rsidR="0091743B" w:rsidRDefault="0060426F" w:rsidP="002E2DCE">
      <w:pPr>
        <w:spacing w:after="0" w:line="240" w:lineRule="auto"/>
        <w:jc w:val="both"/>
        <w:outlineLvl w:val="0"/>
        <w:rPr>
          <w:rFonts w:ascii="Arial" w:hAnsi="Arial" w:cs="Arial"/>
          <w:b/>
          <w:sz w:val="21"/>
          <w:lang w:val="en-GB"/>
        </w:rPr>
      </w:pPr>
      <w:r w:rsidRPr="0060426F">
        <w:rPr>
          <w:rFonts w:ascii="Arial" w:hAnsi="Arial" w:cs="Arial"/>
          <w:b/>
          <w:sz w:val="21"/>
          <w:lang w:val="en-GB"/>
        </w:rPr>
        <w:t xml:space="preserve">d) </w:t>
      </w:r>
      <w:r>
        <w:rPr>
          <w:rFonts w:ascii="Arial" w:hAnsi="Arial" w:cs="Arial"/>
          <w:b/>
          <w:sz w:val="21"/>
          <w:lang w:val="en-GB"/>
        </w:rPr>
        <w:t xml:space="preserve">Distinction from other concepts: </w:t>
      </w:r>
    </w:p>
    <w:p w:rsidR="002E2DCE" w:rsidRDefault="002E2DCE" w:rsidP="002E2DCE">
      <w:pPr>
        <w:spacing w:after="0" w:line="240" w:lineRule="auto"/>
        <w:jc w:val="both"/>
        <w:outlineLvl w:val="0"/>
        <w:rPr>
          <w:rFonts w:ascii="Arial" w:hAnsi="Arial" w:cs="Arial"/>
          <w:b/>
          <w:sz w:val="21"/>
          <w:lang w:val="en-GB"/>
        </w:rPr>
      </w:pPr>
    </w:p>
    <w:p w:rsidR="0060426F" w:rsidRDefault="0060426F" w:rsidP="00C00F6B">
      <w:pPr>
        <w:spacing w:after="0" w:line="240" w:lineRule="auto"/>
        <w:jc w:val="both"/>
        <w:rPr>
          <w:rFonts w:ascii="Arial" w:hAnsi="Arial" w:cs="Arial"/>
          <w:sz w:val="21"/>
          <w:lang w:val="en-GB"/>
        </w:rPr>
      </w:pPr>
      <w:r>
        <w:rPr>
          <w:rFonts w:ascii="Arial" w:hAnsi="Arial" w:cs="Arial"/>
          <w:sz w:val="21"/>
          <w:lang w:val="en-GB"/>
        </w:rPr>
        <w:t xml:space="preserve">As </w:t>
      </w:r>
      <w:r w:rsidR="007472A1">
        <w:rPr>
          <w:rFonts w:ascii="Arial" w:hAnsi="Arial" w:cs="Arial"/>
          <w:sz w:val="21"/>
          <w:lang w:val="en-GB"/>
        </w:rPr>
        <w:t>the Committee has done</w:t>
      </w:r>
      <w:r>
        <w:rPr>
          <w:rFonts w:ascii="Arial" w:hAnsi="Arial" w:cs="Arial"/>
          <w:sz w:val="21"/>
          <w:lang w:val="en-GB"/>
        </w:rPr>
        <w:t xml:space="preserve"> previously, reasonable accommodation should be </w:t>
      </w:r>
      <w:r w:rsidR="00DC61D0">
        <w:rPr>
          <w:rFonts w:ascii="Arial" w:hAnsi="Arial" w:cs="Arial"/>
          <w:sz w:val="21"/>
          <w:lang w:val="en-GB"/>
        </w:rPr>
        <w:t>clearly</w:t>
      </w:r>
      <w:r>
        <w:rPr>
          <w:rFonts w:ascii="Arial" w:hAnsi="Arial" w:cs="Arial"/>
          <w:sz w:val="21"/>
          <w:lang w:val="en-GB"/>
        </w:rPr>
        <w:t xml:space="preserve"> d</w:t>
      </w:r>
      <w:r w:rsidR="00F1588B">
        <w:rPr>
          <w:rFonts w:ascii="Arial" w:hAnsi="Arial" w:cs="Arial"/>
          <w:sz w:val="21"/>
          <w:lang w:val="en-GB"/>
        </w:rPr>
        <w:t xml:space="preserve">istinguished from </w:t>
      </w:r>
      <w:r w:rsidR="00F1588B" w:rsidRPr="00AF6479">
        <w:rPr>
          <w:rFonts w:ascii="Arial" w:hAnsi="Arial" w:cs="Arial"/>
          <w:b/>
          <w:sz w:val="21"/>
          <w:lang w:val="en-GB"/>
        </w:rPr>
        <w:t>accessibility</w:t>
      </w:r>
      <w:r w:rsidR="00C337D6">
        <w:rPr>
          <w:rFonts w:ascii="Arial" w:hAnsi="Arial" w:cs="Arial"/>
          <w:sz w:val="21"/>
          <w:lang w:val="en-GB"/>
        </w:rPr>
        <w:t>, including</w:t>
      </w:r>
      <w:r w:rsidR="00E11232">
        <w:rPr>
          <w:rFonts w:ascii="Arial" w:hAnsi="Arial" w:cs="Arial"/>
          <w:sz w:val="21"/>
          <w:lang w:val="en-GB"/>
        </w:rPr>
        <w:t xml:space="preserve"> explicitly</w:t>
      </w:r>
      <w:r w:rsidR="00C337D6">
        <w:rPr>
          <w:rFonts w:ascii="Arial" w:hAnsi="Arial" w:cs="Arial"/>
          <w:sz w:val="21"/>
          <w:lang w:val="en-GB"/>
        </w:rPr>
        <w:t xml:space="preserve"> in terms of obligations</w:t>
      </w:r>
      <w:r w:rsidR="005A6E37">
        <w:rPr>
          <w:rFonts w:ascii="Arial" w:hAnsi="Arial" w:cs="Arial"/>
          <w:sz w:val="21"/>
          <w:lang w:val="en-GB"/>
        </w:rPr>
        <w:t xml:space="preserve"> (immediate vs progressive)</w:t>
      </w:r>
      <w:r w:rsidR="005A6E37" w:rsidRPr="005A6E37">
        <w:rPr>
          <w:rFonts w:ascii="Arial" w:hAnsi="Arial" w:cs="Arial"/>
          <w:sz w:val="21"/>
          <w:lang w:val="en-GB"/>
        </w:rPr>
        <w:t>.</w:t>
      </w:r>
    </w:p>
    <w:p w:rsidR="00C14A9C" w:rsidRDefault="00C14A9C" w:rsidP="00C00F6B">
      <w:pPr>
        <w:spacing w:after="0" w:line="240" w:lineRule="auto"/>
        <w:jc w:val="both"/>
        <w:rPr>
          <w:rFonts w:ascii="Arial" w:hAnsi="Arial" w:cs="Arial"/>
          <w:sz w:val="21"/>
          <w:lang w:val="en-GB"/>
        </w:rPr>
      </w:pPr>
    </w:p>
    <w:p w:rsidR="00A8416A" w:rsidRDefault="00A8416A" w:rsidP="00C00F6B">
      <w:pPr>
        <w:spacing w:after="0" w:line="240" w:lineRule="auto"/>
        <w:jc w:val="both"/>
        <w:rPr>
          <w:rFonts w:ascii="Arial" w:hAnsi="Arial" w:cs="Arial"/>
          <w:sz w:val="21"/>
          <w:lang w:val="en-GB"/>
        </w:rPr>
      </w:pPr>
      <w:r w:rsidRPr="00D55EA6">
        <w:rPr>
          <w:rFonts w:ascii="Arial" w:hAnsi="Arial" w:cs="Arial"/>
          <w:sz w:val="21"/>
          <w:lang w:val="en-GB"/>
        </w:rPr>
        <w:t xml:space="preserve">Reasonable accommodation also distinguishes from </w:t>
      </w:r>
      <w:r w:rsidRPr="00D55EA6">
        <w:rPr>
          <w:rFonts w:ascii="Arial" w:hAnsi="Arial" w:cs="Arial"/>
          <w:b/>
          <w:sz w:val="21"/>
          <w:lang w:val="en-GB"/>
        </w:rPr>
        <w:t>“specific measures” (CRPD Article 5.4), which includes but is not limited to “affirmative actions</w:t>
      </w:r>
      <w:r w:rsidR="00C05730" w:rsidRPr="00D55EA6">
        <w:rPr>
          <w:rFonts w:ascii="Arial" w:hAnsi="Arial" w:cs="Arial"/>
          <w:b/>
          <w:sz w:val="21"/>
          <w:lang w:val="en-GB"/>
        </w:rPr>
        <w:t>.</w:t>
      </w:r>
      <w:r w:rsidRPr="00D55EA6">
        <w:rPr>
          <w:rFonts w:ascii="Arial" w:hAnsi="Arial" w:cs="Arial"/>
          <w:b/>
          <w:sz w:val="21"/>
          <w:lang w:val="en-GB"/>
        </w:rPr>
        <w:t>”</w:t>
      </w:r>
      <w:r w:rsidR="007D5723" w:rsidRPr="00D55EA6">
        <w:rPr>
          <w:rFonts w:ascii="Arial" w:hAnsi="Arial" w:cs="Arial"/>
          <w:sz w:val="21"/>
          <w:lang w:val="en-GB"/>
        </w:rPr>
        <w:t>.</w:t>
      </w:r>
    </w:p>
    <w:p w:rsidR="000B0CA7" w:rsidRDefault="000B0CA7" w:rsidP="00920570">
      <w:pPr>
        <w:spacing w:after="0" w:line="240" w:lineRule="auto"/>
        <w:jc w:val="both"/>
        <w:rPr>
          <w:rFonts w:ascii="Arial" w:hAnsi="Arial" w:cs="Arial"/>
          <w:sz w:val="21"/>
          <w:lang w:val="en-GB"/>
        </w:rPr>
      </w:pPr>
    </w:p>
    <w:p w:rsidR="000B0CA7" w:rsidRDefault="000B0CA7" w:rsidP="00920570">
      <w:pPr>
        <w:spacing w:after="0" w:line="240" w:lineRule="auto"/>
        <w:jc w:val="both"/>
        <w:rPr>
          <w:rFonts w:ascii="Arial" w:hAnsi="Arial" w:cs="Arial"/>
          <w:sz w:val="21"/>
          <w:lang w:val="en-GB"/>
        </w:rPr>
      </w:pPr>
      <w:r>
        <w:rPr>
          <w:rFonts w:ascii="Arial" w:hAnsi="Arial" w:cs="Arial"/>
          <w:sz w:val="21"/>
          <w:lang w:val="en-GB"/>
        </w:rPr>
        <w:t xml:space="preserve">Thirdly, </w:t>
      </w:r>
      <w:r w:rsidRPr="0013638C">
        <w:rPr>
          <w:rFonts w:ascii="Arial" w:hAnsi="Arial" w:cs="Arial"/>
          <w:b/>
          <w:sz w:val="21"/>
          <w:lang w:val="en-GB"/>
        </w:rPr>
        <w:t>in the context of Article 13</w:t>
      </w:r>
      <w:r>
        <w:rPr>
          <w:rFonts w:ascii="Arial" w:hAnsi="Arial" w:cs="Arial"/>
          <w:sz w:val="21"/>
          <w:lang w:val="en-GB"/>
        </w:rPr>
        <w:t xml:space="preserve"> (access to justice), the CRPD refers to “procedural accommodations”. CRPD negotiations show that the adjective “reasonable” was deliberately </w:t>
      </w:r>
      <w:r w:rsidR="0013638C">
        <w:rPr>
          <w:rFonts w:ascii="Arial" w:hAnsi="Arial" w:cs="Arial"/>
          <w:sz w:val="21"/>
          <w:lang w:val="en-GB"/>
        </w:rPr>
        <w:t>left aside</w:t>
      </w:r>
      <w:r>
        <w:rPr>
          <w:rFonts w:ascii="Arial" w:hAnsi="Arial" w:cs="Arial"/>
          <w:sz w:val="21"/>
          <w:lang w:val="en-GB"/>
        </w:rPr>
        <w:t>.</w:t>
      </w:r>
      <w:r w:rsidR="0013638C">
        <w:rPr>
          <w:rFonts w:ascii="Arial" w:hAnsi="Arial" w:cs="Arial"/>
          <w:sz w:val="21"/>
          <w:lang w:val="en-GB"/>
        </w:rPr>
        <w:t xml:space="preserve"> As noted by OHCHR, procedural accommodations “</w:t>
      </w:r>
      <w:r w:rsidR="0013638C" w:rsidRPr="0013638C">
        <w:rPr>
          <w:rFonts w:ascii="Arial" w:hAnsi="Arial" w:cs="Arial"/>
          <w:sz w:val="21"/>
          <w:lang w:val="en-GB"/>
        </w:rPr>
        <w:t>are</w:t>
      </w:r>
      <w:r w:rsidR="0013638C">
        <w:rPr>
          <w:rFonts w:ascii="Arial" w:hAnsi="Arial" w:cs="Arial"/>
          <w:sz w:val="21"/>
          <w:lang w:val="en-GB"/>
        </w:rPr>
        <w:t xml:space="preserve"> not limited by the concept of ‘</w:t>
      </w:r>
      <w:r w:rsidR="0013638C" w:rsidRPr="0013638C">
        <w:rPr>
          <w:rFonts w:ascii="Arial" w:hAnsi="Arial" w:cs="Arial"/>
          <w:sz w:val="21"/>
          <w:lang w:val="en-GB"/>
        </w:rPr>
        <w:t>d</w:t>
      </w:r>
      <w:r w:rsidR="0013638C">
        <w:rPr>
          <w:rFonts w:ascii="Arial" w:hAnsi="Arial" w:cs="Arial"/>
          <w:sz w:val="21"/>
          <w:lang w:val="en-GB"/>
        </w:rPr>
        <w:t>isproportionate or undue burden’,” key distinction as “</w:t>
      </w:r>
      <w:r w:rsidR="0013638C" w:rsidRPr="00920570">
        <w:rPr>
          <w:rFonts w:ascii="Arial" w:hAnsi="Arial" w:cs="Arial"/>
          <w:sz w:val="21"/>
          <w:lang w:val="en-GB"/>
        </w:rPr>
        <w:t>the right of access to justice acts as the guarant</w:t>
      </w:r>
      <w:r w:rsidR="006532C2">
        <w:rPr>
          <w:rFonts w:ascii="Arial" w:hAnsi="Arial" w:cs="Arial"/>
          <w:sz w:val="21"/>
          <w:lang w:val="en-GB"/>
        </w:rPr>
        <w:t xml:space="preserve"> </w:t>
      </w:r>
      <w:r w:rsidR="0013638C" w:rsidRPr="00920570">
        <w:rPr>
          <w:rFonts w:ascii="Arial" w:hAnsi="Arial" w:cs="Arial"/>
          <w:sz w:val="21"/>
          <w:lang w:val="en-GB"/>
        </w:rPr>
        <w:t>or for the effective enjoyment and exercise of all rights</w:t>
      </w:r>
      <w:r w:rsidR="0013638C">
        <w:rPr>
          <w:rFonts w:ascii="Arial" w:hAnsi="Arial" w:cs="Arial"/>
          <w:sz w:val="21"/>
          <w:lang w:val="en-GB"/>
        </w:rPr>
        <w:t xml:space="preserve">.” Consequently, as anticipated in section 4, denial of “procedural accommodation” must be considered an specific form of discrimination in the context of access to justice, which could lead to denial of justice, lack of effective remedies and overall lack of protection of rights.  </w:t>
      </w:r>
    </w:p>
    <w:p w:rsidR="0013638C" w:rsidRDefault="0013638C" w:rsidP="00920570">
      <w:pPr>
        <w:spacing w:after="0" w:line="240" w:lineRule="auto"/>
        <w:jc w:val="both"/>
        <w:rPr>
          <w:rFonts w:ascii="Arial" w:hAnsi="Arial" w:cs="Arial"/>
          <w:sz w:val="21"/>
          <w:lang w:val="en-GB"/>
        </w:rPr>
      </w:pPr>
    </w:p>
    <w:p w:rsidR="00920570" w:rsidRDefault="00863A52" w:rsidP="00920570">
      <w:pPr>
        <w:spacing w:after="0" w:line="240" w:lineRule="auto"/>
        <w:jc w:val="both"/>
        <w:rPr>
          <w:rFonts w:ascii="Arial" w:hAnsi="Arial" w:cs="Arial"/>
          <w:sz w:val="21"/>
          <w:lang w:val="en-GB"/>
        </w:rPr>
      </w:pPr>
      <w:r>
        <w:rPr>
          <w:rFonts w:ascii="Arial" w:hAnsi="Arial" w:cs="Arial"/>
          <w:sz w:val="21"/>
          <w:lang w:val="en-GB"/>
        </w:rPr>
        <w:t>Fourthly, IDA encourages the Committee to adopt the criteria by OHCHR on the interaction between reasonable accommodation and support measures in the exercise of rights (e.g. Articles 12, 19 and 24), which is indeed analogous to that adopted by the CRPD Committee in connection to accessibility: “</w:t>
      </w:r>
      <w:r w:rsidR="00920570" w:rsidRPr="00920570">
        <w:rPr>
          <w:rFonts w:ascii="Arial" w:hAnsi="Arial" w:cs="Arial"/>
          <w:sz w:val="21"/>
          <w:lang w:val="en-GB"/>
        </w:rPr>
        <w:t>As supp</w:t>
      </w:r>
      <w:r w:rsidR="00920570">
        <w:rPr>
          <w:rFonts w:ascii="Arial" w:hAnsi="Arial" w:cs="Arial"/>
          <w:sz w:val="21"/>
          <w:lang w:val="en-GB"/>
        </w:rPr>
        <w:t xml:space="preserve">ort systems or </w:t>
      </w:r>
      <w:r w:rsidR="00920570" w:rsidRPr="00920570">
        <w:rPr>
          <w:rFonts w:ascii="Arial" w:hAnsi="Arial" w:cs="Arial"/>
          <w:sz w:val="21"/>
          <w:lang w:val="en-GB"/>
        </w:rPr>
        <w:t xml:space="preserve">services may not yet be developed, </w:t>
      </w:r>
      <w:r w:rsidR="00920570" w:rsidRPr="00863A52">
        <w:rPr>
          <w:rFonts w:ascii="Arial" w:hAnsi="Arial" w:cs="Arial"/>
          <w:b/>
          <w:sz w:val="21"/>
          <w:lang w:val="en-GB"/>
        </w:rPr>
        <w:t>reasonable accommodation may function as a means of providing support in a particular case</w:t>
      </w:r>
      <w:r w:rsidR="00920570" w:rsidRPr="00920570">
        <w:rPr>
          <w:rFonts w:ascii="Arial" w:hAnsi="Arial" w:cs="Arial"/>
          <w:sz w:val="21"/>
          <w:lang w:val="en-GB"/>
        </w:rPr>
        <w:t>.</w:t>
      </w:r>
      <w:r>
        <w:rPr>
          <w:rFonts w:ascii="Arial" w:hAnsi="Arial" w:cs="Arial"/>
          <w:sz w:val="21"/>
          <w:lang w:val="en-GB"/>
        </w:rPr>
        <w:t>”</w:t>
      </w:r>
    </w:p>
    <w:p w:rsidR="002E2DCE" w:rsidRPr="006D011B" w:rsidRDefault="002E2DCE" w:rsidP="00C00F6B">
      <w:pPr>
        <w:spacing w:after="0" w:line="240" w:lineRule="auto"/>
        <w:jc w:val="both"/>
        <w:rPr>
          <w:rFonts w:ascii="Arial" w:hAnsi="Arial" w:cs="Arial"/>
          <w:b/>
          <w:sz w:val="21"/>
          <w:lang w:val="en-GB"/>
        </w:rPr>
      </w:pPr>
    </w:p>
    <w:p w:rsidR="0034545E" w:rsidRDefault="00203DE0" w:rsidP="002E2DCE">
      <w:pPr>
        <w:pStyle w:val="Prrafodelista"/>
        <w:spacing w:after="0" w:line="240" w:lineRule="auto"/>
        <w:ind w:left="0"/>
        <w:jc w:val="both"/>
        <w:outlineLvl w:val="0"/>
        <w:rPr>
          <w:rFonts w:ascii="Arial" w:hAnsi="Arial" w:cs="Arial"/>
          <w:b/>
          <w:sz w:val="21"/>
          <w:lang w:val="en-GB"/>
        </w:rPr>
      </w:pPr>
      <w:r>
        <w:rPr>
          <w:rFonts w:ascii="Arial" w:hAnsi="Arial" w:cs="Arial"/>
          <w:b/>
          <w:sz w:val="21"/>
          <w:lang w:val="en-GB"/>
        </w:rPr>
        <w:t>e) R</w:t>
      </w:r>
      <w:r w:rsidR="0034545E">
        <w:rPr>
          <w:rFonts w:ascii="Arial" w:hAnsi="Arial" w:cs="Arial"/>
          <w:b/>
          <w:sz w:val="21"/>
          <w:lang w:val="en-GB"/>
        </w:rPr>
        <w:t xml:space="preserve">easonable accommodation </w:t>
      </w:r>
      <w:r>
        <w:rPr>
          <w:rFonts w:ascii="Arial" w:hAnsi="Arial" w:cs="Arial"/>
          <w:b/>
          <w:sz w:val="21"/>
          <w:lang w:val="en-GB"/>
        </w:rPr>
        <w:t>by association</w:t>
      </w:r>
    </w:p>
    <w:p w:rsidR="002E2DCE" w:rsidRDefault="002E2DCE" w:rsidP="00C00F6B">
      <w:pPr>
        <w:pStyle w:val="Prrafodelista"/>
        <w:spacing w:after="0" w:line="240" w:lineRule="auto"/>
        <w:ind w:left="0"/>
        <w:jc w:val="both"/>
        <w:rPr>
          <w:rFonts w:ascii="Arial" w:hAnsi="Arial" w:cs="Arial"/>
          <w:sz w:val="21"/>
          <w:lang w:val="en-GB"/>
        </w:rPr>
      </w:pPr>
    </w:p>
    <w:p w:rsidR="00F1588B" w:rsidRDefault="008B5DC2" w:rsidP="00C00F6B">
      <w:pPr>
        <w:pStyle w:val="Prrafodelista"/>
        <w:spacing w:after="0" w:line="240" w:lineRule="auto"/>
        <w:ind w:left="0"/>
        <w:jc w:val="both"/>
        <w:rPr>
          <w:rFonts w:ascii="Arial" w:hAnsi="Arial" w:cs="Arial"/>
          <w:sz w:val="21"/>
          <w:lang w:val="en-GB"/>
        </w:rPr>
      </w:pPr>
      <w:r>
        <w:rPr>
          <w:rFonts w:ascii="Arial" w:hAnsi="Arial" w:cs="Arial"/>
          <w:sz w:val="21"/>
          <w:lang w:val="en-GB"/>
        </w:rPr>
        <w:t>D</w:t>
      </w:r>
      <w:r w:rsidR="00203DE0">
        <w:rPr>
          <w:rFonts w:ascii="Arial" w:hAnsi="Arial" w:cs="Arial"/>
          <w:sz w:val="21"/>
          <w:lang w:val="en-GB"/>
        </w:rPr>
        <w:t xml:space="preserve">iscrimination by denial of reasonable accommodation to persons with disabilities and discrimination by association to persons with disabilities </w:t>
      </w:r>
      <w:r>
        <w:rPr>
          <w:rFonts w:ascii="Arial" w:hAnsi="Arial" w:cs="Arial"/>
          <w:sz w:val="21"/>
          <w:lang w:val="en-GB"/>
        </w:rPr>
        <w:t>lead to</w:t>
      </w:r>
      <w:r w:rsidR="00203DE0">
        <w:rPr>
          <w:rFonts w:ascii="Arial" w:hAnsi="Arial" w:cs="Arial"/>
          <w:sz w:val="21"/>
          <w:lang w:val="en-GB"/>
        </w:rPr>
        <w:t xml:space="preserve"> the issue of whether associates of persons with disabilities</w:t>
      </w:r>
      <w:r w:rsidR="00831807">
        <w:rPr>
          <w:rFonts w:ascii="Arial" w:hAnsi="Arial" w:cs="Arial"/>
          <w:sz w:val="21"/>
          <w:lang w:val="en-GB"/>
        </w:rPr>
        <w:t xml:space="preserve"> (e.g. parents)</w:t>
      </w:r>
      <w:r w:rsidR="00203DE0">
        <w:rPr>
          <w:rFonts w:ascii="Arial" w:hAnsi="Arial" w:cs="Arial"/>
          <w:sz w:val="21"/>
          <w:lang w:val="en-GB"/>
        </w:rPr>
        <w:t xml:space="preserve"> are entitled to reasonable accommodation</w:t>
      </w:r>
      <w:r w:rsidR="000450FB">
        <w:rPr>
          <w:rFonts w:ascii="Arial" w:hAnsi="Arial" w:cs="Arial"/>
          <w:sz w:val="21"/>
          <w:lang w:val="en-GB"/>
        </w:rPr>
        <w:t xml:space="preserve"> in the exercise of their own rights</w:t>
      </w:r>
      <w:r w:rsidR="00617240">
        <w:rPr>
          <w:rFonts w:ascii="Arial" w:hAnsi="Arial" w:cs="Arial"/>
          <w:sz w:val="21"/>
          <w:lang w:val="en-GB"/>
        </w:rPr>
        <w:t xml:space="preserve"> and </w:t>
      </w:r>
      <w:r>
        <w:rPr>
          <w:rFonts w:ascii="Arial" w:hAnsi="Arial" w:cs="Arial"/>
          <w:sz w:val="21"/>
          <w:lang w:val="en-GB"/>
        </w:rPr>
        <w:t>why</w:t>
      </w:r>
      <w:r w:rsidR="00617240">
        <w:rPr>
          <w:rFonts w:ascii="Arial" w:hAnsi="Arial" w:cs="Arial"/>
          <w:sz w:val="21"/>
          <w:lang w:val="en-GB"/>
        </w:rPr>
        <w:t>.</w:t>
      </w:r>
      <w:r w:rsidR="0060373B">
        <w:rPr>
          <w:rFonts w:ascii="Arial" w:hAnsi="Arial" w:cs="Arial"/>
          <w:sz w:val="21"/>
          <w:lang w:val="en-GB"/>
        </w:rPr>
        <w:t xml:space="preserve"> The Committee</w:t>
      </w:r>
      <w:r>
        <w:rPr>
          <w:rFonts w:ascii="Arial" w:hAnsi="Arial" w:cs="Arial"/>
          <w:sz w:val="21"/>
          <w:lang w:val="en-GB"/>
        </w:rPr>
        <w:t>address</w:t>
      </w:r>
      <w:r w:rsidR="000450FB">
        <w:rPr>
          <w:rFonts w:ascii="Arial" w:hAnsi="Arial" w:cs="Arial"/>
          <w:sz w:val="21"/>
          <w:lang w:val="en-GB"/>
        </w:rPr>
        <w:t>ed</w:t>
      </w:r>
      <w:r w:rsidR="0060373B">
        <w:rPr>
          <w:rFonts w:ascii="Arial" w:hAnsi="Arial" w:cs="Arial"/>
          <w:sz w:val="21"/>
          <w:lang w:val="en-GB"/>
        </w:rPr>
        <w:t xml:space="preserve"> this issue recommending </w:t>
      </w:r>
      <w:r w:rsidR="00F1588B">
        <w:rPr>
          <w:rFonts w:ascii="Arial" w:hAnsi="Arial" w:cs="Arial"/>
          <w:sz w:val="21"/>
          <w:lang w:val="en-GB"/>
        </w:rPr>
        <w:t xml:space="preserve">the </w:t>
      </w:r>
      <w:r w:rsidR="0060373B" w:rsidRPr="0060373B">
        <w:rPr>
          <w:rFonts w:ascii="Arial" w:hAnsi="Arial" w:cs="Arial"/>
          <w:sz w:val="21"/>
          <w:lang w:val="en-GB"/>
        </w:rPr>
        <w:t xml:space="preserve">European Union </w:t>
      </w:r>
      <w:r w:rsidR="00F1588B">
        <w:rPr>
          <w:rFonts w:ascii="Arial" w:hAnsi="Arial" w:cs="Arial"/>
          <w:sz w:val="21"/>
          <w:lang w:val="en-GB"/>
        </w:rPr>
        <w:t>“</w:t>
      </w:r>
      <w:r w:rsidR="0060373B" w:rsidRPr="0060373B">
        <w:rPr>
          <w:rFonts w:ascii="Arial" w:hAnsi="Arial" w:cs="Arial"/>
          <w:sz w:val="21"/>
          <w:lang w:val="en-GB"/>
        </w:rPr>
        <w:t xml:space="preserve">to ensure that all </w:t>
      </w:r>
      <w:r w:rsidR="0060373B" w:rsidRPr="0060373B">
        <w:rPr>
          <w:rFonts w:ascii="Arial" w:hAnsi="Arial" w:cs="Arial"/>
          <w:b/>
          <w:sz w:val="21"/>
          <w:lang w:val="en-GB"/>
        </w:rPr>
        <w:t>employees</w:t>
      </w:r>
      <w:r w:rsidR="0060373B" w:rsidRPr="0060373B">
        <w:rPr>
          <w:rFonts w:ascii="Arial" w:hAnsi="Arial" w:cs="Arial"/>
          <w:sz w:val="21"/>
          <w:lang w:val="en-GB"/>
        </w:rPr>
        <w:t xml:space="preserve"> of the European Union </w:t>
      </w:r>
      <w:r w:rsidR="0060373B" w:rsidRPr="0060373B">
        <w:rPr>
          <w:rFonts w:ascii="Arial" w:hAnsi="Arial" w:cs="Arial"/>
          <w:b/>
          <w:sz w:val="21"/>
          <w:lang w:val="en-GB"/>
        </w:rPr>
        <w:t>who</w:t>
      </w:r>
      <w:r w:rsidR="0060373B" w:rsidRPr="0060373B">
        <w:rPr>
          <w:rFonts w:ascii="Arial" w:hAnsi="Arial" w:cs="Arial"/>
          <w:sz w:val="21"/>
          <w:lang w:val="en-GB"/>
        </w:rPr>
        <w:t xml:space="preserve"> are persons with disabilities, or </w:t>
      </w:r>
      <w:r w:rsidR="0060373B" w:rsidRPr="0060373B">
        <w:rPr>
          <w:rFonts w:ascii="Arial" w:hAnsi="Arial" w:cs="Arial"/>
          <w:b/>
          <w:sz w:val="21"/>
          <w:lang w:val="en-GB"/>
        </w:rPr>
        <w:t>have family members with disabilities</w:t>
      </w:r>
      <w:r w:rsidR="0060373B" w:rsidRPr="0060373B">
        <w:rPr>
          <w:rFonts w:ascii="Arial" w:hAnsi="Arial" w:cs="Arial"/>
          <w:sz w:val="21"/>
          <w:lang w:val="en-GB"/>
        </w:rPr>
        <w:t xml:space="preserve">, receive the reasonable accommodation they need to enjoy </w:t>
      </w:r>
      <w:r w:rsidR="0060373B" w:rsidRPr="00F1588B">
        <w:rPr>
          <w:rFonts w:ascii="Arial" w:hAnsi="Arial" w:cs="Arial"/>
          <w:b/>
          <w:sz w:val="21"/>
          <w:lang w:val="en-GB"/>
        </w:rPr>
        <w:t>their rights from the labour</w:t>
      </w:r>
      <w:r w:rsidR="0060373B" w:rsidRPr="0060373B">
        <w:rPr>
          <w:rFonts w:ascii="Arial" w:hAnsi="Arial" w:cs="Arial"/>
          <w:sz w:val="21"/>
          <w:lang w:val="en-GB"/>
        </w:rPr>
        <w:t xml:space="preserve"> and related relationships on an equal basis with others</w:t>
      </w:r>
      <w:r w:rsidR="0060373B">
        <w:rPr>
          <w:rFonts w:ascii="Arial" w:hAnsi="Arial" w:cs="Arial"/>
          <w:sz w:val="21"/>
          <w:lang w:val="en-GB"/>
        </w:rPr>
        <w:t>.</w:t>
      </w:r>
      <w:r w:rsidR="008205C1">
        <w:rPr>
          <w:rFonts w:ascii="Arial" w:hAnsi="Arial" w:cs="Arial"/>
          <w:sz w:val="21"/>
          <w:lang w:val="en-GB"/>
        </w:rPr>
        <w:t>”</w:t>
      </w:r>
    </w:p>
    <w:p w:rsidR="00F1588B" w:rsidRDefault="00F1588B" w:rsidP="00C00F6B">
      <w:pPr>
        <w:pStyle w:val="Prrafodelista"/>
        <w:spacing w:after="0" w:line="240" w:lineRule="auto"/>
        <w:ind w:left="0"/>
        <w:jc w:val="both"/>
        <w:rPr>
          <w:rFonts w:ascii="Arial" w:hAnsi="Arial" w:cs="Arial"/>
          <w:sz w:val="21"/>
          <w:lang w:val="en-GB"/>
        </w:rPr>
      </w:pPr>
    </w:p>
    <w:p w:rsidR="00203DE0" w:rsidRPr="00203DE0" w:rsidRDefault="00831807" w:rsidP="00C00F6B">
      <w:pPr>
        <w:pStyle w:val="Prrafodelista"/>
        <w:spacing w:after="0" w:line="240" w:lineRule="auto"/>
        <w:ind w:left="0"/>
        <w:jc w:val="both"/>
        <w:rPr>
          <w:rFonts w:ascii="Arial" w:hAnsi="Arial" w:cs="Arial"/>
          <w:sz w:val="21"/>
          <w:lang w:val="en-GB"/>
        </w:rPr>
      </w:pPr>
      <w:r>
        <w:rPr>
          <w:rFonts w:ascii="Arial" w:hAnsi="Arial" w:cs="Arial"/>
          <w:sz w:val="21"/>
          <w:lang w:val="en-GB"/>
        </w:rPr>
        <w:t xml:space="preserve">IDA believes that </w:t>
      </w:r>
      <w:r w:rsidR="00B2092A">
        <w:rPr>
          <w:rFonts w:ascii="Arial" w:hAnsi="Arial" w:cs="Arial"/>
          <w:sz w:val="21"/>
          <w:lang w:val="en-GB"/>
        </w:rPr>
        <w:t>the Committee should elaborate o</w:t>
      </w:r>
      <w:r>
        <w:rPr>
          <w:rFonts w:ascii="Arial" w:hAnsi="Arial" w:cs="Arial"/>
          <w:sz w:val="21"/>
          <w:lang w:val="en-GB"/>
        </w:rPr>
        <w:t>n this issue in order to ensure that associates to persons with disabilities are</w:t>
      </w:r>
      <w:r w:rsidR="00F01A5A">
        <w:rPr>
          <w:rFonts w:ascii="Arial" w:hAnsi="Arial" w:cs="Arial"/>
          <w:sz w:val="21"/>
          <w:lang w:val="en-GB"/>
        </w:rPr>
        <w:t xml:space="preserve"> provided reasonable</w:t>
      </w:r>
      <w:r w:rsidR="00666DAE">
        <w:rPr>
          <w:rFonts w:ascii="Arial" w:hAnsi="Arial" w:cs="Arial"/>
          <w:sz w:val="21"/>
          <w:lang w:val="en-GB"/>
        </w:rPr>
        <w:t xml:space="preserve"> </w:t>
      </w:r>
      <w:r w:rsidR="00F01A5A">
        <w:rPr>
          <w:rFonts w:ascii="Arial" w:hAnsi="Arial" w:cs="Arial"/>
          <w:sz w:val="21"/>
          <w:lang w:val="en-GB"/>
        </w:rPr>
        <w:t>accommodation in the</w:t>
      </w:r>
      <w:r w:rsidR="00666DAE">
        <w:rPr>
          <w:rFonts w:ascii="Arial" w:hAnsi="Arial" w:cs="Arial"/>
          <w:sz w:val="21"/>
          <w:lang w:val="en-GB"/>
        </w:rPr>
        <w:t xml:space="preserve"> </w:t>
      </w:r>
      <w:r w:rsidR="00F01A5A">
        <w:rPr>
          <w:rFonts w:ascii="Arial" w:hAnsi="Arial" w:cs="Arial"/>
          <w:sz w:val="21"/>
          <w:lang w:val="en-GB"/>
        </w:rPr>
        <w:t>exercise of</w:t>
      </w:r>
      <w:r>
        <w:rPr>
          <w:rFonts w:ascii="Arial" w:hAnsi="Arial" w:cs="Arial"/>
          <w:sz w:val="21"/>
          <w:lang w:val="en-GB"/>
        </w:rPr>
        <w:t xml:space="preserve"> their rights </w:t>
      </w:r>
      <w:r w:rsidR="006A6A23">
        <w:rPr>
          <w:rFonts w:ascii="Arial" w:hAnsi="Arial" w:cs="Arial"/>
          <w:sz w:val="21"/>
          <w:lang w:val="en-GB"/>
        </w:rPr>
        <w:t xml:space="preserve">when </w:t>
      </w:r>
      <w:r w:rsidR="001B1534">
        <w:rPr>
          <w:rFonts w:ascii="Arial" w:hAnsi="Arial" w:cs="Arial"/>
          <w:sz w:val="21"/>
          <w:lang w:val="en-GB"/>
        </w:rPr>
        <w:t>necessary</w:t>
      </w:r>
      <w:r w:rsidR="00666DAE">
        <w:rPr>
          <w:rFonts w:ascii="Arial" w:hAnsi="Arial" w:cs="Arial"/>
          <w:sz w:val="21"/>
          <w:lang w:val="en-GB"/>
        </w:rPr>
        <w:t xml:space="preserve"> </w:t>
      </w:r>
      <w:r w:rsidR="001B1534">
        <w:rPr>
          <w:rFonts w:ascii="Arial" w:hAnsi="Arial" w:cs="Arial"/>
          <w:sz w:val="21"/>
          <w:lang w:val="en-GB"/>
        </w:rPr>
        <w:t xml:space="preserve">to ensure any </w:t>
      </w:r>
      <w:r>
        <w:rPr>
          <w:rFonts w:ascii="Arial" w:hAnsi="Arial" w:cs="Arial"/>
          <w:sz w:val="21"/>
          <w:lang w:val="en-GB"/>
        </w:rPr>
        <w:t>right of</w:t>
      </w:r>
      <w:r w:rsidR="001B1534">
        <w:rPr>
          <w:rFonts w:ascii="Arial" w:hAnsi="Arial" w:cs="Arial"/>
          <w:sz w:val="21"/>
          <w:lang w:val="en-GB"/>
        </w:rPr>
        <w:t xml:space="preserve"> a</w:t>
      </w:r>
      <w:r>
        <w:rPr>
          <w:rFonts w:ascii="Arial" w:hAnsi="Arial" w:cs="Arial"/>
          <w:sz w:val="21"/>
          <w:lang w:val="en-GB"/>
        </w:rPr>
        <w:t xml:space="preserve"> person with </w:t>
      </w:r>
      <w:r w:rsidR="001B1534">
        <w:rPr>
          <w:rFonts w:ascii="Arial" w:hAnsi="Arial" w:cs="Arial"/>
          <w:sz w:val="21"/>
          <w:lang w:val="en-GB"/>
        </w:rPr>
        <w:t xml:space="preserve">disability, in the particular case </w:t>
      </w:r>
      <w:r>
        <w:rPr>
          <w:rFonts w:ascii="Arial" w:hAnsi="Arial" w:cs="Arial"/>
          <w:sz w:val="21"/>
          <w:lang w:val="en-GB"/>
        </w:rPr>
        <w:t>(e.g. employment schedule accommodation for parents of children with disabilities</w:t>
      </w:r>
      <w:r w:rsidR="00041FB2">
        <w:rPr>
          <w:rFonts w:ascii="Arial" w:hAnsi="Arial" w:cs="Arial"/>
          <w:sz w:val="21"/>
          <w:lang w:val="en-GB"/>
        </w:rPr>
        <w:t xml:space="preserve"> when necessary to</w:t>
      </w:r>
      <w:r w:rsidR="00666DAE">
        <w:rPr>
          <w:rFonts w:ascii="Arial" w:hAnsi="Arial" w:cs="Arial"/>
          <w:sz w:val="21"/>
          <w:lang w:val="en-GB"/>
        </w:rPr>
        <w:t xml:space="preserve"> </w:t>
      </w:r>
      <w:r w:rsidR="00041FB2">
        <w:rPr>
          <w:rFonts w:ascii="Arial" w:hAnsi="Arial" w:cs="Arial"/>
          <w:sz w:val="21"/>
          <w:lang w:val="en-GB"/>
        </w:rPr>
        <w:t xml:space="preserve">ensure that </w:t>
      </w:r>
      <w:r>
        <w:rPr>
          <w:rFonts w:ascii="Arial" w:hAnsi="Arial" w:cs="Arial"/>
          <w:sz w:val="21"/>
          <w:lang w:val="en-GB"/>
        </w:rPr>
        <w:t>the latter count with support</w:t>
      </w:r>
      <w:r w:rsidR="000450FB">
        <w:rPr>
          <w:rFonts w:ascii="Arial" w:hAnsi="Arial" w:cs="Arial"/>
          <w:sz w:val="21"/>
          <w:lang w:val="en-GB"/>
        </w:rPr>
        <w:t xml:space="preserve"> if no other option is made available</w:t>
      </w:r>
      <w:r w:rsidR="00041FB2">
        <w:rPr>
          <w:rFonts w:ascii="Arial" w:hAnsi="Arial" w:cs="Arial"/>
          <w:sz w:val="21"/>
          <w:lang w:val="en-GB"/>
        </w:rPr>
        <w:t xml:space="preserve"> by the State</w:t>
      </w:r>
      <w:r w:rsidR="000450FB">
        <w:rPr>
          <w:rFonts w:ascii="Arial" w:hAnsi="Arial" w:cs="Arial"/>
          <w:sz w:val="21"/>
          <w:lang w:val="en-GB"/>
        </w:rPr>
        <w:t xml:space="preserve"> for the time being</w:t>
      </w:r>
      <w:r>
        <w:rPr>
          <w:rFonts w:ascii="Arial" w:hAnsi="Arial" w:cs="Arial"/>
          <w:sz w:val="21"/>
          <w:lang w:val="en-GB"/>
        </w:rPr>
        <w:t xml:space="preserve">).   </w:t>
      </w:r>
    </w:p>
    <w:p w:rsidR="00863A52" w:rsidRDefault="00863A52" w:rsidP="00C00F6B">
      <w:pPr>
        <w:spacing w:after="0" w:line="240" w:lineRule="auto"/>
        <w:jc w:val="both"/>
        <w:rPr>
          <w:rFonts w:ascii="Arial" w:hAnsi="Arial" w:cs="Arial"/>
          <w:b/>
          <w:sz w:val="21"/>
          <w:lang w:val="en-GB"/>
        </w:rPr>
      </w:pPr>
    </w:p>
    <w:p w:rsidR="002E2DCE" w:rsidRDefault="002E2DCE" w:rsidP="00C00F6B">
      <w:pPr>
        <w:spacing w:after="0" w:line="240" w:lineRule="auto"/>
        <w:jc w:val="both"/>
        <w:rPr>
          <w:rFonts w:ascii="Arial" w:hAnsi="Arial" w:cs="Arial"/>
          <w:b/>
          <w:sz w:val="21"/>
          <w:lang w:val="en-GB"/>
        </w:rPr>
      </w:pPr>
    </w:p>
    <w:p w:rsidR="00FE3AC1" w:rsidRDefault="002E2DCE" w:rsidP="002E2DCE">
      <w:pPr>
        <w:spacing w:after="0" w:line="240" w:lineRule="auto"/>
        <w:outlineLvl w:val="0"/>
        <w:rPr>
          <w:rFonts w:ascii="Arial" w:hAnsi="Arial" w:cs="Arial"/>
          <w:b/>
          <w:sz w:val="21"/>
          <w:lang w:val="en-GB"/>
        </w:rPr>
      </w:pPr>
      <w:r>
        <w:rPr>
          <w:rFonts w:ascii="Arial" w:hAnsi="Arial" w:cs="Arial"/>
          <w:b/>
          <w:sz w:val="21"/>
          <w:lang w:val="en-GB"/>
        </w:rPr>
        <w:t>6</w:t>
      </w:r>
      <w:r w:rsidR="00FE3AC1">
        <w:rPr>
          <w:rFonts w:ascii="Arial" w:hAnsi="Arial" w:cs="Arial"/>
          <w:b/>
          <w:sz w:val="21"/>
          <w:lang w:val="en-GB"/>
        </w:rPr>
        <w:t xml:space="preserve">- Recommendations </w:t>
      </w:r>
    </w:p>
    <w:p w:rsidR="002E2DCE" w:rsidRDefault="002E2DCE" w:rsidP="002E2DCE">
      <w:pPr>
        <w:spacing w:after="0" w:line="240" w:lineRule="auto"/>
        <w:outlineLvl w:val="0"/>
        <w:rPr>
          <w:rFonts w:ascii="Arial" w:hAnsi="Arial" w:cs="Arial"/>
          <w:b/>
          <w:sz w:val="21"/>
          <w:lang w:val="en-GB"/>
        </w:rPr>
      </w:pPr>
    </w:p>
    <w:p w:rsidR="005E3189" w:rsidRPr="00FE3AC1" w:rsidRDefault="008C6857" w:rsidP="00C00F6B">
      <w:pPr>
        <w:spacing w:after="0" w:line="240" w:lineRule="auto"/>
        <w:jc w:val="both"/>
        <w:rPr>
          <w:rFonts w:ascii="Arial" w:hAnsi="Arial" w:cs="Arial"/>
          <w:b/>
          <w:sz w:val="21"/>
          <w:lang w:val="en-GB"/>
        </w:rPr>
      </w:pPr>
      <w:r>
        <w:rPr>
          <w:rFonts w:ascii="Arial" w:hAnsi="Arial" w:cs="Arial"/>
          <w:lang w:val="en-GB"/>
        </w:rPr>
        <w:t>Based on</w:t>
      </w:r>
      <w:r w:rsidR="005E3189" w:rsidRPr="00D64387">
        <w:rPr>
          <w:rFonts w:ascii="Arial" w:hAnsi="Arial" w:cs="Arial"/>
          <w:lang w:val="en-GB"/>
        </w:rPr>
        <w:t xml:space="preserve"> the previous considerations, IDA </w:t>
      </w:r>
      <w:r>
        <w:rPr>
          <w:rFonts w:ascii="Arial" w:hAnsi="Arial" w:cs="Arial"/>
          <w:lang w:val="en-GB"/>
        </w:rPr>
        <w:t>encourages</w:t>
      </w:r>
      <w:r w:rsidR="00162726" w:rsidRPr="00D64387">
        <w:rPr>
          <w:rFonts w:ascii="Arial" w:hAnsi="Arial" w:cs="Arial"/>
          <w:lang w:val="en-GB"/>
        </w:rPr>
        <w:t xml:space="preserve"> the Committee</w:t>
      </w:r>
      <w:r>
        <w:rPr>
          <w:rFonts w:ascii="Arial" w:hAnsi="Arial" w:cs="Arial"/>
          <w:lang w:val="en-GB"/>
        </w:rPr>
        <w:t xml:space="preserve"> to</w:t>
      </w:r>
      <w:r w:rsidR="005E3189" w:rsidRPr="00D64387">
        <w:rPr>
          <w:rFonts w:ascii="Arial" w:hAnsi="Arial" w:cs="Arial"/>
          <w:lang w:val="en-GB"/>
        </w:rPr>
        <w:t>:</w:t>
      </w:r>
    </w:p>
    <w:p w:rsidR="00EA4AC2" w:rsidRDefault="00EA4AC2" w:rsidP="00C00F6B">
      <w:pPr>
        <w:pStyle w:val="Prrafodelista"/>
        <w:spacing w:after="0" w:line="240" w:lineRule="auto"/>
        <w:ind w:left="0"/>
        <w:jc w:val="both"/>
        <w:rPr>
          <w:rFonts w:ascii="Arial" w:hAnsi="Arial" w:cs="Arial"/>
          <w:sz w:val="21"/>
          <w:lang w:val="en-GB"/>
        </w:rPr>
      </w:pPr>
    </w:p>
    <w:p w:rsidR="00D15A11" w:rsidRDefault="00D15A11" w:rsidP="00C00F6B">
      <w:pPr>
        <w:pStyle w:val="Prrafodelista"/>
        <w:spacing w:after="0" w:line="240" w:lineRule="auto"/>
        <w:ind w:left="0"/>
        <w:jc w:val="both"/>
        <w:rPr>
          <w:rFonts w:ascii="Arial" w:hAnsi="Arial" w:cs="Arial"/>
          <w:sz w:val="21"/>
          <w:lang w:val="en-GB"/>
        </w:rPr>
      </w:pPr>
      <w:r>
        <w:rPr>
          <w:rFonts w:ascii="Arial" w:hAnsi="Arial" w:cs="Arial"/>
          <w:sz w:val="21"/>
          <w:lang w:val="en-GB"/>
        </w:rPr>
        <w:t xml:space="preserve">- </w:t>
      </w:r>
      <w:r w:rsidR="00635CFF">
        <w:rPr>
          <w:rFonts w:ascii="Arial" w:hAnsi="Arial" w:cs="Arial"/>
          <w:sz w:val="21"/>
          <w:lang w:val="en-GB"/>
        </w:rPr>
        <w:t>Incorporate</w:t>
      </w:r>
      <w:r>
        <w:rPr>
          <w:rFonts w:ascii="Arial" w:hAnsi="Arial" w:cs="Arial"/>
          <w:sz w:val="21"/>
          <w:lang w:val="en-GB"/>
        </w:rPr>
        <w:t xml:space="preserve"> the notion of </w:t>
      </w:r>
      <w:r w:rsidRPr="00C82D81">
        <w:rPr>
          <w:rFonts w:ascii="Arial" w:hAnsi="Arial" w:cs="Arial"/>
          <w:i/>
          <w:sz w:val="21"/>
          <w:lang w:val="en-GB"/>
        </w:rPr>
        <w:t>transformative equality</w:t>
      </w:r>
      <w:r w:rsidR="00635CFF">
        <w:rPr>
          <w:rFonts w:ascii="Arial" w:hAnsi="Arial" w:cs="Arial"/>
          <w:i/>
          <w:sz w:val="21"/>
          <w:lang w:val="en-GB"/>
        </w:rPr>
        <w:t xml:space="preserve"> </w:t>
      </w:r>
      <w:r w:rsidRPr="00D15A11">
        <w:rPr>
          <w:rFonts w:ascii="Arial" w:hAnsi="Arial" w:cs="Arial"/>
          <w:sz w:val="21"/>
          <w:lang w:val="en-GB"/>
        </w:rPr>
        <w:t>that better reflects the paradigm shift brought by the CRPD, making explicit that formal equality and substantive equality have still a role to play in preventing and addressing discrimination</w:t>
      </w:r>
      <w:r>
        <w:rPr>
          <w:rFonts w:ascii="Arial" w:hAnsi="Arial" w:cs="Arial"/>
          <w:sz w:val="21"/>
          <w:lang w:val="en-GB"/>
        </w:rPr>
        <w:t>.</w:t>
      </w:r>
    </w:p>
    <w:p w:rsidR="00D660D3" w:rsidRDefault="00D660D3" w:rsidP="00C00F6B">
      <w:pPr>
        <w:pStyle w:val="Prrafodelista"/>
        <w:spacing w:after="0" w:line="240" w:lineRule="auto"/>
        <w:ind w:left="0"/>
        <w:jc w:val="both"/>
        <w:rPr>
          <w:rFonts w:ascii="Arial" w:hAnsi="Arial" w:cs="Arial"/>
          <w:sz w:val="21"/>
          <w:lang w:val="en-GB"/>
        </w:rPr>
      </w:pPr>
    </w:p>
    <w:p w:rsidR="00D660D3" w:rsidRDefault="00D15A11" w:rsidP="00C00F6B">
      <w:pPr>
        <w:pStyle w:val="Prrafodelista"/>
        <w:spacing w:after="0" w:line="240" w:lineRule="auto"/>
        <w:ind w:left="0"/>
        <w:jc w:val="both"/>
        <w:rPr>
          <w:rFonts w:ascii="Arial" w:hAnsi="Arial" w:cs="Arial"/>
          <w:sz w:val="21"/>
          <w:lang w:val="en-GB"/>
        </w:rPr>
      </w:pPr>
      <w:r>
        <w:rPr>
          <w:rFonts w:ascii="Arial" w:hAnsi="Arial" w:cs="Arial"/>
          <w:sz w:val="21"/>
          <w:lang w:val="en-GB"/>
        </w:rPr>
        <w:t xml:space="preserve">- Call on States to ensure close consultation and active involvement of persons with disabilities, through its representative organisations, in the design, implementation and evaluation of policies directed to increase equality for persons with disabilities, </w:t>
      </w:r>
      <w:r w:rsidRPr="00C82D81">
        <w:rPr>
          <w:rFonts w:ascii="Arial" w:hAnsi="Arial" w:cs="Arial"/>
          <w:b/>
          <w:sz w:val="21"/>
          <w:lang w:val="en-GB"/>
        </w:rPr>
        <w:t>explicitly</w:t>
      </w:r>
      <w:r>
        <w:rPr>
          <w:rFonts w:ascii="Arial" w:hAnsi="Arial" w:cs="Arial"/>
          <w:sz w:val="21"/>
          <w:lang w:val="en-GB"/>
        </w:rPr>
        <w:t xml:space="preserve"> referring to the </w:t>
      </w:r>
      <w:r w:rsidR="00D660D3">
        <w:rPr>
          <w:rFonts w:ascii="Arial" w:hAnsi="Arial" w:cs="Arial"/>
          <w:sz w:val="21"/>
          <w:lang w:val="en-GB"/>
        </w:rPr>
        <w:t xml:space="preserve">processes of </w:t>
      </w:r>
      <w:r>
        <w:rPr>
          <w:rFonts w:ascii="Arial" w:hAnsi="Arial" w:cs="Arial"/>
          <w:sz w:val="21"/>
          <w:lang w:val="en-GB"/>
        </w:rPr>
        <w:t xml:space="preserve">implementation of the Sustainable Development Goals, by stressing these elements </w:t>
      </w:r>
      <w:r w:rsidR="00D660D3">
        <w:rPr>
          <w:rFonts w:ascii="Arial" w:hAnsi="Arial" w:cs="Arial"/>
          <w:sz w:val="21"/>
          <w:lang w:val="en-GB"/>
        </w:rPr>
        <w:t>in the introductory part of its draft general comment.</w:t>
      </w:r>
    </w:p>
    <w:p w:rsidR="00D660D3" w:rsidRDefault="00D660D3" w:rsidP="00C00F6B">
      <w:pPr>
        <w:pStyle w:val="Prrafodelista"/>
        <w:spacing w:after="0" w:line="240" w:lineRule="auto"/>
        <w:ind w:left="0"/>
        <w:jc w:val="both"/>
        <w:rPr>
          <w:rFonts w:ascii="Arial" w:hAnsi="Arial" w:cs="Arial"/>
          <w:sz w:val="21"/>
          <w:lang w:val="en-GB"/>
        </w:rPr>
      </w:pPr>
    </w:p>
    <w:p w:rsidR="00D15A11" w:rsidRDefault="00D660D3" w:rsidP="00C00F6B">
      <w:pPr>
        <w:pStyle w:val="Prrafodelista"/>
        <w:spacing w:after="0" w:line="240" w:lineRule="auto"/>
        <w:ind w:left="0"/>
        <w:jc w:val="both"/>
        <w:rPr>
          <w:rFonts w:ascii="Arial" w:hAnsi="Arial" w:cs="Arial"/>
          <w:sz w:val="21"/>
          <w:lang w:val="en-GB"/>
        </w:rPr>
      </w:pPr>
      <w:r>
        <w:rPr>
          <w:rFonts w:ascii="Arial" w:hAnsi="Arial" w:cs="Arial"/>
          <w:sz w:val="21"/>
          <w:lang w:val="en-GB"/>
        </w:rPr>
        <w:t>- Adopt a position on, and call States to respect, the “</w:t>
      </w:r>
      <w:r w:rsidRPr="00C82D81">
        <w:rPr>
          <w:rFonts w:ascii="Arial" w:hAnsi="Arial" w:cs="Arial"/>
          <w:b/>
          <w:sz w:val="21"/>
          <w:lang w:val="en-GB"/>
        </w:rPr>
        <w:t>right</w:t>
      </w:r>
      <w:r>
        <w:rPr>
          <w:rFonts w:ascii="Arial" w:hAnsi="Arial" w:cs="Arial"/>
          <w:sz w:val="21"/>
          <w:lang w:val="en-GB"/>
        </w:rPr>
        <w:t xml:space="preserve"> to equality and non-discrimination”</w:t>
      </w:r>
      <w:r w:rsidR="00C82D81">
        <w:rPr>
          <w:rFonts w:ascii="Arial" w:hAnsi="Arial" w:cs="Arial"/>
          <w:sz w:val="21"/>
          <w:lang w:val="en-GB"/>
        </w:rPr>
        <w:t xml:space="preserve"> as a right,</w:t>
      </w:r>
      <w:r>
        <w:rPr>
          <w:rFonts w:ascii="Arial" w:hAnsi="Arial" w:cs="Arial"/>
          <w:sz w:val="21"/>
          <w:lang w:val="en-GB"/>
        </w:rPr>
        <w:t xml:space="preserve"> and its autonomous character, in order to ensure the broadest scope of application possible of Article 5 of the CRPD at the national level, independently from other CRPD provisions.</w:t>
      </w:r>
    </w:p>
    <w:p w:rsidR="00D660D3" w:rsidRDefault="00D660D3" w:rsidP="00C00F6B">
      <w:pPr>
        <w:pStyle w:val="Prrafodelista"/>
        <w:spacing w:after="0" w:line="240" w:lineRule="auto"/>
        <w:ind w:left="0"/>
        <w:jc w:val="both"/>
        <w:rPr>
          <w:rFonts w:ascii="Arial" w:hAnsi="Arial" w:cs="Arial"/>
          <w:sz w:val="21"/>
          <w:lang w:val="en-GB"/>
        </w:rPr>
      </w:pPr>
    </w:p>
    <w:p w:rsidR="00D660D3" w:rsidRDefault="00D660D3" w:rsidP="00C00F6B">
      <w:pPr>
        <w:pStyle w:val="Prrafodelista"/>
        <w:spacing w:after="0" w:line="240" w:lineRule="auto"/>
        <w:ind w:left="0"/>
        <w:jc w:val="both"/>
        <w:rPr>
          <w:rFonts w:ascii="Arial" w:hAnsi="Arial" w:cs="Arial"/>
          <w:sz w:val="21"/>
          <w:lang w:val="en-GB"/>
        </w:rPr>
      </w:pPr>
      <w:r>
        <w:rPr>
          <w:rFonts w:ascii="Arial" w:hAnsi="Arial" w:cs="Arial"/>
          <w:sz w:val="21"/>
          <w:lang w:val="en-GB"/>
        </w:rPr>
        <w:t>- Call States to protect persons with disabilities from all forms of discrimination, including</w:t>
      </w:r>
      <w:r w:rsidR="00C82D81">
        <w:rPr>
          <w:rFonts w:ascii="Arial" w:hAnsi="Arial" w:cs="Arial"/>
          <w:sz w:val="21"/>
          <w:lang w:val="en-GB"/>
        </w:rPr>
        <w:t>,</w:t>
      </w:r>
      <w:r>
        <w:rPr>
          <w:rFonts w:ascii="Arial" w:hAnsi="Arial" w:cs="Arial"/>
          <w:sz w:val="21"/>
          <w:lang w:val="en-GB"/>
        </w:rPr>
        <w:t xml:space="preserve"> </w:t>
      </w:r>
      <w:r w:rsidR="002341CF">
        <w:rPr>
          <w:rFonts w:ascii="Arial" w:hAnsi="Arial" w:cs="Arial"/>
          <w:sz w:val="21"/>
          <w:lang w:val="en-GB"/>
        </w:rPr>
        <w:t xml:space="preserve">multiple and intersectional discrimination, </w:t>
      </w:r>
      <w:r>
        <w:rPr>
          <w:rFonts w:ascii="Arial" w:hAnsi="Arial" w:cs="Arial"/>
          <w:sz w:val="21"/>
          <w:lang w:val="en-GB"/>
        </w:rPr>
        <w:t xml:space="preserve">denial of access, </w:t>
      </w:r>
      <w:r w:rsidRPr="00D660D3">
        <w:rPr>
          <w:rFonts w:ascii="Arial" w:hAnsi="Arial" w:cs="Arial"/>
          <w:sz w:val="21"/>
          <w:lang w:val="en-GB"/>
        </w:rPr>
        <w:t>denial of procedural accom</w:t>
      </w:r>
      <w:r>
        <w:rPr>
          <w:rFonts w:ascii="Arial" w:hAnsi="Arial" w:cs="Arial"/>
          <w:sz w:val="21"/>
          <w:lang w:val="en-GB"/>
        </w:rPr>
        <w:t>modation under Article 13 of the CRPD</w:t>
      </w:r>
      <w:r w:rsidRPr="00D660D3">
        <w:rPr>
          <w:rFonts w:ascii="Arial" w:hAnsi="Arial" w:cs="Arial"/>
          <w:sz w:val="21"/>
          <w:lang w:val="en-GB"/>
        </w:rPr>
        <w:t>, denial of reasonable accommodation by association</w:t>
      </w:r>
      <w:r>
        <w:rPr>
          <w:rFonts w:ascii="Arial" w:hAnsi="Arial" w:cs="Arial"/>
          <w:sz w:val="21"/>
          <w:lang w:val="en-GB"/>
        </w:rPr>
        <w:t xml:space="preserve"> in the exercise of rights of associates to prevent restrictions of rights of persons with disabilities,</w:t>
      </w:r>
      <w:r w:rsidRPr="00D660D3">
        <w:rPr>
          <w:rFonts w:ascii="Arial" w:hAnsi="Arial" w:cs="Arial"/>
          <w:sz w:val="21"/>
          <w:lang w:val="en-GB"/>
        </w:rPr>
        <w:t xml:space="preserve"> and disability based violence.</w:t>
      </w:r>
    </w:p>
    <w:p w:rsidR="00D660D3" w:rsidRDefault="00D660D3" w:rsidP="00C00F6B">
      <w:pPr>
        <w:pStyle w:val="Prrafodelista"/>
        <w:spacing w:after="0" w:line="240" w:lineRule="auto"/>
        <w:ind w:left="0"/>
        <w:jc w:val="both"/>
        <w:rPr>
          <w:rFonts w:ascii="Arial" w:hAnsi="Arial" w:cs="Arial"/>
          <w:sz w:val="21"/>
          <w:lang w:val="en-GB"/>
        </w:rPr>
      </w:pPr>
    </w:p>
    <w:p w:rsidR="00D660D3" w:rsidRDefault="00D660D3" w:rsidP="00C00F6B">
      <w:pPr>
        <w:pStyle w:val="Prrafodelista"/>
        <w:spacing w:after="0" w:line="240" w:lineRule="auto"/>
        <w:ind w:left="0"/>
        <w:jc w:val="both"/>
        <w:rPr>
          <w:rFonts w:ascii="Arial" w:hAnsi="Arial" w:cs="Arial"/>
          <w:sz w:val="21"/>
          <w:lang w:val="en-GB"/>
        </w:rPr>
      </w:pPr>
      <w:r>
        <w:rPr>
          <w:rFonts w:ascii="Arial" w:hAnsi="Arial" w:cs="Arial"/>
          <w:sz w:val="21"/>
          <w:lang w:val="en-GB"/>
        </w:rPr>
        <w:t>- Call States to ensure provision of r</w:t>
      </w:r>
      <w:r w:rsidRPr="00D660D3">
        <w:rPr>
          <w:rFonts w:ascii="Arial" w:hAnsi="Arial" w:cs="Arial"/>
          <w:sz w:val="21"/>
          <w:lang w:val="en-GB"/>
        </w:rPr>
        <w:t>easonable accommodation and</w:t>
      </w:r>
      <w:r>
        <w:rPr>
          <w:rFonts w:ascii="Arial" w:hAnsi="Arial" w:cs="Arial"/>
          <w:sz w:val="21"/>
          <w:lang w:val="en-GB"/>
        </w:rPr>
        <w:t xml:space="preserve"> that</w:t>
      </w:r>
      <w:r w:rsidRPr="00D660D3">
        <w:rPr>
          <w:rFonts w:ascii="Arial" w:hAnsi="Arial" w:cs="Arial"/>
          <w:sz w:val="21"/>
          <w:lang w:val="en-GB"/>
        </w:rPr>
        <w:t xml:space="preserve"> its denial </w:t>
      </w:r>
      <w:r>
        <w:rPr>
          <w:rFonts w:ascii="Arial" w:hAnsi="Arial" w:cs="Arial"/>
          <w:sz w:val="21"/>
          <w:lang w:val="en-GB"/>
        </w:rPr>
        <w:t xml:space="preserve">is considered </w:t>
      </w:r>
      <w:r w:rsidRPr="00D660D3">
        <w:rPr>
          <w:rFonts w:ascii="Arial" w:hAnsi="Arial" w:cs="Arial"/>
          <w:sz w:val="21"/>
          <w:lang w:val="en-GB"/>
        </w:rPr>
        <w:t>a form of discrimination</w:t>
      </w:r>
      <w:r>
        <w:rPr>
          <w:rFonts w:ascii="Arial" w:hAnsi="Arial" w:cs="Arial"/>
          <w:sz w:val="21"/>
          <w:lang w:val="en-GB"/>
        </w:rPr>
        <w:t xml:space="preserve">, by stressing its immediate application, clarifying related concepts, and requiring States to regulate </w:t>
      </w:r>
      <w:r w:rsidRPr="00D660D3">
        <w:rPr>
          <w:rFonts w:ascii="Arial" w:hAnsi="Arial" w:cs="Arial"/>
          <w:sz w:val="21"/>
          <w:lang w:val="en-GB"/>
        </w:rPr>
        <w:t>and develop guidance on the duty to p</w:t>
      </w:r>
      <w:r>
        <w:rPr>
          <w:rFonts w:ascii="Arial" w:hAnsi="Arial" w:cs="Arial"/>
          <w:sz w:val="21"/>
          <w:lang w:val="en-GB"/>
        </w:rPr>
        <w:t>rovide reasonable accommodation</w:t>
      </w:r>
      <w:r w:rsidR="006D2693">
        <w:rPr>
          <w:rFonts w:ascii="Arial" w:hAnsi="Arial" w:cs="Arial"/>
          <w:sz w:val="21"/>
          <w:lang w:val="en-GB"/>
        </w:rPr>
        <w:t xml:space="preserve">. The Committee should also address and provide guidance on the issue of “reasonable accommodation by association,” calling States to ensure its provision </w:t>
      </w:r>
      <w:r w:rsidR="00041FB2">
        <w:rPr>
          <w:rFonts w:ascii="Arial" w:hAnsi="Arial" w:cs="Arial"/>
          <w:sz w:val="21"/>
          <w:lang w:val="en-GB"/>
        </w:rPr>
        <w:t>when necessary to ensure any right of a person with disability in a particular case</w:t>
      </w:r>
      <w:r w:rsidR="006D2693">
        <w:rPr>
          <w:rFonts w:ascii="Arial" w:hAnsi="Arial" w:cs="Arial"/>
          <w:sz w:val="21"/>
          <w:lang w:val="en-GB"/>
        </w:rPr>
        <w:t xml:space="preserve">.  </w:t>
      </w:r>
    </w:p>
    <w:p w:rsidR="00B820A2" w:rsidRDefault="00B820A2" w:rsidP="00C00F6B">
      <w:pPr>
        <w:spacing w:after="0" w:line="240" w:lineRule="auto"/>
      </w:pPr>
    </w:p>
    <w:p w:rsidR="00177A41" w:rsidRDefault="00177A41" w:rsidP="00C00F6B">
      <w:pPr>
        <w:spacing w:after="0" w:line="240" w:lineRule="auto"/>
      </w:pPr>
    </w:p>
    <w:p w:rsidR="00177A41" w:rsidRDefault="00177A41" w:rsidP="00177A41">
      <w:pPr>
        <w:spacing w:after="0" w:line="240" w:lineRule="auto"/>
        <w:jc w:val="both"/>
      </w:pPr>
      <w:bookmarkStart w:id="0" w:name="_GoBack"/>
      <w:bookmarkEnd w:id="0"/>
    </w:p>
    <w:sectPr w:rsidR="00177A41" w:rsidSect="00B737C2">
      <w:footerReference w:type="even" r:id="rId8"/>
      <w:footerReference w:type="default" r:id="rId9"/>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6B6" w:rsidRDefault="003B16B6" w:rsidP="00B67ED5">
      <w:pPr>
        <w:spacing w:after="0" w:line="240" w:lineRule="auto"/>
      </w:pPr>
      <w:r>
        <w:separator/>
      </w:r>
    </w:p>
  </w:endnote>
  <w:endnote w:type="continuationSeparator" w:id="1">
    <w:p w:rsidR="003B16B6" w:rsidRDefault="003B16B6" w:rsidP="00B67E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089" w:rsidRDefault="00225089" w:rsidP="00407B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25089" w:rsidRDefault="00225089" w:rsidP="006B5DAA">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089" w:rsidRPr="006B5DAA" w:rsidRDefault="00225089" w:rsidP="006B5DAA">
    <w:pPr>
      <w:pStyle w:val="Piedepgina"/>
      <w:framePr w:wrap="around" w:vAnchor="text" w:hAnchor="margin" w:xAlign="right" w:y="1"/>
      <w:rPr>
        <w:rStyle w:val="Nmerodepgina"/>
        <w:rFonts w:ascii="Arial" w:hAnsi="Arial" w:cs="Arial"/>
        <w:sz w:val="16"/>
        <w:szCs w:val="16"/>
      </w:rPr>
    </w:pPr>
    <w:r w:rsidRPr="006B5DAA">
      <w:rPr>
        <w:rStyle w:val="Nmerodepgina"/>
        <w:rFonts w:ascii="Arial" w:hAnsi="Arial" w:cs="Arial"/>
        <w:sz w:val="16"/>
        <w:szCs w:val="16"/>
      </w:rPr>
      <w:fldChar w:fldCharType="begin"/>
    </w:r>
    <w:r w:rsidRPr="006B5DAA">
      <w:rPr>
        <w:rStyle w:val="Nmerodepgina"/>
        <w:rFonts w:ascii="Arial" w:hAnsi="Arial" w:cs="Arial"/>
        <w:sz w:val="16"/>
        <w:szCs w:val="16"/>
      </w:rPr>
      <w:instrText xml:space="preserve">PAGE  </w:instrText>
    </w:r>
    <w:r w:rsidRPr="006B5DAA">
      <w:rPr>
        <w:rStyle w:val="Nmerodepgina"/>
        <w:rFonts w:ascii="Arial" w:hAnsi="Arial" w:cs="Arial"/>
        <w:sz w:val="16"/>
        <w:szCs w:val="16"/>
      </w:rPr>
      <w:fldChar w:fldCharType="separate"/>
    </w:r>
    <w:r w:rsidR="004E3B62">
      <w:rPr>
        <w:rStyle w:val="Nmerodepgina"/>
        <w:rFonts w:ascii="Arial" w:hAnsi="Arial" w:cs="Arial"/>
        <w:noProof/>
        <w:sz w:val="16"/>
        <w:szCs w:val="16"/>
      </w:rPr>
      <w:t>5</w:t>
    </w:r>
    <w:r w:rsidRPr="006B5DAA">
      <w:rPr>
        <w:rStyle w:val="Nmerodepgina"/>
        <w:rFonts w:ascii="Arial" w:hAnsi="Arial" w:cs="Arial"/>
        <w:sz w:val="16"/>
        <w:szCs w:val="16"/>
      </w:rPr>
      <w:fldChar w:fldCharType="end"/>
    </w:r>
  </w:p>
  <w:p w:rsidR="00225089" w:rsidRDefault="00225089" w:rsidP="006B5DAA">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6B6" w:rsidRDefault="003B16B6" w:rsidP="00B67ED5">
      <w:pPr>
        <w:spacing w:after="0" w:line="240" w:lineRule="auto"/>
      </w:pPr>
      <w:r>
        <w:separator/>
      </w:r>
    </w:p>
  </w:footnote>
  <w:footnote w:type="continuationSeparator" w:id="1">
    <w:p w:rsidR="003B16B6" w:rsidRDefault="003B16B6" w:rsidP="00B67E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787"/>
    <w:multiLevelType w:val="hybridMultilevel"/>
    <w:tmpl w:val="875C4610"/>
    <w:lvl w:ilvl="0" w:tplc="05781322">
      <w:numFmt w:val="bullet"/>
      <w:lvlText w:val="•"/>
      <w:lvlJc w:val="left"/>
      <w:pPr>
        <w:ind w:left="640" w:hanging="360"/>
      </w:pPr>
      <w:rPr>
        <w:rFonts w:ascii="Times New Roman" w:hAnsi="Times New Roman" w:cs="Times New Roman" w:hint="default"/>
      </w:rPr>
    </w:lvl>
    <w:lvl w:ilvl="1" w:tplc="040C0003">
      <w:start w:val="1"/>
      <w:numFmt w:val="bullet"/>
      <w:lvlText w:val="o"/>
      <w:lvlJc w:val="left"/>
      <w:pPr>
        <w:ind w:left="1360" w:hanging="360"/>
      </w:pPr>
      <w:rPr>
        <w:rFonts w:ascii="Courier New" w:hAnsi="Courier New" w:cs="Times New Roman" w:hint="default"/>
      </w:rPr>
    </w:lvl>
    <w:lvl w:ilvl="2" w:tplc="040C0005">
      <w:start w:val="1"/>
      <w:numFmt w:val="bullet"/>
      <w:lvlText w:val=""/>
      <w:lvlJc w:val="left"/>
      <w:pPr>
        <w:ind w:left="2080" w:hanging="360"/>
      </w:pPr>
      <w:rPr>
        <w:rFonts w:ascii="Wingdings" w:hAnsi="Wingdings" w:hint="default"/>
      </w:rPr>
    </w:lvl>
    <w:lvl w:ilvl="3" w:tplc="040C0001">
      <w:start w:val="1"/>
      <w:numFmt w:val="bullet"/>
      <w:lvlText w:val=""/>
      <w:lvlJc w:val="left"/>
      <w:pPr>
        <w:ind w:left="2800" w:hanging="360"/>
      </w:pPr>
      <w:rPr>
        <w:rFonts w:ascii="Symbol" w:hAnsi="Symbol" w:hint="default"/>
      </w:rPr>
    </w:lvl>
    <w:lvl w:ilvl="4" w:tplc="040C0003">
      <w:start w:val="1"/>
      <w:numFmt w:val="bullet"/>
      <w:lvlText w:val="o"/>
      <w:lvlJc w:val="left"/>
      <w:pPr>
        <w:ind w:left="3520" w:hanging="360"/>
      </w:pPr>
      <w:rPr>
        <w:rFonts w:ascii="Courier New" w:hAnsi="Courier New" w:cs="Times New Roman" w:hint="default"/>
      </w:rPr>
    </w:lvl>
    <w:lvl w:ilvl="5" w:tplc="040C0005">
      <w:start w:val="1"/>
      <w:numFmt w:val="bullet"/>
      <w:lvlText w:val=""/>
      <w:lvlJc w:val="left"/>
      <w:pPr>
        <w:ind w:left="4240" w:hanging="360"/>
      </w:pPr>
      <w:rPr>
        <w:rFonts w:ascii="Wingdings" w:hAnsi="Wingdings" w:hint="default"/>
      </w:rPr>
    </w:lvl>
    <w:lvl w:ilvl="6" w:tplc="040C0001">
      <w:start w:val="1"/>
      <w:numFmt w:val="bullet"/>
      <w:lvlText w:val=""/>
      <w:lvlJc w:val="left"/>
      <w:pPr>
        <w:ind w:left="4960" w:hanging="360"/>
      </w:pPr>
      <w:rPr>
        <w:rFonts w:ascii="Symbol" w:hAnsi="Symbol" w:hint="default"/>
      </w:rPr>
    </w:lvl>
    <w:lvl w:ilvl="7" w:tplc="040C0003">
      <w:start w:val="1"/>
      <w:numFmt w:val="bullet"/>
      <w:lvlText w:val="o"/>
      <w:lvlJc w:val="left"/>
      <w:pPr>
        <w:ind w:left="5680" w:hanging="360"/>
      </w:pPr>
      <w:rPr>
        <w:rFonts w:ascii="Courier New" w:hAnsi="Courier New" w:cs="Times New Roman" w:hint="default"/>
      </w:rPr>
    </w:lvl>
    <w:lvl w:ilvl="8" w:tplc="040C0005">
      <w:start w:val="1"/>
      <w:numFmt w:val="bullet"/>
      <w:lvlText w:val=""/>
      <w:lvlJc w:val="left"/>
      <w:pPr>
        <w:ind w:left="6400" w:hanging="360"/>
      </w:pPr>
      <w:rPr>
        <w:rFonts w:ascii="Wingdings" w:hAnsi="Wingdings" w:hint="default"/>
      </w:rPr>
    </w:lvl>
  </w:abstractNum>
  <w:abstractNum w:abstractNumId="1">
    <w:nsid w:val="04914F89"/>
    <w:multiLevelType w:val="hybridMultilevel"/>
    <w:tmpl w:val="437C652E"/>
    <w:lvl w:ilvl="0" w:tplc="08090001">
      <w:start w:val="1"/>
      <w:numFmt w:val="bullet"/>
      <w:pStyle w:val="Style1"/>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6331AA"/>
    <w:multiLevelType w:val="hybridMultilevel"/>
    <w:tmpl w:val="D324C8C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C437D22"/>
    <w:multiLevelType w:val="hybridMultilevel"/>
    <w:tmpl w:val="8CC8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D62409"/>
    <w:multiLevelType w:val="hybridMultilevel"/>
    <w:tmpl w:val="530EC9A8"/>
    <w:lvl w:ilvl="0" w:tplc="040C0001">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5">
    <w:nsid w:val="3E8B0AEB"/>
    <w:multiLevelType w:val="hybridMultilevel"/>
    <w:tmpl w:val="D3887FA8"/>
    <w:lvl w:ilvl="0" w:tplc="E73809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7CD38C6"/>
    <w:multiLevelType w:val="hybridMultilevel"/>
    <w:tmpl w:val="80A260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E4D24F8"/>
    <w:multiLevelType w:val="hybridMultilevel"/>
    <w:tmpl w:val="326CB4C4"/>
    <w:lvl w:ilvl="0" w:tplc="0E3C896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F51FB8"/>
    <w:multiLevelType w:val="hybridMultilevel"/>
    <w:tmpl w:val="FCCA5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7033DD"/>
    <w:multiLevelType w:val="hybridMultilevel"/>
    <w:tmpl w:val="E1E6D5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94C74A5"/>
    <w:multiLevelType w:val="multilevel"/>
    <w:tmpl w:val="6ECC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2B609D"/>
    <w:multiLevelType w:val="hybridMultilevel"/>
    <w:tmpl w:val="9CBEBB2E"/>
    <w:lvl w:ilvl="0" w:tplc="A9E062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5A93097F"/>
    <w:multiLevelType w:val="hybridMultilevel"/>
    <w:tmpl w:val="12688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C1D644D"/>
    <w:multiLevelType w:val="multilevel"/>
    <w:tmpl w:val="5084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4E126E"/>
    <w:multiLevelType w:val="hybridMultilevel"/>
    <w:tmpl w:val="8A3A3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E254957"/>
    <w:multiLevelType w:val="hybridMultilevel"/>
    <w:tmpl w:val="8C76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951D82"/>
    <w:multiLevelType w:val="hybridMultilevel"/>
    <w:tmpl w:val="70AAC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B116D0"/>
    <w:multiLevelType w:val="hybridMultilevel"/>
    <w:tmpl w:val="DC0C5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16"/>
  </w:num>
  <w:num w:numId="5">
    <w:abstractNumId w:val="0"/>
  </w:num>
  <w:num w:numId="6">
    <w:abstractNumId w:val="8"/>
  </w:num>
  <w:num w:numId="7">
    <w:abstractNumId w:val="4"/>
  </w:num>
  <w:num w:numId="8">
    <w:abstractNumId w:val="10"/>
  </w:num>
  <w:num w:numId="9">
    <w:abstractNumId w:val="15"/>
  </w:num>
  <w:num w:numId="10">
    <w:abstractNumId w:val="13"/>
  </w:num>
  <w:num w:numId="11">
    <w:abstractNumId w:val="2"/>
  </w:num>
  <w:num w:numId="12">
    <w:abstractNumId w:val="9"/>
  </w:num>
  <w:num w:numId="13">
    <w:abstractNumId w:val="6"/>
  </w:num>
  <w:num w:numId="14">
    <w:abstractNumId w:val="12"/>
  </w:num>
  <w:num w:numId="15">
    <w:abstractNumId w:val="14"/>
  </w:num>
  <w:num w:numId="16">
    <w:abstractNumId w:val="17"/>
  </w:num>
  <w:num w:numId="17">
    <w:abstractNumId w:val="5"/>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1"/>
  <w:defaultTabStop w:val="720"/>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F1147"/>
    <w:rsid w:val="000023A7"/>
    <w:rsid w:val="00003E3B"/>
    <w:rsid w:val="00004FED"/>
    <w:rsid w:val="00006324"/>
    <w:rsid w:val="000113B2"/>
    <w:rsid w:val="00013505"/>
    <w:rsid w:val="000140C6"/>
    <w:rsid w:val="0002176C"/>
    <w:rsid w:val="0002199B"/>
    <w:rsid w:val="00021E38"/>
    <w:rsid w:val="00023FD6"/>
    <w:rsid w:val="00037469"/>
    <w:rsid w:val="00037C6A"/>
    <w:rsid w:val="00037EC2"/>
    <w:rsid w:val="00041FB2"/>
    <w:rsid w:val="00042513"/>
    <w:rsid w:val="00042533"/>
    <w:rsid w:val="00042E9C"/>
    <w:rsid w:val="00044367"/>
    <w:rsid w:val="000450FB"/>
    <w:rsid w:val="00053FA7"/>
    <w:rsid w:val="00054A70"/>
    <w:rsid w:val="00054CED"/>
    <w:rsid w:val="00057EBD"/>
    <w:rsid w:val="00063E19"/>
    <w:rsid w:val="000662B4"/>
    <w:rsid w:val="00071C3D"/>
    <w:rsid w:val="00076EEF"/>
    <w:rsid w:val="00080948"/>
    <w:rsid w:val="00084ED6"/>
    <w:rsid w:val="00086EB7"/>
    <w:rsid w:val="0008712E"/>
    <w:rsid w:val="000904E6"/>
    <w:rsid w:val="00091C7D"/>
    <w:rsid w:val="000940DA"/>
    <w:rsid w:val="00096DAC"/>
    <w:rsid w:val="000A0B3C"/>
    <w:rsid w:val="000A67EC"/>
    <w:rsid w:val="000A6FCE"/>
    <w:rsid w:val="000B0CA7"/>
    <w:rsid w:val="000B1F15"/>
    <w:rsid w:val="000B47D2"/>
    <w:rsid w:val="000C3B10"/>
    <w:rsid w:val="000D365E"/>
    <w:rsid w:val="000D5576"/>
    <w:rsid w:val="000D788C"/>
    <w:rsid w:val="000D7CD0"/>
    <w:rsid w:val="000E4C33"/>
    <w:rsid w:val="000E4FB1"/>
    <w:rsid w:val="000E59A2"/>
    <w:rsid w:val="000E5EDE"/>
    <w:rsid w:val="000F0D60"/>
    <w:rsid w:val="000F10E1"/>
    <w:rsid w:val="000F1147"/>
    <w:rsid w:val="000F5178"/>
    <w:rsid w:val="000F5690"/>
    <w:rsid w:val="00100853"/>
    <w:rsid w:val="0011023D"/>
    <w:rsid w:val="0011502E"/>
    <w:rsid w:val="001214DB"/>
    <w:rsid w:val="00122370"/>
    <w:rsid w:val="00125FA9"/>
    <w:rsid w:val="00126C24"/>
    <w:rsid w:val="0013056F"/>
    <w:rsid w:val="00132184"/>
    <w:rsid w:val="00134369"/>
    <w:rsid w:val="0013544B"/>
    <w:rsid w:val="0013638C"/>
    <w:rsid w:val="001401DA"/>
    <w:rsid w:val="00143E90"/>
    <w:rsid w:val="00150A74"/>
    <w:rsid w:val="0016224C"/>
    <w:rsid w:val="00162726"/>
    <w:rsid w:val="00166F22"/>
    <w:rsid w:val="0017169E"/>
    <w:rsid w:val="0017677C"/>
    <w:rsid w:val="00177A41"/>
    <w:rsid w:val="0018128F"/>
    <w:rsid w:val="00182C4F"/>
    <w:rsid w:val="00187064"/>
    <w:rsid w:val="001916EA"/>
    <w:rsid w:val="00196F07"/>
    <w:rsid w:val="0019777E"/>
    <w:rsid w:val="001A0871"/>
    <w:rsid w:val="001A0BCD"/>
    <w:rsid w:val="001A15D2"/>
    <w:rsid w:val="001A46F4"/>
    <w:rsid w:val="001A4D2B"/>
    <w:rsid w:val="001B1534"/>
    <w:rsid w:val="001B3FE1"/>
    <w:rsid w:val="001B7019"/>
    <w:rsid w:val="001C0456"/>
    <w:rsid w:val="001C3D46"/>
    <w:rsid w:val="001C63FC"/>
    <w:rsid w:val="001D1AFB"/>
    <w:rsid w:val="001D36E5"/>
    <w:rsid w:val="001D63F7"/>
    <w:rsid w:val="001F0470"/>
    <w:rsid w:val="001F160C"/>
    <w:rsid w:val="001F4439"/>
    <w:rsid w:val="001F6B58"/>
    <w:rsid w:val="001F75E2"/>
    <w:rsid w:val="001F7BB1"/>
    <w:rsid w:val="00203DE0"/>
    <w:rsid w:val="00205DBB"/>
    <w:rsid w:val="00206423"/>
    <w:rsid w:val="00206CBA"/>
    <w:rsid w:val="0021005C"/>
    <w:rsid w:val="00212242"/>
    <w:rsid w:val="00213D84"/>
    <w:rsid w:val="00214C60"/>
    <w:rsid w:val="00220F1A"/>
    <w:rsid w:val="002229D5"/>
    <w:rsid w:val="002237C6"/>
    <w:rsid w:val="00223C39"/>
    <w:rsid w:val="00225089"/>
    <w:rsid w:val="00227F32"/>
    <w:rsid w:val="002341CF"/>
    <w:rsid w:val="0023716C"/>
    <w:rsid w:val="00237D0B"/>
    <w:rsid w:val="002432BD"/>
    <w:rsid w:val="00243597"/>
    <w:rsid w:val="0024371E"/>
    <w:rsid w:val="00244771"/>
    <w:rsid w:val="00250737"/>
    <w:rsid w:val="00251B27"/>
    <w:rsid w:val="00253CBB"/>
    <w:rsid w:val="00255F0B"/>
    <w:rsid w:val="00257FDF"/>
    <w:rsid w:val="0027123E"/>
    <w:rsid w:val="002724AD"/>
    <w:rsid w:val="002748CE"/>
    <w:rsid w:val="00281138"/>
    <w:rsid w:val="002818A4"/>
    <w:rsid w:val="00285A43"/>
    <w:rsid w:val="00290855"/>
    <w:rsid w:val="00291BD3"/>
    <w:rsid w:val="00293864"/>
    <w:rsid w:val="002957DE"/>
    <w:rsid w:val="002A5529"/>
    <w:rsid w:val="002A605A"/>
    <w:rsid w:val="002B55A0"/>
    <w:rsid w:val="002C288E"/>
    <w:rsid w:val="002C37C2"/>
    <w:rsid w:val="002C4F80"/>
    <w:rsid w:val="002C7799"/>
    <w:rsid w:val="002D07AA"/>
    <w:rsid w:val="002D2C53"/>
    <w:rsid w:val="002D41A5"/>
    <w:rsid w:val="002E2DCE"/>
    <w:rsid w:val="002E4E89"/>
    <w:rsid w:val="002E5522"/>
    <w:rsid w:val="002F0D95"/>
    <w:rsid w:val="002F21C4"/>
    <w:rsid w:val="002F3038"/>
    <w:rsid w:val="002F3AA6"/>
    <w:rsid w:val="00302B74"/>
    <w:rsid w:val="00304259"/>
    <w:rsid w:val="00304AC9"/>
    <w:rsid w:val="00305A2B"/>
    <w:rsid w:val="00306243"/>
    <w:rsid w:val="0031071D"/>
    <w:rsid w:val="003116C5"/>
    <w:rsid w:val="003141C6"/>
    <w:rsid w:val="00321174"/>
    <w:rsid w:val="003227E8"/>
    <w:rsid w:val="003244BD"/>
    <w:rsid w:val="00327DF7"/>
    <w:rsid w:val="00327FFB"/>
    <w:rsid w:val="003311DF"/>
    <w:rsid w:val="00331231"/>
    <w:rsid w:val="0033151A"/>
    <w:rsid w:val="00333D3C"/>
    <w:rsid w:val="003410CC"/>
    <w:rsid w:val="00341163"/>
    <w:rsid w:val="00342035"/>
    <w:rsid w:val="00343136"/>
    <w:rsid w:val="0034545E"/>
    <w:rsid w:val="00345C25"/>
    <w:rsid w:val="00353893"/>
    <w:rsid w:val="00354D80"/>
    <w:rsid w:val="00354F07"/>
    <w:rsid w:val="00355A6A"/>
    <w:rsid w:val="00361F9A"/>
    <w:rsid w:val="003673D8"/>
    <w:rsid w:val="0036762B"/>
    <w:rsid w:val="00370CF6"/>
    <w:rsid w:val="00371F78"/>
    <w:rsid w:val="00372343"/>
    <w:rsid w:val="00373B90"/>
    <w:rsid w:val="00373C22"/>
    <w:rsid w:val="00381761"/>
    <w:rsid w:val="00382CFE"/>
    <w:rsid w:val="0038360C"/>
    <w:rsid w:val="00384B15"/>
    <w:rsid w:val="00386FBF"/>
    <w:rsid w:val="003879EA"/>
    <w:rsid w:val="00390250"/>
    <w:rsid w:val="003A1262"/>
    <w:rsid w:val="003A35CF"/>
    <w:rsid w:val="003A7092"/>
    <w:rsid w:val="003B0EA1"/>
    <w:rsid w:val="003B1181"/>
    <w:rsid w:val="003B16B6"/>
    <w:rsid w:val="003B365F"/>
    <w:rsid w:val="003C061A"/>
    <w:rsid w:val="003C34A4"/>
    <w:rsid w:val="003C5012"/>
    <w:rsid w:val="003C744F"/>
    <w:rsid w:val="003C78B3"/>
    <w:rsid w:val="003C7B82"/>
    <w:rsid w:val="003D11A7"/>
    <w:rsid w:val="003D2DA6"/>
    <w:rsid w:val="003D4F22"/>
    <w:rsid w:val="003D54F5"/>
    <w:rsid w:val="003E04AA"/>
    <w:rsid w:val="003E4C74"/>
    <w:rsid w:val="003E57A5"/>
    <w:rsid w:val="003F0D29"/>
    <w:rsid w:val="003F24ED"/>
    <w:rsid w:val="003F375F"/>
    <w:rsid w:val="003F3B98"/>
    <w:rsid w:val="00407B4F"/>
    <w:rsid w:val="00407BDA"/>
    <w:rsid w:val="00411A71"/>
    <w:rsid w:val="00411BBD"/>
    <w:rsid w:val="0041355E"/>
    <w:rsid w:val="004148D1"/>
    <w:rsid w:val="00417CD9"/>
    <w:rsid w:val="00422394"/>
    <w:rsid w:val="00427ACC"/>
    <w:rsid w:val="00430A6C"/>
    <w:rsid w:val="004346A4"/>
    <w:rsid w:val="004349AB"/>
    <w:rsid w:val="00437C7D"/>
    <w:rsid w:val="00443EC8"/>
    <w:rsid w:val="0044673D"/>
    <w:rsid w:val="00451C07"/>
    <w:rsid w:val="004523CA"/>
    <w:rsid w:val="00452625"/>
    <w:rsid w:val="004621C4"/>
    <w:rsid w:val="004649C2"/>
    <w:rsid w:val="00464BD3"/>
    <w:rsid w:val="00466125"/>
    <w:rsid w:val="00466F64"/>
    <w:rsid w:val="00467FC7"/>
    <w:rsid w:val="00470297"/>
    <w:rsid w:val="0047689E"/>
    <w:rsid w:val="004808AD"/>
    <w:rsid w:val="00483776"/>
    <w:rsid w:val="00484CD1"/>
    <w:rsid w:val="00486360"/>
    <w:rsid w:val="004875BB"/>
    <w:rsid w:val="00494DDF"/>
    <w:rsid w:val="0049699E"/>
    <w:rsid w:val="004A2EE6"/>
    <w:rsid w:val="004A38E9"/>
    <w:rsid w:val="004A3A56"/>
    <w:rsid w:val="004A4983"/>
    <w:rsid w:val="004B1677"/>
    <w:rsid w:val="004B1D46"/>
    <w:rsid w:val="004B2763"/>
    <w:rsid w:val="004B3B3B"/>
    <w:rsid w:val="004B4959"/>
    <w:rsid w:val="004C4568"/>
    <w:rsid w:val="004C5901"/>
    <w:rsid w:val="004D06A4"/>
    <w:rsid w:val="004D2B16"/>
    <w:rsid w:val="004D385F"/>
    <w:rsid w:val="004D45DA"/>
    <w:rsid w:val="004D5995"/>
    <w:rsid w:val="004D644A"/>
    <w:rsid w:val="004D7997"/>
    <w:rsid w:val="004D7A56"/>
    <w:rsid w:val="004E3B62"/>
    <w:rsid w:val="004E680E"/>
    <w:rsid w:val="00501262"/>
    <w:rsid w:val="00502C78"/>
    <w:rsid w:val="00505B37"/>
    <w:rsid w:val="005155BE"/>
    <w:rsid w:val="005203BF"/>
    <w:rsid w:val="00521E18"/>
    <w:rsid w:val="00521FBB"/>
    <w:rsid w:val="00523015"/>
    <w:rsid w:val="00524795"/>
    <w:rsid w:val="00530912"/>
    <w:rsid w:val="005333FE"/>
    <w:rsid w:val="00533A1C"/>
    <w:rsid w:val="005377DE"/>
    <w:rsid w:val="005378BE"/>
    <w:rsid w:val="00543B17"/>
    <w:rsid w:val="00545D03"/>
    <w:rsid w:val="00553F50"/>
    <w:rsid w:val="00560FD8"/>
    <w:rsid w:val="00562CE7"/>
    <w:rsid w:val="00567369"/>
    <w:rsid w:val="00573DA8"/>
    <w:rsid w:val="005761FA"/>
    <w:rsid w:val="005800A6"/>
    <w:rsid w:val="005814F8"/>
    <w:rsid w:val="005853B3"/>
    <w:rsid w:val="00593E26"/>
    <w:rsid w:val="00594E53"/>
    <w:rsid w:val="00596A47"/>
    <w:rsid w:val="00597DCC"/>
    <w:rsid w:val="005A6D08"/>
    <w:rsid w:val="005A6E37"/>
    <w:rsid w:val="005A71BA"/>
    <w:rsid w:val="005B636C"/>
    <w:rsid w:val="005C2345"/>
    <w:rsid w:val="005C2B22"/>
    <w:rsid w:val="005C3A6C"/>
    <w:rsid w:val="005C6931"/>
    <w:rsid w:val="005D6BCA"/>
    <w:rsid w:val="005D7772"/>
    <w:rsid w:val="005E185A"/>
    <w:rsid w:val="005E3189"/>
    <w:rsid w:val="005E50A1"/>
    <w:rsid w:val="005E51C4"/>
    <w:rsid w:val="005E56A0"/>
    <w:rsid w:val="0060373B"/>
    <w:rsid w:val="0060426F"/>
    <w:rsid w:val="00612B8A"/>
    <w:rsid w:val="00612C73"/>
    <w:rsid w:val="00612F41"/>
    <w:rsid w:val="00617240"/>
    <w:rsid w:val="006215C8"/>
    <w:rsid w:val="006262C9"/>
    <w:rsid w:val="00635ABB"/>
    <w:rsid w:val="00635CFF"/>
    <w:rsid w:val="00651D0B"/>
    <w:rsid w:val="00652FA5"/>
    <w:rsid w:val="006532C2"/>
    <w:rsid w:val="006567CB"/>
    <w:rsid w:val="00662616"/>
    <w:rsid w:val="00666DAE"/>
    <w:rsid w:val="006672A2"/>
    <w:rsid w:val="00670E7D"/>
    <w:rsid w:val="00672528"/>
    <w:rsid w:val="006732AD"/>
    <w:rsid w:val="00675C36"/>
    <w:rsid w:val="00677AA6"/>
    <w:rsid w:val="00681D10"/>
    <w:rsid w:val="00683A62"/>
    <w:rsid w:val="00687289"/>
    <w:rsid w:val="00691D75"/>
    <w:rsid w:val="006922CE"/>
    <w:rsid w:val="00697BA7"/>
    <w:rsid w:val="006A1E17"/>
    <w:rsid w:val="006A6A23"/>
    <w:rsid w:val="006B00B5"/>
    <w:rsid w:val="006B28B4"/>
    <w:rsid w:val="006B2A17"/>
    <w:rsid w:val="006B5DAA"/>
    <w:rsid w:val="006B6028"/>
    <w:rsid w:val="006B6E34"/>
    <w:rsid w:val="006C22EF"/>
    <w:rsid w:val="006C4524"/>
    <w:rsid w:val="006C62EC"/>
    <w:rsid w:val="006D011B"/>
    <w:rsid w:val="006D2693"/>
    <w:rsid w:val="006D3995"/>
    <w:rsid w:val="006D47A5"/>
    <w:rsid w:val="006D63ED"/>
    <w:rsid w:val="006E0C95"/>
    <w:rsid w:val="006E0D06"/>
    <w:rsid w:val="006E5598"/>
    <w:rsid w:val="006E565A"/>
    <w:rsid w:val="006F0E9C"/>
    <w:rsid w:val="006F2072"/>
    <w:rsid w:val="006F4276"/>
    <w:rsid w:val="006F475A"/>
    <w:rsid w:val="007005D7"/>
    <w:rsid w:val="00710790"/>
    <w:rsid w:val="00712422"/>
    <w:rsid w:val="007168B0"/>
    <w:rsid w:val="00720363"/>
    <w:rsid w:val="00720EE8"/>
    <w:rsid w:val="007262D1"/>
    <w:rsid w:val="0073325C"/>
    <w:rsid w:val="007335E2"/>
    <w:rsid w:val="00733A52"/>
    <w:rsid w:val="00737A4C"/>
    <w:rsid w:val="00737BF5"/>
    <w:rsid w:val="00746C9A"/>
    <w:rsid w:val="007472A1"/>
    <w:rsid w:val="00757236"/>
    <w:rsid w:val="00757D7F"/>
    <w:rsid w:val="0076037B"/>
    <w:rsid w:val="00763119"/>
    <w:rsid w:val="00770BB9"/>
    <w:rsid w:val="0077485A"/>
    <w:rsid w:val="00774C7C"/>
    <w:rsid w:val="00775E8B"/>
    <w:rsid w:val="0078309B"/>
    <w:rsid w:val="007868C1"/>
    <w:rsid w:val="00786DC4"/>
    <w:rsid w:val="007965BB"/>
    <w:rsid w:val="007977FA"/>
    <w:rsid w:val="007B1742"/>
    <w:rsid w:val="007B38D3"/>
    <w:rsid w:val="007B6C08"/>
    <w:rsid w:val="007C0530"/>
    <w:rsid w:val="007C0A3C"/>
    <w:rsid w:val="007C0C49"/>
    <w:rsid w:val="007C2CD6"/>
    <w:rsid w:val="007C77F1"/>
    <w:rsid w:val="007D5723"/>
    <w:rsid w:val="007D6D52"/>
    <w:rsid w:val="007E3BC7"/>
    <w:rsid w:val="007E4172"/>
    <w:rsid w:val="007F0A95"/>
    <w:rsid w:val="007F32B8"/>
    <w:rsid w:val="007F3A95"/>
    <w:rsid w:val="007F4A0E"/>
    <w:rsid w:val="007F59F2"/>
    <w:rsid w:val="007F73A6"/>
    <w:rsid w:val="00803377"/>
    <w:rsid w:val="00811A90"/>
    <w:rsid w:val="00812B64"/>
    <w:rsid w:val="00816B72"/>
    <w:rsid w:val="008178F6"/>
    <w:rsid w:val="008205C1"/>
    <w:rsid w:val="00822461"/>
    <w:rsid w:val="00822CC4"/>
    <w:rsid w:val="00822D27"/>
    <w:rsid w:val="0082406C"/>
    <w:rsid w:val="00824B64"/>
    <w:rsid w:val="00826F87"/>
    <w:rsid w:val="00830BB2"/>
    <w:rsid w:val="00831807"/>
    <w:rsid w:val="0083385F"/>
    <w:rsid w:val="00837AD1"/>
    <w:rsid w:val="00840D60"/>
    <w:rsid w:val="00844A8D"/>
    <w:rsid w:val="00844B2F"/>
    <w:rsid w:val="0084536E"/>
    <w:rsid w:val="00846AE5"/>
    <w:rsid w:val="00851A9F"/>
    <w:rsid w:val="00853DF7"/>
    <w:rsid w:val="00856074"/>
    <w:rsid w:val="00863A52"/>
    <w:rsid w:val="00872C18"/>
    <w:rsid w:val="008740B8"/>
    <w:rsid w:val="008746B9"/>
    <w:rsid w:val="008752E0"/>
    <w:rsid w:val="008839F0"/>
    <w:rsid w:val="00883A97"/>
    <w:rsid w:val="00883AAD"/>
    <w:rsid w:val="008928ED"/>
    <w:rsid w:val="008933E0"/>
    <w:rsid w:val="008A650F"/>
    <w:rsid w:val="008B2D18"/>
    <w:rsid w:val="008B3BF5"/>
    <w:rsid w:val="008B5DC2"/>
    <w:rsid w:val="008B78AE"/>
    <w:rsid w:val="008C0CAC"/>
    <w:rsid w:val="008C6857"/>
    <w:rsid w:val="008D3D51"/>
    <w:rsid w:val="008D55A8"/>
    <w:rsid w:val="008D6EA8"/>
    <w:rsid w:val="008D71EB"/>
    <w:rsid w:val="008F2300"/>
    <w:rsid w:val="008F63F1"/>
    <w:rsid w:val="009005DE"/>
    <w:rsid w:val="00901FA5"/>
    <w:rsid w:val="009024E5"/>
    <w:rsid w:val="00903EDD"/>
    <w:rsid w:val="00907C49"/>
    <w:rsid w:val="009142CD"/>
    <w:rsid w:val="0091743B"/>
    <w:rsid w:val="00920570"/>
    <w:rsid w:val="00923425"/>
    <w:rsid w:val="00923D26"/>
    <w:rsid w:val="0092482C"/>
    <w:rsid w:val="00925AFE"/>
    <w:rsid w:val="009312CA"/>
    <w:rsid w:val="00932FF4"/>
    <w:rsid w:val="00945005"/>
    <w:rsid w:val="00945C7C"/>
    <w:rsid w:val="009504D4"/>
    <w:rsid w:val="00970D13"/>
    <w:rsid w:val="00971481"/>
    <w:rsid w:val="0097487A"/>
    <w:rsid w:val="00981FC4"/>
    <w:rsid w:val="0098337A"/>
    <w:rsid w:val="0098553F"/>
    <w:rsid w:val="0098730F"/>
    <w:rsid w:val="009927C2"/>
    <w:rsid w:val="00992DA7"/>
    <w:rsid w:val="009A1A30"/>
    <w:rsid w:val="009A3516"/>
    <w:rsid w:val="009A4CF5"/>
    <w:rsid w:val="009A4F17"/>
    <w:rsid w:val="009B1BAF"/>
    <w:rsid w:val="009C61FE"/>
    <w:rsid w:val="009C6C1F"/>
    <w:rsid w:val="009D7A1B"/>
    <w:rsid w:val="009E16EE"/>
    <w:rsid w:val="009E253F"/>
    <w:rsid w:val="009F400D"/>
    <w:rsid w:val="009F7259"/>
    <w:rsid w:val="009F74DC"/>
    <w:rsid w:val="00A00CA1"/>
    <w:rsid w:val="00A0133C"/>
    <w:rsid w:val="00A05CAE"/>
    <w:rsid w:val="00A07234"/>
    <w:rsid w:val="00A1000F"/>
    <w:rsid w:val="00A1025B"/>
    <w:rsid w:val="00A11EB3"/>
    <w:rsid w:val="00A14C7C"/>
    <w:rsid w:val="00A1522A"/>
    <w:rsid w:val="00A1608F"/>
    <w:rsid w:val="00A17E29"/>
    <w:rsid w:val="00A40B17"/>
    <w:rsid w:val="00A44B9D"/>
    <w:rsid w:val="00A519DD"/>
    <w:rsid w:val="00A53E74"/>
    <w:rsid w:val="00A542B7"/>
    <w:rsid w:val="00A54678"/>
    <w:rsid w:val="00A579C0"/>
    <w:rsid w:val="00A623DE"/>
    <w:rsid w:val="00A65CD0"/>
    <w:rsid w:val="00A71058"/>
    <w:rsid w:val="00A731CB"/>
    <w:rsid w:val="00A75E10"/>
    <w:rsid w:val="00A77411"/>
    <w:rsid w:val="00A83EC6"/>
    <w:rsid w:val="00A8416A"/>
    <w:rsid w:val="00A90CA7"/>
    <w:rsid w:val="00A9588E"/>
    <w:rsid w:val="00AB06AA"/>
    <w:rsid w:val="00AB0FEE"/>
    <w:rsid w:val="00AB3220"/>
    <w:rsid w:val="00AB5BD7"/>
    <w:rsid w:val="00AB625B"/>
    <w:rsid w:val="00AB6786"/>
    <w:rsid w:val="00AB77E1"/>
    <w:rsid w:val="00AC1FA6"/>
    <w:rsid w:val="00AE0E5F"/>
    <w:rsid w:val="00AE27A4"/>
    <w:rsid w:val="00AE3B02"/>
    <w:rsid w:val="00AE4918"/>
    <w:rsid w:val="00AF2622"/>
    <w:rsid w:val="00AF34E9"/>
    <w:rsid w:val="00AF3D9E"/>
    <w:rsid w:val="00AF6479"/>
    <w:rsid w:val="00B006F0"/>
    <w:rsid w:val="00B03E86"/>
    <w:rsid w:val="00B0408D"/>
    <w:rsid w:val="00B0550E"/>
    <w:rsid w:val="00B2092A"/>
    <w:rsid w:val="00B21B66"/>
    <w:rsid w:val="00B21E05"/>
    <w:rsid w:val="00B22FD5"/>
    <w:rsid w:val="00B2625C"/>
    <w:rsid w:val="00B305D9"/>
    <w:rsid w:val="00B348B3"/>
    <w:rsid w:val="00B37297"/>
    <w:rsid w:val="00B37E44"/>
    <w:rsid w:val="00B44A5A"/>
    <w:rsid w:val="00B50C8E"/>
    <w:rsid w:val="00B51A41"/>
    <w:rsid w:val="00B52A6A"/>
    <w:rsid w:val="00B54E49"/>
    <w:rsid w:val="00B6682B"/>
    <w:rsid w:val="00B67ED5"/>
    <w:rsid w:val="00B71626"/>
    <w:rsid w:val="00B737C2"/>
    <w:rsid w:val="00B740E0"/>
    <w:rsid w:val="00B80534"/>
    <w:rsid w:val="00B812FA"/>
    <w:rsid w:val="00B820A2"/>
    <w:rsid w:val="00B8470E"/>
    <w:rsid w:val="00B8796B"/>
    <w:rsid w:val="00B903BA"/>
    <w:rsid w:val="00B91F5C"/>
    <w:rsid w:val="00B94226"/>
    <w:rsid w:val="00B9717B"/>
    <w:rsid w:val="00BA1A2A"/>
    <w:rsid w:val="00BB0B50"/>
    <w:rsid w:val="00BB5573"/>
    <w:rsid w:val="00BC0E5D"/>
    <w:rsid w:val="00BC1571"/>
    <w:rsid w:val="00BC1A8D"/>
    <w:rsid w:val="00BC66D8"/>
    <w:rsid w:val="00BD08F5"/>
    <w:rsid w:val="00BD3C3B"/>
    <w:rsid w:val="00BF46AA"/>
    <w:rsid w:val="00BF61FF"/>
    <w:rsid w:val="00C00F6B"/>
    <w:rsid w:val="00C00FEC"/>
    <w:rsid w:val="00C027D2"/>
    <w:rsid w:val="00C05730"/>
    <w:rsid w:val="00C14A9C"/>
    <w:rsid w:val="00C15E0A"/>
    <w:rsid w:val="00C1723A"/>
    <w:rsid w:val="00C20F53"/>
    <w:rsid w:val="00C23B8E"/>
    <w:rsid w:val="00C23DD1"/>
    <w:rsid w:val="00C26C80"/>
    <w:rsid w:val="00C27CD7"/>
    <w:rsid w:val="00C32AD7"/>
    <w:rsid w:val="00C3356E"/>
    <w:rsid w:val="00C337D6"/>
    <w:rsid w:val="00C34FCD"/>
    <w:rsid w:val="00C351B5"/>
    <w:rsid w:val="00C4330B"/>
    <w:rsid w:val="00C43DB7"/>
    <w:rsid w:val="00C45B2D"/>
    <w:rsid w:val="00C53787"/>
    <w:rsid w:val="00C56630"/>
    <w:rsid w:val="00C71597"/>
    <w:rsid w:val="00C7445A"/>
    <w:rsid w:val="00C76FA8"/>
    <w:rsid w:val="00C82D81"/>
    <w:rsid w:val="00C83133"/>
    <w:rsid w:val="00C913E1"/>
    <w:rsid w:val="00CA64BA"/>
    <w:rsid w:val="00CB173D"/>
    <w:rsid w:val="00CB3A0E"/>
    <w:rsid w:val="00CB6003"/>
    <w:rsid w:val="00CB678A"/>
    <w:rsid w:val="00CC2337"/>
    <w:rsid w:val="00CC2B20"/>
    <w:rsid w:val="00CC3C90"/>
    <w:rsid w:val="00CC4922"/>
    <w:rsid w:val="00CC68AC"/>
    <w:rsid w:val="00CD5614"/>
    <w:rsid w:val="00CE18D6"/>
    <w:rsid w:val="00CE4899"/>
    <w:rsid w:val="00CE5DAB"/>
    <w:rsid w:val="00CE7129"/>
    <w:rsid w:val="00CF16EB"/>
    <w:rsid w:val="00CF2C61"/>
    <w:rsid w:val="00CF3581"/>
    <w:rsid w:val="00CF3EFC"/>
    <w:rsid w:val="00CF4247"/>
    <w:rsid w:val="00CF4FC6"/>
    <w:rsid w:val="00CF5F75"/>
    <w:rsid w:val="00D01045"/>
    <w:rsid w:val="00D0113B"/>
    <w:rsid w:val="00D02CDD"/>
    <w:rsid w:val="00D06C60"/>
    <w:rsid w:val="00D1070E"/>
    <w:rsid w:val="00D1594F"/>
    <w:rsid w:val="00D15A11"/>
    <w:rsid w:val="00D15B54"/>
    <w:rsid w:val="00D204A6"/>
    <w:rsid w:val="00D205DB"/>
    <w:rsid w:val="00D3147C"/>
    <w:rsid w:val="00D31CFB"/>
    <w:rsid w:val="00D33BFA"/>
    <w:rsid w:val="00D361FB"/>
    <w:rsid w:val="00D46F41"/>
    <w:rsid w:val="00D4766F"/>
    <w:rsid w:val="00D51DFA"/>
    <w:rsid w:val="00D55EA6"/>
    <w:rsid w:val="00D56DDE"/>
    <w:rsid w:val="00D604C2"/>
    <w:rsid w:val="00D604FD"/>
    <w:rsid w:val="00D64387"/>
    <w:rsid w:val="00D6482D"/>
    <w:rsid w:val="00D6562A"/>
    <w:rsid w:val="00D660D3"/>
    <w:rsid w:val="00D66220"/>
    <w:rsid w:val="00D67058"/>
    <w:rsid w:val="00D70061"/>
    <w:rsid w:val="00D70F56"/>
    <w:rsid w:val="00D80A3F"/>
    <w:rsid w:val="00D8713B"/>
    <w:rsid w:val="00D96608"/>
    <w:rsid w:val="00D97BF5"/>
    <w:rsid w:val="00DA2E7D"/>
    <w:rsid w:val="00DB097F"/>
    <w:rsid w:val="00DB5B0D"/>
    <w:rsid w:val="00DC55DA"/>
    <w:rsid w:val="00DC5FC2"/>
    <w:rsid w:val="00DC61D0"/>
    <w:rsid w:val="00DD373F"/>
    <w:rsid w:val="00DE2F66"/>
    <w:rsid w:val="00DE35D0"/>
    <w:rsid w:val="00DE6909"/>
    <w:rsid w:val="00DE6B8B"/>
    <w:rsid w:val="00DE6EAA"/>
    <w:rsid w:val="00DF3CDD"/>
    <w:rsid w:val="00E05871"/>
    <w:rsid w:val="00E059FF"/>
    <w:rsid w:val="00E10C32"/>
    <w:rsid w:val="00E11232"/>
    <w:rsid w:val="00E135A2"/>
    <w:rsid w:val="00E17E06"/>
    <w:rsid w:val="00E215A9"/>
    <w:rsid w:val="00E26397"/>
    <w:rsid w:val="00E27AE0"/>
    <w:rsid w:val="00E30414"/>
    <w:rsid w:val="00E336EC"/>
    <w:rsid w:val="00E362BF"/>
    <w:rsid w:val="00E42208"/>
    <w:rsid w:val="00E42875"/>
    <w:rsid w:val="00E43288"/>
    <w:rsid w:val="00E44AA6"/>
    <w:rsid w:val="00E45579"/>
    <w:rsid w:val="00E47F68"/>
    <w:rsid w:val="00E50943"/>
    <w:rsid w:val="00E51B90"/>
    <w:rsid w:val="00E537C7"/>
    <w:rsid w:val="00E54161"/>
    <w:rsid w:val="00E549ED"/>
    <w:rsid w:val="00E60125"/>
    <w:rsid w:val="00E63AAD"/>
    <w:rsid w:val="00E65FB5"/>
    <w:rsid w:val="00E66922"/>
    <w:rsid w:val="00E76111"/>
    <w:rsid w:val="00E77D8B"/>
    <w:rsid w:val="00E841D4"/>
    <w:rsid w:val="00E93D31"/>
    <w:rsid w:val="00E962A9"/>
    <w:rsid w:val="00E96912"/>
    <w:rsid w:val="00E96E25"/>
    <w:rsid w:val="00EA0A56"/>
    <w:rsid w:val="00EA1131"/>
    <w:rsid w:val="00EA2042"/>
    <w:rsid w:val="00EA3942"/>
    <w:rsid w:val="00EA4AC2"/>
    <w:rsid w:val="00EB2F89"/>
    <w:rsid w:val="00EB4C28"/>
    <w:rsid w:val="00EB7013"/>
    <w:rsid w:val="00EC47FC"/>
    <w:rsid w:val="00EC4AB5"/>
    <w:rsid w:val="00ED1AE2"/>
    <w:rsid w:val="00ED30F5"/>
    <w:rsid w:val="00ED7EE6"/>
    <w:rsid w:val="00EE0B6E"/>
    <w:rsid w:val="00EF16BA"/>
    <w:rsid w:val="00EF1C78"/>
    <w:rsid w:val="00EF3491"/>
    <w:rsid w:val="00EF5070"/>
    <w:rsid w:val="00EF7667"/>
    <w:rsid w:val="00F017C9"/>
    <w:rsid w:val="00F01A5A"/>
    <w:rsid w:val="00F03920"/>
    <w:rsid w:val="00F07C65"/>
    <w:rsid w:val="00F133EE"/>
    <w:rsid w:val="00F1588B"/>
    <w:rsid w:val="00F20B9C"/>
    <w:rsid w:val="00F22AFD"/>
    <w:rsid w:val="00F23B25"/>
    <w:rsid w:val="00F255D2"/>
    <w:rsid w:val="00F27AEF"/>
    <w:rsid w:val="00F3188C"/>
    <w:rsid w:val="00F32A74"/>
    <w:rsid w:val="00F32CA8"/>
    <w:rsid w:val="00F35814"/>
    <w:rsid w:val="00F403C3"/>
    <w:rsid w:val="00F414E9"/>
    <w:rsid w:val="00F42FCF"/>
    <w:rsid w:val="00F434F3"/>
    <w:rsid w:val="00F43B97"/>
    <w:rsid w:val="00F45F2D"/>
    <w:rsid w:val="00F50B13"/>
    <w:rsid w:val="00F5279A"/>
    <w:rsid w:val="00F52AA0"/>
    <w:rsid w:val="00F555AE"/>
    <w:rsid w:val="00F55A97"/>
    <w:rsid w:val="00F57A70"/>
    <w:rsid w:val="00F6335A"/>
    <w:rsid w:val="00F815EE"/>
    <w:rsid w:val="00F824FD"/>
    <w:rsid w:val="00F860C8"/>
    <w:rsid w:val="00F868AC"/>
    <w:rsid w:val="00F86903"/>
    <w:rsid w:val="00F91569"/>
    <w:rsid w:val="00F935F5"/>
    <w:rsid w:val="00F948B2"/>
    <w:rsid w:val="00F9653C"/>
    <w:rsid w:val="00F9678E"/>
    <w:rsid w:val="00FA21CD"/>
    <w:rsid w:val="00FA6300"/>
    <w:rsid w:val="00FB1174"/>
    <w:rsid w:val="00FB45E3"/>
    <w:rsid w:val="00FB5299"/>
    <w:rsid w:val="00FB661D"/>
    <w:rsid w:val="00FC0A5A"/>
    <w:rsid w:val="00FC0A69"/>
    <w:rsid w:val="00FC40AD"/>
    <w:rsid w:val="00FC5A85"/>
    <w:rsid w:val="00FC70A0"/>
    <w:rsid w:val="00FD0983"/>
    <w:rsid w:val="00FE0363"/>
    <w:rsid w:val="00FE069E"/>
    <w:rsid w:val="00FE1442"/>
    <w:rsid w:val="00FE1F4D"/>
    <w:rsid w:val="00FE322C"/>
    <w:rsid w:val="00FE3AC1"/>
    <w:rsid w:val="00FF012D"/>
    <w:rsid w:val="00FF50F5"/>
    <w:rsid w:val="00FF57AF"/>
  </w:rsids>
  <m:mathPr>
    <m:mathFont m:val="Cambria Math"/>
    <m:brkBin m:val="before"/>
    <m:brkBinSub m:val="--"/>
    <m:smallFrac/>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147"/>
    <w:rPr>
      <w:lang w:val="de-CH"/>
    </w:rPr>
  </w:style>
  <w:style w:type="paragraph" w:styleId="Ttulo2">
    <w:name w:val="heading 2"/>
    <w:basedOn w:val="Normal"/>
    <w:link w:val="Ttulo2Car"/>
    <w:uiPriority w:val="9"/>
    <w:qFormat/>
    <w:rsid w:val="001A46F4"/>
    <w:pPr>
      <w:spacing w:before="100" w:beforeAutospacing="1" w:after="100" w:afterAutospacing="1" w:line="240" w:lineRule="auto"/>
      <w:outlineLvl w:val="1"/>
    </w:pPr>
    <w:rPr>
      <w:rFonts w:ascii="Times New Roman" w:hAnsi="Times New Roman" w:cs="Times New Roman"/>
      <w:b/>
      <w:bCs/>
      <w:sz w:val="36"/>
      <w:szCs w:val="36"/>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1">
    <w:name w:val="Texto nota pie Car1"/>
    <w:aliases w:val="Char Car,Footnote Text Char Char Char Char Car,Footnote Text Char Char Car,Char Char Char Char Car,Footnote reference Car,FA Fu Car,Footnote Text Char Char Char Char Char Car,Footnote Text Char Char Char Car, Char Car,5_G Car,fn Car"/>
    <w:link w:val="Textonotapie"/>
    <w:uiPriority w:val="99"/>
    <w:locked/>
    <w:rsid w:val="00B67ED5"/>
    <w:rPr>
      <w:lang w:val="de-CH"/>
    </w:rPr>
  </w:style>
  <w:style w:type="paragraph" w:styleId="Textonotapie">
    <w:name w:val="footnote text"/>
    <w:aliases w:val="Char,Footnote Text Char Char Char Char,Footnote Text Char Char,Char Char Char Char,Footnote reference,FA Fu,Footnote Text Char Char Char Char Char,Footnote Text Char Char Char, Char, Char Char Char Char,5_G,fn,FN,Texto nota pie Car"/>
    <w:basedOn w:val="Normal"/>
    <w:link w:val="TextonotapieCar1"/>
    <w:uiPriority w:val="99"/>
    <w:unhideWhenUsed/>
    <w:qFormat/>
    <w:rsid w:val="00B67ED5"/>
  </w:style>
  <w:style w:type="character" w:customStyle="1" w:styleId="FootnoteTextChar1">
    <w:name w:val="Footnote Text Char1"/>
    <w:basedOn w:val="Fuentedeprrafopredeter"/>
    <w:uiPriority w:val="99"/>
    <w:semiHidden/>
    <w:rsid w:val="00B67ED5"/>
    <w:rPr>
      <w:sz w:val="20"/>
      <w:szCs w:val="20"/>
      <w:lang w:val="de-CH"/>
    </w:rPr>
  </w:style>
  <w:style w:type="character" w:styleId="Refdenotaalpie">
    <w:name w:val="footnote reference"/>
    <w:aliases w:val="Footnotes refss,Footnote number,Footnote,4_G,Footnote symbol,Footnote Refernece,callout,Footnote Reference Superscript,Footnote Reference Number,BVI fnr,ftref,NO,Voetnootverwijzing,Times 10 Point,Exposant 3 Point,Footnote Ref"/>
    <w:link w:val="4GCharCharChar"/>
    <w:unhideWhenUsed/>
    <w:qFormat/>
    <w:rsid w:val="00B67ED5"/>
    <w:rPr>
      <w:vertAlign w:val="superscript"/>
    </w:rPr>
  </w:style>
  <w:style w:type="character" w:styleId="Hipervnculo">
    <w:name w:val="Hyperlink"/>
    <w:basedOn w:val="Fuentedeprrafopredeter"/>
    <w:uiPriority w:val="99"/>
    <w:unhideWhenUsed/>
    <w:rsid w:val="00B67ED5"/>
    <w:rPr>
      <w:color w:val="0000FF"/>
      <w:u w:val="single"/>
    </w:rPr>
  </w:style>
  <w:style w:type="paragraph" w:styleId="Prrafodelista">
    <w:name w:val="List Paragraph"/>
    <w:basedOn w:val="Normal"/>
    <w:link w:val="PrrafodelistaCar"/>
    <w:uiPriority w:val="34"/>
    <w:qFormat/>
    <w:rsid w:val="00B67ED5"/>
    <w:pPr>
      <w:ind w:left="720"/>
      <w:contextualSpacing/>
    </w:pPr>
  </w:style>
  <w:style w:type="character" w:customStyle="1" w:styleId="apple-converted-space">
    <w:name w:val="apple-converted-space"/>
    <w:basedOn w:val="Fuentedeprrafopredeter"/>
    <w:rsid w:val="00B67ED5"/>
  </w:style>
  <w:style w:type="character" w:customStyle="1" w:styleId="PrrafodelistaCar">
    <w:name w:val="Párrafo de lista Car"/>
    <w:basedOn w:val="Fuentedeprrafopredeter"/>
    <w:link w:val="Prrafodelista"/>
    <w:uiPriority w:val="34"/>
    <w:locked/>
    <w:rsid w:val="00B67ED5"/>
    <w:rPr>
      <w:lang w:val="de-CH"/>
    </w:rPr>
  </w:style>
  <w:style w:type="character" w:customStyle="1" w:styleId="FootnoteCharacters">
    <w:name w:val="Footnote Characters"/>
    <w:rsid w:val="00B67ED5"/>
    <w:rPr>
      <w:vertAlign w:val="superscript"/>
    </w:rPr>
  </w:style>
  <w:style w:type="paragraph" w:styleId="Textodeglobo">
    <w:name w:val="Balloon Text"/>
    <w:basedOn w:val="Normal"/>
    <w:link w:val="TextodegloboCar"/>
    <w:uiPriority w:val="99"/>
    <w:semiHidden/>
    <w:unhideWhenUsed/>
    <w:rsid w:val="005761FA"/>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761FA"/>
    <w:rPr>
      <w:rFonts w:ascii="Lucida Grande" w:hAnsi="Lucida Grande"/>
      <w:sz w:val="18"/>
      <w:szCs w:val="18"/>
      <w:lang w:val="de-CH"/>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Refdenotaalpie"/>
    <w:rsid w:val="00C7445A"/>
    <w:pPr>
      <w:spacing w:after="160" w:line="240" w:lineRule="exact"/>
      <w:jc w:val="both"/>
    </w:pPr>
    <w:rPr>
      <w:vertAlign w:val="superscript"/>
      <w:lang w:val="en-GB"/>
    </w:rPr>
  </w:style>
  <w:style w:type="character" w:customStyle="1" w:styleId="highlight">
    <w:name w:val="highlight"/>
    <w:basedOn w:val="Fuentedeprrafopredeter"/>
    <w:rsid w:val="00281138"/>
  </w:style>
  <w:style w:type="character" w:styleId="Refdenotaalfinal">
    <w:name w:val="endnote reference"/>
    <w:uiPriority w:val="99"/>
    <w:semiHidden/>
    <w:unhideWhenUsed/>
    <w:rsid w:val="00166F22"/>
    <w:rPr>
      <w:vertAlign w:val="superscript"/>
    </w:rPr>
  </w:style>
  <w:style w:type="paragraph" w:styleId="Sinespaciado">
    <w:name w:val="No Spacing"/>
    <w:basedOn w:val="Normal"/>
    <w:uiPriority w:val="1"/>
    <w:qFormat/>
    <w:rsid w:val="00166F22"/>
    <w:pPr>
      <w:spacing w:after="0" w:line="240" w:lineRule="auto"/>
    </w:pPr>
    <w:rPr>
      <w:rFonts w:ascii="Georgia" w:eastAsia="Times New Roman" w:hAnsi="Georgia" w:cs="Times New Roman"/>
      <w:sz w:val="20"/>
      <w:szCs w:val="20"/>
      <w:lang w:val="nb-NO"/>
    </w:rPr>
  </w:style>
  <w:style w:type="paragraph" w:customStyle="1" w:styleId="Style1">
    <w:name w:val="Style1"/>
    <w:basedOn w:val="Textonotaalfinal"/>
    <w:link w:val="Style1Char"/>
    <w:qFormat/>
    <w:rsid w:val="00166F22"/>
    <w:pPr>
      <w:numPr>
        <w:numId w:val="1"/>
      </w:numPr>
      <w:spacing w:after="200" w:line="252" w:lineRule="auto"/>
    </w:pPr>
    <w:rPr>
      <w:rFonts w:ascii="Verdana" w:eastAsia="Times New Roman" w:hAnsi="Verdana" w:cs="Times New Roman"/>
      <w:sz w:val="22"/>
      <w:szCs w:val="22"/>
      <w:lang w:val="en-US" w:bidi="en-US"/>
    </w:rPr>
  </w:style>
  <w:style w:type="character" w:customStyle="1" w:styleId="Style1Char">
    <w:name w:val="Style1 Char"/>
    <w:link w:val="Style1"/>
    <w:rsid w:val="00166F22"/>
    <w:rPr>
      <w:rFonts w:ascii="Verdana" w:eastAsia="Times New Roman" w:hAnsi="Verdana" w:cs="Times New Roman"/>
      <w:lang w:val="en-US" w:bidi="en-US"/>
    </w:rPr>
  </w:style>
  <w:style w:type="paragraph" w:styleId="Textonotaalfinal">
    <w:name w:val="endnote text"/>
    <w:basedOn w:val="Normal"/>
    <w:link w:val="TextonotaalfinalCar"/>
    <w:uiPriority w:val="99"/>
    <w:semiHidden/>
    <w:unhideWhenUsed/>
    <w:rsid w:val="00166F22"/>
    <w:pPr>
      <w:spacing w:after="0" w:line="240" w:lineRule="auto"/>
    </w:pPr>
    <w:rPr>
      <w:sz w:val="24"/>
      <w:szCs w:val="24"/>
    </w:rPr>
  </w:style>
  <w:style w:type="character" w:customStyle="1" w:styleId="TextonotaalfinalCar">
    <w:name w:val="Texto nota al final Car"/>
    <w:basedOn w:val="Fuentedeprrafopredeter"/>
    <w:link w:val="Textonotaalfinal"/>
    <w:uiPriority w:val="99"/>
    <w:semiHidden/>
    <w:rsid w:val="00166F22"/>
    <w:rPr>
      <w:sz w:val="24"/>
      <w:szCs w:val="24"/>
      <w:lang w:val="de-CH"/>
    </w:rPr>
  </w:style>
  <w:style w:type="paragraph" w:styleId="Piedepgina">
    <w:name w:val="footer"/>
    <w:basedOn w:val="Normal"/>
    <w:link w:val="PiedepginaCar"/>
    <w:uiPriority w:val="99"/>
    <w:unhideWhenUsed/>
    <w:rsid w:val="006B5DAA"/>
    <w:pPr>
      <w:tabs>
        <w:tab w:val="center" w:pos="4320"/>
        <w:tab w:val="right" w:pos="8640"/>
      </w:tabs>
      <w:spacing w:after="0" w:line="240" w:lineRule="auto"/>
    </w:pPr>
  </w:style>
  <w:style w:type="character" w:customStyle="1" w:styleId="PiedepginaCar">
    <w:name w:val="Pie de página Car"/>
    <w:basedOn w:val="Fuentedeprrafopredeter"/>
    <w:link w:val="Piedepgina"/>
    <w:uiPriority w:val="99"/>
    <w:rsid w:val="006B5DAA"/>
    <w:rPr>
      <w:lang w:val="de-CH"/>
    </w:rPr>
  </w:style>
  <w:style w:type="character" w:styleId="Nmerodepgina">
    <w:name w:val="page number"/>
    <w:basedOn w:val="Fuentedeprrafopredeter"/>
    <w:uiPriority w:val="99"/>
    <w:semiHidden/>
    <w:unhideWhenUsed/>
    <w:rsid w:val="006B5DAA"/>
  </w:style>
  <w:style w:type="paragraph" w:styleId="Encabezado">
    <w:name w:val="header"/>
    <w:basedOn w:val="Normal"/>
    <w:link w:val="EncabezadoCar"/>
    <w:uiPriority w:val="99"/>
    <w:unhideWhenUsed/>
    <w:rsid w:val="006B5DAA"/>
    <w:pPr>
      <w:tabs>
        <w:tab w:val="center" w:pos="4320"/>
        <w:tab w:val="right" w:pos="8640"/>
      </w:tabs>
      <w:spacing w:after="0" w:line="240" w:lineRule="auto"/>
    </w:pPr>
  </w:style>
  <w:style w:type="character" w:customStyle="1" w:styleId="EncabezadoCar">
    <w:name w:val="Encabezado Car"/>
    <w:basedOn w:val="Fuentedeprrafopredeter"/>
    <w:link w:val="Encabezado"/>
    <w:uiPriority w:val="99"/>
    <w:rsid w:val="006B5DAA"/>
    <w:rPr>
      <w:lang w:val="de-CH"/>
    </w:rPr>
  </w:style>
  <w:style w:type="character" w:styleId="Refdecomentario">
    <w:name w:val="annotation reference"/>
    <w:basedOn w:val="Fuentedeprrafopredeter"/>
    <w:uiPriority w:val="99"/>
    <w:semiHidden/>
    <w:unhideWhenUsed/>
    <w:rsid w:val="001F0470"/>
    <w:rPr>
      <w:sz w:val="18"/>
      <w:szCs w:val="18"/>
    </w:rPr>
  </w:style>
  <w:style w:type="paragraph" w:styleId="Textocomentario">
    <w:name w:val="annotation text"/>
    <w:basedOn w:val="Normal"/>
    <w:link w:val="TextocomentarioCar"/>
    <w:uiPriority w:val="99"/>
    <w:semiHidden/>
    <w:unhideWhenUsed/>
    <w:rsid w:val="001F0470"/>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1F0470"/>
    <w:rPr>
      <w:sz w:val="24"/>
      <w:szCs w:val="24"/>
      <w:lang w:val="de-CH"/>
    </w:rPr>
  </w:style>
  <w:style w:type="paragraph" w:styleId="Asuntodelcomentario">
    <w:name w:val="annotation subject"/>
    <w:basedOn w:val="Textocomentario"/>
    <w:next w:val="Textocomentario"/>
    <w:link w:val="AsuntodelcomentarioCar"/>
    <w:uiPriority w:val="99"/>
    <w:semiHidden/>
    <w:unhideWhenUsed/>
    <w:rsid w:val="001F0470"/>
    <w:rPr>
      <w:b/>
      <w:bCs/>
      <w:sz w:val="20"/>
      <w:szCs w:val="20"/>
    </w:rPr>
  </w:style>
  <w:style w:type="character" w:customStyle="1" w:styleId="AsuntodelcomentarioCar">
    <w:name w:val="Asunto del comentario Car"/>
    <w:basedOn w:val="TextocomentarioCar"/>
    <w:link w:val="Asuntodelcomentario"/>
    <w:uiPriority w:val="99"/>
    <w:semiHidden/>
    <w:rsid w:val="001F0470"/>
    <w:rPr>
      <w:b/>
      <w:bCs/>
      <w:sz w:val="20"/>
      <w:szCs w:val="20"/>
      <w:lang w:val="de-CH"/>
    </w:rPr>
  </w:style>
  <w:style w:type="paragraph" w:customStyle="1" w:styleId="SingleTxtG">
    <w:name w:val="_ Single Txt_G"/>
    <w:basedOn w:val="Normal"/>
    <w:link w:val="SingleTxtGChar"/>
    <w:autoRedefine/>
    <w:rsid w:val="00407BDA"/>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407BDA"/>
    <w:rPr>
      <w:rFonts w:ascii="Times New Roman" w:eastAsia="Times New Roman" w:hAnsi="Times New Roman" w:cs="Times New Roman"/>
      <w:sz w:val="20"/>
      <w:szCs w:val="20"/>
    </w:rPr>
  </w:style>
  <w:style w:type="paragraph" w:styleId="Revisin">
    <w:name w:val="Revision"/>
    <w:hidden/>
    <w:uiPriority w:val="99"/>
    <w:semiHidden/>
    <w:rsid w:val="00545D03"/>
    <w:pPr>
      <w:spacing w:after="0" w:line="240" w:lineRule="auto"/>
    </w:pPr>
    <w:rPr>
      <w:lang w:val="de-CH"/>
    </w:rPr>
  </w:style>
  <w:style w:type="character" w:customStyle="1" w:styleId="hps">
    <w:name w:val="hps"/>
    <w:basedOn w:val="Fuentedeprrafopredeter"/>
    <w:rsid w:val="00992DA7"/>
  </w:style>
  <w:style w:type="paragraph" w:styleId="NormalWeb">
    <w:name w:val="Normal (Web)"/>
    <w:basedOn w:val="Normal"/>
    <w:uiPriority w:val="99"/>
    <w:rsid w:val="00134369"/>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Ttulo2Car">
    <w:name w:val="Título 2 Car"/>
    <w:basedOn w:val="Fuentedeprrafopredeter"/>
    <w:link w:val="Ttulo2"/>
    <w:uiPriority w:val="9"/>
    <w:rsid w:val="001A46F4"/>
    <w:rPr>
      <w:rFonts w:ascii="Times New Roman" w:hAnsi="Times New Roman" w:cs="Times New Roman"/>
      <w:b/>
      <w:bCs/>
      <w:sz w:val="36"/>
      <w:szCs w:val="36"/>
      <w:lang w:eastAsia="en-GB"/>
    </w:rPr>
  </w:style>
  <w:style w:type="character" w:styleId="Textoennegrita">
    <w:name w:val="Strong"/>
    <w:basedOn w:val="Fuentedeprrafopredeter"/>
    <w:uiPriority w:val="22"/>
    <w:qFormat/>
    <w:rsid w:val="001A46F4"/>
    <w:rPr>
      <w:b/>
      <w:bCs/>
    </w:rPr>
  </w:style>
  <w:style w:type="character" w:styleId="Hipervnculovisitado">
    <w:name w:val="FollowedHyperlink"/>
    <w:basedOn w:val="Fuentedeprrafopredeter"/>
    <w:uiPriority w:val="99"/>
    <w:semiHidden/>
    <w:unhideWhenUsed/>
    <w:rsid w:val="00822D27"/>
    <w:rPr>
      <w:color w:val="800080" w:themeColor="followedHyperlink"/>
      <w:u w:val="single"/>
    </w:rPr>
  </w:style>
  <w:style w:type="paragraph" w:styleId="Mapadeldocumento">
    <w:name w:val="Document Map"/>
    <w:basedOn w:val="Normal"/>
    <w:link w:val="MapadeldocumentoCar"/>
    <w:uiPriority w:val="99"/>
    <w:semiHidden/>
    <w:unhideWhenUsed/>
    <w:rsid w:val="002E2DCE"/>
    <w:pPr>
      <w:spacing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2E2DCE"/>
    <w:rPr>
      <w:rFonts w:ascii="Times New Roman" w:hAnsi="Times New Roman" w:cs="Times New Roman"/>
      <w:sz w:val="24"/>
      <w:szCs w:val="24"/>
      <w:lang w:val="de-CH"/>
    </w:rPr>
  </w:style>
</w:styles>
</file>

<file path=word/webSettings.xml><?xml version="1.0" encoding="utf-8"?>
<w:webSettings xmlns:r="http://schemas.openxmlformats.org/officeDocument/2006/relationships" xmlns:w="http://schemas.openxmlformats.org/wordprocessingml/2006/main">
  <w:divs>
    <w:div w:id="275144157">
      <w:bodyDiv w:val="1"/>
      <w:marLeft w:val="0"/>
      <w:marRight w:val="0"/>
      <w:marTop w:val="0"/>
      <w:marBottom w:val="0"/>
      <w:divBdr>
        <w:top w:val="none" w:sz="0" w:space="0" w:color="auto"/>
        <w:left w:val="none" w:sz="0" w:space="0" w:color="auto"/>
        <w:bottom w:val="none" w:sz="0" w:space="0" w:color="auto"/>
        <w:right w:val="none" w:sz="0" w:space="0" w:color="auto"/>
      </w:divBdr>
    </w:div>
    <w:div w:id="988050186">
      <w:bodyDiv w:val="1"/>
      <w:marLeft w:val="0"/>
      <w:marRight w:val="0"/>
      <w:marTop w:val="0"/>
      <w:marBottom w:val="0"/>
      <w:divBdr>
        <w:top w:val="none" w:sz="0" w:space="0" w:color="auto"/>
        <w:left w:val="none" w:sz="0" w:space="0" w:color="auto"/>
        <w:bottom w:val="none" w:sz="0" w:space="0" w:color="auto"/>
        <w:right w:val="none" w:sz="0" w:space="0" w:color="auto"/>
      </w:divBdr>
      <w:divsChild>
        <w:div w:id="1346328142">
          <w:marLeft w:val="0"/>
          <w:marRight w:val="0"/>
          <w:marTop w:val="0"/>
          <w:marBottom w:val="0"/>
          <w:divBdr>
            <w:top w:val="none" w:sz="0" w:space="0" w:color="auto"/>
            <w:left w:val="none" w:sz="0" w:space="0" w:color="auto"/>
            <w:bottom w:val="none" w:sz="0" w:space="0" w:color="auto"/>
            <w:right w:val="none" w:sz="0" w:space="0" w:color="auto"/>
          </w:divBdr>
        </w:div>
        <w:div w:id="493955993">
          <w:marLeft w:val="0"/>
          <w:marRight w:val="0"/>
          <w:marTop w:val="0"/>
          <w:marBottom w:val="0"/>
          <w:divBdr>
            <w:top w:val="none" w:sz="0" w:space="0" w:color="auto"/>
            <w:left w:val="none" w:sz="0" w:space="0" w:color="auto"/>
            <w:bottom w:val="none" w:sz="0" w:space="0" w:color="auto"/>
            <w:right w:val="none" w:sz="0" w:space="0" w:color="auto"/>
          </w:divBdr>
        </w:div>
        <w:div w:id="424115153">
          <w:marLeft w:val="0"/>
          <w:marRight w:val="0"/>
          <w:marTop w:val="0"/>
          <w:marBottom w:val="0"/>
          <w:divBdr>
            <w:top w:val="none" w:sz="0" w:space="0" w:color="auto"/>
            <w:left w:val="none" w:sz="0" w:space="0" w:color="auto"/>
            <w:bottom w:val="none" w:sz="0" w:space="0" w:color="auto"/>
            <w:right w:val="none" w:sz="0" w:space="0" w:color="auto"/>
          </w:divBdr>
        </w:div>
        <w:div w:id="451483242">
          <w:marLeft w:val="0"/>
          <w:marRight w:val="0"/>
          <w:marTop w:val="0"/>
          <w:marBottom w:val="0"/>
          <w:divBdr>
            <w:top w:val="none" w:sz="0" w:space="0" w:color="auto"/>
            <w:left w:val="none" w:sz="0" w:space="0" w:color="auto"/>
            <w:bottom w:val="none" w:sz="0" w:space="0" w:color="auto"/>
            <w:right w:val="none" w:sz="0" w:space="0" w:color="auto"/>
          </w:divBdr>
        </w:div>
        <w:div w:id="1624076414">
          <w:marLeft w:val="0"/>
          <w:marRight w:val="0"/>
          <w:marTop w:val="0"/>
          <w:marBottom w:val="0"/>
          <w:divBdr>
            <w:top w:val="none" w:sz="0" w:space="0" w:color="auto"/>
            <w:left w:val="none" w:sz="0" w:space="0" w:color="auto"/>
            <w:bottom w:val="none" w:sz="0" w:space="0" w:color="auto"/>
            <w:right w:val="none" w:sz="0" w:space="0" w:color="auto"/>
          </w:divBdr>
        </w:div>
        <w:div w:id="1114133344">
          <w:marLeft w:val="0"/>
          <w:marRight w:val="0"/>
          <w:marTop w:val="0"/>
          <w:marBottom w:val="0"/>
          <w:divBdr>
            <w:top w:val="none" w:sz="0" w:space="0" w:color="auto"/>
            <w:left w:val="none" w:sz="0" w:space="0" w:color="auto"/>
            <w:bottom w:val="none" w:sz="0" w:space="0" w:color="auto"/>
            <w:right w:val="none" w:sz="0" w:space="0" w:color="auto"/>
          </w:divBdr>
        </w:div>
        <w:div w:id="645014141">
          <w:marLeft w:val="0"/>
          <w:marRight w:val="0"/>
          <w:marTop w:val="0"/>
          <w:marBottom w:val="0"/>
          <w:divBdr>
            <w:top w:val="none" w:sz="0" w:space="0" w:color="auto"/>
            <w:left w:val="none" w:sz="0" w:space="0" w:color="auto"/>
            <w:bottom w:val="none" w:sz="0" w:space="0" w:color="auto"/>
            <w:right w:val="none" w:sz="0" w:space="0" w:color="auto"/>
          </w:divBdr>
        </w:div>
        <w:div w:id="623124691">
          <w:marLeft w:val="0"/>
          <w:marRight w:val="0"/>
          <w:marTop w:val="0"/>
          <w:marBottom w:val="0"/>
          <w:divBdr>
            <w:top w:val="none" w:sz="0" w:space="0" w:color="auto"/>
            <w:left w:val="none" w:sz="0" w:space="0" w:color="auto"/>
            <w:bottom w:val="none" w:sz="0" w:space="0" w:color="auto"/>
            <w:right w:val="none" w:sz="0" w:space="0" w:color="auto"/>
          </w:divBdr>
        </w:div>
        <w:div w:id="1039286253">
          <w:marLeft w:val="0"/>
          <w:marRight w:val="0"/>
          <w:marTop w:val="0"/>
          <w:marBottom w:val="0"/>
          <w:divBdr>
            <w:top w:val="none" w:sz="0" w:space="0" w:color="auto"/>
            <w:left w:val="none" w:sz="0" w:space="0" w:color="auto"/>
            <w:bottom w:val="none" w:sz="0" w:space="0" w:color="auto"/>
            <w:right w:val="none" w:sz="0" w:space="0" w:color="auto"/>
          </w:divBdr>
        </w:div>
        <w:div w:id="1953630473">
          <w:marLeft w:val="0"/>
          <w:marRight w:val="0"/>
          <w:marTop w:val="0"/>
          <w:marBottom w:val="0"/>
          <w:divBdr>
            <w:top w:val="none" w:sz="0" w:space="0" w:color="auto"/>
            <w:left w:val="none" w:sz="0" w:space="0" w:color="auto"/>
            <w:bottom w:val="none" w:sz="0" w:space="0" w:color="auto"/>
            <w:right w:val="none" w:sz="0" w:space="0" w:color="auto"/>
          </w:divBdr>
        </w:div>
        <w:div w:id="584727115">
          <w:marLeft w:val="0"/>
          <w:marRight w:val="0"/>
          <w:marTop w:val="0"/>
          <w:marBottom w:val="0"/>
          <w:divBdr>
            <w:top w:val="none" w:sz="0" w:space="0" w:color="auto"/>
            <w:left w:val="none" w:sz="0" w:space="0" w:color="auto"/>
            <w:bottom w:val="none" w:sz="0" w:space="0" w:color="auto"/>
            <w:right w:val="none" w:sz="0" w:space="0" w:color="auto"/>
          </w:divBdr>
        </w:div>
        <w:div w:id="2018848761">
          <w:marLeft w:val="0"/>
          <w:marRight w:val="0"/>
          <w:marTop w:val="0"/>
          <w:marBottom w:val="0"/>
          <w:divBdr>
            <w:top w:val="none" w:sz="0" w:space="0" w:color="auto"/>
            <w:left w:val="none" w:sz="0" w:space="0" w:color="auto"/>
            <w:bottom w:val="none" w:sz="0" w:space="0" w:color="auto"/>
            <w:right w:val="none" w:sz="0" w:space="0" w:color="auto"/>
          </w:divBdr>
        </w:div>
        <w:div w:id="2109766852">
          <w:marLeft w:val="0"/>
          <w:marRight w:val="0"/>
          <w:marTop w:val="0"/>
          <w:marBottom w:val="0"/>
          <w:divBdr>
            <w:top w:val="none" w:sz="0" w:space="0" w:color="auto"/>
            <w:left w:val="none" w:sz="0" w:space="0" w:color="auto"/>
            <w:bottom w:val="none" w:sz="0" w:space="0" w:color="auto"/>
            <w:right w:val="none" w:sz="0" w:space="0" w:color="auto"/>
          </w:divBdr>
        </w:div>
        <w:div w:id="531573783">
          <w:marLeft w:val="0"/>
          <w:marRight w:val="0"/>
          <w:marTop w:val="0"/>
          <w:marBottom w:val="0"/>
          <w:divBdr>
            <w:top w:val="none" w:sz="0" w:space="0" w:color="auto"/>
            <w:left w:val="none" w:sz="0" w:space="0" w:color="auto"/>
            <w:bottom w:val="none" w:sz="0" w:space="0" w:color="auto"/>
            <w:right w:val="none" w:sz="0" w:space="0" w:color="auto"/>
          </w:divBdr>
        </w:div>
        <w:div w:id="1959604991">
          <w:marLeft w:val="0"/>
          <w:marRight w:val="0"/>
          <w:marTop w:val="0"/>
          <w:marBottom w:val="0"/>
          <w:divBdr>
            <w:top w:val="none" w:sz="0" w:space="0" w:color="auto"/>
            <w:left w:val="none" w:sz="0" w:space="0" w:color="auto"/>
            <w:bottom w:val="none" w:sz="0" w:space="0" w:color="auto"/>
            <w:right w:val="none" w:sz="0" w:space="0" w:color="auto"/>
          </w:divBdr>
        </w:div>
        <w:div w:id="1873954260">
          <w:marLeft w:val="0"/>
          <w:marRight w:val="0"/>
          <w:marTop w:val="0"/>
          <w:marBottom w:val="0"/>
          <w:divBdr>
            <w:top w:val="none" w:sz="0" w:space="0" w:color="auto"/>
            <w:left w:val="none" w:sz="0" w:space="0" w:color="auto"/>
            <w:bottom w:val="none" w:sz="0" w:space="0" w:color="auto"/>
            <w:right w:val="none" w:sz="0" w:space="0" w:color="auto"/>
          </w:divBdr>
        </w:div>
        <w:div w:id="2044093999">
          <w:marLeft w:val="0"/>
          <w:marRight w:val="0"/>
          <w:marTop w:val="0"/>
          <w:marBottom w:val="0"/>
          <w:divBdr>
            <w:top w:val="none" w:sz="0" w:space="0" w:color="auto"/>
            <w:left w:val="none" w:sz="0" w:space="0" w:color="auto"/>
            <w:bottom w:val="none" w:sz="0" w:space="0" w:color="auto"/>
            <w:right w:val="none" w:sz="0" w:space="0" w:color="auto"/>
          </w:divBdr>
        </w:div>
      </w:divsChild>
    </w:div>
    <w:div w:id="1033654642">
      <w:bodyDiv w:val="1"/>
      <w:marLeft w:val="0"/>
      <w:marRight w:val="0"/>
      <w:marTop w:val="0"/>
      <w:marBottom w:val="0"/>
      <w:divBdr>
        <w:top w:val="none" w:sz="0" w:space="0" w:color="auto"/>
        <w:left w:val="none" w:sz="0" w:space="0" w:color="auto"/>
        <w:bottom w:val="none" w:sz="0" w:space="0" w:color="auto"/>
        <w:right w:val="none" w:sz="0" w:space="0" w:color="auto"/>
      </w:divBdr>
      <w:divsChild>
        <w:div w:id="1567300063">
          <w:marLeft w:val="0"/>
          <w:marRight w:val="0"/>
          <w:marTop w:val="0"/>
          <w:marBottom w:val="0"/>
          <w:divBdr>
            <w:top w:val="none" w:sz="0" w:space="0" w:color="auto"/>
            <w:left w:val="none" w:sz="0" w:space="0" w:color="auto"/>
            <w:bottom w:val="none" w:sz="0" w:space="0" w:color="auto"/>
            <w:right w:val="none" w:sz="0" w:space="0" w:color="auto"/>
          </w:divBdr>
        </w:div>
        <w:div w:id="291713527">
          <w:marLeft w:val="0"/>
          <w:marRight w:val="0"/>
          <w:marTop w:val="0"/>
          <w:marBottom w:val="0"/>
          <w:divBdr>
            <w:top w:val="none" w:sz="0" w:space="0" w:color="auto"/>
            <w:left w:val="none" w:sz="0" w:space="0" w:color="auto"/>
            <w:bottom w:val="none" w:sz="0" w:space="0" w:color="auto"/>
            <w:right w:val="none" w:sz="0" w:space="0" w:color="auto"/>
          </w:divBdr>
        </w:div>
        <w:div w:id="1892375644">
          <w:marLeft w:val="0"/>
          <w:marRight w:val="0"/>
          <w:marTop w:val="0"/>
          <w:marBottom w:val="0"/>
          <w:divBdr>
            <w:top w:val="none" w:sz="0" w:space="0" w:color="auto"/>
            <w:left w:val="none" w:sz="0" w:space="0" w:color="auto"/>
            <w:bottom w:val="none" w:sz="0" w:space="0" w:color="auto"/>
            <w:right w:val="none" w:sz="0" w:space="0" w:color="auto"/>
          </w:divBdr>
        </w:div>
        <w:div w:id="1572689699">
          <w:marLeft w:val="0"/>
          <w:marRight w:val="0"/>
          <w:marTop w:val="0"/>
          <w:marBottom w:val="0"/>
          <w:divBdr>
            <w:top w:val="none" w:sz="0" w:space="0" w:color="auto"/>
            <w:left w:val="none" w:sz="0" w:space="0" w:color="auto"/>
            <w:bottom w:val="none" w:sz="0" w:space="0" w:color="auto"/>
            <w:right w:val="none" w:sz="0" w:space="0" w:color="auto"/>
          </w:divBdr>
        </w:div>
        <w:div w:id="2070810840">
          <w:marLeft w:val="0"/>
          <w:marRight w:val="0"/>
          <w:marTop w:val="0"/>
          <w:marBottom w:val="0"/>
          <w:divBdr>
            <w:top w:val="none" w:sz="0" w:space="0" w:color="auto"/>
            <w:left w:val="none" w:sz="0" w:space="0" w:color="auto"/>
            <w:bottom w:val="none" w:sz="0" w:space="0" w:color="auto"/>
            <w:right w:val="none" w:sz="0" w:space="0" w:color="auto"/>
          </w:divBdr>
        </w:div>
        <w:div w:id="1200044897">
          <w:marLeft w:val="0"/>
          <w:marRight w:val="0"/>
          <w:marTop w:val="0"/>
          <w:marBottom w:val="0"/>
          <w:divBdr>
            <w:top w:val="none" w:sz="0" w:space="0" w:color="auto"/>
            <w:left w:val="none" w:sz="0" w:space="0" w:color="auto"/>
            <w:bottom w:val="none" w:sz="0" w:space="0" w:color="auto"/>
            <w:right w:val="none" w:sz="0" w:space="0" w:color="auto"/>
          </w:divBdr>
        </w:div>
        <w:div w:id="122773178">
          <w:marLeft w:val="0"/>
          <w:marRight w:val="0"/>
          <w:marTop w:val="0"/>
          <w:marBottom w:val="0"/>
          <w:divBdr>
            <w:top w:val="none" w:sz="0" w:space="0" w:color="auto"/>
            <w:left w:val="none" w:sz="0" w:space="0" w:color="auto"/>
            <w:bottom w:val="none" w:sz="0" w:space="0" w:color="auto"/>
            <w:right w:val="none" w:sz="0" w:space="0" w:color="auto"/>
          </w:divBdr>
        </w:div>
        <w:div w:id="922102839">
          <w:marLeft w:val="0"/>
          <w:marRight w:val="0"/>
          <w:marTop w:val="0"/>
          <w:marBottom w:val="0"/>
          <w:divBdr>
            <w:top w:val="none" w:sz="0" w:space="0" w:color="auto"/>
            <w:left w:val="none" w:sz="0" w:space="0" w:color="auto"/>
            <w:bottom w:val="none" w:sz="0" w:space="0" w:color="auto"/>
            <w:right w:val="none" w:sz="0" w:space="0" w:color="auto"/>
          </w:divBdr>
        </w:div>
        <w:div w:id="1532691147">
          <w:marLeft w:val="0"/>
          <w:marRight w:val="0"/>
          <w:marTop w:val="0"/>
          <w:marBottom w:val="0"/>
          <w:divBdr>
            <w:top w:val="none" w:sz="0" w:space="0" w:color="auto"/>
            <w:left w:val="none" w:sz="0" w:space="0" w:color="auto"/>
            <w:bottom w:val="none" w:sz="0" w:space="0" w:color="auto"/>
            <w:right w:val="none" w:sz="0" w:space="0" w:color="auto"/>
          </w:divBdr>
        </w:div>
        <w:div w:id="482935555">
          <w:marLeft w:val="0"/>
          <w:marRight w:val="0"/>
          <w:marTop w:val="0"/>
          <w:marBottom w:val="0"/>
          <w:divBdr>
            <w:top w:val="none" w:sz="0" w:space="0" w:color="auto"/>
            <w:left w:val="none" w:sz="0" w:space="0" w:color="auto"/>
            <w:bottom w:val="none" w:sz="0" w:space="0" w:color="auto"/>
            <w:right w:val="none" w:sz="0" w:space="0" w:color="auto"/>
          </w:divBdr>
        </w:div>
        <w:div w:id="147943407">
          <w:marLeft w:val="0"/>
          <w:marRight w:val="0"/>
          <w:marTop w:val="0"/>
          <w:marBottom w:val="0"/>
          <w:divBdr>
            <w:top w:val="none" w:sz="0" w:space="0" w:color="auto"/>
            <w:left w:val="none" w:sz="0" w:space="0" w:color="auto"/>
            <w:bottom w:val="none" w:sz="0" w:space="0" w:color="auto"/>
            <w:right w:val="none" w:sz="0" w:space="0" w:color="auto"/>
          </w:divBdr>
        </w:div>
      </w:divsChild>
    </w:div>
    <w:div w:id="1414667702">
      <w:bodyDiv w:val="1"/>
      <w:marLeft w:val="0"/>
      <w:marRight w:val="0"/>
      <w:marTop w:val="0"/>
      <w:marBottom w:val="0"/>
      <w:divBdr>
        <w:top w:val="none" w:sz="0" w:space="0" w:color="auto"/>
        <w:left w:val="none" w:sz="0" w:space="0" w:color="auto"/>
        <w:bottom w:val="none" w:sz="0" w:space="0" w:color="auto"/>
        <w:right w:val="none" w:sz="0" w:space="0" w:color="auto"/>
      </w:divBdr>
      <w:divsChild>
        <w:div w:id="1126462645">
          <w:marLeft w:val="0"/>
          <w:marRight w:val="0"/>
          <w:marTop w:val="0"/>
          <w:marBottom w:val="0"/>
          <w:divBdr>
            <w:top w:val="none" w:sz="0" w:space="0" w:color="auto"/>
            <w:left w:val="none" w:sz="0" w:space="0" w:color="auto"/>
            <w:bottom w:val="none" w:sz="0" w:space="0" w:color="auto"/>
            <w:right w:val="none" w:sz="0" w:space="0" w:color="auto"/>
          </w:divBdr>
        </w:div>
        <w:div w:id="29426433">
          <w:marLeft w:val="0"/>
          <w:marRight w:val="0"/>
          <w:marTop w:val="0"/>
          <w:marBottom w:val="0"/>
          <w:divBdr>
            <w:top w:val="none" w:sz="0" w:space="0" w:color="auto"/>
            <w:left w:val="none" w:sz="0" w:space="0" w:color="auto"/>
            <w:bottom w:val="none" w:sz="0" w:space="0" w:color="auto"/>
            <w:right w:val="none" w:sz="0" w:space="0" w:color="auto"/>
          </w:divBdr>
        </w:div>
        <w:div w:id="1078408977">
          <w:marLeft w:val="0"/>
          <w:marRight w:val="0"/>
          <w:marTop w:val="0"/>
          <w:marBottom w:val="0"/>
          <w:divBdr>
            <w:top w:val="none" w:sz="0" w:space="0" w:color="auto"/>
            <w:left w:val="none" w:sz="0" w:space="0" w:color="auto"/>
            <w:bottom w:val="none" w:sz="0" w:space="0" w:color="auto"/>
            <w:right w:val="none" w:sz="0" w:space="0" w:color="auto"/>
          </w:divBdr>
        </w:div>
        <w:div w:id="717896761">
          <w:marLeft w:val="0"/>
          <w:marRight w:val="0"/>
          <w:marTop w:val="0"/>
          <w:marBottom w:val="0"/>
          <w:divBdr>
            <w:top w:val="none" w:sz="0" w:space="0" w:color="auto"/>
            <w:left w:val="none" w:sz="0" w:space="0" w:color="auto"/>
            <w:bottom w:val="none" w:sz="0" w:space="0" w:color="auto"/>
            <w:right w:val="none" w:sz="0" w:space="0" w:color="auto"/>
          </w:divBdr>
        </w:div>
        <w:div w:id="1793207322">
          <w:marLeft w:val="0"/>
          <w:marRight w:val="0"/>
          <w:marTop w:val="0"/>
          <w:marBottom w:val="0"/>
          <w:divBdr>
            <w:top w:val="none" w:sz="0" w:space="0" w:color="auto"/>
            <w:left w:val="none" w:sz="0" w:space="0" w:color="auto"/>
            <w:bottom w:val="none" w:sz="0" w:space="0" w:color="auto"/>
            <w:right w:val="none" w:sz="0" w:space="0" w:color="auto"/>
          </w:divBdr>
        </w:div>
        <w:div w:id="1871406097">
          <w:marLeft w:val="0"/>
          <w:marRight w:val="0"/>
          <w:marTop w:val="0"/>
          <w:marBottom w:val="0"/>
          <w:divBdr>
            <w:top w:val="none" w:sz="0" w:space="0" w:color="auto"/>
            <w:left w:val="none" w:sz="0" w:space="0" w:color="auto"/>
            <w:bottom w:val="none" w:sz="0" w:space="0" w:color="auto"/>
            <w:right w:val="none" w:sz="0" w:space="0" w:color="auto"/>
          </w:divBdr>
        </w:div>
        <w:div w:id="245039720">
          <w:marLeft w:val="0"/>
          <w:marRight w:val="0"/>
          <w:marTop w:val="0"/>
          <w:marBottom w:val="0"/>
          <w:divBdr>
            <w:top w:val="none" w:sz="0" w:space="0" w:color="auto"/>
            <w:left w:val="none" w:sz="0" w:space="0" w:color="auto"/>
            <w:bottom w:val="none" w:sz="0" w:space="0" w:color="auto"/>
            <w:right w:val="none" w:sz="0" w:space="0" w:color="auto"/>
          </w:divBdr>
        </w:div>
      </w:divsChild>
    </w:div>
    <w:div w:id="1457531279">
      <w:bodyDiv w:val="1"/>
      <w:marLeft w:val="0"/>
      <w:marRight w:val="0"/>
      <w:marTop w:val="0"/>
      <w:marBottom w:val="0"/>
      <w:divBdr>
        <w:top w:val="none" w:sz="0" w:space="0" w:color="auto"/>
        <w:left w:val="none" w:sz="0" w:space="0" w:color="auto"/>
        <w:bottom w:val="none" w:sz="0" w:space="0" w:color="auto"/>
        <w:right w:val="none" w:sz="0" w:space="0" w:color="auto"/>
      </w:divBdr>
      <w:divsChild>
        <w:div w:id="1206983657">
          <w:marLeft w:val="0"/>
          <w:marRight w:val="0"/>
          <w:marTop w:val="0"/>
          <w:marBottom w:val="0"/>
          <w:divBdr>
            <w:top w:val="none" w:sz="0" w:space="0" w:color="auto"/>
            <w:left w:val="none" w:sz="0" w:space="0" w:color="auto"/>
            <w:bottom w:val="none" w:sz="0" w:space="0" w:color="auto"/>
            <w:right w:val="none" w:sz="0" w:space="0" w:color="auto"/>
          </w:divBdr>
          <w:divsChild>
            <w:div w:id="1692101651">
              <w:marLeft w:val="0"/>
              <w:marRight w:val="0"/>
              <w:marTop w:val="0"/>
              <w:marBottom w:val="0"/>
              <w:divBdr>
                <w:top w:val="none" w:sz="0" w:space="0" w:color="auto"/>
                <w:left w:val="none" w:sz="0" w:space="0" w:color="auto"/>
                <w:bottom w:val="none" w:sz="0" w:space="0" w:color="auto"/>
                <w:right w:val="none" w:sz="0" w:space="0" w:color="auto"/>
              </w:divBdr>
              <w:divsChild>
                <w:div w:id="7899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37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449C3D-8414-D84D-9D82-E23BA4BBCED1}">
  <ds:schemaRefs>
    <ds:schemaRef ds:uri="http://schemas.openxmlformats.org/officeDocument/2006/bibliography"/>
  </ds:schemaRefs>
</ds:datastoreItem>
</file>

<file path=customXml/itemProps2.xml><?xml version="1.0" encoding="utf-8"?>
<ds:datastoreItem xmlns:ds="http://schemas.openxmlformats.org/officeDocument/2006/customXml" ds:itemID="{980A7BC4-2FF7-4285-8C1E-197A529DD393}"/>
</file>

<file path=customXml/itemProps3.xml><?xml version="1.0" encoding="utf-8"?>
<ds:datastoreItem xmlns:ds="http://schemas.openxmlformats.org/officeDocument/2006/customXml" ds:itemID="{207B9F38-EF7A-4D1A-B151-AA19D6EDA151}"/>
</file>

<file path=customXml/itemProps4.xml><?xml version="1.0" encoding="utf-8"?>
<ds:datastoreItem xmlns:ds="http://schemas.openxmlformats.org/officeDocument/2006/customXml" ds:itemID="{FCE51BEC-CF7D-422C-AE30-E6DAACA812A0}"/>
</file>

<file path=docProps/app.xml><?xml version="1.0" encoding="utf-8"?>
<Properties xmlns="http://schemas.openxmlformats.org/officeDocument/2006/extended-properties" xmlns:vt="http://schemas.openxmlformats.org/officeDocument/2006/docPropsVTypes">
  <Template>Normal</Template>
  <TotalTime>188</TotalTime>
  <Pages>5</Pages>
  <Words>2307</Words>
  <Characters>12690</Characters>
  <Application>Microsoft Office Word</Application>
  <DocSecurity>0</DocSecurity>
  <Lines>105</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Silvia</cp:lastModifiedBy>
  <cp:revision>19</cp:revision>
  <cp:lastPrinted>2017-05-22T06:33:00Z</cp:lastPrinted>
  <dcterms:created xsi:type="dcterms:W3CDTF">2017-08-24T21:35:00Z</dcterms:created>
  <dcterms:modified xsi:type="dcterms:W3CDTF">2017-08-25T14:02:00Z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