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61" w:rsidRDefault="00830C84" w:rsidP="00946D8E">
      <w:pPr>
        <w:jc w:val="center"/>
        <w:rPr>
          <w:rFonts w:ascii="Verdana" w:hAnsi="Verdana"/>
          <w:b/>
          <w:sz w:val="20"/>
          <w:szCs w:val="20"/>
          <w:u w:val="single"/>
        </w:rPr>
      </w:pPr>
      <w:r w:rsidRPr="002D2850">
        <w:rPr>
          <w:rFonts w:ascii="Verdana" w:hAnsi="Verdana"/>
          <w:b/>
          <w:sz w:val="20"/>
          <w:szCs w:val="20"/>
          <w:u w:val="single"/>
        </w:rPr>
        <w:t>Draft General Comment on article 5 of the Convention on the Rights of Persons with Disabilities.</w:t>
      </w:r>
    </w:p>
    <w:p w:rsidR="00E873E4" w:rsidRPr="002D2850" w:rsidRDefault="00E873E4" w:rsidP="00946D8E">
      <w:pPr>
        <w:jc w:val="center"/>
        <w:rPr>
          <w:rFonts w:ascii="Verdana" w:hAnsi="Verdana"/>
          <w:b/>
          <w:sz w:val="20"/>
          <w:szCs w:val="20"/>
          <w:u w:val="single"/>
        </w:rPr>
      </w:pPr>
      <w:r>
        <w:rPr>
          <w:rFonts w:ascii="Verdana" w:hAnsi="Verdana"/>
          <w:b/>
          <w:sz w:val="20"/>
          <w:szCs w:val="20"/>
          <w:u w:val="single"/>
        </w:rPr>
        <w:t>Comments by the Netherlands</w:t>
      </w:r>
    </w:p>
    <w:p w:rsidR="00830C84" w:rsidRPr="002D2850" w:rsidRDefault="00830C84" w:rsidP="00E60503">
      <w:pPr>
        <w:pStyle w:val="ListParagraph"/>
        <w:numPr>
          <w:ilvl w:val="0"/>
          <w:numId w:val="2"/>
        </w:numPr>
        <w:rPr>
          <w:rFonts w:ascii="Verdana" w:hAnsi="Verdana"/>
          <w:sz w:val="20"/>
          <w:szCs w:val="20"/>
        </w:rPr>
      </w:pPr>
      <w:r w:rsidRPr="002D2850">
        <w:rPr>
          <w:rFonts w:ascii="Verdana" w:hAnsi="Verdana"/>
          <w:sz w:val="20"/>
          <w:szCs w:val="20"/>
        </w:rPr>
        <w:t xml:space="preserve">The Government of the Netherlands welcomes the initiative by the Committee on the Rights of Persons with Disabilities </w:t>
      </w:r>
      <w:r w:rsidR="006625F1">
        <w:rPr>
          <w:rFonts w:ascii="Verdana" w:hAnsi="Verdana"/>
          <w:sz w:val="20"/>
          <w:szCs w:val="20"/>
        </w:rPr>
        <w:t xml:space="preserve">(the Committee) </w:t>
      </w:r>
      <w:r w:rsidRPr="002D2850">
        <w:rPr>
          <w:rFonts w:ascii="Verdana" w:hAnsi="Verdana"/>
          <w:sz w:val="20"/>
          <w:szCs w:val="20"/>
        </w:rPr>
        <w:t>to prepare a General Comment on Equality and Non-Discrimination. In response to the Committee’s call for comments the Government of the Netherlands would like to submit the following comments on the draft text.</w:t>
      </w:r>
    </w:p>
    <w:p w:rsidR="00830C84" w:rsidRPr="002D2850" w:rsidRDefault="00830C84" w:rsidP="00830C84">
      <w:pPr>
        <w:rPr>
          <w:rFonts w:ascii="Verdana" w:hAnsi="Verdana"/>
          <w:sz w:val="20"/>
          <w:szCs w:val="20"/>
          <w:u w:val="single"/>
        </w:rPr>
      </w:pPr>
      <w:r w:rsidRPr="002D2850">
        <w:rPr>
          <w:rFonts w:ascii="Verdana" w:hAnsi="Verdana"/>
          <w:sz w:val="20"/>
          <w:szCs w:val="20"/>
          <w:u w:val="single"/>
        </w:rPr>
        <w:t>General</w:t>
      </w:r>
    </w:p>
    <w:p w:rsidR="00830C84" w:rsidRPr="002D2850" w:rsidRDefault="00D04EE1" w:rsidP="002D2850">
      <w:pPr>
        <w:pStyle w:val="ListParagraph"/>
        <w:numPr>
          <w:ilvl w:val="0"/>
          <w:numId w:val="2"/>
        </w:numPr>
        <w:rPr>
          <w:rFonts w:ascii="Verdana" w:hAnsi="Verdana"/>
          <w:b/>
          <w:bCs/>
          <w:sz w:val="20"/>
          <w:szCs w:val="20"/>
        </w:rPr>
      </w:pPr>
      <w:r>
        <w:rPr>
          <w:rFonts w:ascii="Verdana" w:hAnsi="Verdana"/>
          <w:sz w:val="20"/>
          <w:szCs w:val="20"/>
        </w:rPr>
        <w:t>T</w:t>
      </w:r>
      <w:r w:rsidR="00A63971" w:rsidRPr="002D2850">
        <w:rPr>
          <w:rFonts w:ascii="Verdana" w:hAnsi="Verdana"/>
          <w:sz w:val="20"/>
          <w:szCs w:val="20"/>
        </w:rPr>
        <w:t xml:space="preserve">he Netherlands </w:t>
      </w:r>
      <w:r>
        <w:rPr>
          <w:rFonts w:ascii="Verdana" w:hAnsi="Verdana"/>
          <w:sz w:val="20"/>
          <w:szCs w:val="20"/>
        </w:rPr>
        <w:t xml:space="preserve">is of the opinion </w:t>
      </w:r>
      <w:r w:rsidR="00A63971" w:rsidRPr="002D2850">
        <w:rPr>
          <w:rFonts w:ascii="Verdana" w:hAnsi="Verdana"/>
          <w:sz w:val="20"/>
          <w:szCs w:val="20"/>
        </w:rPr>
        <w:t xml:space="preserve">that the majority of the provisions of the Convention </w:t>
      </w:r>
      <w:r w:rsidR="006625F1">
        <w:rPr>
          <w:rFonts w:ascii="Verdana" w:hAnsi="Verdana"/>
          <w:sz w:val="20"/>
          <w:szCs w:val="20"/>
        </w:rPr>
        <w:t xml:space="preserve">on Rights of Persons with Disabilities (the Convention) </w:t>
      </w:r>
      <w:r w:rsidR="00A63971" w:rsidRPr="002D2850">
        <w:rPr>
          <w:rFonts w:ascii="Verdana" w:hAnsi="Verdana"/>
          <w:sz w:val="20"/>
          <w:szCs w:val="20"/>
        </w:rPr>
        <w:t xml:space="preserve">are of a programmatic nature, giving a general instruction to </w:t>
      </w:r>
      <w:r>
        <w:rPr>
          <w:rFonts w:ascii="Verdana" w:hAnsi="Verdana"/>
          <w:sz w:val="20"/>
          <w:szCs w:val="20"/>
        </w:rPr>
        <w:t>States Parties</w:t>
      </w:r>
      <w:r w:rsidR="00A63971" w:rsidRPr="002D2850">
        <w:rPr>
          <w:rFonts w:ascii="Verdana" w:hAnsi="Verdana"/>
          <w:sz w:val="20"/>
          <w:szCs w:val="20"/>
        </w:rPr>
        <w:t xml:space="preserve"> to take measures to ensure the rights of persons with a disability. It is up to the </w:t>
      </w:r>
      <w:r>
        <w:rPr>
          <w:rFonts w:ascii="Verdana" w:hAnsi="Verdana"/>
          <w:sz w:val="20"/>
          <w:szCs w:val="20"/>
        </w:rPr>
        <w:t>States Parties</w:t>
      </w:r>
      <w:r w:rsidR="00A63971" w:rsidRPr="002D2850">
        <w:rPr>
          <w:rFonts w:ascii="Verdana" w:hAnsi="Verdana"/>
          <w:sz w:val="20"/>
          <w:szCs w:val="20"/>
        </w:rPr>
        <w:t xml:space="preserve"> to decide what measures are taken, and how these are implemented. In light of this, the Netherlands has chosen </w:t>
      </w:r>
      <w:r>
        <w:rPr>
          <w:rFonts w:ascii="Verdana" w:hAnsi="Verdana"/>
          <w:sz w:val="20"/>
          <w:szCs w:val="20"/>
        </w:rPr>
        <w:t>to</w:t>
      </w:r>
      <w:r w:rsidR="00A63971" w:rsidRPr="002D2850">
        <w:rPr>
          <w:rFonts w:ascii="Verdana" w:hAnsi="Verdana"/>
          <w:sz w:val="20"/>
          <w:szCs w:val="20"/>
        </w:rPr>
        <w:t xml:space="preserve"> gradual</w:t>
      </w:r>
      <w:r>
        <w:rPr>
          <w:rFonts w:ascii="Verdana" w:hAnsi="Verdana"/>
          <w:sz w:val="20"/>
          <w:szCs w:val="20"/>
        </w:rPr>
        <w:t>ly</w:t>
      </w:r>
      <w:r w:rsidR="00A63971" w:rsidRPr="002D2850">
        <w:rPr>
          <w:rFonts w:ascii="Verdana" w:hAnsi="Verdana"/>
          <w:sz w:val="20"/>
          <w:szCs w:val="20"/>
        </w:rPr>
        <w:t xml:space="preserve"> implement the C</w:t>
      </w:r>
      <w:r w:rsidR="007F26AD">
        <w:rPr>
          <w:rFonts w:ascii="Verdana" w:hAnsi="Verdana"/>
          <w:sz w:val="20"/>
          <w:szCs w:val="20"/>
        </w:rPr>
        <w:t>onvention in the existing policies at the national level</w:t>
      </w:r>
      <w:r w:rsidR="00A63971" w:rsidRPr="002D2850">
        <w:rPr>
          <w:rFonts w:ascii="Verdana" w:hAnsi="Verdana"/>
          <w:sz w:val="20"/>
          <w:szCs w:val="20"/>
        </w:rPr>
        <w:t xml:space="preserve"> </w:t>
      </w:r>
      <w:r w:rsidR="007F26AD">
        <w:rPr>
          <w:rFonts w:ascii="Verdana" w:hAnsi="Verdana"/>
          <w:sz w:val="20"/>
          <w:szCs w:val="20"/>
        </w:rPr>
        <w:t>that aim at</w:t>
      </w:r>
      <w:r w:rsidR="00A63971" w:rsidRPr="002D2850">
        <w:rPr>
          <w:rFonts w:ascii="Verdana" w:hAnsi="Verdana"/>
          <w:sz w:val="20"/>
          <w:szCs w:val="20"/>
        </w:rPr>
        <w:t xml:space="preserve"> the inclusion of persons with a disability. </w:t>
      </w:r>
      <w:r w:rsidR="00182484" w:rsidRPr="002D2850">
        <w:rPr>
          <w:rFonts w:ascii="Verdana" w:hAnsi="Verdana"/>
          <w:sz w:val="20"/>
          <w:szCs w:val="20"/>
        </w:rPr>
        <w:t xml:space="preserve">On numerous occasions </w:t>
      </w:r>
      <w:r w:rsidR="001B01BD" w:rsidRPr="002D2850">
        <w:rPr>
          <w:rFonts w:ascii="Verdana" w:hAnsi="Verdana"/>
          <w:sz w:val="20"/>
          <w:szCs w:val="20"/>
        </w:rPr>
        <w:t xml:space="preserve">throughout </w:t>
      </w:r>
      <w:r w:rsidR="00182484" w:rsidRPr="002D2850">
        <w:rPr>
          <w:rFonts w:ascii="Verdana" w:hAnsi="Verdana"/>
          <w:sz w:val="20"/>
          <w:szCs w:val="20"/>
        </w:rPr>
        <w:t xml:space="preserve">the </w:t>
      </w:r>
      <w:r w:rsidR="00961BA3">
        <w:rPr>
          <w:rFonts w:ascii="Verdana" w:hAnsi="Verdana"/>
          <w:sz w:val="20"/>
          <w:szCs w:val="20"/>
        </w:rPr>
        <w:t xml:space="preserve">draft </w:t>
      </w:r>
      <w:r w:rsidR="00182484" w:rsidRPr="002D2850">
        <w:rPr>
          <w:rFonts w:ascii="Verdana" w:hAnsi="Verdana"/>
          <w:sz w:val="20"/>
          <w:szCs w:val="20"/>
        </w:rPr>
        <w:t>General Comment</w:t>
      </w:r>
      <w:r w:rsidR="007F26AD">
        <w:rPr>
          <w:rFonts w:ascii="Verdana" w:hAnsi="Verdana"/>
          <w:sz w:val="20"/>
          <w:szCs w:val="20"/>
        </w:rPr>
        <w:t>,</w:t>
      </w:r>
      <w:r w:rsidR="001B01BD" w:rsidRPr="002D2850">
        <w:rPr>
          <w:rFonts w:ascii="Verdana" w:hAnsi="Verdana"/>
          <w:sz w:val="20"/>
          <w:szCs w:val="20"/>
        </w:rPr>
        <w:t xml:space="preserve"> the Committee </w:t>
      </w:r>
      <w:r w:rsidR="00D91480">
        <w:rPr>
          <w:rFonts w:ascii="Verdana" w:hAnsi="Verdana"/>
          <w:sz w:val="20"/>
          <w:szCs w:val="20"/>
        </w:rPr>
        <w:t>uses</w:t>
      </w:r>
      <w:r w:rsidR="00F13D27" w:rsidRPr="002D2850">
        <w:rPr>
          <w:rFonts w:ascii="Verdana" w:hAnsi="Verdana"/>
          <w:sz w:val="20"/>
          <w:szCs w:val="20"/>
        </w:rPr>
        <w:t xml:space="preserve"> language such as ‘</w:t>
      </w:r>
      <w:r w:rsidR="00182484" w:rsidRPr="002D2850">
        <w:rPr>
          <w:rFonts w:ascii="Verdana" w:hAnsi="Verdana"/>
          <w:sz w:val="20"/>
          <w:szCs w:val="20"/>
        </w:rPr>
        <w:t>ensure’</w:t>
      </w:r>
      <w:r w:rsidR="00F13D27" w:rsidRPr="002D2850">
        <w:rPr>
          <w:rFonts w:ascii="Verdana" w:hAnsi="Verdana"/>
          <w:sz w:val="20"/>
          <w:szCs w:val="20"/>
        </w:rPr>
        <w:t>, or ‘should’</w:t>
      </w:r>
      <w:r w:rsidR="00B626FC">
        <w:rPr>
          <w:rFonts w:ascii="Verdana" w:hAnsi="Verdana"/>
          <w:sz w:val="20"/>
          <w:szCs w:val="20"/>
        </w:rPr>
        <w:t xml:space="preserve">, thereby imposing obligations on States Parties that </w:t>
      </w:r>
      <w:r w:rsidR="00946D8E">
        <w:rPr>
          <w:rFonts w:ascii="Verdana" w:hAnsi="Verdana"/>
          <w:sz w:val="20"/>
          <w:szCs w:val="20"/>
        </w:rPr>
        <w:t xml:space="preserve">may be </w:t>
      </w:r>
      <w:r w:rsidR="00B626FC">
        <w:rPr>
          <w:rFonts w:ascii="Verdana" w:hAnsi="Verdana"/>
          <w:sz w:val="20"/>
          <w:szCs w:val="20"/>
        </w:rPr>
        <w:t xml:space="preserve">stricter than foreseen by the </w:t>
      </w:r>
      <w:r w:rsidR="00300900">
        <w:rPr>
          <w:rFonts w:ascii="Verdana" w:hAnsi="Verdana"/>
          <w:sz w:val="20"/>
          <w:szCs w:val="20"/>
        </w:rPr>
        <w:t xml:space="preserve">corresponding provisions of the </w:t>
      </w:r>
      <w:r w:rsidR="00B626FC">
        <w:rPr>
          <w:rFonts w:ascii="Verdana" w:hAnsi="Verdana"/>
          <w:sz w:val="20"/>
          <w:szCs w:val="20"/>
        </w:rPr>
        <w:t>Convention</w:t>
      </w:r>
      <w:r w:rsidR="00182484" w:rsidRPr="002D2850">
        <w:rPr>
          <w:rFonts w:ascii="Verdana" w:hAnsi="Verdana"/>
          <w:sz w:val="20"/>
          <w:szCs w:val="20"/>
        </w:rPr>
        <w:t>.</w:t>
      </w:r>
      <w:r w:rsidR="00F061BF">
        <w:rPr>
          <w:rFonts w:ascii="Verdana" w:hAnsi="Verdana"/>
          <w:sz w:val="20"/>
          <w:szCs w:val="20"/>
        </w:rPr>
        <w:t xml:space="preserve"> See for example</w:t>
      </w:r>
      <w:r w:rsidR="000A4E9A">
        <w:rPr>
          <w:rFonts w:ascii="Verdana" w:hAnsi="Verdana"/>
          <w:sz w:val="20"/>
          <w:szCs w:val="20"/>
        </w:rPr>
        <w:t xml:space="preserve"> </w:t>
      </w:r>
      <w:r w:rsidR="009A11ED">
        <w:rPr>
          <w:rFonts w:ascii="Verdana" w:hAnsi="Verdana"/>
          <w:sz w:val="20"/>
          <w:szCs w:val="20"/>
        </w:rPr>
        <w:t>paragraph 74</w:t>
      </w:r>
      <w:r w:rsidR="0067170E">
        <w:rPr>
          <w:rFonts w:ascii="Verdana" w:hAnsi="Verdana"/>
          <w:sz w:val="20"/>
          <w:szCs w:val="20"/>
        </w:rPr>
        <w:t xml:space="preserve"> of the General Comment</w:t>
      </w:r>
      <w:r w:rsidR="009A11ED">
        <w:rPr>
          <w:rFonts w:ascii="Verdana" w:hAnsi="Verdana"/>
          <w:sz w:val="20"/>
          <w:szCs w:val="20"/>
        </w:rPr>
        <w:t xml:space="preserve"> on ar</w:t>
      </w:r>
      <w:r w:rsidR="0067170E">
        <w:rPr>
          <w:rFonts w:ascii="Verdana" w:hAnsi="Verdana"/>
          <w:sz w:val="20"/>
          <w:szCs w:val="20"/>
        </w:rPr>
        <w:t>t</w:t>
      </w:r>
      <w:r w:rsidR="009A11ED">
        <w:rPr>
          <w:rFonts w:ascii="Verdana" w:hAnsi="Verdana"/>
          <w:sz w:val="20"/>
          <w:szCs w:val="20"/>
        </w:rPr>
        <w:t>icle 29</w:t>
      </w:r>
      <w:r w:rsidR="0067170E">
        <w:rPr>
          <w:rFonts w:ascii="Verdana" w:hAnsi="Verdana"/>
          <w:sz w:val="20"/>
          <w:szCs w:val="20"/>
        </w:rPr>
        <w:t xml:space="preserve"> of the Convention</w:t>
      </w:r>
      <w:r w:rsidR="009A11ED">
        <w:rPr>
          <w:rFonts w:ascii="Verdana" w:hAnsi="Verdana"/>
          <w:sz w:val="20"/>
          <w:szCs w:val="20"/>
        </w:rPr>
        <w:t xml:space="preserve"> in which it is stated that State Parties </w:t>
      </w:r>
      <w:r w:rsidR="009A11ED">
        <w:rPr>
          <w:rFonts w:ascii="Verdana" w:hAnsi="Verdana"/>
          <w:i/>
          <w:sz w:val="20"/>
          <w:szCs w:val="20"/>
        </w:rPr>
        <w:t>should</w:t>
      </w:r>
      <w:r w:rsidR="009A11ED">
        <w:rPr>
          <w:rFonts w:ascii="Verdana" w:hAnsi="Verdana"/>
          <w:sz w:val="20"/>
          <w:szCs w:val="20"/>
        </w:rPr>
        <w:t xml:space="preserve"> </w:t>
      </w:r>
      <w:r w:rsidR="009A11ED" w:rsidRPr="009A11ED">
        <w:rPr>
          <w:rFonts w:ascii="Verdana" w:hAnsi="Verdana"/>
          <w:sz w:val="20"/>
          <w:szCs w:val="20"/>
        </w:rPr>
        <w:t xml:space="preserve">at a </w:t>
      </w:r>
      <w:r w:rsidR="009A11ED" w:rsidRPr="009A11ED">
        <w:rPr>
          <w:rFonts w:ascii="Verdana" w:hAnsi="Verdana"/>
          <w:i/>
          <w:sz w:val="20"/>
          <w:szCs w:val="20"/>
        </w:rPr>
        <w:t>minimu</w:t>
      </w:r>
      <w:r w:rsidR="009A11ED" w:rsidRPr="0067170E">
        <w:rPr>
          <w:rFonts w:ascii="Verdana" w:hAnsi="Verdana"/>
          <w:i/>
          <w:sz w:val="20"/>
          <w:szCs w:val="20"/>
        </w:rPr>
        <w:t>m, ensure</w:t>
      </w:r>
      <w:r w:rsidR="009A11ED">
        <w:rPr>
          <w:rFonts w:ascii="Verdana" w:hAnsi="Verdana"/>
          <w:sz w:val="20"/>
          <w:szCs w:val="20"/>
        </w:rPr>
        <w:t xml:space="preserve"> that the </w:t>
      </w:r>
      <w:r w:rsidR="009A11ED">
        <w:rPr>
          <w:rFonts w:ascii="Verdana" w:hAnsi="Verdana"/>
          <w:i/>
          <w:sz w:val="20"/>
          <w:szCs w:val="20"/>
        </w:rPr>
        <w:t>whole</w:t>
      </w:r>
      <w:r w:rsidR="009A11ED">
        <w:rPr>
          <w:rFonts w:ascii="Verdana" w:hAnsi="Verdana"/>
          <w:sz w:val="20"/>
          <w:szCs w:val="20"/>
        </w:rPr>
        <w:t xml:space="preserve"> electoral process is accessible for persons with disabilities</w:t>
      </w:r>
      <w:r w:rsidR="0067170E">
        <w:rPr>
          <w:rFonts w:ascii="Verdana" w:hAnsi="Verdana"/>
          <w:sz w:val="20"/>
          <w:szCs w:val="20"/>
        </w:rPr>
        <w:t xml:space="preserve">, while this does not flow from article 29 of the Convention, or any other article. </w:t>
      </w:r>
      <w:r w:rsidR="00C03F2B" w:rsidRPr="002D2850">
        <w:rPr>
          <w:rFonts w:ascii="Verdana" w:hAnsi="Verdana"/>
          <w:sz w:val="20"/>
          <w:szCs w:val="20"/>
        </w:rPr>
        <w:t xml:space="preserve">The Netherlands </w:t>
      </w:r>
      <w:r w:rsidR="00300900">
        <w:rPr>
          <w:rFonts w:ascii="Verdana" w:hAnsi="Verdana"/>
          <w:sz w:val="20"/>
          <w:szCs w:val="20"/>
        </w:rPr>
        <w:t xml:space="preserve">invites </w:t>
      </w:r>
      <w:r w:rsidR="00C03F2B" w:rsidRPr="002D2850">
        <w:rPr>
          <w:rFonts w:ascii="Verdana" w:hAnsi="Verdana"/>
          <w:sz w:val="20"/>
          <w:szCs w:val="20"/>
        </w:rPr>
        <w:t>the Committee</w:t>
      </w:r>
      <w:r w:rsidR="00DC1E94" w:rsidRPr="002D2850">
        <w:rPr>
          <w:rFonts w:ascii="Verdana" w:hAnsi="Verdana"/>
          <w:sz w:val="20"/>
          <w:szCs w:val="20"/>
        </w:rPr>
        <w:t xml:space="preserve"> to </w:t>
      </w:r>
      <w:r w:rsidR="00946D8E">
        <w:rPr>
          <w:rFonts w:ascii="Verdana" w:hAnsi="Verdana"/>
          <w:sz w:val="20"/>
          <w:szCs w:val="20"/>
        </w:rPr>
        <w:t xml:space="preserve">ensure that the </w:t>
      </w:r>
      <w:r w:rsidR="009E665B">
        <w:rPr>
          <w:rFonts w:ascii="Verdana" w:hAnsi="Verdana"/>
          <w:sz w:val="20"/>
          <w:szCs w:val="20"/>
        </w:rPr>
        <w:t>wording</w:t>
      </w:r>
      <w:r w:rsidR="00946D8E">
        <w:rPr>
          <w:rFonts w:ascii="Verdana" w:hAnsi="Verdana"/>
          <w:sz w:val="20"/>
          <w:szCs w:val="20"/>
        </w:rPr>
        <w:t xml:space="preserve"> used throughout the General Comment </w:t>
      </w:r>
      <w:r w:rsidR="0067170E">
        <w:rPr>
          <w:rFonts w:ascii="Verdana" w:hAnsi="Verdana"/>
          <w:sz w:val="20"/>
          <w:szCs w:val="20"/>
        </w:rPr>
        <w:t>is in line</w:t>
      </w:r>
      <w:r w:rsidR="00946D8E">
        <w:rPr>
          <w:rFonts w:ascii="Verdana" w:hAnsi="Verdana"/>
          <w:sz w:val="20"/>
          <w:szCs w:val="20"/>
        </w:rPr>
        <w:t xml:space="preserve"> </w:t>
      </w:r>
      <w:r w:rsidR="009E665B">
        <w:rPr>
          <w:rFonts w:ascii="Verdana" w:hAnsi="Verdana"/>
          <w:sz w:val="20"/>
          <w:szCs w:val="20"/>
        </w:rPr>
        <w:t xml:space="preserve">with </w:t>
      </w:r>
      <w:r w:rsidR="00946D8E">
        <w:rPr>
          <w:rFonts w:ascii="Verdana" w:hAnsi="Verdana"/>
          <w:sz w:val="20"/>
          <w:szCs w:val="20"/>
        </w:rPr>
        <w:t>th</w:t>
      </w:r>
      <w:r w:rsidR="009E665B">
        <w:rPr>
          <w:rFonts w:ascii="Verdana" w:hAnsi="Verdana"/>
          <w:sz w:val="20"/>
          <w:szCs w:val="20"/>
        </w:rPr>
        <w:t>at</w:t>
      </w:r>
      <w:r w:rsidR="00946D8E">
        <w:rPr>
          <w:rFonts w:ascii="Verdana" w:hAnsi="Verdana"/>
          <w:sz w:val="20"/>
          <w:szCs w:val="20"/>
        </w:rPr>
        <w:t xml:space="preserve"> of the corresponding provision of the Convention</w:t>
      </w:r>
      <w:r w:rsidR="00300900">
        <w:rPr>
          <w:rFonts w:ascii="Verdana" w:hAnsi="Verdana"/>
          <w:sz w:val="20"/>
          <w:szCs w:val="20"/>
        </w:rPr>
        <w:t>.</w:t>
      </w:r>
      <w:r w:rsidR="00DC1E94" w:rsidRPr="002D2850">
        <w:rPr>
          <w:rFonts w:ascii="Verdana" w:hAnsi="Verdana"/>
          <w:sz w:val="20"/>
          <w:szCs w:val="20"/>
        </w:rPr>
        <w:t xml:space="preserve"> </w:t>
      </w:r>
    </w:p>
    <w:p w:rsidR="00830C84" w:rsidRPr="002D2850" w:rsidRDefault="00830C84" w:rsidP="00830C84">
      <w:pPr>
        <w:rPr>
          <w:rFonts w:ascii="Verdana" w:hAnsi="Verdana"/>
          <w:sz w:val="20"/>
          <w:szCs w:val="20"/>
          <w:u w:val="single"/>
        </w:rPr>
      </w:pPr>
      <w:r w:rsidRPr="002D2850">
        <w:rPr>
          <w:rFonts w:ascii="Verdana" w:hAnsi="Verdana"/>
          <w:sz w:val="20"/>
          <w:szCs w:val="20"/>
          <w:u w:val="single"/>
        </w:rPr>
        <w:t>Specific</w:t>
      </w:r>
    </w:p>
    <w:p w:rsidR="00580C6A" w:rsidRPr="002D2850" w:rsidRDefault="002B46F8" w:rsidP="00580C6A">
      <w:pPr>
        <w:pStyle w:val="ListParagraph"/>
        <w:numPr>
          <w:ilvl w:val="0"/>
          <w:numId w:val="2"/>
        </w:numPr>
        <w:rPr>
          <w:rFonts w:ascii="Verdana" w:hAnsi="Verdana"/>
          <w:sz w:val="20"/>
          <w:szCs w:val="20"/>
        </w:rPr>
      </w:pPr>
      <w:r w:rsidRPr="002D2850">
        <w:rPr>
          <w:rFonts w:ascii="Verdana" w:hAnsi="Verdana"/>
          <w:sz w:val="20"/>
          <w:szCs w:val="20"/>
        </w:rPr>
        <w:t>Paragraphs 54 – 57 address article 12 of the Convention on</w:t>
      </w:r>
      <w:r w:rsidR="00917515" w:rsidRPr="002D2850">
        <w:rPr>
          <w:rFonts w:ascii="Verdana" w:hAnsi="Verdana"/>
          <w:sz w:val="20"/>
          <w:szCs w:val="20"/>
        </w:rPr>
        <w:t xml:space="preserve"> the right to equality before the law and the issue of legal capacity. This Article 12 relates to the Dutch legislative framework regarding ‘protective trust’ (</w:t>
      </w:r>
      <w:r w:rsidR="00917515" w:rsidRPr="00DD580E">
        <w:rPr>
          <w:rFonts w:ascii="Verdana" w:hAnsi="Verdana"/>
          <w:i/>
          <w:sz w:val="20"/>
          <w:szCs w:val="20"/>
        </w:rPr>
        <w:t>bewindvoering</w:t>
      </w:r>
      <w:r w:rsidR="00917515" w:rsidRPr="002D2850">
        <w:rPr>
          <w:rFonts w:ascii="Verdana" w:hAnsi="Verdana"/>
          <w:sz w:val="20"/>
          <w:szCs w:val="20"/>
        </w:rPr>
        <w:t>), ‘mentorship’ (</w:t>
      </w:r>
      <w:r w:rsidR="00917515" w:rsidRPr="00DD580E">
        <w:rPr>
          <w:rFonts w:ascii="Verdana" w:hAnsi="Verdana"/>
          <w:i/>
          <w:sz w:val="20"/>
          <w:szCs w:val="20"/>
        </w:rPr>
        <w:t>mentorschap</w:t>
      </w:r>
      <w:r w:rsidR="00917515" w:rsidRPr="002D2850">
        <w:rPr>
          <w:rFonts w:ascii="Verdana" w:hAnsi="Verdana"/>
          <w:sz w:val="20"/>
          <w:szCs w:val="20"/>
        </w:rPr>
        <w:t>) and ‘full guardianship’ (</w:t>
      </w:r>
      <w:r w:rsidR="00917515" w:rsidRPr="00DD580E">
        <w:rPr>
          <w:rFonts w:ascii="Verdana" w:hAnsi="Verdana"/>
          <w:i/>
          <w:sz w:val="20"/>
          <w:szCs w:val="20"/>
        </w:rPr>
        <w:t>curatele</w:t>
      </w:r>
      <w:r w:rsidR="00917515" w:rsidRPr="002D2850">
        <w:rPr>
          <w:rFonts w:ascii="Verdana" w:hAnsi="Verdana"/>
          <w:sz w:val="20"/>
          <w:szCs w:val="20"/>
        </w:rPr>
        <w:t>). The Netherlands deems it necessary to have the possibility of ‘full guardianship’ (</w:t>
      </w:r>
      <w:r w:rsidR="00917515" w:rsidRPr="00DD580E">
        <w:rPr>
          <w:rFonts w:ascii="Verdana" w:hAnsi="Verdana"/>
          <w:i/>
          <w:sz w:val="20"/>
          <w:szCs w:val="20"/>
        </w:rPr>
        <w:t>c</w:t>
      </w:r>
      <w:r w:rsidRPr="00DD580E">
        <w:rPr>
          <w:rFonts w:ascii="Verdana" w:hAnsi="Verdana"/>
          <w:i/>
          <w:sz w:val="20"/>
          <w:szCs w:val="20"/>
        </w:rPr>
        <w:t>uratele</w:t>
      </w:r>
      <w:r w:rsidRPr="002D2850">
        <w:rPr>
          <w:rFonts w:ascii="Verdana" w:hAnsi="Verdana"/>
          <w:sz w:val="20"/>
          <w:szCs w:val="20"/>
        </w:rPr>
        <w:t xml:space="preserve">) as </w:t>
      </w:r>
      <w:r w:rsidR="00DD580E">
        <w:rPr>
          <w:rFonts w:ascii="Verdana" w:hAnsi="Verdana"/>
          <w:sz w:val="20"/>
          <w:szCs w:val="20"/>
        </w:rPr>
        <w:t>a last resort</w:t>
      </w:r>
      <w:r w:rsidRPr="002D2850">
        <w:rPr>
          <w:rFonts w:ascii="Verdana" w:hAnsi="Verdana"/>
          <w:sz w:val="20"/>
          <w:szCs w:val="20"/>
        </w:rPr>
        <w:t>, as s</w:t>
      </w:r>
      <w:r w:rsidR="00917515" w:rsidRPr="002D2850">
        <w:rPr>
          <w:rFonts w:ascii="Verdana" w:hAnsi="Verdana"/>
          <w:sz w:val="20"/>
          <w:szCs w:val="20"/>
        </w:rPr>
        <w:t xml:space="preserve">upportive decision-making cannot always sufficiently safeguard the rights and interests of the person involved. The Netherlands understands Article 12 (4) </w:t>
      </w:r>
      <w:r w:rsidR="00DD580E">
        <w:rPr>
          <w:rFonts w:ascii="Verdana" w:hAnsi="Verdana"/>
          <w:sz w:val="20"/>
          <w:szCs w:val="20"/>
        </w:rPr>
        <w:t>as allowing</w:t>
      </w:r>
      <w:r w:rsidR="00917515" w:rsidRPr="002D2850">
        <w:rPr>
          <w:rFonts w:ascii="Verdana" w:hAnsi="Verdana"/>
          <w:sz w:val="20"/>
          <w:szCs w:val="20"/>
        </w:rPr>
        <w:t xml:space="preserve"> for substitute decision-making in exceptional circumstances and </w:t>
      </w:r>
      <w:r w:rsidR="00DD580E">
        <w:rPr>
          <w:rFonts w:ascii="Verdana" w:hAnsi="Verdana"/>
          <w:sz w:val="20"/>
          <w:szCs w:val="20"/>
        </w:rPr>
        <w:t>not</w:t>
      </w:r>
      <w:r w:rsidR="00917515" w:rsidRPr="002D2850">
        <w:rPr>
          <w:rFonts w:ascii="Verdana" w:hAnsi="Verdana"/>
          <w:sz w:val="20"/>
          <w:szCs w:val="20"/>
        </w:rPr>
        <w:t xml:space="preserve"> prohibit</w:t>
      </w:r>
      <w:r w:rsidR="00DD580E">
        <w:rPr>
          <w:rFonts w:ascii="Verdana" w:hAnsi="Verdana"/>
          <w:sz w:val="20"/>
          <w:szCs w:val="20"/>
        </w:rPr>
        <w:t>ing</w:t>
      </w:r>
      <w:r w:rsidR="00580C6A" w:rsidRPr="002D2850">
        <w:rPr>
          <w:rFonts w:ascii="Verdana" w:hAnsi="Verdana"/>
          <w:sz w:val="20"/>
          <w:szCs w:val="20"/>
        </w:rPr>
        <w:t xml:space="preserve"> ‘full guardianship’ (</w:t>
      </w:r>
      <w:r w:rsidR="00580C6A" w:rsidRPr="00DD580E">
        <w:rPr>
          <w:rFonts w:ascii="Verdana" w:hAnsi="Verdana"/>
          <w:i/>
          <w:sz w:val="20"/>
          <w:szCs w:val="20"/>
        </w:rPr>
        <w:t>curatele</w:t>
      </w:r>
      <w:r w:rsidR="00580C6A" w:rsidRPr="002D2850">
        <w:rPr>
          <w:rFonts w:ascii="Verdana" w:hAnsi="Verdana"/>
          <w:sz w:val="20"/>
          <w:szCs w:val="20"/>
        </w:rPr>
        <w:t>).</w:t>
      </w:r>
    </w:p>
    <w:p w:rsidR="00580C6A" w:rsidRPr="002D2850" w:rsidRDefault="00580C6A" w:rsidP="00580C6A">
      <w:pPr>
        <w:pStyle w:val="ListParagraph"/>
        <w:ind w:left="360"/>
        <w:rPr>
          <w:rFonts w:ascii="Verdana" w:hAnsi="Verdana"/>
          <w:sz w:val="20"/>
          <w:szCs w:val="20"/>
        </w:rPr>
      </w:pPr>
    </w:p>
    <w:p w:rsidR="00826A38" w:rsidRPr="002D2850" w:rsidRDefault="00580C6A" w:rsidP="00580C6A">
      <w:pPr>
        <w:pStyle w:val="ListParagraph"/>
        <w:numPr>
          <w:ilvl w:val="0"/>
          <w:numId w:val="2"/>
        </w:numPr>
        <w:rPr>
          <w:rFonts w:ascii="Verdana" w:hAnsi="Verdana"/>
          <w:sz w:val="20"/>
          <w:szCs w:val="20"/>
        </w:rPr>
      </w:pPr>
      <w:r w:rsidRPr="002D2850">
        <w:rPr>
          <w:rFonts w:ascii="Verdana" w:hAnsi="Verdana"/>
          <w:sz w:val="20"/>
          <w:szCs w:val="20"/>
        </w:rPr>
        <w:t>U</w:t>
      </w:r>
      <w:r w:rsidR="00917515" w:rsidRPr="002D2850">
        <w:rPr>
          <w:rFonts w:ascii="Verdana" w:hAnsi="Verdana"/>
          <w:sz w:val="20"/>
          <w:szCs w:val="20"/>
        </w:rPr>
        <w:t xml:space="preserve">pon ratification of the </w:t>
      </w:r>
      <w:r w:rsidR="00DD580E">
        <w:rPr>
          <w:rFonts w:ascii="Verdana" w:hAnsi="Verdana"/>
          <w:sz w:val="20"/>
          <w:szCs w:val="20"/>
        </w:rPr>
        <w:t>Convention</w:t>
      </w:r>
      <w:r w:rsidR="00917515" w:rsidRPr="002D2850">
        <w:rPr>
          <w:rFonts w:ascii="Verdana" w:hAnsi="Verdana"/>
          <w:sz w:val="20"/>
          <w:szCs w:val="20"/>
        </w:rPr>
        <w:t>, the Dutch government submitted an</w:t>
      </w:r>
      <w:r w:rsidR="00C306C4">
        <w:rPr>
          <w:rFonts w:ascii="Verdana" w:hAnsi="Verdana"/>
          <w:sz w:val="20"/>
          <w:szCs w:val="20"/>
        </w:rPr>
        <w:t xml:space="preserve"> interpretative declaration on a</w:t>
      </w:r>
      <w:r w:rsidR="00917515" w:rsidRPr="002D2850">
        <w:rPr>
          <w:rFonts w:ascii="Verdana" w:hAnsi="Verdana"/>
          <w:sz w:val="20"/>
          <w:szCs w:val="20"/>
        </w:rPr>
        <w:t>rticle 12</w:t>
      </w:r>
      <w:r w:rsidR="00A20F1B" w:rsidRPr="002D2850">
        <w:rPr>
          <w:rFonts w:ascii="Verdana" w:hAnsi="Verdana"/>
          <w:sz w:val="20"/>
          <w:szCs w:val="20"/>
        </w:rPr>
        <w:t>, in which it stated that the Netherlands “</w:t>
      </w:r>
      <w:r w:rsidR="00C306C4">
        <w:rPr>
          <w:rFonts w:ascii="Verdana" w:hAnsi="Verdana"/>
          <w:sz w:val="20"/>
          <w:szCs w:val="20"/>
        </w:rPr>
        <w:t>interprets A</w:t>
      </w:r>
      <w:r w:rsidR="00917515" w:rsidRPr="002D2850">
        <w:rPr>
          <w:rFonts w:ascii="Verdana" w:hAnsi="Verdana"/>
          <w:sz w:val="20"/>
          <w:szCs w:val="20"/>
        </w:rPr>
        <w:t>rticle 12 as restricting substitute decision-making arrangements to cases where such measures are necessary, as a last resort a</w:t>
      </w:r>
      <w:r w:rsidR="00E60503" w:rsidRPr="002D2850">
        <w:rPr>
          <w:rFonts w:ascii="Verdana" w:hAnsi="Verdana"/>
          <w:sz w:val="20"/>
          <w:szCs w:val="20"/>
        </w:rPr>
        <w:t>nd subject to safeguards</w:t>
      </w:r>
      <w:r w:rsidR="00A20F1B" w:rsidRPr="002D2850">
        <w:rPr>
          <w:rFonts w:ascii="Verdana" w:hAnsi="Verdana"/>
          <w:sz w:val="20"/>
          <w:szCs w:val="20"/>
        </w:rPr>
        <w:t>”</w:t>
      </w:r>
      <w:r w:rsidR="00E60503" w:rsidRPr="002D2850">
        <w:rPr>
          <w:rFonts w:ascii="Verdana" w:hAnsi="Verdana"/>
          <w:sz w:val="20"/>
          <w:szCs w:val="20"/>
        </w:rPr>
        <w:t>.</w:t>
      </w:r>
      <w:r w:rsidR="00A20F1B" w:rsidRPr="002D2850">
        <w:rPr>
          <w:rFonts w:ascii="Verdana" w:hAnsi="Verdana"/>
          <w:sz w:val="20"/>
          <w:szCs w:val="20"/>
        </w:rPr>
        <w:t xml:space="preserve"> </w:t>
      </w:r>
      <w:r w:rsidR="00917515" w:rsidRPr="002D2850">
        <w:rPr>
          <w:rFonts w:ascii="Verdana" w:hAnsi="Verdana"/>
          <w:sz w:val="20"/>
          <w:szCs w:val="20"/>
        </w:rPr>
        <w:t xml:space="preserve">Several declarations </w:t>
      </w:r>
      <w:r w:rsidR="006C19E4">
        <w:rPr>
          <w:rFonts w:ascii="Verdana" w:hAnsi="Verdana"/>
          <w:sz w:val="20"/>
          <w:szCs w:val="20"/>
        </w:rPr>
        <w:t xml:space="preserve">by other States Parties </w:t>
      </w:r>
      <w:r w:rsidR="00917515" w:rsidRPr="002D2850">
        <w:rPr>
          <w:rFonts w:ascii="Verdana" w:hAnsi="Verdana"/>
          <w:sz w:val="20"/>
          <w:szCs w:val="20"/>
        </w:rPr>
        <w:t xml:space="preserve">similar to the Dutch declaration on </w:t>
      </w:r>
      <w:r w:rsidR="00C306C4">
        <w:rPr>
          <w:rFonts w:ascii="Verdana" w:hAnsi="Verdana"/>
          <w:sz w:val="20"/>
          <w:szCs w:val="20"/>
        </w:rPr>
        <w:t>a</w:t>
      </w:r>
      <w:r w:rsidR="00917515" w:rsidRPr="002D2850">
        <w:rPr>
          <w:rFonts w:ascii="Verdana" w:hAnsi="Verdana"/>
          <w:sz w:val="20"/>
          <w:szCs w:val="20"/>
        </w:rPr>
        <w:t>rticle 12 have been made. No objections have been raised to th</w:t>
      </w:r>
      <w:r w:rsidR="006C19E4">
        <w:rPr>
          <w:rFonts w:ascii="Verdana" w:hAnsi="Verdana"/>
          <w:sz w:val="20"/>
          <w:szCs w:val="20"/>
        </w:rPr>
        <w:t>e</w:t>
      </w:r>
      <w:r w:rsidR="00917515" w:rsidRPr="002D2850">
        <w:rPr>
          <w:rFonts w:ascii="Verdana" w:hAnsi="Verdana"/>
          <w:sz w:val="20"/>
          <w:szCs w:val="20"/>
        </w:rPr>
        <w:t xml:space="preserve">se declarations by other States Parties. The Netherlands is of the opinion that there is a general understanding among States Parties that the Convention allows </w:t>
      </w:r>
      <w:r w:rsidR="00DD580E">
        <w:rPr>
          <w:rFonts w:ascii="Verdana" w:hAnsi="Verdana"/>
          <w:sz w:val="20"/>
          <w:szCs w:val="20"/>
        </w:rPr>
        <w:t>for substitute decision-making where this is necessary</w:t>
      </w:r>
      <w:r w:rsidR="00917515" w:rsidRPr="002D2850">
        <w:rPr>
          <w:rFonts w:ascii="Verdana" w:hAnsi="Verdana"/>
          <w:sz w:val="20"/>
          <w:szCs w:val="20"/>
        </w:rPr>
        <w:t xml:space="preserve"> as a last resort and subject to</w:t>
      </w:r>
      <w:r w:rsidR="00DD580E">
        <w:rPr>
          <w:rFonts w:ascii="Verdana" w:hAnsi="Verdana"/>
          <w:sz w:val="20"/>
          <w:szCs w:val="20"/>
        </w:rPr>
        <w:t xml:space="preserve"> </w:t>
      </w:r>
      <w:r w:rsidR="00917515" w:rsidRPr="002D2850">
        <w:rPr>
          <w:rFonts w:ascii="Verdana" w:hAnsi="Verdana"/>
          <w:sz w:val="20"/>
          <w:szCs w:val="20"/>
        </w:rPr>
        <w:t xml:space="preserve">safeguards. The Netherlands </w:t>
      </w:r>
      <w:r w:rsidR="00A20F1B" w:rsidRPr="002D2850">
        <w:rPr>
          <w:rFonts w:ascii="Verdana" w:hAnsi="Verdana"/>
          <w:sz w:val="20"/>
          <w:szCs w:val="20"/>
        </w:rPr>
        <w:t xml:space="preserve">would </w:t>
      </w:r>
      <w:r w:rsidR="00917515" w:rsidRPr="002D2850">
        <w:rPr>
          <w:rFonts w:ascii="Verdana" w:hAnsi="Verdana"/>
          <w:sz w:val="20"/>
          <w:szCs w:val="20"/>
        </w:rPr>
        <w:t xml:space="preserve">therefore </w:t>
      </w:r>
      <w:r w:rsidR="00A20F1B" w:rsidRPr="002D2850">
        <w:rPr>
          <w:rFonts w:ascii="Verdana" w:hAnsi="Verdana"/>
          <w:sz w:val="20"/>
          <w:szCs w:val="20"/>
        </w:rPr>
        <w:t>welcome</w:t>
      </w:r>
      <w:r w:rsidR="00917515" w:rsidRPr="002D2850">
        <w:rPr>
          <w:rFonts w:ascii="Verdana" w:hAnsi="Verdana"/>
          <w:sz w:val="20"/>
          <w:szCs w:val="20"/>
        </w:rPr>
        <w:t xml:space="preserve"> </w:t>
      </w:r>
      <w:r w:rsidR="00A20F1B" w:rsidRPr="002D2850">
        <w:rPr>
          <w:rFonts w:ascii="Verdana" w:hAnsi="Verdana"/>
          <w:sz w:val="20"/>
          <w:szCs w:val="20"/>
        </w:rPr>
        <w:t xml:space="preserve">a revision </w:t>
      </w:r>
      <w:r w:rsidR="00917515" w:rsidRPr="002D2850">
        <w:rPr>
          <w:rFonts w:ascii="Verdana" w:hAnsi="Verdana"/>
          <w:sz w:val="20"/>
          <w:szCs w:val="20"/>
        </w:rPr>
        <w:t xml:space="preserve">of paragraph 56 </w:t>
      </w:r>
      <w:r w:rsidR="00A20F1B" w:rsidRPr="002D2850">
        <w:rPr>
          <w:rFonts w:ascii="Verdana" w:hAnsi="Verdana"/>
          <w:sz w:val="20"/>
          <w:szCs w:val="20"/>
        </w:rPr>
        <w:t xml:space="preserve">that takes </w:t>
      </w:r>
      <w:r w:rsidR="00DD580E">
        <w:rPr>
          <w:rFonts w:ascii="Verdana" w:hAnsi="Verdana"/>
          <w:sz w:val="20"/>
          <w:szCs w:val="20"/>
        </w:rPr>
        <w:t>into account this</w:t>
      </w:r>
      <w:r w:rsidR="00917515" w:rsidRPr="002D2850">
        <w:rPr>
          <w:rFonts w:ascii="Verdana" w:hAnsi="Verdana"/>
          <w:sz w:val="20"/>
          <w:szCs w:val="20"/>
        </w:rPr>
        <w:t xml:space="preserve"> understanding among States Parties</w:t>
      </w:r>
      <w:r w:rsidR="00DD580E">
        <w:rPr>
          <w:rFonts w:ascii="Verdana" w:hAnsi="Verdana"/>
          <w:sz w:val="20"/>
          <w:szCs w:val="20"/>
        </w:rPr>
        <w:t>.</w:t>
      </w:r>
    </w:p>
    <w:p w:rsidR="00580C6A" w:rsidRPr="002D2850" w:rsidRDefault="00580C6A" w:rsidP="00580C6A">
      <w:pPr>
        <w:pStyle w:val="ListParagraph"/>
        <w:ind w:left="360"/>
        <w:rPr>
          <w:rFonts w:ascii="Verdana" w:hAnsi="Verdana"/>
          <w:sz w:val="20"/>
          <w:szCs w:val="20"/>
        </w:rPr>
      </w:pPr>
    </w:p>
    <w:p w:rsidR="00E60503" w:rsidRPr="002D2850" w:rsidRDefault="00826A38" w:rsidP="00826A38">
      <w:pPr>
        <w:pStyle w:val="ListParagraph"/>
        <w:numPr>
          <w:ilvl w:val="0"/>
          <w:numId w:val="2"/>
        </w:numPr>
        <w:rPr>
          <w:rFonts w:ascii="Verdana" w:hAnsi="Verdana"/>
          <w:sz w:val="20"/>
          <w:szCs w:val="20"/>
        </w:rPr>
      </w:pPr>
      <w:r w:rsidRPr="002D2850">
        <w:rPr>
          <w:rFonts w:ascii="Verdana" w:hAnsi="Verdana"/>
          <w:sz w:val="20"/>
          <w:szCs w:val="20"/>
        </w:rPr>
        <w:t>Paragraph 64 addresses article 14 of the Convention. T</w:t>
      </w:r>
      <w:r w:rsidR="00917515" w:rsidRPr="002D2850">
        <w:rPr>
          <w:rFonts w:ascii="Verdana" w:hAnsi="Verdana"/>
          <w:sz w:val="20"/>
          <w:szCs w:val="20"/>
        </w:rPr>
        <w:t>he Committee</w:t>
      </w:r>
      <w:r w:rsidR="00C306C4">
        <w:rPr>
          <w:rFonts w:ascii="Verdana" w:hAnsi="Verdana"/>
          <w:sz w:val="20"/>
          <w:szCs w:val="20"/>
        </w:rPr>
        <w:t xml:space="preserve"> states in its guidelines on a</w:t>
      </w:r>
      <w:r w:rsidR="00917515" w:rsidRPr="002D2850">
        <w:rPr>
          <w:rFonts w:ascii="Verdana" w:hAnsi="Verdana"/>
          <w:sz w:val="20"/>
          <w:szCs w:val="20"/>
        </w:rPr>
        <w:t>rticle 14 (as referred to in footnote 69-70</w:t>
      </w:r>
      <w:r w:rsidR="00C306C4">
        <w:rPr>
          <w:rFonts w:ascii="Verdana" w:hAnsi="Verdana"/>
          <w:sz w:val="20"/>
          <w:szCs w:val="20"/>
        </w:rPr>
        <w:t xml:space="preserve"> of the </w:t>
      </w:r>
      <w:r w:rsidR="00961BA3">
        <w:rPr>
          <w:rFonts w:ascii="Verdana" w:hAnsi="Verdana"/>
          <w:sz w:val="20"/>
          <w:szCs w:val="20"/>
        </w:rPr>
        <w:t xml:space="preserve">draft </w:t>
      </w:r>
      <w:r w:rsidR="00C306C4">
        <w:rPr>
          <w:rFonts w:ascii="Verdana" w:hAnsi="Verdana"/>
          <w:sz w:val="20"/>
          <w:szCs w:val="20"/>
        </w:rPr>
        <w:t>General Comment</w:t>
      </w:r>
      <w:r w:rsidR="00917515" w:rsidRPr="002D2850">
        <w:rPr>
          <w:rFonts w:ascii="Verdana" w:hAnsi="Verdana"/>
          <w:sz w:val="20"/>
          <w:szCs w:val="20"/>
        </w:rPr>
        <w:t xml:space="preserve">) that legislation which provides for </w:t>
      </w:r>
      <w:r w:rsidR="006107B7">
        <w:rPr>
          <w:rFonts w:ascii="Verdana" w:hAnsi="Verdana"/>
          <w:sz w:val="20"/>
          <w:szCs w:val="20"/>
        </w:rPr>
        <w:t>“</w:t>
      </w:r>
      <w:r w:rsidR="00917515" w:rsidRPr="002D2850">
        <w:rPr>
          <w:rFonts w:ascii="Verdana" w:hAnsi="Verdana"/>
          <w:sz w:val="20"/>
          <w:szCs w:val="20"/>
        </w:rPr>
        <w:t>instances in which persons may be detained on the grounds of their actual of perceived impairment, provided there are other reasons for their detention</w:t>
      </w:r>
      <w:r w:rsidR="00580C6A" w:rsidRPr="002D2850">
        <w:rPr>
          <w:rFonts w:ascii="Verdana" w:hAnsi="Verdana"/>
          <w:sz w:val="20"/>
          <w:szCs w:val="20"/>
        </w:rPr>
        <w:t>,</w:t>
      </w:r>
      <w:r w:rsidR="00917515" w:rsidRPr="002D2850">
        <w:rPr>
          <w:rFonts w:ascii="Verdana" w:hAnsi="Verdana"/>
          <w:sz w:val="20"/>
          <w:szCs w:val="20"/>
        </w:rPr>
        <w:t xml:space="preserve"> including </w:t>
      </w:r>
      <w:r w:rsidR="00580C6A" w:rsidRPr="002D2850">
        <w:rPr>
          <w:rFonts w:ascii="Verdana" w:hAnsi="Verdana"/>
          <w:sz w:val="20"/>
          <w:szCs w:val="20"/>
        </w:rPr>
        <w:t>that they are</w:t>
      </w:r>
      <w:r w:rsidR="00917515" w:rsidRPr="002D2850">
        <w:rPr>
          <w:rFonts w:ascii="Verdana" w:hAnsi="Verdana"/>
          <w:sz w:val="20"/>
          <w:szCs w:val="20"/>
        </w:rPr>
        <w:t xml:space="preserve"> </w:t>
      </w:r>
      <w:r w:rsidR="00580C6A" w:rsidRPr="002D2850">
        <w:rPr>
          <w:rFonts w:ascii="Verdana" w:hAnsi="Verdana"/>
          <w:sz w:val="20"/>
          <w:szCs w:val="20"/>
        </w:rPr>
        <w:t xml:space="preserve">considered </w:t>
      </w:r>
      <w:r w:rsidR="00917515" w:rsidRPr="002D2850">
        <w:rPr>
          <w:rFonts w:ascii="Verdana" w:hAnsi="Verdana"/>
          <w:sz w:val="20"/>
          <w:szCs w:val="20"/>
        </w:rPr>
        <w:t>dangerous to themselves or to others</w:t>
      </w:r>
      <w:r w:rsidR="006107B7">
        <w:rPr>
          <w:rFonts w:ascii="Verdana" w:hAnsi="Verdana"/>
          <w:sz w:val="20"/>
          <w:szCs w:val="20"/>
        </w:rPr>
        <w:t>”</w:t>
      </w:r>
      <w:r w:rsidRPr="002D2850">
        <w:rPr>
          <w:rFonts w:ascii="Verdana" w:hAnsi="Verdana"/>
          <w:sz w:val="20"/>
          <w:szCs w:val="20"/>
        </w:rPr>
        <w:t>, is deemed incompatible with article 14 of the Convention</w:t>
      </w:r>
      <w:r w:rsidR="00917515" w:rsidRPr="002D2850">
        <w:rPr>
          <w:rFonts w:ascii="Verdana" w:hAnsi="Verdana"/>
          <w:sz w:val="20"/>
          <w:szCs w:val="20"/>
        </w:rPr>
        <w:t>. According to the Committee such legislation is discriminatory in nature and amounts to arbitrary deprivation of liberty.</w:t>
      </w:r>
    </w:p>
    <w:p w:rsidR="00E60503" w:rsidRPr="002D2850" w:rsidRDefault="00E60503" w:rsidP="00E60503">
      <w:pPr>
        <w:pStyle w:val="ListParagraph"/>
        <w:ind w:left="360"/>
        <w:rPr>
          <w:rFonts w:ascii="Verdana" w:hAnsi="Verdana"/>
          <w:i/>
          <w:sz w:val="20"/>
          <w:szCs w:val="20"/>
        </w:rPr>
      </w:pPr>
    </w:p>
    <w:p w:rsidR="00E60503" w:rsidRPr="002D2850" w:rsidRDefault="00917515" w:rsidP="002D2850">
      <w:pPr>
        <w:pStyle w:val="ListParagraph"/>
        <w:numPr>
          <w:ilvl w:val="0"/>
          <w:numId w:val="2"/>
        </w:numPr>
        <w:rPr>
          <w:rFonts w:ascii="Verdana" w:hAnsi="Verdana"/>
          <w:sz w:val="20"/>
          <w:szCs w:val="20"/>
        </w:rPr>
      </w:pPr>
      <w:r w:rsidRPr="002D2850">
        <w:rPr>
          <w:rFonts w:ascii="Verdana" w:hAnsi="Verdana"/>
          <w:sz w:val="20"/>
          <w:szCs w:val="20"/>
        </w:rPr>
        <w:t>In the Dutch legal framework, the mere presence of a handicap can never be a reason for forced/compulsory care or treatment and in all acts the so called ‘no-unless’ principle applies. Forced/compulsory care must be seen as a last resort and</w:t>
      </w:r>
      <w:r w:rsidR="00A20F1B" w:rsidRPr="002D2850">
        <w:rPr>
          <w:rFonts w:ascii="Verdana" w:hAnsi="Verdana"/>
          <w:sz w:val="20"/>
          <w:szCs w:val="20"/>
        </w:rPr>
        <w:t xml:space="preserve"> is</w:t>
      </w:r>
      <w:r w:rsidRPr="002D2850">
        <w:rPr>
          <w:rFonts w:ascii="Verdana" w:hAnsi="Verdana"/>
          <w:sz w:val="20"/>
          <w:szCs w:val="20"/>
        </w:rPr>
        <w:t xml:space="preserve"> subject to legal safeguards. The position of the Netherlands is that compulsory care or treatment </w:t>
      </w:r>
      <w:r w:rsidR="00580C6A" w:rsidRPr="002D2850">
        <w:rPr>
          <w:rFonts w:ascii="Verdana" w:hAnsi="Verdana"/>
          <w:sz w:val="20"/>
          <w:szCs w:val="20"/>
        </w:rPr>
        <w:t>as a</w:t>
      </w:r>
      <w:r w:rsidRPr="002D2850">
        <w:rPr>
          <w:rFonts w:ascii="Verdana" w:hAnsi="Verdana"/>
          <w:sz w:val="20"/>
          <w:szCs w:val="20"/>
        </w:rPr>
        <w:t xml:space="preserve"> last resort measure</w:t>
      </w:r>
      <w:r w:rsidR="006625F1">
        <w:rPr>
          <w:rFonts w:ascii="Verdana" w:hAnsi="Verdana"/>
          <w:sz w:val="20"/>
          <w:szCs w:val="20"/>
        </w:rPr>
        <w:t xml:space="preserve"> is allowed under a</w:t>
      </w:r>
      <w:r w:rsidRPr="002D2850">
        <w:rPr>
          <w:rFonts w:ascii="Verdana" w:hAnsi="Verdana"/>
          <w:sz w:val="20"/>
          <w:szCs w:val="20"/>
        </w:rPr>
        <w:t xml:space="preserve">rticle 14 of the </w:t>
      </w:r>
      <w:r w:rsidR="006625F1">
        <w:rPr>
          <w:rFonts w:ascii="Verdana" w:hAnsi="Verdana"/>
          <w:sz w:val="20"/>
          <w:szCs w:val="20"/>
        </w:rPr>
        <w:t>Convention</w:t>
      </w:r>
      <w:r w:rsidRPr="002D2850">
        <w:rPr>
          <w:rFonts w:ascii="Verdana" w:hAnsi="Verdana"/>
          <w:sz w:val="20"/>
          <w:szCs w:val="20"/>
        </w:rPr>
        <w:t xml:space="preserve"> and in line human rights standa</w:t>
      </w:r>
      <w:r w:rsidR="00E60503" w:rsidRPr="002D2850">
        <w:rPr>
          <w:rFonts w:ascii="Verdana" w:hAnsi="Verdana"/>
          <w:sz w:val="20"/>
          <w:szCs w:val="20"/>
        </w:rPr>
        <w:t>rds from the Council of Europe</w:t>
      </w:r>
      <w:r w:rsidR="00961BA3">
        <w:rPr>
          <w:rFonts w:ascii="Verdana" w:hAnsi="Verdana"/>
          <w:sz w:val="20"/>
          <w:szCs w:val="20"/>
        </w:rPr>
        <w:t>, including the case law of the European Court of Human Rights</w:t>
      </w:r>
      <w:r w:rsidR="00E60503" w:rsidRPr="002D2850">
        <w:rPr>
          <w:rFonts w:ascii="Verdana" w:hAnsi="Verdana"/>
          <w:sz w:val="20"/>
          <w:szCs w:val="20"/>
        </w:rPr>
        <w:t>.</w:t>
      </w:r>
    </w:p>
    <w:p w:rsidR="00E60503" w:rsidRPr="002D2850" w:rsidRDefault="00E60503" w:rsidP="00E60503">
      <w:pPr>
        <w:pStyle w:val="ListParagraph"/>
        <w:ind w:left="360"/>
        <w:rPr>
          <w:rFonts w:ascii="Verdana" w:hAnsi="Verdana"/>
          <w:i/>
          <w:sz w:val="20"/>
          <w:szCs w:val="20"/>
        </w:rPr>
      </w:pPr>
    </w:p>
    <w:p w:rsidR="00EA5224" w:rsidRPr="00E21035" w:rsidRDefault="00917515" w:rsidP="008515B2">
      <w:pPr>
        <w:pStyle w:val="ListParagraph"/>
        <w:numPr>
          <w:ilvl w:val="0"/>
          <w:numId w:val="2"/>
        </w:numPr>
        <w:rPr>
          <w:rFonts w:ascii="Verdana" w:hAnsi="Verdana"/>
          <w:sz w:val="20"/>
          <w:szCs w:val="20"/>
        </w:rPr>
      </w:pPr>
      <w:r w:rsidRPr="00E21035">
        <w:rPr>
          <w:rFonts w:ascii="Verdana" w:hAnsi="Verdana"/>
          <w:sz w:val="20"/>
          <w:szCs w:val="20"/>
        </w:rPr>
        <w:t xml:space="preserve">Upon ratification of the </w:t>
      </w:r>
      <w:r w:rsidR="00E21035" w:rsidRPr="00E21035">
        <w:rPr>
          <w:rFonts w:ascii="Verdana" w:hAnsi="Verdana"/>
          <w:sz w:val="20"/>
          <w:szCs w:val="20"/>
        </w:rPr>
        <w:t>Convention</w:t>
      </w:r>
      <w:r w:rsidRPr="00E21035">
        <w:rPr>
          <w:rFonts w:ascii="Verdana" w:hAnsi="Verdana"/>
          <w:sz w:val="20"/>
          <w:szCs w:val="20"/>
        </w:rPr>
        <w:t xml:space="preserve">, the Dutch government submitted an interpretative declaration on </w:t>
      </w:r>
      <w:r w:rsidR="00E21035" w:rsidRPr="00E21035">
        <w:rPr>
          <w:rFonts w:ascii="Verdana" w:hAnsi="Verdana"/>
          <w:sz w:val="20"/>
          <w:szCs w:val="20"/>
        </w:rPr>
        <w:t>a</w:t>
      </w:r>
      <w:r w:rsidRPr="00E21035">
        <w:rPr>
          <w:rFonts w:ascii="Verdana" w:hAnsi="Verdana"/>
          <w:sz w:val="20"/>
          <w:szCs w:val="20"/>
        </w:rPr>
        <w:t>rticle 14</w:t>
      </w:r>
      <w:r w:rsidR="00D60E78" w:rsidRPr="00E21035">
        <w:rPr>
          <w:rFonts w:ascii="Verdana" w:hAnsi="Verdana"/>
          <w:sz w:val="20"/>
          <w:szCs w:val="20"/>
        </w:rPr>
        <w:t>, stating that the Netherlands interprets the Convention as such that it allows “</w:t>
      </w:r>
      <w:r w:rsidRPr="00E21035">
        <w:rPr>
          <w:rFonts w:ascii="Verdana" w:hAnsi="Verdana"/>
          <w:sz w:val="20"/>
          <w:szCs w:val="20"/>
        </w:rPr>
        <w:t xml:space="preserve">for compulsory care or treatment of persons, including measures to treat mental illnesses, when circumstances render treatment of this kind necessary as a last resort, and the treatment is subject to legal </w:t>
      </w:r>
      <w:r w:rsidR="00E60503" w:rsidRPr="00E21035">
        <w:rPr>
          <w:rFonts w:ascii="Verdana" w:hAnsi="Verdana"/>
          <w:sz w:val="20"/>
          <w:szCs w:val="20"/>
        </w:rPr>
        <w:t>safeguards.</w:t>
      </w:r>
      <w:r w:rsidR="00D60E78" w:rsidRPr="00E21035">
        <w:rPr>
          <w:rFonts w:ascii="Verdana" w:hAnsi="Verdana"/>
          <w:sz w:val="20"/>
          <w:szCs w:val="20"/>
        </w:rPr>
        <w:t xml:space="preserve">” </w:t>
      </w:r>
      <w:r w:rsidRPr="00E21035">
        <w:rPr>
          <w:rFonts w:ascii="Verdana" w:hAnsi="Verdana"/>
          <w:sz w:val="20"/>
          <w:szCs w:val="20"/>
        </w:rPr>
        <w:t xml:space="preserve">Several declarations similar to the Dutch declaration on </w:t>
      </w:r>
      <w:r w:rsidR="00E21035" w:rsidRPr="00E21035">
        <w:rPr>
          <w:rFonts w:ascii="Verdana" w:hAnsi="Verdana"/>
          <w:sz w:val="20"/>
          <w:szCs w:val="20"/>
        </w:rPr>
        <w:t>a</w:t>
      </w:r>
      <w:r w:rsidRPr="00E21035">
        <w:rPr>
          <w:rFonts w:ascii="Verdana" w:hAnsi="Verdana"/>
          <w:sz w:val="20"/>
          <w:szCs w:val="20"/>
        </w:rPr>
        <w:t>rticle 14 have been made. No objections have been raised to th</w:t>
      </w:r>
      <w:r w:rsidR="00350A5B">
        <w:rPr>
          <w:rFonts w:ascii="Verdana" w:hAnsi="Verdana"/>
          <w:sz w:val="20"/>
          <w:szCs w:val="20"/>
        </w:rPr>
        <w:t>e</w:t>
      </w:r>
      <w:r w:rsidRPr="00E21035">
        <w:rPr>
          <w:rFonts w:ascii="Verdana" w:hAnsi="Verdana"/>
          <w:sz w:val="20"/>
          <w:szCs w:val="20"/>
        </w:rPr>
        <w:t>se declarations by other States Parties. The Netherlands is of the opinion that there is a general understanding among States Parties that the Convention allows for compulsory care or treatment of persons, including measures to treat mental illnesses, when circumstances render treatment of this kind necessary as a last resort, and the treatment is subject to legal</w:t>
      </w:r>
      <w:r w:rsidR="00E60503" w:rsidRPr="00E21035">
        <w:rPr>
          <w:rFonts w:ascii="Verdana" w:hAnsi="Verdana"/>
          <w:sz w:val="20"/>
          <w:szCs w:val="20"/>
        </w:rPr>
        <w:t xml:space="preserve"> safeguards</w:t>
      </w:r>
      <w:r w:rsidR="00E21035" w:rsidRPr="00E21035">
        <w:rPr>
          <w:rFonts w:ascii="Verdana" w:hAnsi="Verdana"/>
          <w:sz w:val="20"/>
          <w:szCs w:val="20"/>
        </w:rPr>
        <w:t xml:space="preserve">. </w:t>
      </w:r>
      <w:r w:rsidRPr="00E21035">
        <w:rPr>
          <w:rFonts w:ascii="Verdana" w:hAnsi="Verdana"/>
          <w:sz w:val="20"/>
          <w:szCs w:val="20"/>
        </w:rPr>
        <w:t xml:space="preserve">The Netherlands </w:t>
      </w:r>
      <w:r w:rsidR="00D60E78" w:rsidRPr="00E21035">
        <w:rPr>
          <w:rFonts w:ascii="Verdana" w:hAnsi="Verdana"/>
          <w:sz w:val="20"/>
          <w:szCs w:val="20"/>
        </w:rPr>
        <w:t xml:space="preserve">would </w:t>
      </w:r>
      <w:r w:rsidR="00EA5224" w:rsidRPr="00E21035">
        <w:rPr>
          <w:rFonts w:ascii="Verdana" w:hAnsi="Verdana"/>
          <w:sz w:val="20"/>
          <w:szCs w:val="20"/>
        </w:rPr>
        <w:t xml:space="preserve">therefore </w:t>
      </w:r>
      <w:r w:rsidR="00D60E78" w:rsidRPr="00E21035">
        <w:rPr>
          <w:rFonts w:ascii="Verdana" w:hAnsi="Verdana"/>
          <w:sz w:val="20"/>
          <w:szCs w:val="20"/>
        </w:rPr>
        <w:t>welcome a revision of</w:t>
      </w:r>
      <w:r w:rsidRPr="00E21035">
        <w:rPr>
          <w:rFonts w:ascii="Verdana" w:hAnsi="Verdana"/>
          <w:sz w:val="20"/>
          <w:szCs w:val="20"/>
        </w:rPr>
        <w:t xml:space="preserve"> paragraphs 63-64 </w:t>
      </w:r>
      <w:r w:rsidR="00D60E78" w:rsidRPr="00E21035">
        <w:rPr>
          <w:rFonts w:ascii="Verdana" w:hAnsi="Verdana"/>
          <w:sz w:val="20"/>
          <w:szCs w:val="20"/>
        </w:rPr>
        <w:t xml:space="preserve">that </w:t>
      </w:r>
      <w:r w:rsidRPr="00E21035">
        <w:rPr>
          <w:rFonts w:ascii="Verdana" w:hAnsi="Verdana"/>
          <w:sz w:val="20"/>
          <w:szCs w:val="20"/>
        </w:rPr>
        <w:t>reflect</w:t>
      </w:r>
      <w:r w:rsidR="00D60E78" w:rsidRPr="00E21035">
        <w:rPr>
          <w:rFonts w:ascii="Verdana" w:hAnsi="Verdana"/>
          <w:sz w:val="20"/>
          <w:szCs w:val="20"/>
        </w:rPr>
        <w:t>s or includes</w:t>
      </w:r>
      <w:r w:rsidR="00EA5224" w:rsidRPr="00E21035">
        <w:rPr>
          <w:rFonts w:ascii="Verdana" w:hAnsi="Verdana"/>
          <w:sz w:val="20"/>
          <w:szCs w:val="20"/>
        </w:rPr>
        <w:t xml:space="preserve"> the</w:t>
      </w:r>
      <w:r w:rsidRPr="00E21035">
        <w:rPr>
          <w:rFonts w:ascii="Verdana" w:hAnsi="Verdana"/>
          <w:sz w:val="20"/>
          <w:szCs w:val="20"/>
        </w:rPr>
        <w:t xml:space="preserve"> understanding among States Parties </w:t>
      </w:r>
      <w:r w:rsidR="00EA5224" w:rsidRPr="00E21035">
        <w:rPr>
          <w:rFonts w:ascii="Verdana" w:hAnsi="Verdana"/>
          <w:sz w:val="20"/>
          <w:szCs w:val="20"/>
        </w:rPr>
        <w:t>that while t</w:t>
      </w:r>
      <w:r w:rsidRPr="00E21035">
        <w:rPr>
          <w:rFonts w:ascii="Verdana" w:hAnsi="Verdana"/>
          <w:sz w:val="20"/>
          <w:szCs w:val="20"/>
        </w:rPr>
        <w:t>he mere presence of a handicap can never be a reason for compulsory care or treatment</w:t>
      </w:r>
      <w:r w:rsidR="00EA5224" w:rsidRPr="00E21035">
        <w:rPr>
          <w:rFonts w:ascii="Verdana" w:hAnsi="Verdana"/>
          <w:sz w:val="20"/>
          <w:szCs w:val="20"/>
        </w:rPr>
        <w:t xml:space="preserve">, </w:t>
      </w:r>
      <w:r w:rsidRPr="00E21035">
        <w:rPr>
          <w:rFonts w:ascii="Verdana" w:hAnsi="Verdana"/>
          <w:sz w:val="20"/>
          <w:szCs w:val="20"/>
        </w:rPr>
        <w:t xml:space="preserve">compulsory care or treatment of persons </w:t>
      </w:r>
      <w:r w:rsidR="00D37456">
        <w:rPr>
          <w:rFonts w:ascii="Verdana" w:hAnsi="Verdana"/>
          <w:sz w:val="20"/>
          <w:szCs w:val="20"/>
        </w:rPr>
        <w:t>with disabilit</w:t>
      </w:r>
      <w:r w:rsidR="00220BE3">
        <w:rPr>
          <w:rFonts w:ascii="Verdana" w:hAnsi="Verdana"/>
          <w:sz w:val="20"/>
          <w:szCs w:val="20"/>
        </w:rPr>
        <w:t>ies</w:t>
      </w:r>
      <w:r w:rsidRPr="00E21035">
        <w:rPr>
          <w:rFonts w:ascii="Verdana" w:hAnsi="Verdana"/>
          <w:sz w:val="20"/>
          <w:szCs w:val="20"/>
        </w:rPr>
        <w:t xml:space="preserve">– including measures to treat mental illnesses – </w:t>
      </w:r>
      <w:r w:rsidR="00EA5224" w:rsidRPr="00E21035">
        <w:rPr>
          <w:rFonts w:ascii="Verdana" w:hAnsi="Verdana"/>
          <w:sz w:val="20"/>
          <w:szCs w:val="20"/>
        </w:rPr>
        <w:t>does not violate articles 5 and 14</w:t>
      </w:r>
      <w:r w:rsidRPr="00E21035">
        <w:rPr>
          <w:rFonts w:ascii="Verdana" w:hAnsi="Verdana"/>
          <w:sz w:val="20"/>
          <w:szCs w:val="20"/>
        </w:rPr>
        <w:t xml:space="preserve"> of the Convention when circumstances render treatment of this k</w:t>
      </w:r>
      <w:r w:rsidR="00EA5224" w:rsidRPr="00E21035">
        <w:rPr>
          <w:rFonts w:ascii="Verdana" w:hAnsi="Verdana"/>
          <w:sz w:val="20"/>
          <w:szCs w:val="20"/>
        </w:rPr>
        <w:t>ind necessary as a last resort and this</w:t>
      </w:r>
      <w:r w:rsidRPr="00E21035">
        <w:rPr>
          <w:rFonts w:ascii="Verdana" w:hAnsi="Verdana"/>
          <w:sz w:val="20"/>
          <w:szCs w:val="20"/>
        </w:rPr>
        <w:t xml:space="preserve"> treatment is subject to</w:t>
      </w:r>
      <w:r w:rsidR="00ED0F6D" w:rsidRPr="00E21035">
        <w:rPr>
          <w:rFonts w:ascii="Verdana" w:hAnsi="Verdana"/>
          <w:sz w:val="20"/>
          <w:szCs w:val="20"/>
        </w:rPr>
        <w:t xml:space="preserve"> </w:t>
      </w:r>
      <w:r w:rsidRPr="00E21035">
        <w:rPr>
          <w:rFonts w:ascii="Verdana" w:hAnsi="Verdana"/>
          <w:sz w:val="20"/>
          <w:szCs w:val="20"/>
        </w:rPr>
        <w:t>legal safeguards.</w:t>
      </w:r>
    </w:p>
    <w:p w:rsidR="00EA5224" w:rsidRPr="00EA5224" w:rsidRDefault="00EA5224" w:rsidP="00EA5224">
      <w:pPr>
        <w:pStyle w:val="ListParagraph"/>
        <w:rPr>
          <w:rFonts w:ascii="Verdana" w:hAnsi="Verdana"/>
          <w:sz w:val="20"/>
          <w:szCs w:val="20"/>
        </w:rPr>
      </w:pPr>
    </w:p>
    <w:p w:rsidR="009A20CC" w:rsidRPr="00EA5224" w:rsidRDefault="001E6889" w:rsidP="00EA5224">
      <w:pPr>
        <w:pStyle w:val="ListParagraph"/>
        <w:numPr>
          <w:ilvl w:val="0"/>
          <w:numId w:val="2"/>
        </w:numPr>
        <w:rPr>
          <w:rFonts w:ascii="Verdana" w:hAnsi="Verdana"/>
          <w:sz w:val="20"/>
          <w:szCs w:val="20"/>
        </w:rPr>
      </w:pPr>
      <w:r w:rsidRPr="00EA5224">
        <w:rPr>
          <w:rFonts w:ascii="Verdana" w:hAnsi="Verdana"/>
          <w:sz w:val="20"/>
          <w:szCs w:val="20"/>
        </w:rPr>
        <w:t>Paragraph 73 addresses article 27 on work and employment and includes references to terms that are, in the opinion of the Netherlands, too strict (e.g. ‘to ensure’, should’ and ‘facilitate’</w:t>
      </w:r>
      <w:r w:rsidR="00A15A56">
        <w:rPr>
          <w:rFonts w:ascii="Verdana" w:hAnsi="Verdana"/>
          <w:sz w:val="20"/>
          <w:szCs w:val="20"/>
        </w:rPr>
        <w:t>) as</w:t>
      </w:r>
      <w:r w:rsidRPr="00EA5224">
        <w:rPr>
          <w:rFonts w:ascii="Verdana" w:hAnsi="Verdana"/>
          <w:sz w:val="20"/>
          <w:szCs w:val="20"/>
        </w:rPr>
        <w:t xml:space="preserve"> article</w:t>
      </w:r>
      <w:r w:rsidR="00A15A56">
        <w:rPr>
          <w:rFonts w:ascii="Verdana" w:hAnsi="Verdana"/>
          <w:sz w:val="20"/>
          <w:szCs w:val="20"/>
        </w:rPr>
        <w:t xml:space="preserve"> 27</w:t>
      </w:r>
      <w:r w:rsidRPr="00EA5224">
        <w:rPr>
          <w:rFonts w:ascii="Verdana" w:hAnsi="Verdana"/>
          <w:sz w:val="20"/>
          <w:szCs w:val="20"/>
        </w:rPr>
        <w:t xml:space="preserve"> itself </w:t>
      </w:r>
      <w:r w:rsidR="00A15A56">
        <w:rPr>
          <w:rFonts w:ascii="Verdana" w:hAnsi="Verdana"/>
          <w:sz w:val="20"/>
          <w:szCs w:val="20"/>
        </w:rPr>
        <w:t>contains</w:t>
      </w:r>
      <w:r w:rsidRPr="00EA5224">
        <w:rPr>
          <w:rFonts w:ascii="Verdana" w:hAnsi="Verdana"/>
          <w:sz w:val="20"/>
          <w:szCs w:val="20"/>
        </w:rPr>
        <w:t xml:space="preserve"> </w:t>
      </w:r>
      <w:r w:rsidR="00A15A56">
        <w:rPr>
          <w:rFonts w:ascii="Verdana" w:hAnsi="Verdana"/>
          <w:sz w:val="20"/>
          <w:szCs w:val="20"/>
        </w:rPr>
        <w:t>language</w:t>
      </w:r>
      <w:r w:rsidRPr="00EA5224">
        <w:rPr>
          <w:rFonts w:ascii="Verdana" w:hAnsi="Verdana"/>
          <w:sz w:val="20"/>
          <w:szCs w:val="20"/>
        </w:rPr>
        <w:t xml:space="preserve"> such as ‘promote’ and ‘taking appropriate steps’</w:t>
      </w:r>
      <w:r w:rsidR="000E0F2D">
        <w:rPr>
          <w:rFonts w:ascii="Verdana" w:hAnsi="Verdana"/>
          <w:sz w:val="20"/>
          <w:szCs w:val="20"/>
        </w:rPr>
        <w:t xml:space="preserve"> when referring to steps to be taken by States</w:t>
      </w:r>
      <w:r w:rsidRPr="00EA5224">
        <w:rPr>
          <w:rFonts w:ascii="Verdana" w:hAnsi="Verdana"/>
          <w:sz w:val="20"/>
          <w:szCs w:val="20"/>
        </w:rPr>
        <w:t xml:space="preserve">. In line with the comment made by the Netherlands </w:t>
      </w:r>
      <w:r w:rsidR="007F4399">
        <w:rPr>
          <w:rFonts w:ascii="Verdana" w:hAnsi="Verdana"/>
          <w:sz w:val="20"/>
          <w:szCs w:val="20"/>
        </w:rPr>
        <w:t xml:space="preserve">in paragraph 2 </w:t>
      </w:r>
      <w:r w:rsidRPr="00EA5224">
        <w:rPr>
          <w:rFonts w:ascii="Verdana" w:hAnsi="Verdana"/>
          <w:sz w:val="20"/>
          <w:szCs w:val="20"/>
        </w:rPr>
        <w:t xml:space="preserve">regarding the over-all language used in the </w:t>
      </w:r>
      <w:r w:rsidR="007F4399">
        <w:rPr>
          <w:rFonts w:ascii="Verdana" w:hAnsi="Verdana"/>
          <w:sz w:val="20"/>
          <w:szCs w:val="20"/>
        </w:rPr>
        <w:t xml:space="preserve">draft </w:t>
      </w:r>
      <w:r w:rsidRPr="00EA5224">
        <w:rPr>
          <w:rFonts w:ascii="Verdana" w:hAnsi="Verdana"/>
          <w:sz w:val="20"/>
          <w:szCs w:val="20"/>
        </w:rPr>
        <w:t>General Comment, the Netherlands would welcome a revision of the wording of paragraph 73 that is more in line with the wording of article 27</w:t>
      </w:r>
      <w:r w:rsidR="006805B5">
        <w:rPr>
          <w:rFonts w:ascii="Verdana" w:hAnsi="Verdana"/>
          <w:sz w:val="20"/>
          <w:szCs w:val="20"/>
        </w:rPr>
        <w:t xml:space="preserve">, such as </w:t>
      </w:r>
      <w:r w:rsidR="007F4399">
        <w:rPr>
          <w:rFonts w:ascii="Verdana" w:hAnsi="Verdana"/>
          <w:sz w:val="20"/>
          <w:szCs w:val="20"/>
        </w:rPr>
        <w:t>:</w:t>
      </w:r>
      <w:r w:rsidRPr="00EA5224">
        <w:rPr>
          <w:rFonts w:ascii="Verdana" w:hAnsi="Verdana"/>
          <w:sz w:val="20"/>
          <w:szCs w:val="20"/>
        </w:rPr>
        <w:t xml:space="preserve"> ‘to ensure </w:t>
      </w:r>
      <w:r w:rsidRPr="000E0F2D">
        <w:rPr>
          <w:rFonts w:ascii="Verdana" w:hAnsi="Verdana"/>
          <w:sz w:val="20"/>
          <w:szCs w:val="20"/>
          <w:u w:val="single"/>
        </w:rPr>
        <w:t>gradually’</w:t>
      </w:r>
      <w:r w:rsidRPr="00EA5224">
        <w:rPr>
          <w:rFonts w:ascii="Verdana" w:hAnsi="Verdana"/>
          <w:sz w:val="20"/>
          <w:szCs w:val="20"/>
        </w:rPr>
        <w:t>, ‘</w:t>
      </w:r>
      <w:r w:rsidRPr="000E0F2D">
        <w:rPr>
          <w:rFonts w:ascii="Verdana" w:hAnsi="Verdana"/>
          <w:sz w:val="20"/>
          <w:szCs w:val="20"/>
          <w:u w:val="single"/>
        </w:rPr>
        <w:t>where appropriate</w:t>
      </w:r>
      <w:r w:rsidRPr="00EA5224">
        <w:rPr>
          <w:rFonts w:ascii="Verdana" w:hAnsi="Verdana"/>
          <w:sz w:val="20"/>
          <w:szCs w:val="20"/>
        </w:rPr>
        <w:t xml:space="preserve"> facilitate’, or ‘</w:t>
      </w:r>
      <w:r w:rsidRPr="000E0F2D">
        <w:rPr>
          <w:rFonts w:ascii="Verdana" w:hAnsi="Verdana"/>
          <w:sz w:val="20"/>
          <w:szCs w:val="20"/>
          <w:u w:val="single"/>
        </w:rPr>
        <w:t>promote’</w:t>
      </w:r>
      <w:r w:rsidRPr="00EA5224">
        <w:rPr>
          <w:rFonts w:ascii="Verdana" w:hAnsi="Verdana"/>
          <w:sz w:val="20"/>
          <w:szCs w:val="20"/>
        </w:rPr>
        <w:t xml:space="preserve">. </w:t>
      </w:r>
      <w:r w:rsidR="002D2850" w:rsidRPr="00EA5224">
        <w:rPr>
          <w:rFonts w:ascii="Verdana" w:hAnsi="Verdana"/>
          <w:sz w:val="20"/>
          <w:szCs w:val="20"/>
        </w:rPr>
        <w:br/>
      </w:r>
    </w:p>
    <w:p w:rsidR="006E600A" w:rsidRPr="002D2850" w:rsidRDefault="009A20CC" w:rsidP="002D2850">
      <w:pPr>
        <w:pStyle w:val="ListParagraph"/>
        <w:numPr>
          <w:ilvl w:val="0"/>
          <w:numId w:val="2"/>
        </w:numPr>
        <w:rPr>
          <w:rFonts w:ascii="Verdana" w:hAnsi="Verdana"/>
          <w:sz w:val="20"/>
          <w:szCs w:val="20"/>
        </w:rPr>
      </w:pPr>
      <w:r w:rsidRPr="002D2850">
        <w:rPr>
          <w:rFonts w:ascii="Verdana" w:hAnsi="Verdana"/>
          <w:sz w:val="20"/>
          <w:szCs w:val="20"/>
        </w:rPr>
        <w:t>Paragraph 76</w:t>
      </w:r>
      <w:r w:rsidR="00F13D27" w:rsidRPr="002D2850">
        <w:rPr>
          <w:rFonts w:ascii="Verdana" w:hAnsi="Verdana"/>
          <w:sz w:val="20"/>
          <w:szCs w:val="20"/>
        </w:rPr>
        <w:t xml:space="preserve"> addresses the implementation of the Convention at the national level. </w:t>
      </w:r>
      <w:r w:rsidR="000E0F2D">
        <w:rPr>
          <w:rFonts w:ascii="Verdana" w:hAnsi="Verdana"/>
          <w:sz w:val="20"/>
          <w:szCs w:val="20"/>
        </w:rPr>
        <w:t>In s</w:t>
      </w:r>
      <w:r w:rsidR="00F13D27" w:rsidRPr="002D2850">
        <w:rPr>
          <w:rFonts w:ascii="Verdana" w:hAnsi="Verdana"/>
          <w:sz w:val="20"/>
          <w:szCs w:val="20"/>
        </w:rPr>
        <w:t xml:space="preserve">ubparagraph f and i reference is made to accessibility, rather than non-discrimination. </w:t>
      </w:r>
      <w:r w:rsidR="007F4399">
        <w:rPr>
          <w:rFonts w:ascii="Verdana" w:hAnsi="Verdana"/>
          <w:sz w:val="20"/>
          <w:szCs w:val="20"/>
        </w:rPr>
        <w:t>T</w:t>
      </w:r>
      <w:r w:rsidR="00F13D27" w:rsidRPr="002D2850">
        <w:rPr>
          <w:rFonts w:ascii="Verdana" w:hAnsi="Verdana"/>
          <w:sz w:val="20"/>
          <w:szCs w:val="20"/>
        </w:rPr>
        <w:t xml:space="preserve">he Netherlands </w:t>
      </w:r>
      <w:r w:rsidR="007F4399" w:rsidRPr="002D2850">
        <w:rPr>
          <w:rFonts w:ascii="Verdana" w:hAnsi="Verdana"/>
          <w:sz w:val="20"/>
          <w:szCs w:val="20"/>
        </w:rPr>
        <w:t xml:space="preserve">is </w:t>
      </w:r>
      <w:r w:rsidR="007F4399">
        <w:rPr>
          <w:rFonts w:ascii="Verdana" w:hAnsi="Verdana"/>
          <w:sz w:val="20"/>
          <w:szCs w:val="20"/>
        </w:rPr>
        <w:t xml:space="preserve">of </w:t>
      </w:r>
      <w:r w:rsidR="007F4399" w:rsidRPr="002D2850">
        <w:rPr>
          <w:rFonts w:ascii="Verdana" w:hAnsi="Verdana"/>
          <w:sz w:val="20"/>
          <w:szCs w:val="20"/>
        </w:rPr>
        <w:t xml:space="preserve">the opinion </w:t>
      </w:r>
      <w:r w:rsidR="00F13D27" w:rsidRPr="002D2850">
        <w:rPr>
          <w:rFonts w:ascii="Verdana" w:hAnsi="Verdana"/>
          <w:sz w:val="20"/>
          <w:szCs w:val="20"/>
        </w:rPr>
        <w:t xml:space="preserve">that </w:t>
      </w:r>
      <w:r w:rsidR="009D4E5A" w:rsidRPr="002D2850">
        <w:rPr>
          <w:rFonts w:ascii="Verdana" w:hAnsi="Verdana"/>
          <w:sz w:val="20"/>
          <w:szCs w:val="20"/>
        </w:rPr>
        <w:t xml:space="preserve">the comment under subparagraph f and the final sentence of subparagraph i are </w:t>
      </w:r>
      <w:r w:rsidR="00F13D27" w:rsidRPr="002D2850">
        <w:rPr>
          <w:rFonts w:ascii="Verdana" w:hAnsi="Verdana"/>
          <w:sz w:val="20"/>
          <w:szCs w:val="20"/>
        </w:rPr>
        <w:t xml:space="preserve">comments more suitable to be covered in a General Comment </w:t>
      </w:r>
      <w:r w:rsidR="007F4399">
        <w:rPr>
          <w:rFonts w:ascii="Verdana" w:hAnsi="Verdana"/>
          <w:sz w:val="20"/>
          <w:szCs w:val="20"/>
        </w:rPr>
        <w:t>on</w:t>
      </w:r>
      <w:r w:rsidR="00F13D27" w:rsidRPr="002D2850">
        <w:rPr>
          <w:rFonts w:ascii="Verdana" w:hAnsi="Verdana"/>
          <w:sz w:val="20"/>
          <w:szCs w:val="20"/>
        </w:rPr>
        <w:t xml:space="preserve"> article 9 of the Convention </w:t>
      </w:r>
      <w:r w:rsidR="007F4399">
        <w:rPr>
          <w:rFonts w:ascii="Verdana" w:hAnsi="Verdana"/>
          <w:sz w:val="20"/>
          <w:szCs w:val="20"/>
        </w:rPr>
        <w:t>dealing with</w:t>
      </w:r>
      <w:r w:rsidR="00F13D27" w:rsidRPr="002D2850">
        <w:rPr>
          <w:rFonts w:ascii="Verdana" w:hAnsi="Verdana"/>
          <w:sz w:val="20"/>
          <w:szCs w:val="20"/>
        </w:rPr>
        <w:t xml:space="preserve"> accessibility. This is without prejudice to the </w:t>
      </w:r>
      <w:r w:rsidR="002D2850" w:rsidRPr="002D2850">
        <w:rPr>
          <w:rFonts w:ascii="Verdana" w:hAnsi="Verdana"/>
          <w:sz w:val="20"/>
          <w:szCs w:val="20"/>
        </w:rPr>
        <w:t>view</w:t>
      </w:r>
      <w:r w:rsidR="00F13D27" w:rsidRPr="002D2850">
        <w:rPr>
          <w:rFonts w:ascii="Verdana" w:hAnsi="Verdana"/>
          <w:sz w:val="20"/>
          <w:szCs w:val="20"/>
        </w:rPr>
        <w:t xml:space="preserve"> that in general accessibility for perso</w:t>
      </w:r>
      <w:r w:rsidR="002D2850">
        <w:rPr>
          <w:rFonts w:ascii="Verdana" w:hAnsi="Verdana"/>
          <w:sz w:val="20"/>
          <w:szCs w:val="20"/>
        </w:rPr>
        <w:t xml:space="preserve">ns with disabilities should be </w:t>
      </w:r>
      <w:r w:rsidR="000E0F2D">
        <w:rPr>
          <w:rFonts w:ascii="Verdana" w:hAnsi="Verdana"/>
          <w:sz w:val="20"/>
          <w:szCs w:val="20"/>
        </w:rPr>
        <w:t>facilitated</w:t>
      </w:r>
      <w:r w:rsidR="00F13D27" w:rsidRPr="002D2850">
        <w:rPr>
          <w:rFonts w:ascii="Verdana" w:hAnsi="Verdana"/>
          <w:sz w:val="20"/>
          <w:szCs w:val="20"/>
        </w:rPr>
        <w:t>.</w:t>
      </w:r>
      <w:r w:rsidRPr="002D2850">
        <w:rPr>
          <w:rFonts w:ascii="Verdana" w:hAnsi="Verdana"/>
          <w:i/>
          <w:sz w:val="20"/>
          <w:szCs w:val="20"/>
        </w:rPr>
        <w:br/>
      </w:r>
    </w:p>
    <w:sectPr w:rsidR="006E600A" w:rsidRPr="002D2850" w:rsidSect="00E611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B5" w:rsidRDefault="004811B5" w:rsidP="00F061BF">
      <w:pPr>
        <w:spacing w:after="0" w:line="240" w:lineRule="auto"/>
      </w:pPr>
      <w:r>
        <w:separator/>
      </w:r>
    </w:p>
  </w:endnote>
  <w:endnote w:type="continuationSeparator" w:id="0">
    <w:p w:rsidR="004811B5" w:rsidRDefault="004811B5" w:rsidP="00F0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B5" w:rsidRDefault="004811B5" w:rsidP="00F061BF">
      <w:pPr>
        <w:spacing w:after="0" w:line="240" w:lineRule="auto"/>
      </w:pPr>
      <w:r>
        <w:separator/>
      </w:r>
    </w:p>
  </w:footnote>
  <w:footnote w:type="continuationSeparator" w:id="0">
    <w:p w:rsidR="004811B5" w:rsidRDefault="004811B5" w:rsidP="00F06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E70D5"/>
    <w:multiLevelType w:val="hybridMultilevel"/>
    <w:tmpl w:val="F0FE08C0"/>
    <w:lvl w:ilvl="0" w:tplc="266C62B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4C239E"/>
    <w:multiLevelType w:val="hybridMultilevel"/>
    <w:tmpl w:val="4306CD72"/>
    <w:lvl w:ilvl="0" w:tplc="4C4EE01E">
      <w:start w:val="1"/>
      <w:numFmt w:val="decimal"/>
      <w:lvlText w:val="%1."/>
      <w:lvlJc w:val="left"/>
      <w:pPr>
        <w:ind w:left="360" w:hanging="360"/>
      </w:pPr>
      <w:rPr>
        <w:rFonts w:asciiTheme="minorHAnsi" w:hAnsiTheme="minorHAnsi"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84"/>
    <w:rsid w:val="00001346"/>
    <w:rsid w:val="000A4E9A"/>
    <w:rsid w:val="000E0F2D"/>
    <w:rsid w:val="0010278F"/>
    <w:rsid w:val="00182484"/>
    <w:rsid w:val="001B01BD"/>
    <w:rsid w:val="001E6889"/>
    <w:rsid w:val="00220BE3"/>
    <w:rsid w:val="002502E9"/>
    <w:rsid w:val="002B46F8"/>
    <w:rsid w:val="002D2850"/>
    <w:rsid w:val="00300900"/>
    <w:rsid w:val="0031244D"/>
    <w:rsid w:val="00350A5B"/>
    <w:rsid w:val="00367083"/>
    <w:rsid w:val="003D1751"/>
    <w:rsid w:val="004811B5"/>
    <w:rsid w:val="00485A07"/>
    <w:rsid w:val="004D4794"/>
    <w:rsid w:val="005747EB"/>
    <w:rsid w:val="00580C6A"/>
    <w:rsid w:val="005A72A2"/>
    <w:rsid w:val="005C7183"/>
    <w:rsid w:val="005F43F1"/>
    <w:rsid w:val="006024DA"/>
    <w:rsid w:val="006107B7"/>
    <w:rsid w:val="00641393"/>
    <w:rsid w:val="006625F1"/>
    <w:rsid w:val="0067170E"/>
    <w:rsid w:val="006805B5"/>
    <w:rsid w:val="006C19E4"/>
    <w:rsid w:val="006E600A"/>
    <w:rsid w:val="006F61DB"/>
    <w:rsid w:val="00731AA8"/>
    <w:rsid w:val="007F26AD"/>
    <w:rsid w:val="007F4399"/>
    <w:rsid w:val="00826A38"/>
    <w:rsid w:val="00830C84"/>
    <w:rsid w:val="00890378"/>
    <w:rsid w:val="00895661"/>
    <w:rsid w:val="008C3D61"/>
    <w:rsid w:val="008F1DBE"/>
    <w:rsid w:val="00917515"/>
    <w:rsid w:val="00946D8E"/>
    <w:rsid w:val="00954154"/>
    <w:rsid w:val="00961BA3"/>
    <w:rsid w:val="009922AF"/>
    <w:rsid w:val="009A11ED"/>
    <w:rsid w:val="009A20CC"/>
    <w:rsid w:val="009D4E5A"/>
    <w:rsid w:val="009E665B"/>
    <w:rsid w:val="00A15A56"/>
    <w:rsid w:val="00A20F1B"/>
    <w:rsid w:val="00A55713"/>
    <w:rsid w:val="00A63971"/>
    <w:rsid w:val="00AE0C70"/>
    <w:rsid w:val="00B626FC"/>
    <w:rsid w:val="00B902C5"/>
    <w:rsid w:val="00BC3989"/>
    <w:rsid w:val="00C03F2B"/>
    <w:rsid w:val="00C306C4"/>
    <w:rsid w:val="00C870DE"/>
    <w:rsid w:val="00D01604"/>
    <w:rsid w:val="00D04EE1"/>
    <w:rsid w:val="00D37456"/>
    <w:rsid w:val="00D60E78"/>
    <w:rsid w:val="00D91480"/>
    <w:rsid w:val="00DC1E94"/>
    <w:rsid w:val="00DD580E"/>
    <w:rsid w:val="00E21035"/>
    <w:rsid w:val="00E60503"/>
    <w:rsid w:val="00E61134"/>
    <w:rsid w:val="00E667C2"/>
    <w:rsid w:val="00E873E4"/>
    <w:rsid w:val="00E962F2"/>
    <w:rsid w:val="00EA5224"/>
    <w:rsid w:val="00ED0F6D"/>
    <w:rsid w:val="00F061BF"/>
    <w:rsid w:val="00F13D27"/>
    <w:rsid w:val="00F659DD"/>
    <w:rsid w:val="00F7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D1DC"/>
  <w15:docId w15:val="{6DEA8D96-C784-495C-872C-5982DFC7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C84"/>
    <w:pPr>
      <w:ind w:left="720"/>
      <w:contextualSpacing/>
    </w:pPr>
  </w:style>
  <w:style w:type="paragraph" w:styleId="BalloonText">
    <w:name w:val="Balloon Text"/>
    <w:basedOn w:val="Normal"/>
    <w:link w:val="BalloonTextChar"/>
    <w:uiPriority w:val="99"/>
    <w:semiHidden/>
    <w:unhideWhenUsed/>
    <w:rsid w:val="00A20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1B"/>
    <w:rPr>
      <w:rFonts w:ascii="Segoe UI" w:hAnsi="Segoe UI" w:cs="Segoe UI"/>
      <w:sz w:val="18"/>
      <w:szCs w:val="18"/>
    </w:rPr>
  </w:style>
  <w:style w:type="character" w:styleId="CommentReference">
    <w:name w:val="annotation reference"/>
    <w:basedOn w:val="DefaultParagraphFont"/>
    <w:uiPriority w:val="99"/>
    <w:semiHidden/>
    <w:unhideWhenUsed/>
    <w:rsid w:val="00A20F1B"/>
    <w:rPr>
      <w:sz w:val="16"/>
      <w:szCs w:val="16"/>
    </w:rPr>
  </w:style>
  <w:style w:type="paragraph" w:styleId="CommentText">
    <w:name w:val="annotation text"/>
    <w:basedOn w:val="Normal"/>
    <w:link w:val="CommentTextChar"/>
    <w:uiPriority w:val="99"/>
    <w:semiHidden/>
    <w:unhideWhenUsed/>
    <w:rsid w:val="00A20F1B"/>
    <w:pPr>
      <w:spacing w:line="240" w:lineRule="auto"/>
    </w:pPr>
    <w:rPr>
      <w:sz w:val="20"/>
      <w:szCs w:val="20"/>
    </w:rPr>
  </w:style>
  <w:style w:type="character" w:customStyle="1" w:styleId="CommentTextChar">
    <w:name w:val="Comment Text Char"/>
    <w:basedOn w:val="DefaultParagraphFont"/>
    <w:link w:val="CommentText"/>
    <w:uiPriority w:val="99"/>
    <w:semiHidden/>
    <w:rsid w:val="00A20F1B"/>
    <w:rPr>
      <w:sz w:val="20"/>
      <w:szCs w:val="20"/>
    </w:rPr>
  </w:style>
  <w:style w:type="paragraph" w:styleId="CommentSubject">
    <w:name w:val="annotation subject"/>
    <w:basedOn w:val="CommentText"/>
    <w:next w:val="CommentText"/>
    <w:link w:val="CommentSubjectChar"/>
    <w:uiPriority w:val="99"/>
    <w:semiHidden/>
    <w:unhideWhenUsed/>
    <w:rsid w:val="00A20F1B"/>
    <w:rPr>
      <w:b/>
      <w:bCs/>
    </w:rPr>
  </w:style>
  <w:style w:type="character" w:customStyle="1" w:styleId="CommentSubjectChar">
    <w:name w:val="Comment Subject Char"/>
    <w:basedOn w:val="CommentTextChar"/>
    <w:link w:val="CommentSubject"/>
    <w:uiPriority w:val="99"/>
    <w:semiHidden/>
    <w:rsid w:val="00A20F1B"/>
    <w:rPr>
      <w:b/>
      <w:bCs/>
      <w:sz w:val="20"/>
      <w:szCs w:val="20"/>
    </w:rPr>
  </w:style>
  <w:style w:type="paragraph" w:styleId="Header">
    <w:name w:val="header"/>
    <w:basedOn w:val="Normal"/>
    <w:link w:val="HeaderChar"/>
    <w:uiPriority w:val="99"/>
    <w:semiHidden/>
    <w:unhideWhenUsed/>
    <w:rsid w:val="00F061B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061BF"/>
  </w:style>
  <w:style w:type="paragraph" w:styleId="Footer">
    <w:name w:val="footer"/>
    <w:basedOn w:val="Normal"/>
    <w:link w:val="FooterChar"/>
    <w:uiPriority w:val="99"/>
    <w:semiHidden/>
    <w:unhideWhenUsed/>
    <w:rsid w:val="00F061B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0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5854">
      <w:bodyDiv w:val="1"/>
      <w:marLeft w:val="0"/>
      <w:marRight w:val="0"/>
      <w:marTop w:val="0"/>
      <w:marBottom w:val="0"/>
      <w:divBdr>
        <w:top w:val="none" w:sz="0" w:space="0" w:color="auto"/>
        <w:left w:val="none" w:sz="0" w:space="0" w:color="auto"/>
        <w:bottom w:val="none" w:sz="0" w:space="0" w:color="auto"/>
        <w:right w:val="none" w:sz="0" w:space="0" w:color="auto"/>
      </w:divBdr>
    </w:div>
    <w:div w:id="20980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C862-3942-4131-BCF3-0BBFA60A658C}">
  <ds:schemaRefs>
    <ds:schemaRef ds:uri="http://schemas.microsoft.com/sharepoint/v3/contenttype/forms"/>
  </ds:schemaRefs>
</ds:datastoreItem>
</file>

<file path=customXml/itemProps2.xml><?xml version="1.0" encoding="utf-8"?>
<ds:datastoreItem xmlns:ds="http://schemas.openxmlformats.org/officeDocument/2006/customXml" ds:itemID="{E69C863F-4985-4F63-99B3-5C341F645B91}"/>
</file>

<file path=customXml/itemProps3.xml><?xml version="1.0" encoding="utf-8"?>
<ds:datastoreItem xmlns:ds="http://schemas.openxmlformats.org/officeDocument/2006/customXml" ds:itemID="{518AC66E-6760-40CF-9D05-74401EF1DBD8}">
  <ds:schemaRefs>
    <ds:schemaRef ds:uri="http://schemas.microsoft.com/office/2006/metadata/properties"/>
    <ds:schemaRef ds:uri="http://schemas.microsoft.com/office/infopath/2007/PartnerControls"/>
    <ds:schemaRef ds:uri="f877b762-30f0-4cce-a504-9c8e3f00b0f4"/>
    <ds:schemaRef ds:uri="746e2a3c-fe49-4e79-9841-4c663b98eed3"/>
  </ds:schemaRefs>
</ds:datastoreItem>
</file>

<file path=customXml/itemProps4.xml><?xml version="1.0" encoding="utf-8"?>
<ds:datastoreItem xmlns:ds="http://schemas.openxmlformats.org/officeDocument/2006/customXml" ds:itemID="{464466F6-5DDC-4C37-B9C4-B2D3C057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9765DDE3</Template>
  <TotalTime>8</TotalTime>
  <Pages>1</Pages>
  <Words>1096</Words>
  <Characters>6032</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Buitenlandse Zaken</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Ruiter, Robin de</dc:creator>
  <cp:keywords/>
  <dc:description/>
  <cp:lastModifiedBy>Ruiter, Robin de</cp:lastModifiedBy>
  <cp:revision>4</cp:revision>
  <dcterms:created xsi:type="dcterms:W3CDTF">2017-11-13T13:06:00Z</dcterms:created>
  <dcterms:modified xsi:type="dcterms:W3CDTF">2017-11-13T16:33:00Z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BZ_Forum">
    <vt:lpwstr>537;#VN|7eaa391d-aaa0-4d84-8495-5b1c55212166</vt:lpwstr>
  </property>
  <property fmtid="{D5CDD505-2E9C-101B-9397-08002B2CF9AE}" pid="4" name="BZ_Country">
    <vt:lpwstr>511;#N.v.t.|ec01d90b-9d0f-4785-8785-e1ea615196bf</vt:lpwstr>
  </property>
  <property fmtid="{D5CDD505-2E9C-101B-9397-08002B2CF9AE}" pid="5" name="BZ_Theme">
    <vt:lpwstr>595;#Internationaal recht|c3ccc6b0-9272-4627-b7a1-3f29178c4f7c;#761;#Mensenrechten algemeen|61ad0123-6614-4c7e-b339-269c7b35cf20</vt:lpwstr>
  </property>
  <property fmtid="{D5CDD505-2E9C-101B-9397-08002B2CF9AE}" pid="6" name="BZ_Classification">
    <vt:lpwstr>510;#Niet-gerubriceerd|d92c6340-bc14-4cb2-a9a6-6deda93c493b</vt:lpwstr>
  </property>
  <property fmtid="{D5CDD505-2E9C-101B-9397-08002B2CF9AE}" pid="7" name="TaxKeyword">
    <vt:lpwstr/>
  </property>
  <property fmtid="{D5CDD505-2E9C-101B-9397-08002B2CF9AE}" pid="8" name="TaxKeywordTaxHTField">
    <vt:lpwstr/>
  </property>
  <property fmtid="{D5CDD505-2E9C-101B-9397-08002B2CF9AE}" pid="9" name="IsMyDocuments">
    <vt:bool>true</vt:bool>
  </property>
</Properties>
</file>