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24" w:rsidRPr="00ED7908" w:rsidRDefault="00B81D24" w:rsidP="00B81D24">
      <w:pPr>
        <w:pBdr>
          <w:top w:val="single" w:sz="4" w:space="1" w:color="auto"/>
          <w:bottom w:val="single" w:sz="4" w:space="1" w:color="auto"/>
        </w:pBdr>
        <w:spacing w:after="0"/>
        <w:jc w:val="center"/>
        <w:rPr>
          <w:rFonts w:ascii="Times New Roman" w:hAnsi="Times New Roman" w:cs="Times New Roman"/>
          <w:b/>
          <w:kern w:val="2"/>
          <w:sz w:val="24"/>
          <w:szCs w:val="24"/>
          <w:lang w:val="en-US"/>
        </w:rPr>
      </w:pPr>
      <w:bookmarkStart w:id="0" w:name="_GoBack"/>
      <w:bookmarkEnd w:id="0"/>
      <w:r w:rsidRPr="00ED7908">
        <w:rPr>
          <w:rFonts w:ascii="Times New Roman" w:hAnsi="Times New Roman" w:cs="Times New Roman"/>
          <w:noProof/>
          <w:sz w:val="24"/>
          <w:szCs w:val="24"/>
          <w:lang w:val="en-PH" w:eastAsia="en-PH"/>
        </w:rPr>
        <w:drawing>
          <wp:anchor distT="0" distB="0" distL="114300" distR="114300" simplePos="0" relativeHeight="251659264" behindDoc="1" locked="0" layoutInCell="1" allowOverlap="1" wp14:anchorId="69F0231A" wp14:editId="3C7F87F8">
            <wp:simplePos x="0" y="0"/>
            <wp:positionH relativeFrom="margin">
              <wp:align>center</wp:align>
            </wp:positionH>
            <wp:positionV relativeFrom="page">
              <wp:posOffset>146050</wp:posOffset>
            </wp:positionV>
            <wp:extent cx="3138805" cy="1498600"/>
            <wp:effectExtent l="0" t="0" r="4445"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 with text full color.png"/>
                    <pic:cNvPicPr/>
                  </pic:nvPicPr>
                  <pic:blipFill rotWithShape="1">
                    <a:blip r:embed="rId8" cstate="print">
                      <a:extLst>
                        <a:ext uri="{28A0092B-C50C-407E-A947-70E740481C1C}">
                          <a14:useLocalDpi xmlns:a14="http://schemas.microsoft.com/office/drawing/2010/main" val="0"/>
                        </a:ext>
                      </a:extLst>
                    </a:blip>
                    <a:srcRect t="11379" b="13300"/>
                    <a:stretch/>
                  </pic:blipFill>
                  <pic:spPr bwMode="auto">
                    <a:xfrm>
                      <a:off x="0" y="0"/>
                      <a:ext cx="3138805" cy="149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7908">
        <w:rPr>
          <w:rFonts w:ascii="Times New Roman" w:hAnsi="Times New Roman" w:cs="Times New Roman"/>
          <w:b/>
          <w:kern w:val="2"/>
          <w:sz w:val="24"/>
          <w:szCs w:val="24"/>
          <w:lang w:val="en-US"/>
        </w:rPr>
        <w:t>INPUTS ON THE CONTRIBUTION OF DEVELOPMENT</w:t>
      </w:r>
    </w:p>
    <w:p w:rsidR="00B81D24" w:rsidRPr="00ED7908" w:rsidRDefault="00B81D24" w:rsidP="00B81D24">
      <w:pPr>
        <w:pBdr>
          <w:top w:val="single" w:sz="4" w:space="1" w:color="auto"/>
          <w:bottom w:val="single" w:sz="4" w:space="1" w:color="auto"/>
        </w:pBdr>
        <w:spacing w:after="0"/>
        <w:jc w:val="center"/>
        <w:rPr>
          <w:rFonts w:ascii="Times New Roman" w:hAnsi="Times New Roman" w:cs="Times New Roman"/>
          <w:b/>
          <w:kern w:val="2"/>
          <w:sz w:val="24"/>
          <w:szCs w:val="24"/>
          <w:lang w:val="en-US"/>
        </w:rPr>
      </w:pPr>
      <w:r w:rsidRPr="00ED7908">
        <w:rPr>
          <w:rFonts w:ascii="Times New Roman" w:hAnsi="Times New Roman" w:cs="Times New Roman"/>
          <w:b/>
          <w:kern w:val="2"/>
          <w:sz w:val="24"/>
          <w:szCs w:val="24"/>
          <w:lang w:val="en-US"/>
        </w:rPr>
        <w:t xml:space="preserve">TO THE ENJOYMENT OF ALL HUMAN RIGHTS </w:t>
      </w:r>
    </w:p>
    <w:p w:rsidR="00B81D24" w:rsidRPr="00ED7908" w:rsidRDefault="00B81D24" w:rsidP="00B81D24">
      <w:pPr>
        <w:pBdr>
          <w:top w:val="single" w:sz="4" w:space="1" w:color="auto"/>
          <w:bottom w:val="single" w:sz="4" w:space="1" w:color="auto"/>
        </w:pBdr>
        <w:spacing w:after="0"/>
        <w:jc w:val="center"/>
        <w:rPr>
          <w:rFonts w:ascii="Times New Roman" w:hAnsi="Times New Roman" w:cs="Times New Roman"/>
          <w:kern w:val="2"/>
          <w:sz w:val="24"/>
          <w:szCs w:val="24"/>
          <w:lang w:val="en-US"/>
        </w:rPr>
      </w:pPr>
      <w:r w:rsidRPr="00ED7908">
        <w:rPr>
          <w:rFonts w:ascii="Times New Roman" w:hAnsi="Times New Roman" w:cs="Times New Roman"/>
          <w:kern w:val="2"/>
          <w:sz w:val="24"/>
          <w:szCs w:val="24"/>
          <w:lang w:val="en-US"/>
        </w:rPr>
        <w:t>12 December 2017</w:t>
      </w:r>
    </w:p>
    <w:p w:rsidR="00B81D24" w:rsidRPr="00ED7908" w:rsidRDefault="00B81D24" w:rsidP="00B81D24">
      <w:pPr>
        <w:pStyle w:val="ListParagraph"/>
        <w:numPr>
          <w:ilvl w:val="0"/>
          <w:numId w:val="2"/>
        </w:numPr>
        <w:tabs>
          <w:tab w:val="left" w:pos="1359"/>
          <w:tab w:val="left" w:pos="1983"/>
          <w:tab w:val="left" w:pos="6349"/>
          <w:tab w:val="left" w:pos="6915"/>
          <w:tab w:val="left" w:pos="8370"/>
        </w:tabs>
        <w:spacing w:before="240" w:after="0" w:line="240" w:lineRule="auto"/>
        <w:ind w:left="360"/>
        <w:jc w:val="both"/>
        <w:rPr>
          <w:rFonts w:ascii="Times New Roman" w:hAnsi="Times New Roman" w:cs="Times New Roman"/>
          <w:kern w:val="2"/>
          <w:sz w:val="24"/>
          <w:szCs w:val="24"/>
          <w:lang w:val="en-US"/>
        </w:rPr>
      </w:pPr>
      <w:r w:rsidRPr="00ED7908">
        <w:rPr>
          <w:rFonts w:ascii="Times New Roman" w:hAnsi="Times New Roman" w:cs="Times New Roman"/>
          <w:kern w:val="2"/>
          <w:sz w:val="24"/>
          <w:szCs w:val="24"/>
          <w:lang w:val="en-US"/>
        </w:rPr>
        <w:t xml:space="preserve">The Commission on Human Rights of the Philippines (herewith the Commission) submits to Human Rights Council Advisory Committee, its inputs relative to the contribution of development to the enjoyment of all human rights, pursuant to Human Rights Council resolution 35/21. </w:t>
      </w:r>
    </w:p>
    <w:p w:rsidR="00B81D24" w:rsidRPr="00ED7908" w:rsidRDefault="00B81D24" w:rsidP="00B81D24">
      <w:pPr>
        <w:pStyle w:val="ListParagraph"/>
        <w:tabs>
          <w:tab w:val="left" w:pos="1359"/>
          <w:tab w:val="left" w:pos="1983"/>
          <w:tab w:val="left" w:pos="6349"/>
          <w:tab w:val="left" w:pos="6915"/>
          <w:tab w:val="left" w:pos="8370"/>
        </w:tabs>
        <w:spacing w:before="240"/>
        <w:ind w:left="360"/>
        <w:jc w:val="both"/>
        <w:rPr>
          <w:rFonts w:ascii="Times New Roman" w:hAnsi="Times New Roman" w:cs="Times New Roman"/>
          <w:kern w:val="2"/>
          <w:sz w:val="24"/>
          <w:szCs w:val="24"/>
          <w:lang w:val="en-US"/>
        </w:rPr>
      </w:pPr>
    </w:p>
    <w:p w:rsidR="00B81D24" w:rsidRPr="00ED7908" w:rsidRDefault="00B81D24" w:rsidP="00B81D24">
      <w:pPr>
        <w:pStyle w:val="ListParagraph"/>
        <w:numPr>
          <w:ilvl w:val="0"/>
          <w:numId w:val="2"/>
        </w:numPr>
        <w:tabs>
          <w:tab w:val="left" w:pos="1359"/>
          <w:tab w:val="left" w:pos="1983"/>
          <w:tab w:val="left" w:pos="6349"/>
          <w:tab w:val="left" w:pos="6915"/>
          <w:tab w:val="left" w:pos="8370"/>
        </w:tabs>
        <w:spacing w:before="240" w:after="0" w:line="240" w:lineRule="auto"/>
        <w:ind w:left="360"/>
        <w:jc w:val="both"/>
        <w:rPr>
          <w:rFonts w:ascii="Times New Roman" w:hAnsi="Times New Roman" w:cs="Times New Roman"/>
          <w:kern w:val="2"/>
          <w:sz w:val="24"/>
          <w:szCs w:val="24"/>
          <w:lang w:val="en-US"/>
        </w:rPr>
      </w:pPr>
      <w:r w:rsidRPr="00ED7908">
        <w:rPr>
          <w:rFonts w:ascii="Times New Roman" w:hAnsi="Times New Roman" w:cs="Times New Roman"/>
          <w:kern w:val="2"/>
          <w:sz w:val="24"/>
          <w:szCs w:val="24"/>
          <w:lang w:val="en-US"/>
        </w:rPr>
        <w:t xml:space="preserve">This submission took into consideration local and international reports from government, civil society, the media, and international non-government organizations. This submission also utilized the Commission’s own documentation of independent monitoring activities and statements regarding existing sustainable development agendas promoting and protecting human rights as well as previous inputs submitted to the Office of the United Nations High Commissioner for Human Rights and the Global Alliance of National Human Rights Institutions, all of which were subjected to the internal deliberations of the Commission </w:t>
      </w:r>
      <w:proofErr w:type="spellStart"/>
      <w:r w:rsidRPr="00ED7908">
        <w:rPr>
          <w:rFonts w:ascii="Times New Roman" w:hAnsi="Times New Roman" w:cs="Times New Roman"/>
          <w:kern w:val="2"/>
          <w:sz w:val="24"/>
          <w:szCs w:val="24"/>
          <w:lang w:val="en-US"/>
        </w:rPr>
        <w:t>En</w:t>
      </w:r>
      <w:proofErr w:type="spellEnd"/>
      <w:r w:rsidRPr="00ED7908">
        <w:rPr>
          <w:rFonts w:ascii="Times New Roman" w:hAnsi="Times New Roman" w:cs="Times New Roman"/>
          <w:kern w:val="2"/>
          <w:sz w:val="24"/>
          <w:szCs w:val="24"/>
          <w:lang w:val="en-US"/>
        </w:rPr>
        <w:t xml:space="preserve"> Banc. </w:t>
      </w:r>
    </w:p>
    <w:p w:rsidR="00D201D7" w:rsidRPr="00ED7908" w:rsidRDefault="00D201D7" w:rsidP="00E636FF">
      <w:pPr>
        <w:pStyle w:val="ListParagraph"/>
        <w:ind w:left="294"/>
        <w:rPr>
          <w:rFonts w:ascii="Times New Roman" w:hAnsi="Times New Roman" w:cs="Times New Roman"/>
          <w:kern w:val="2"/>
          <w:sz w:val="24"/>
          <w:szCs w:val="24"/>
          <w:lang w:val="en-US"/>
        </w:rPr>
      </w:pPr>
    </w:p>
    <w:p w:rsidR="00D201D7" w:rsidRPr="00ED7908" w:rsidRDefault="00D201D7" w:rsidP="00A17653">
      <w:pPr>
        <w:tabs>
          <w:tab w:val="left" w:pos="1359"/>
          <w:tab w:val="left" w:pos="1983"/>
          <w:tab w:val="left" w:pos="6349"/>
          <w:tab w:val="left" w:pos="6915"/>
          <w:tab w:val="left" w:pos="8370"/>
        </w:tabs>
        <w:spacing w:before="240" w:after="0" w:line="240" w:lineRule="auto"/>
        <w:jc w:val="both"/>
        <w:rPr>
          <w:rFonts w:ascii="Times New Roman" w:hAnsi="Times New Roman" w:cs="Times New Roman"/>
          <w:b/>
          <w:kern w:val="2"/>
          <w:sz w:val="24"/>
          <w:szCs w:val="24"/>
          <w:lang w:val="en-US"/>
        </w:rPr>
      </w:pPr>
      <w:r w:rsidRPr="00ED7908">
        <w:rPr>
          <w:rFonts w:ascii="Times New Roman" w:hAnsi="Times New Roman" w:cs="Times New Roman"/>
          <w:b/>
          <w:kern w:val="2"/>
          <w:sz w:val="24"/>
          <w:szCs w:val="24"/>
          <w:lang w:val="en-US"/>
        </w:rPr>
        <w:t>Responses of CHRP to the questionnaire:</w:t>
      </w:r>
    </w:p>
    <w:p w:rsidR="00D201D7" w:rsidRPr="00ED7908" w:rsidRDefault="00D201D7" w:rsidP="00A17653">
      <w:pPr>
        <w:pStyle w:val="ListParagraph"/>
        <w:numPr>
          <w:ilvl w:val="0"/>
          <w:numId w:val="1"/>
        </w:numPr>
        <w:spacing w:before="120" w:after="120" w:line="240" w:lineRule="auto"/>
        <w:ind w:left="351"/>
        <w:jc w:val="both"/>
        <w:rPr>
          <w:rFonts w:ascii="Times New Roman" w:hAnsi="Times New Roman" w:cs="Times New Roman"/>
          <w:sz w:val="24"/>
          <w:szCs w:val="24"/>
        </w:rPr>
      </w:pPr>
      <w:r w:rsidRPr="00ED7908">
        <w:rPr>
          <w:rFonts w:ascii="Times New Roman" w:hAnsi="Times New Roman" w:cs="Times New Roman"/>
          <w:b/>
          <w:sz w:val="24"/>
          <w:szCs w:val="24"/>
        </w:rPr>
        <w:t>Please provide examples of best practices such as policies, action plans and any other measures undertaken by your organization and/or entity in support of the national sustainable development agendas that promote and realize all human rights including the right to development for all?</w:t>
      </w:r>
    </w:p>
    <w:p w:rsidR="00D201D7" w:rsidRPr="00ED7908" w:rsidRDefault="00D201D7" w:rsidP="00A17653">
      <w:pPr>
        <w:spacing w:before="120" w:after="120"/>
        <w:ind w:left="351"/>
        <w:jc w:val="both"/>
        <w:rPr>
          <w:rFonts w:ascii="Times New Roman" w:hAnsi="Times New Roman" w:cs="Times New Roman"/>
          <w:sz w:val="24"/>
          <w:szCs w:val="24"/>
        </w:rPr>
      </w:pPr>
    </w:p>
    <w:p w:rsidR="0072272E" w:rsidRPr="00ED7908" w:rsidRDefault="0072272E" w:rsidP="00A17653">
      <w:pPr>
        <w:spacing w:before="120" w:after="120"/>
        <w:ind w:left="351"/>
        <w:jc w:val="both"/>
        <w:rPr>
          <w:rFonts w:ascii="Times New Roman" w:hAnsi="Times New Roman" w:cs="Times New Roman"/>
          <w:b/>
          <w:i/>
          <w:sz w:val="24"/>
          <w:szCs w:val="24"/>
        </w:rPr>
      </w:pPr>
      <w:r w:rsidRPr="00ED7908">
        <w:rPr>
          <w:rFonts w:ascii="Times New Roman" w:hAnsi="Times New Roman" w:cs="Times New Roman"/>
          <w:b/>
          <w:i/>
          <w:sz w:val="24"/>
          <w:szCs w:val="24"/>
        </w:rPr>
        <w:t>CHRP and the Sustainable Development Goals</w:t>
      </w:r>
    </w:p>
    <w:p w:rsidR="00D201D7" w:rsidRPr="00ED7908" w:rsidRDefault="00D201D7" w:rsidP="00484048">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 xml:space="preserve">The Commission </w:t>
      </w:r>
      <w:r w:rsidR="0072272E" w:rsidRPr="00ED7908">
        <w:rPr>
          <w:rFonts w:ascii="Times New Roman" w:hAnsi="Times New Roman" w:cs="Times New Roman"/>
          <w:sz w:val="24"/>
          <w:szCs w:val="24"/>
        </w:rPr>
        <w:t xml:space="preserve">works with stakeholders </w:t>
      </w:r>
      <w:r w:rsidRPr="00ED7908">
        <w:rPr>
          <w:rFonts w:ascii="Times New Roman" w:hAnsi="Times New Roman" w:cs="Times New Roman"/>
          <w:sz w:val="24"/>
          <w:szCs w:val="24"/>
        </w:rPr>
        <w:t>to monitor and advise on the implementation of the SDGs. These stakeholders include (but are not limited to) civil society, international organizations such as the UNDP and government agencies like the National Economic Development Authority (NEDA). The core international human rights treaties and the reporting process of the treaty bodies are among the entry points of the Commission in monitoring the actions of the State in meeting the targets set by the SDGs. For instance, our oral interventions, written submissions and dialogues with the Committees of the CEDAW and ESCR interrelate with goals 1,2, 3, 5, 6, and 10. Additionally, the legislative agenda of the Commission includes the Right to</w:t>
      </w:r>
      <w:r w:rsidR="00130795" w:rsidRPr="00ED7908">
        <w:rPr>
          <w:rFonts w:ascii="Times New Roman" w:hAnsi="Times New Roman" w:cs="Times New Roman"/>
          <w:sz w:val="24"/>
          <w:szCs w:val="24"/>
        </w:rPr>
        <w:t xml:space="preserve"> Adequte</w:t>
      </w:r>
      <w:r w:rsidRPr="00ED7908">
        <w:rPr>
          <w:rFonts w:ascii="Times New Roman" w:hAnsi="Times New Roman" w:cs="Times New Roman"/>
          <w:sz w:val="24"/>
          <w:szCs w:val="24"/>
        </w:rPr>
        <w:t xml:space="preserve"> Food bill and the Comprehensive Anti-Discrimination Bill that the Congress should pass, among other human rights based legislations. </w:t>
      </w:r>
    </w:p>
    <w:p w:rsidR="0072272E" w:rsidRPr="00ED7908" w:rsidRDefault="0072272E" w:rsidP="00A17653">
      <w:pPr>
        <w:spacing w:before="120" w:after="120"/>
        <w:ind w:left="351"/>
        <w:jc w:val="both"/>
        <w:rPr>
          <w:rFonts w:ascii="Times New Roman" w:hAnsi="Times New Roman" w:cs="Times New Roman"/>
          <w:sz w:val="24"/>
          <w:szCs w:val="24"/>
        </w:rPr>
      </w:pPr>
      <w:r w:rsidRPr="00ED7908">
        <w:rPr>
          <w:rFonts w:ascii="Times New Roman" w:hAnsi="Times New Roman" w:cs="Times New Roman"/>
          <w:sz w:val="24"/>
          <w:szCs w:val="24"/>
        </w:rPr>
        <w:lastRenderedPageBreak/>
        <w:t>The Commission is also a member of the South East Asia Nationa</w:t>
      </w:r>
      <w:r w:rsidR="00716BFE" w:rsidRPr="00ED7908">
        <w:rPr>
          <w:rFonts w:ascii="Times New Roman" w:hAnsi="Times New Roman" w:cs="Times New Roman"/>
          <w:sz w:val="24"/>
          <w:szCs w:val="24"/>
        </w:rPr>
        <w:t>l</w:t>
      </w:r>
      <w:r w:rsidRPr="00ED7908">
        <w:rPr>
          <w:rFonts w:ascii="Times New Roman" w:hAnsi="Times New Roman" w:cs="Times New Roman"/>
          <w:sz w:val="24"/>
          <w:szCs w:val="24"/>
        </w:rPr>
        <w:t xml:space="preserve"> Human Rights</w:t>
      </w:r>
      <w:r w:rsidR="00716BFE" w:rsidRPr="00ED7908">
        <w:rPr>
          <w:rFonts w:ascii="Times New Roman" w:hAnsi="Times New Roman" w:cs="Times New Roman"/>
          <w:sz w:val="24"/>
          <w:szCs w:val="24"/>
        </w:rPr>
        <w:t xml:space="preserve"> Institutions</w:t>
      </w:r>
      <w:r w:rsidRPr="00ED7908">
        <w:rPr>
          <w:rFonts w:ascii="Times New Roman" w:hAnsi="Times New Roman" w:cs="Times New Roman"/>
          <w:sz w:val="24"/>
          <w:szCs w:val="24"/>
        </w:rPr>
        <w:t xml:space="preserve"> Forum</w:t>
      </w:r>
      <w:r w:rsidR="00716BFE" w:rsidRPr="00ED7908">
        <w:rPr>
          <w:rFonts w:ascii="Times New Roman" w:hAnsi="Times New Roman" w:cs="Times New Roman"/>
          <w:sz w:val="24"/>
          <w:szCs w:val="24"/>
        </w:rPr>
        <w:t xml:space="preserve"> (SEANF)</w:t>
      </w:r>
      <w:r w:rsidRPr="00ED7908">
        <w:rPr>
          <w:rFonts w:ascii="Times New Roman" w:hAnsi="Times New Roman" w:cs="Times New Roman"/>
          <w:sz w:val="24"/>
          <w:szCs w:val="24"/>
        </w:rPr>
        <w:t xml:space="preserve">, which consists of NHRIs from six ASEAN states namely: Indonesia, Malaysia, Myanmar, </w:t>
      </w:r>
      <w:r w:rsidR="00CF06C9" w:rsidRPr="00ED7908">
        <w:rPr>
          <w:rFonts w:ascii="Times New Roman" w:hAnsi="Times New Roman" w:cs="Times New Roman"/>
          <w:sz w:val="24"/>
          <w:szCs w:val="24"/>
        </w:rPr>
        <w:t xml:space="preserve">the Philippines, </w:t>
      </w:r>
      <w:r w:rsidRPr="00ED7908">
        <w:rPr>
          <w:rFonts w:ascii="Times New Roman" w:hAnsi="Times New Roman" w:cs="Times New Roman"/>
          <w:sz w:val="24"/>
          <w:szCs w:val="24"/>
        </w:rPr>
        <w:t xml:space="preserve">Thailand and Timor Leste. Among the priority agenda of the SEANF in its regular meetings are the SDGs in which the SEANF members actively engage in discussion on how to advocate towards the realizaton of the goals. </w:t>
      </w:r>
    </w:p>
    <w:p w:rsidR="00E636FF" w:rsidRPr="00ED7908" w:rsidRDefault="00E636FF" w:rsidP="00484048">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 xml:space="preserve">For quality education (goal 5), the Commission responded to the call of UNESCO for information in the implementation of the 1974 Recommendation, where we indicated that </w:t>
      </w:r>
      <w:r w:rsidRPr="00ED7908">
        <w:rPr>
          <w:rFonts w:ascii="Times New Roman" w:hAnsi="Times New Roman" w:cs="Times New Roman"/>
          <w:i/>
          <w:sz w:val="24"/>
          <w:szCs w:val="24"/>
        </w:rPr>
        <w:t>While the 1974 Recommendation has not been explicitly referred to in the implementation of educational programs in the Philippines, particularly on the application of international understanding, co-operation and peace and education relating to human rights and fundamental freedoms, many of the State’s initiatives respond to its efforts in fulfilling targets and human rights obligations in the following: economic, social and cultural rights, the Millennium Development Goals, the Sustainable Development Goals, and other relevant international human rights treaties. However, a more concerted effort and political will are still needed to address the gaps in “education for all” initiatives, human rights education, and in the understanding of principles and goals of the international human rights community. A more direct response to the 1974 Recommendation should be one of the major priorities of the Philippines. The National Economic and Development Authority (NEDA) is making strides in promoting and raising awareness on the Philippines’ development plan for 2017-2022 , which includes good quality education by 2030 through SDG 4.7 , the achievement of “AmbisyonNation 2040”  and human rights based approaches in the Philippine Development Plan.</w:t>
      </w:r>
      <w:r w:rsidRPr="00ED7908">
        <w:rPr>
          <w:rFonts w:ascii="Times New Roman" w:hAnsi="Times New Roman" w:cs="Times New Roman"/>
          <w:sz w:val="24"/>
          <w:szCs w:val="24"/>
        </w:rPr>
        <w:t xml:space="preserve">  </w:t>
      </w:r>
    </w:p>
    <w:p w:rsidR="003C3776" w:rsidRPr="00ED7908" w:rsidRDefault="003C3776" w:rsidP="00BF4A1C">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In</w:t>
      </w:r>
      <w:r w:rsidR="00BF4A1C" w:rsidRPr="00ED7908">
        <w:rPr>
          <w:rFonts w:ascii="Times New Roman" w:hAnsi="Times New Roman" w:cs="Times New Roman"/>
          <w:sz w:val="24"/>
          <w:szCs w:val="24"/>
        </w:rPr>
        <w:t xml:space="preserve"> September 2017, the P</w:t>
      </w:r>
      <w:r w:rsidRPr="00ED7908">
        <w:rPr>
          <w:rFonts w:ascii="Times New Roman" w:hAnsi="Times New Roman" w:cs="Times New Roman"/>
          <w:sz w:val="24"/>
          <w:szCs w:val="24"/>
        </w:rPr>
        <w:t>hilippine gover</w:t>
      </w:r>
      <w:r w:rsidR="00BF4A1C" w:rsidRPr="00ED7908">
        <w:rPr>
          <w:rFonts w:ascii="Times New Roman" w:hAnsi="Times New Roman" w:cs="Times New Roman"/>
          <w:sz w:val="24"/>
          <w:szCs w:val="24"/>
        </w:rPr>
        <w:t>n</w:t>
      </w:r>
      <w:r w:rsidRPr="00ED7908">
        <w:rPr>
          <w:rFonts w:ascii="Times New Roman" w:hAnsi="Times New Roman" w:cs="Times New Roman"/>
          <w:sz w:val="24"/>
          <w:szCs w:val="24"/>
        </w:rPr>
        <w:t xml:space="preserve">ment passed the </w:t>
      </w:r>
      <w:r w:rsidR="003C4EDF" w:rsidRPr="00ED7908">
        <w:rPr>
          <w:rFonts w:ascii="Times New Roman" w:hAnsi="Times New Roman" w:cs="Times New Roman"/>
          <w:sz w:val="24"/>
          <w:szCs w:val="24"/>
        </w:rPr>
        <w:t>Universal Access to Quality Tertiary Education Act</w:t>
      </w:r>
      <w:r w:rsidR="003C4EDF" w:rsidRPr="00ED7908">
        <w:rPr>
          <w:rStyle w:val="FootnoteReference"/>
          <w:rFonts w:ascii="Times New Roman" w:hAnsi="Times New Roman" w:cs="Times New Roman"/>
          <w:sz w:val="24"/>
          <w:szCs w:val="24"/>
        </w:rPr>
        <w:footnoteReference w:id="1"/>
      </w:r>
      <w:r w:rsidRPr="00ED7908">
        <w:rPr>
          <w:rFonts w:ascii="Times New Roman" w:hAnsi="Times New Roman" w:cs="Times New Roman"/>
          <w:sz w:val="24"/>
          <w:szCs w:val="24"/>
        </w:rPr>
        <w:t>. Upon enactment of the law, the Commission issued a statem</w:t>
      </w:r>
      <w:r w:rsidR="00BF4A1C" w:rsidRPr="00ED7908">
        <w:rPr>
          <w:rFonts w:ascii="Times New Roman" w:hAnsi="Times New Roman" w:cs="Times New Roman"/>
          <w:sz w:val="24"/>
          <w:szCs w:val="24"/>
        </w:rPr>
        <w:t xml:space="preserve">ent acknowledging its passage as a commendable effort towards fulfullment of the state’s obligation under the International Covenant on Economic, Social and Cultural Rights (ICESCR) that recognizes education both as a human right and an indespensable means of realizing other human rights, despite challenges in the full and sustained implementation of the law. </w:t>
      </w:r>
    </w:p>
    <w:p w:rsidR="00E636FF" w:rsidRPr="00ED7908" w:rsidRDefault="00E636FF" w:rsidP="009908E6">
      <w:pPr>
        <w:spacing w:before="120" w:after="120"/>
        <w:ind w:left="360" w:firstLine="360"/>
        <w:jc w:val="both"/>
        <w:rPr>
          <w:rFonts w:ascii="Times New Roman" w:hAnsi="Times New Roman" w:cs="Times New Roman"/>
          <w:sz w:val="24"/>
          <w:szCs w:val="24"/>
        </w:rPr>
      </w:pPr>
      <w:r w:rsidRPr="00ED7908">
        <w:rPr>
          <w:rFonts w:ascii="Times New Roman" w:hAnsi="Times New Roman" w:cs="Times New Roman"/>
          <w:sz w:val="24"/>
          <w:szCs w:val="24"/>
        </w:rPr>
        <w:t>For goals 9, 11 and 12, the Economic, Social and Cultural Rights (ESCR) Center of the Commission submitted its comments to the government’s Philippine National Report on the New Urban Agenda.</w:t>
      </w:r>
      <w:r w:rsidR="00122169" w:rsidRPr="00ED7908">
        <w:rPr>
          <w:rFonts w:ascii="Times New Roman" w:hAnsi="Times New Roman" w:cs="Times New Roman"/>
          <w:sz w:val="24"/>
          <w:szCs w:val="24"/>
        </w:rPr>
        <w:t xml:space="preserve"> </w:t>
      </w:r>
      <w:r w:rsidR="00AE32D2" w:rsidRPr="00ED7908">
        <w:rPr>
          <w:rFonts w:ascii="Times New Roman" w:hAnsi="Times New Roman" w:cs="Times New Roman"/>
          <w:sz w:val="24"/>
          <w:szCs w:val="24"/>
        </w:rPr>
        <w:t>The said report is anchored on the vision of a “sustainable, smart, resilient, inclusive urban Philippines”</w:t>
      </w:r>
      <w:r w:rsidR="00C8586B" w:rsidRPr="00ED7908">
        <w:rPr>
          <w:rFonts w:ascii="Times New Roman" w:hAnsi="Times New Roman" w:cs="Times New Roman"/>
          <w:sz w:val="24"/>
          <w:szCs w:val="24"/>
        </w:rPr>
        <w:t xml:space="preserve">. It mainly covers comprehensive discussions on the issues and challenges of urban demographics, land and urban planning, environment and urbanization, </w:t>
      </w:r>
      <w:r w:rsidR="00C8586B" w:rsidRPr="00ED7908">
        <w:rPr>
          <w:rFonts w:ascii="Times New Roman" w:hAnsi="Times New Roman" w:cs="Times New Roman"/>
          <w:sz w:val="24"/>
          <w:szCs w:val="24"/>
        </w:rPr>
        <w:lastRenderedPageBreak/>
        <w:t xml:space="preserve">urban mobility, urban governance and legislation, urban economy, housing and basic services and provides an outline of the country’s plan of action to respond to the challenges and opportunities of urbanization. </w:t>
      </w:r>
      <w:r w:rsidR="002C3C69" w:rsidRPr="00ED7908">
        <w:rPr>
          <w:rFonts w:ascii="Times New Roman" w:hAnsi="Times New Roman" w:cs="Times New Roman"/>
          <w:sz w:val="24"/>
          <w:szCs w:val="24"/>
        </w:rPr>
        <w:t xml:space="preserve">The </w:t>
      </w:r>
      <w:r w:rsidR="0083541D" w:rsidRPr="00ED7908">
        <w:rPr>
          <w:rFonts w:ascii="Times New Roman" w:hAnsi="Times New Roman" w:cs="Times New Roman"/>
          <w:sz w:val="24"/>
          <w:szCs w:val="24"/>
        </w:rPr>
        <w:t xml:space="preserve">Philippine New Urban Agenda </w:t>
      </w:r>
      <w:r w:rsidR="002C3C69" w:rsidRPr="00ED7908">
        <w:rPr>
          <w:rFonts w:ascii="Times New Roman" w:hAnsi="Times New Roman" w:cs="Times New Roman"/>
          <w:sz w:val="24"/>
          <w:szCs w:val="24"/>
        </w:rPr>
        <w:t>is a postive means towards the attainment of the Sustainable Development Goals particularly on agendas 9, 11 and 12</w:t>
      </w:r>
      <w:r w:rsidR="0083541D" w:rsidRPr="00ED7908">
        <w:rPr>
          <w:rFonts w:ascii="Times New Roman" w:hAnsi="Times New Roman" w:cs="Times New Roman"/>
          <w:sz w:val="24"/>
          <w:szCs w:val="24"/>
        </w:rPr>
        <w:t xml:space="preserve"> which are focused on resilient, inclusive and innovative urban development. </w:t>
      </w:r>
    </w:p>
    <w:p w:rsidR="008101FE" w:rsidRDefault="00E636FF" w:rsidP="009908E6">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For goals 7, 13, 14 and 15, the Commission has several activities, fact-finding visits and inquiries on the human rights situations of farmers, fisherfolks and rural workers affected by policies in fishing, farming, land use, and mining.</w:t>
      </w:r>
      <w:r w:rsidR="00A87A4D" w:rsidRPr="00ED7908">
        <w:rPr>
          <w:rFonts w:ascii="Times New Roman" w:hAnsi="Times New Roman" w:cs="Times New Roman"/>
          <w:sz w:val="24"/>
          <w:szCs w:val="24"/>
        </w:rPr>
        <w:t xml:space="preserve"> One notable</w:t>
      </w:r>
      <w:r w:rsidR="00D24ABF" w:rsidRPr="00ED7908">
        <w:rPr>
          <w:rFonts w:ascii="Times New Roman" w:hAnsi="Times New Roman" w:cs="Times New Roman"/>
          <w:sz w:val="24"/>
          <w:szCs w:val="24"/>
        </w:rPr>
        <w:t xml:space="preserve"> example is the</w:t>
      </w:r>
      <w:r w:rsidR="00A87A4D" w:rsidRPr="00ED7908">
        <w:rPr>
          <w:rFonts w:ascii="Times New Roman" w:hAnsi="Times New Roman" w:cs="Times New Roman"/>
          <w:sz w:val="24"/>
          <w:szCs w:val="24"/>
        </w:rPr>
        <w:t xml:space="preserve"> fact-finding mission conducted by the Commission on the case involving the </w:t>
      </w:r>
      <w:r w:rsidR="002B5EF8" w:rsidRPr="00ED7908">
        <w:rPr>
          <w:rFonts w:ascii="Times New Roman" w:hAnsi="Times New Roman" w:cs="Times New Roman"/>
          <w:sz w:val="24"/>
          <w:szCs w:val="24"/>
        </w:rPr>
        <w:t xml:space="preserve">displacement of residents of Caluya due to </w:t>
      </w:r>
      <w:r w:rsidR="00A87A4D" w:rsidRPr="00ED7908">
        <w:rPr>
          <w:rFonts w:ascii="Times New Roman" w:hAnsi="Times New Roman" w:cs="Times New Roman"/>
          <w:sz w:val="24"/>
          <w:szCs w:val="24"/>
        </w:rPr>
        <w:t>coal mining in Semirara Isl</w:t>
      </w:r>
      <w:r w:rsidR="00D24ABF" w:rsidRPr="00ED7908">
        <w:rPr>
          <w:rFonts w:ascii="Times New Roman" w:hAnsi="Times New Roman" w:cs="Times New Roman"/>
          <w:sz w:val="24"/>
          <w:szCs w:val="24"/>
        </w:rPr>
        <w:t>and.</w:t>
      </w:r>
      <w:r w:rsidR="002B5EF8" w:rsidRPr="00ED7908">
        <w:rPr>
          <w:rFonts w:ascii="Times New Roman" w:hAnsi="Times New Roman" w:cs="Times New Roman"/>
          <w:sz w:val="24"/>
          <w:szCs w:val="24"/>
        </w:rPr>
        <w:t xml:space="preserve"> </w:t>
      </w:r>
      <w:r w:rsidR="008101FE">
        <w:rPr>
          <w:rFonts w:ascii="Times New Roman" w:hAnsi="Times New Roman" w:cs="Times New Roman"/>
          <w:sz w:val="24"/>
          <w:szCs w:val="24"/>
        </w:rPr>
        <w:t xml:space="preserve">During the pendency of the investigation, Commission </w:t>
      </w:r>
      <w:r w:rsidR="008101FE" w:rsidRPr="008101FE">
        <w:rPr>
          <w:rFonts w:ascii="Times New Roman" w:hAnsi="Times New Roman" w:cs="Times New Roman"/>
          <w:sz w:val="24"/>
          <w:szCs w:val="24"/>
        </w:rPr>
        <w:t>formed an inter-agency</w:t>
      </w:r>
      <w:r w:rsidR="008101FE">
        <w:rPr>
          <w:rFonts w:ascii="Times New Roman" w:hAnsi="Times New Roman" w:cs="Times New Roman"/>
          <w:sz w:val="24"/>
          <w:szCs w:val="24"/>
        </w:rPr>
        <w:t xml:space="preserve"> working group</w:t>
      </w:r>
      <w:r w:rsidR="00A6279F">
        <w:rPr>
          <w:rFonts w:ascii="Times New Roman" w:hAnsi="Times New Roman" w:cs="Times New Roman"/>
          <w:sz w:val="24"/>
          <w:szCs w:val="24"/>
        </w:rPr>
        <w:t xml:space="preserve"> (IAWG)</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participated by various government</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agencies</w:t>
      </w:r>
      <w:r w:rsidR="009908E6">
        <w:rPr>
          <w:rFonts w:ascii="Times New Roman" w:hAnsi="Times New Roman" w:cs="Times New Roman"/>
          <w:sz w:val="24"/>
          <w:szCs w:val="24"/>
        </w:rPr>
        <w:t xml:space="preserve"> </w:t>
      </w:r>
      <w:r w:rsidR="008101FE" w:rsidRPr="008101FE">
        <w:rPr>
          <w:rFonts w:ascii="Times New Roman" w:hAnsi="Times New Roman" w:cs="Times New Roman"/>
          <w:sz w:val="24"/>
          <w:szCs w:val="24"/>
        </w:rPr>
        <w:t>and CSOs, including PAKISAMA and local</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community organizations.</w:t>
      </w:r>
      <w:r w:rsidR="008101FE" w:rsidRPr="008101FE">
        <w:t xml:space="preserve"> </w:t>
      </w:r>
      <w:r w:rsidR="008101FE" w:rsidRPr="008101FE">
        <w:rPr>
          <w:rFonts w:ascii="Times New Roman" w:hAnsi="Times New Roman" w:cs="Times New Roman"/>
          <w:sz w:val="24"/>
          <w:szCs w:val="24"/>
        </w:rPr>
        <w:t>The IAWG conducted field visit</w:t>
      </w:r>
      <w:r w:rsidR="00A6279F">
        <w:rPr>
          <w:rFonts w:ascii="Times New Roman" w:hAnsi="Times New Roman" w:cs="Times New Roman"/>
          <w:sz w:val="24"/>
          <w:szCs w:val="24"/>
        </w:rPr>
        <w:t>s</w:t>
      </w:r>
      <w:r w:rsidR="008101FE" w:rsidRPr="008101FE">
        <w:rPr>
          <w:rFonts w:ascii="Times New Roman" w:hAnsi="Times New Roman" w:cs="Times New Roman"/>
          <w:sz w:val="24"/>
          <w:szCs w:val="24"/>
        </w:rPr>
        <w:t xml:space="preserve"> in Semirara and Caluya islands on May 23-26, 2016</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The site visit aimed to gather</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information and raise awareness on the various issues on human rights, land classification, environment</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and local governance.</w:t>
      </w:r>
      <w:r w:rsidR="00A6279F">
        <w:rPr>
          <w:rFonts w:ascii="Times New Roman" w:hAnsi="Times New Roman" w:cs="Times New Roman"/>
          <w:sz w:val="24"/>
          <w:szCs w:val="24"/>
        </w:rPr>
        <w:t xml:space="preserve"> The IAWG likewise facilitated community based dialogues for the purpose allowing the </w:t>
      </w:r>
      <w:r w:rsidR="00A6279F" w:rsidRPr="008101FE">
        <w:rPr>
          <w:rFonts w:ascii="Times New Roman" w:hAnsi="Times New Roman" w:cs="Times New Roman"/>
          <w:sz w:val="24"/>
          <w:szCs w:val="24"/>
        </w:rPr>
        <w:t>community to raise questions and issues</w:t>
      </w:r>
      <w:r w:rsidR="00A6279F">
        <w:rPr>
          <w:rFonts w:ascii="Times New Roman" w:hAnsi="Times New Roman" w:cs="Times New Roman"/>
          <w:sz w:val="24"/>
          <w:szCs w:val="24"/>
        </w:rPr>
        <w:t xml:space="preserve"> to stakeholders. Through the working group, the CHR </w:t>
      </w:r>
      <w:r w:rsidR="009908E6">
        <w:rPr>
          <w:rFonts w:ascii="Times New Roman" w:hAnsi="Times New Roman" w:cs="Times New Roman"/>
          <w:sz w:val="24"/>
          <w:szCs w:val="24"/>
        </w:rPr>
        <w:t xml:space="preserve">raised the following recommendations among others: (1) for Mining Corporations to </w:t>
      </w:r>
      <w:r w:rsidR="008101FE" w:rsidRPr="008101FE">
        <w:rPr>
          <w:rFonts w:ascii="Times New Roman" w:hAnsi="Times New Roman" w:cs="Times New Roman"/>
          <w:sz w:val="24"/>
          <w:szCs w:val="24"/>
        </w:rPr>
        <w:t>engage the community and enhance trust, using</w:t>
      </w:r>
      <w:r w:rsidR="008101FE">
        <w:rPr>
          <w:rFonts w:ascii="Times New Roman" w:hAnsi="Times New Roman" w:cs="Times New Roman"/>
          <w:sz w:val="24"/>
          <w:szCs w:val="24"/>
        </w:rPr>
        <w:t xml:space="preserve"> </w:t>
      </w:r>
      <w:r w:rsidR="008101FE" w:rsidRPr="008101FE">
        <w:rPr>
          <w:rFonts w:ascii="Times New Roman" w:hAnsi="Times New Roman" w:cs="Times New Roman"/>
          <w:sz w:val="24"/>
          <w:szCs w:val="24"/>
        </w:rPr>
        <w:t>human rig</w:t>
      </w:r>
      <w:r w:rsidR="009908E6">
        <w:rPr>
          <w:rFonts w:ascii="Times New Roman" w:hAnsi="Times New Roman" w:cs="Times New Roman"/>
          <w:sz w:val="24"/>
          <w:szCs w:val="24"/>
        </w:rPr>
        <w:t>hts-based approach (HRBA), and a</w:t>
      </w:r>
      <w:r w:rsidR="008101FE" w:rsidRPr="008101FE">
        <w:rPr>
          <w:rFonts w:ascii="Times New Roman" w:hAnsi="Times New Roman" w:cs="Times New Roman"/>
          <w:sz w:val="24"/>
          <w:szCs w:val="24"/>
        </w:rPr>
        <w:t>dopt a no-displacement policy as part of its human rights</w:t>
      </w:r>
      <w:r w:rsidR="008101FE">
        <w:rPr>
          <w:rFonts w:ascii="Times New Roman" w:hAnsi="Times New Roman" w:cs="Times New Roman"/>
          <w:sz w:val="24"/>
          <w:szCs w:val="24"/>
        </w:rPr>
        <w:t xml:space="preserve"> </w:t>
      </w:r>
      <w:r w:rsidR="009908E6">
        <w:rPr>
          <w:rFonts w:ascii="Times New Roman" w:hAnsi="Times New Roman" w:cs="Times New Roman"/>
          <w:sz w:val="24"/>
          <w:szCs w:val="24"/>
        </w:rPr>
        <w:t>commitment</w:t>
      </w:r>
      <w:r w:rsidR="008101FE">
        <w:rPr>
          <w:rStyle w:val="FootnoteReference"/>
          <w:rFonts w:ascii="Times New Roman" w:hAnsi="Times New Roman" w:cs="Times New Roman"/>
          <w:sz w:val="24"/>
          <w:szCs w:val="24"/>
        </w:rPr>
        <w:footnoteReference w:id="2"/>
      </w:r>
      <w:r w:rsidR="009908E6">
        <w:rPr>
          <w:rFonts w:ascii="Times New Roman" w:hAnsi="Times New Roman" w:cs="Times New Roman"/>
          <w:sz w:val="24"/>
          <w:szCs w:val="24"/>
        </w:rPr>
        <w:t>; and  (2) for the Philippine Government to e</w:t>
      </w:r>
      <w:r w:rsidR="009908E6" w:rsidRPr="009908E6">
        <w:rPr>
          <w:rFonts w:ascii="Times New Roman" w:hAnsi="Times New Roman" w:cs="Times New Roman"/>
          <w:sz w:val="24"/>
          <w:szCs w:val="24"/>
        </w:rPr>
        <w:t>stablish or strengthen laws and policies with anti-discrimination provisions to protect</w:t>
      </w:r>
      <w:r w:rsidR="009908E6">
        <w:rPr>
          <w:rFonts w:ascii="Times New Roman" w:hAnsi="Times New Roman" w:cs="Times New Roman"/>
          <w:sz w:val="24"/>
          <w:szCs w:val="24"/>
        </w:rPr>
        <w:t xml:space="preserve"> </w:t>
      </w:r>
      <w:r w:rsidR="009908E6" w:rsidRPr="009908E6">
        <w:rPr>
          <w:rFonts w:ascii="Times New Roman" w:hAnsi="Times New Roman" w:cs="Times New Roman"/>
          <w:sz w:val="24"/>
          <w:szCs w:val="24"/>
        </w:rPr>
        <w:t>marginalized and vulnerable groups from the effects of forced evictions and</w:t>
      </w:r>
      <w:r w:rsidR="009908E6">
        <w:rPr>
          <w:rFonts w:ascii="Times New Roman" w:hAnsi="Times New Roman" w:cs="Times New Roman"/>
          <w:sz w:val="24"/>
          <w:szCs w:val="24"/>
        </w:rPr>
        <w:t xml:space="preserve"> </w:t>
      </w:r>
      <w:r w:rsidR="009908E6" w:rsidRPr="009908E6">
        <w:rPr>
          <w:rFonts w:ascii="Times New Roman" w:hAnsi="Times New Roman" w:cs="Times New Roman"/>
          <w:sz w:val="24"/>
          <w:szCs w:val="24"/>
        </w:rPr>
        <w:t>resettlement</w:t>
      </w:r>
      <w:r w:rsidR="009908E6">
        <w:rPr>
          <w:rFonts w:ascii="Times New Roman" w:hAnsi="Times New Roman" w:cs="Times New Roman"/>
          <w:sz w:val="24"/>
          <w:szCs w:val="24"/>
        </w:rPr>
        <w:t>.</w:t>
      </w:r>
    </w:p>
    <w:p w:rsidR="009908E6" w:rsidRPr="008101FE" w:rsidRDefault="009908E6" w:rsidP="009908E6">
      <w:pPr>
        <w:spacing w:before="120" w:after="120"/>
        <w:ind w:left="351" w:firstLine="369"/>
        <w:jc w:val="both"/>
        <w:rPr>
          <w:rFonts w:ascii="Times New Roman" w:hAnsi="Times New Roman" w:cs="Times New Roman"/>
          <w:sz w:val="24"/>
          <w:szCs w:val="24"/>
        </w:rPr>
      </w:pPr>
    </w:p>
    <w:p w:rsidR="00BF4A1C" w:rsidRPr="00ED7908" w:rsidRDefault="00E636FF" w:rsidP="009908E6">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The Commission is also directly involved in a climate justice peti</w:t>
      </w:r>
      <w:r w:rsidR="00D24ABF" w:rsidRPr="00ED7908">
        <w:rPr>
          <w:rFonts w:ascii="Times New Roman" w:hAnsi="Times New Roman" w:cs="Times New Roman"/>
          <w:sz w:val="24"/>
          <w:szCs w:val="24"/>
        </w:rPr>
        <w:t xml:space="preserve">tion against the carbon majors. </w:t>
      </w:r>
      <w:r w:rsidR="00BF4A1C" w:rsidRPr="00ED7908">
        <w:rPr>
          <w:rFonts w:ascii="Times New Roman" w:hAnsi="Times New Roman" w:cs="Times New Roman"/>
          <w:sz w:val="24"/>
          <w:szCs w:val="24"/>
        </w:rPr>
        <w:t xml:space="preserve">The climate change petition, otherwise known as‚‘the greenpeace case‘, is a legal petition filed by typhoon survivors, advocates and non-governmental organizations, including Greenpeace Southeast Asia implicating 47 investor-owned carbon producers including Chevron, ExxonMobil, BP, Shell, Total, BHP Billiton, Suncor, and ConocoPhillips over their role in "human-induced climate change"; that "interferes with the enjoyment of Filipinos' fundamental rights". According to the petitioners, these companies are primarily responsible for the majority of fossil fuel products that have been manufactured, marketed, and sold since the industrial revolution; as such, they have contributed the largest share of cumulative global </w:t>
      </w:r>
      <w:r w:rsidR="00BF4A1C" w:rsidRPr="00ED7908">
        <w:rPr>
          <w:rFonts w:ascii="Times New Roman" w:hAnsi="Times New Roman" w:cs="Times New Roman"/>
          <w:sz w:val="24"/>
          <w:szCs w:val="24"/>
        </w:rPr>
        <w:lastRenderedPageBreak/>
        <w:t>emissions of industrial CO2 and methane emissions to the earth’s atmosphere, as identified by peer-reviewed scientific research.</w:t>
      </w:r>
      <w:r w:rsidR="00BF4A1C" w:rsidRPr="00ED7908">
        <w:rPr>
          <w:rStyle w:val="FootnoteReference"/>
          <w:rFonts w:ascii="Times New Roman" w:hAnsi="Times New Roman" w:cs="Times New Roman"/>
          <w:sz w:val="24"/>
          <w:szCs w:val="24"/>
        </w:rPr>
        <w:footnoteReference w:id="3"/>
      </w:r>
    </w:p>
    <w:p w:rsidR="00BF4A1C" w:rsidRPr="00ED7908" w:rsidRDefault="00BF4A1C" w:rsidP="00BF4A1C">
      <w:pPr>
        <w:spacing w:before="120" w:after="120"/>
        <w:ind w:left="347" w:firstLine="373"/>
        <w:jc w:val="both"/>
        <w:rPr>
          <w:rFonts w:ascii="Times New Roman" w:hAnsi="Times New Roman" w:cs="Times New Roman"/>
          <w:sz w:val="24"/>
          <w:szCs w:val="24"/>
        </w:rPr>
      </w:pPr>
      <w:r w:rsidRPr="00ED7908">
        <w:rPr>
          <w:rFonts w:ascii="Times New Roman" w:hAnsi="Times New Roman" w:cs="Times New Roman"/>
          <w:sz w:val="24"/>
          <w:szCs w:val="24"/>
        </w:rPr>
        <w:t>This petition is considered a landmark human rights complaint with the Commission as the first national human rights body to officially take steps to address the impacts of climate change on human rights and the responsibility of private actors. The Commission accepted the petition in accordance with its general mandate to uphold human rights of all filipinos and to investigate and monitor all matters concering human rights.  To date, 32,553 Filipinos have pledged their support for this historic crusade to champion human rights through climate justice joined by 90,495 international supporters.</w:t>
      </w:r>
    </w:p>
    <w:p w:rsidR="00BF4A1C" w:rsidRPr="00ED7908" w:rsidRDefault="00BF4A1C" w:rsidP="00BF4A1C">
      <w:pPr>
        <w:spacing w:before="120" w:after="120"/>
        <w:ind w:left="347" w:firstLine="373"/>
        <w:jc w:val="both"/>
        <w:rPr>
          <w:rFonts w:ascii="Times New Roman" w:hAnsi="Times New Roman" w:cs="Times New Roman"/>
          <w:sz w:val="24"/>
          <w:szCs w:val="24"/>
        </w:rPr>
      </w:pPr>
      <w:r w:rsidRPr="00ED7908">
        <w:rPr>
          <w:rFonts w:ascii="Times New Roman" w:hAnsi="Times New Roman" w:cs="Times New Roman"/>
          <w:sz w:val="24"/>
          <w:szCs w:val="24"/>
        </w:rPr>
        <w:t xml:space="preserve">This climate change inquiry aims to look into the responsibilities of the country’s largest fossil fuel companies, and their effect on the environment and the Filipino people. </w:t>
      </w:r>
    </w:p>
    <w:p w:rsidR="00BF4A1C" w:rsidRPr="00ED7908" w:rsidRDefault="00BF4A1C" w:rsidP="00BF4A1C">
      <w:pPr>
        <w:spacing w:before="120" w:after="120"/>
        <w:ind w:left="347" w:firstLine="373"/>
        <w:jc w:val="both"/>
        <w:rPr>
          <w:rFonts w:ascii="Times New Roman" w:hAnsi="Times New Roman" w:cs="Times New Roman"/>
          <w:sz w:val="24"/>
          <w:szCs w:val="24"/>
        </w:rPr>
      </w:pPr>
      <w:r w:rsidRPr="00ED7908">
        <w:rPr>
          <w:rFonts w:ascii="Times New Roman" w:hAnsi="Times New Roman" w:cs="Times New Roman"/>
          <w:sz w:val="24"/>
          <w:szCs w:val="24"/>
        </w:rPr>
        <w:t>On 11 December 2017, the Commisison  called the petitioners and respondents for a conference for its ongoing landmark national inquiry. The conference was meant to determine the possible contribution of 'carbon majors' on climate change and its effects on the huma</w:t>
      </w:r>
      <w:r w:rsidR="005963A1">
        <w:rPr>
          <w:rFonts w:ascii="Times New Roman" w:hAnsi="Times New Roman" w:cs="Times New Roman"/>
          <w:sz w:val="24"/>
          <w:szCs w:val="24"/>
        </w:rPr>
        <w:t>n rights of the Filipino people:</w:t>
      </w:r>
    </w:p>
    <w:p w:rsidR="00D24ABF" w:rsidRPr="00ED7908" w:rsidRDefault="0045435C" w:rsidP="00D24ABF">
      <w:pPr>
        <w:spacing w:before="120" w:after="120"/>
        <w:ind w:left="347"/>
        <w:jc w:val="both"/>
        <w:rPr>
          <w:rFonts w:ascii="Times New Roman" w:hAnsi="Times New Roman" w:cs="Times New Roman"/>
          <w:sz w:val="24"/>
          <w:szCs w:val="24"/>
        </w:rPr>
      </w:pPr>
      <w:hyperlink r:id="rId9" w:history="1">
        <w:r w:rsidR="00D24ABF" w:rsidRPr="00ED7908">
          <w:rPr>
            <w:rStyle w:val="Hyperlink"/>
            <w:rFonts w:ascii="Times New Roman" w:hAnsi="Times New Roman" w:cs="Times New Roman"/>
            <w:sz w:val="24"/>
            <w:szCs w:val="24"/>
          </w:rPr>
          <w:t>https://business-humanrights.org/en/philippines-commission-on-human-rights-investigation-of-47-fossil-fuel-companies-contribution-to-climate-human-rights-impacts</w:t>
        </w:r>
      </w:hyperlink>
      <w:r w:rsidR="00D24ABF" w:rsidRPr="00ED7908">
        <w:rPr>
          <w:rFonts w:ascii="Times New Roman" w:hAnsi="Times New Roman" w:cs="Times New Roman"/>
          <w:sz w:val="24"/>
          <w:szCs w:val="24"/>
        </w:rPr>
        <w:t xml:space="preserve"> </w:t>
      </w:r>
    </w:p>
    <w:p w:rsidR="00D24ABF" w:rsidRPr="00ED7908" w:rsidRDefault="00D24ABF" w:rsidP="00D24ABF">
      <w:pPr>
        <w:spacing w:before="120" w:after="120"/>
        <w:ind w:left="347"/>
        <w:jc w:val="both"/>
        <w:rPr>
          <w:rFonts w:ascii="Times New Roman" w:hAnsi="Times New Roman" w:cs="Times New Roman"/>
          <w:sz w:val="24"/>
          <w:szCs w:val="24"/>
        </w:rPr>
      </w:pPr>
    </w:p>
    <w:p w:rsidR="00E636FF" w:rsidRPr="00ED7908" w:rsidRDefault="00E636FF" w:rsidP="00484048">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 xml:space="preserve">For goal 16, the Commission has been persistent in advising government to uphold the rule of law and strengthen the justice system to promote and protect the human rights of all people residing in the Philippines and Filipinos abroad. Through advisories and written submissions to the UN mechanisms and the UPR, we report on the current human rights situation and provide recommendations on how to respond to maintaing peace, justice and strong institutions. </w:t>
      </w:r>
    </w:p>
    <w:p w:rsidR="005E0EEB" w:rsidRPr="00ED7908" w:rsidRDefault="005E0EEB" w:rsidP="00A17653">
      <w:pPr>
        <w:spacing w:before="120" w:after="120"/>
        <w:ind w:left="351"/>
        <w:jc w:val="both"/>
        <w:rPr>
          <w:rFonts w:ascii="Times New Roman" w:hAnsi="Times New Roman" w:cs="Times New Roman"/>
          <w:sz w:val="24"/>
          <w:szCs w:val="24"/>
        </w:rPr>
      </w:pPr>
    </w:p>
    <w:p w:rsidR="00E636FF" w:rsidRPr="00ED7908" w:rsidRDefault="00E636FF" w:rsidP="00484048">
      <w:pPr>
        <w:spacing w:before="120" w:after="120"/>
        <w:ind w:left="351" w:firstLine="369"/>
        <w:jc w:val="both"/>
        <w:rPr>
          <w:rFonts w:ascii="Times New Roman" w:hAnsi="Times New Roman" w:cs="Times New Roman"/>
          <w:sz w:val="24"/>
          <w:szCs w:val="24"/>
        </w:rPr>
      </w:pPr>
      <w:r w:rsidRPr="00ED7908">
        <w:rPr>
          <w:rFonts w:ascii="Times New Roman" w:hAnsi="Times New Roman" w:cs="Times New Roman"/>
          <w:sz w:val="24"/>
          <w:szCs w:val="24"/>
        </w:rPr>
        <w:t xml:space="preserve">For goal 17, the Commission collaborates with civil society, government agencies and the international community to tackle together challenges to achieving human rights and the right to development. The collaboration takes the form of consultations, participation and direct intervention in human rights mechanisms locally in the Asia-Pacific region through the APF </w:t>
      </w:r>
      <w:r w:rsidRPr="00ED7908">
        <w:rPr>
          <w:rFonts w:ascii="Times New Roman" w:hAnsi="Times New Roman" w:cs="Times New Roman"/>
          <w:sz w:val="24"/>
          <w:szCs w:val="24"/>
        </w:rPr>
        <w:lastRenderedPageBreak/>
        <w:t xml:space="preserve">and globally through its membership with  the Global Alliance of National Human Rights Institutions (GANHRI). </w:t>
      </w:r>
    </w:p>
    <w:p w:rsidR="005E0EEB" w:rsidRPr="00ED7908" w:rsidRDefault="005E0EEB" w:rsidP="00A17653">
      <w:pPr>
        <w:spacing w:before="120" w:after="120"/>
        <w:ind w:left="351"/>
        <w:jc w:val="both"/>
        <w:rPr>
          <w:rFonts w:ascii="Times New Roman" w:hAnsi="Times New Roman" w:cs="Times New Roman"/>
          <w:sz w:val="24"/>
          <w:szCs w:val="24"/>
        </w:rPr>
      </w:pPr>
    </w:p>
    <w:p w:rsidR="005E0EEB" w:rsidRPr="00ED7908" w:rsidRDefault="000B1A52" w:rsidP="00A17653">
      <w:pPr>
        <w:spacing w:before="120" w:after="120"/>
        <w:jc w:val="both"/>
        <w:rPr>
          <w:rFonts w:ascii="Times New Roman" w:hAnsi="Times New Roman" w:cs="Times New Roman"/>
          <w:b/>
          <w:i/>
          <w:sz w:val="24"/>
          <w:szCs w:val="24"/>
        </w:rPr>
      </w:pPr>
      <w:r w:rsidRPr="00ED7908">
        <w:rPr>
          <w:rFonts w:ascii="Times New Roman" w:hAnsi="Times New Roman" w:cs="Times New Roman"/>
          <w:b/>
          <w:i/>
          <w:sz w:val="24"/>
          <w:szCs w:val="24"/>
        </w:rPr>
        <w:t>National Sustainable Development Agenda: The Philippine Development Plan 2017-2022</w:t>
      </w:r>
    </w:p>
    <w:p w:rsidR="00897F4B" w:rsidRPr="00ED7908" w:rsidRDefault="00E179BE"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In 2017, the Duterte administration adopeted the Philippine Development Plan (PDP) 2017-2022 as the first mediu</w:t>
      </w:r>
      <w:r w:rsidR="006B3C0A" w:rsidRPr="00ED7908">
        <w:rPr>
          <w:rFonts w:ascii="Times New Roman" w:hAnsi="Times New Roman" w:cs="Times New Roman"/>
          <w:sz w:val="24"/>
          <w:szCs w:val="24"/>
        </w:rPr>
        <w:t>m</w:t>
      </w:r>
      <w:r w:rsidRPr="00ED7908">
        <w:rPr>
          <w:rFonts w:ascii="Times New Roman" w:hAnsi="Times New Roman" w:cs="Times New Roman"/>
          <w:sz w:val="24"/>
          <w:szCs w:val="24"/>
        </w:rPr>
        <w:t xml:space="preserve">-term plan that is anchored on a national long-term vision, </w:t>
      </w:r>
      <w:r w:rsidRPr="00ED7908">
        <w:rPr>
          <w:rFonts w:ascii="Times New Roman" w:hAnsi="Times New Roman" w:cs="Times New Roman"/>
          <w:i/>
          <w:sz w:val="24"/>
          <w:szCs w:val="24"/>
        </w:rPr>
        <w:t xml:space="preserve">Ambisyon Natin 2040. </w:t>
      </w:r>
      <w:r w:rsidR="00897F4B" w:rsidRPr="00ED7908">
        <w:rPr>
          <w:rFonts w:ascii="Times New Roman" w:hAnsi="Times New Roman" w:cs="Times New Roman"/>
          <w:sz w:val="24"/>
          <w:szCs w:val="24"/>
        </w:rPr>
        <w:t xml:space="preserve">The PDP took into account the 2030 Sustainable Development Agenda (SDA) and the President’s </w:t>
      </w:r>
      <w:r w:rsidR="006B3C0A" w:rsidRPr="00ED7908">
        <w:rPr>
          <w:rFonts w:ascii="Times New Roman" w:hAnsi="Times New Roman" w:cs="Times New Roman"/>
          <w:sz w:val="24"/>
          <w:szCs w:val="24"/>
        </w:rPr>
        <w:t xml:space="preserve"> zero</w:t>
      </w:r>
      <w:r w:rsidR="00897F4B" w:rsidRPr="00ED7908">
        <w:rPr>
          <w:rFonts w:ascii="Times New Roman" w:hAnsi="Times New Roman" w:cs="Times New Roman"/>
          <w:sz w:val="24"/>
          <w:szCs w:val="24"/>
        </w:rPr>
        <w:t>+10 Point Socioeconomic Agenda</w:t>
      </w:r>
      <w:r w:rsidR="006B3C0A" w:rsidRPr="00ED7908">
        <w:rPr>
          <w:rStyle w:val="FootnoteReference"/>
          <w:rFonts w:ascii="Times New Roman" w:hAnsi="Times New Roman" w:cs="Times New Roman"/>
          <w:sz w:val="24"/>
          <w:szCs w:val="24"/>
        </w:rPr>
        <w:footnoteReference w:id="4"/>
      </w:r>
      <w:r w:rsidR="00897F4B" w:rsidRPr="00ED7908">
        <w:rPr>
          <w:rFonts w:ascii="Times New Roman" w:hAnsi="Times New Roman" w:cs="Times New Roman"/>
          <w:sz w:val="24"/>
          <w:szCs w:val="24"/>
        </w:rPr>
        <w:t xml:space="preserve"> to ensure </w:t>
      </w:r>
      <w:r w:rsidR="006B3C0A" w:rsidRPr="00ED7908">
        <w:rPr>
          <w:rFonts w:ascii="Times New Roman" w:hAnsi="Times New Roman" w:cs="Times New Roman"/>
          <w:sz w:val="24"/>
          <w:szCs w:val="24"/>
        </w:rPr>
        <w:t xml:space="preserve">sustainable and coherent strategies. </w:t>
      </w:r>
      <w:r w:rsidR="00897F4B" w:rsidRPr="00ED7908">
        <w:rPr>
          <w:rFonts w:ascii="Times New Roman" w:hAnsi="Times New Roman" w:cs="Times New Roman"/>
          <w:sz w:val="24"/>
          <w:szCs w:val="24"/>
        </w:rPr>
        <w:t xml:space="preserve"> </w:t>
      </w:r>
      <w:r w:rsidR="006B3C0A" w:rsidRPr="00ED7908">
        <w:rPr>
          <w:rFonts w:ascii="Times New Roman" w:hAnsi="Times New Roman" w:cs="Times New Roman"/>
          <w:sz w:val="24"/>
          <w:szCs w:val="24"/>
        </w:rPr>
        <w:t xml:space="preserve">The strategies laid down in the PDP aims to contribute to the attainment of the SDGs. </w:t>
      </w:r>
    </w:p>
    <w:p w:rsidR="00E179BE" w:rsidRPr="00ED7908" w:rsidRDefault="00E179BE"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The PDP contains seven main parts, which include an overview of the economy, development challenges that lie ahead, and development strategies thoroughly articulated through chapters on Enhacing the Social Fabric, Inequality-Reducing Transformation, Increasing Growth Potential, Enabling and Suppor</w:t>
      </w:r>
      <w:r w:rsidR="00716BFE" w:rsidRPr="00ED7908">
        <w:rPr>
          <w:rFonts w:ascii="Times New Roman" w:hAnsi="Times New Roman" w:cs="Times New Roman"/>
          <w:sz w:val="24"/>
          <w:szCs w:val="24"/>
        </w:rPr>
        <w:t>t</w:t>
      </w:r>
      <w:r w:rsidRPr="00ED7908">
        <w:rPr>
          <w:rFonts w:ascii="Times New Roman" w:hAnsi="Times New Roman" w:cs="Times New Roman"/>
          <w:sz w:val="24"/>
          <w:szCs w:val="24"/>
        </w:rPr>
        <w:t xml:space="preserve">ive Economic Environment, and Foundations for Inclusive and Sustainable Development. </w:t>
      </w:r>
    </w:p>
    <w:p w:rsidR="00AA41B5" w:rsidRPr="00ED7908" w:rsidRDefault="00E179BE"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As a National Human Rights Institution, the CHRP actively monitors the implementation of the stra</w:t>
      </w:r>
      <w:r w:rsidR="00AA41B5" w:rsidRPr="00ED7908">
        <w:rPr>
          <w:rFonts w:ascii="Times New Roman" w:hAnsi="Times New Roman" w:cs="Times New Roman"/>
          <w:sz w:val="24"/>
          <w:szCs w:val="24"/>
        </w:rPr>
        <w:t>tegies laid down under the PDP to ensure that the stra</w:t>
      </w:r>
      <w:r w:rsidR="00716BFE" w:rsidRPr="00ED7908">
        <w:rPr>
          <w:rFonts w:ascii="Times New Roman" w:hAnsi="Times New Roman" w:cs="Times New Roman"/>
          <w:sz w:val="24"/>
          <w:szCs w:val="24"/>
        </w:rPr>
        <w:t>t</w:t>
      </w:r>
      <w:r w:rsidR="00AA41B5" w:rsidRPr="00ED7908">
        <w:rPr>
          <w:rFonts w:ascii="Times New Roman" w:hAnsi="Times New Roman" w:cs="Times New Roman"/>
          <w:sz w:val="24"/>
          <w:szCs w:val="24"/>
        </w:rPr>
        <w:t>egies towards the attainment of the agendas are carried out using a human rights based approach. Further, t</w:t>
      </w:r>
      <w:r w:rsidRPr="00ED7908">
        <w:rPr>
          <w:rFonts w:ascii="Times New Roman" w:hAnsi="Times New Roman" w:cs="Times New Roman"/>
          <w:sz w:val="24"/>
          <w:szCs w:val="24"/>
        </w:rPr>
        <w:t xml:space="preserve">he Commission submits monitoring reports to help the National Economic and Development Authority (NEDA) in making an assessment as to the impact of the strategies to human rights. </w:t>
      </w:r>
      <w:r w:rsidR="00BF4A1C" w:rsidRPr="00ED7908">
        <w:rPr>
          <w:rFonts w:ascii="Times New Roman" w:hAnsi="Times New Roman" w:cs="Times New Roman"/>
          <w:sz w:val="24"/>
          <w:szCs w:val="24"/>
        </w:rPr>
        <w:t xml:space="preserve">In fact, only last </w:t>
      </w:r>
      <w:r w:rsidR="00FA7A3A" w:rsidRPr="00ED7908">
        <w:rPr>
          <w:rFonts w:ascii="Times New Roman" w:hAnsi="Times New Roman" w:cs="Times New Roman"/>
          <w:sz w:val="24"/>
          <w:szCs w:val="24"/>
        </w:rPr>
        <w:t>November 2017,</w:t>
      </w:r>
      <w:r w:rsidR="00BF4A1C" w:rsidRPr="00ED7908">
        <w:rPr>
          <w:rFonts w:ascii="Times New Roman" w:hAnsi="Times New Roman" w:cs="Times New Roman"/>
          <w:sz w:val="24"/>
          <w:szCs w:val="24"/>
        </w:rPr>
        <w:t xml:space="preserve"> Commission submitted its monitoring report to </w:t>
      </w:r>
      <w:r w:rsidR="00FA7A3A" w:rsidRPr="00ED7908">
        <w:rPr>
          <w:rFonts w:ascii="Times New Roman" w:hAnsi="Times New Roman" w:cs="Times New Roman"/>
          <w:sz w:val="24"/>
          <w:szCs w:val="24"/>
        </w:rPr>
        <w:t>NEDA wherein we prov</w:t>
      </w:r>
      <w:r w:rsidR="00F7327C" w:rsidRPr="00ED7908">
        <w:rPr>
          <w:rFonts w:ascii="Times New Roman" w:hAnsi="Times New Roman" w:cs="Times New Roman"/>
          <w:sz w:val="24"/>
          <w:szCs w:val="24"/>
        </w:rPr>
        <w:t xml:space="preserve">ided </w:t>
      </w:r>
      <w:r w:rsidR="00FA7A3A" w:rsidRPr="00ED7908">
        <w:rPr>
          <w:rFonts w:ascii="Times New Roman" w:hAnsi="Times New Roman" w:cs="Times New Roman"/>
          <w:sz w:val="24"/>
          <w:szCs w:val="24"/>
        </w:rPr>
        <w:t xml:space="preserve">figures on human rights cases filed in </w:t>
      </w:r>
      <w:r w:rsidR="00F7327C" w:rsidRPr="00ED7908">
        <w:rPr>
          <w:rFonts w:ascii="Times New Roman" w:hAnsi="Times New Roman" w:cs="Times New Roman"/>
          <w:sz w:val="24"/>
          <w:szCs w:val="24"/>
        </w:rPr>
        <w:t xml:space="preserve">and resolved by </w:t>
      </w:r>
      <w:r w:rsidR="00FA7A3A" w:rsidRPr="00ED7908">
        <w:rPr>
          <w:rFonts w:ascii="Times New Roman" w:hAnsi="Times New Roman" w:cs="Times New Roman"/>
          <w:sz w:val="24"/>
          <w:szCs w:val="24"/>
        </w:rPr>
        <w:t xml:space="preserve">the Commission. These inputs aim to aid NEDA in plotting socioeconomic indicators relative to the PDP. </w:t>
      </w:r>
    </w:p>
    <w:p w:rsidR="00BF4A1C" w:rsidRPr="00ED7908" w:rsidRDefault="00BF4A1C" w:rsidP="00A17653">
      <w:pPr>
        <w:spacing w:before="120" w:after="120"/>
        <w:ind w:firstLine="351"/>
        <w:jc w:val="both"/>
        <w:rPr>
          <w:rFonts w:ascii="Times New Roman" w:hAnsi="Times New Roman" w:cs="Times New Roman"/>
          <w:sz w:val="24"/>
          <w:szCs w:val="24"/>
        </w:rPr>
      </w:pPr>
    </w:p>
    <w:p w:rsidR="00E179BE" w:rsidRPr="00ED7908" w:rsidRDefault="00F56AE5"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Under the PDP, the Commission pla</w:t>
      </w:r>
      <w:r w:rsidR="00AA41B5" w:rsidRPr="00ED7908">
        <w:rPr>
          <w:rFonts w:ascii="Times New Roman" w:hAnsi="Times New Roman" w:cs="Times New Roman"/>
          <w:sz w:val="24"/>
          <w:szCs w:val="24"/>
        </w:rPr>
        <w:t>ys an active role in monitoring and advocating for the participation of the marginalized sector in the electoral process, compliance of the security sector to human rights standards in the sector’s policies and operationa</w:t>
      </w:r>
      <w:r w:rsidR="003A332E" w:rsidRPr="00ED7908">
        <w:rPr>
          <w:rFonts w:ascii="Times New Roman" w:hAnsi="Times New Roman" w:cs="Times New Roman"/>
          <w:sz w:val="24"/>
          <w:szCs w:val="24"/>
        </w:rPr>
        <w:t xml:space="preserve">l manuals and their operations, and progress in the area of peace and development among others. </w:t>
      </w:r>
    </w:p>
    <w:p w:rsidR="00E964D5" w:rsidRPr="00ED7908" w:rsidRDefault="006B3C0A"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 xml:space="preserve">Further, the </w:t>
      </w:r>
      <w:r w:rsidR="00897F4B" w:rsidRPr="00ED7908">
        <w:rPr>
          <w:rFonts w:ascii="Times New Roman" w:hAnsi="Times New Roman" w:cs="Times New Roman"/>
          <w:sz w:val="24"/>
          <w:szCs w:val="24"/>
        </w:rPr>
        <w:t xml:space="preserve">Commission played a substantial role in the drafting </w:t>
      </w:r>
      <w:r w:rsidR="005963A1">
        <w:rPr>
          <w:rFonts w:ascii="Times New Roman" w:hAnsi="Times New Roman" w:cs="Times New Roman"/>
          <w:sz w:val="24"/>
          <w:szCs w:val="24"/>
        </w:rPr>
        <w:t xml:space="preserve">sections </w:t>
      </w:r>
      <w:r w:rsidR="00897F4B" w:rsidRPr="00ED7908">
        <w:rPr>
          <w:rFonts w:ascii="Times New Roman" w:hAnsi="Times New Roman" w:cs="Times New Roman"/>
          <w:sz w:val="24"/>
          <w:szCs w:val="24"/>
        </w:rPr>
        <w:t>of the PDP, specifically Chapters 5 and 6 thereof.</w:t>
      </w:r>
      <w:r w:rsidR="00AC52BF" w:rsidRPr="00ED7908">
        <w:rPr>
          <w:rFonts w:ascii="Times New Roman" w:hAnsi="Times New Roman" w:cs="Times New Roman"/>
          <w:sz w:val="24"/>
          <w:szCs w:val="24"/>
        </w:rPr>
        <w:t xml:space="preserve"> </w:t>
      </w:r>
      <w:r w:rsidR="00A17653" w:rsidRPr="00ED7908">
        <w:rPr>
          <w:rFonts w:ascii="Times New Roman" w:hAnsi="Times New Roman" w:cs="Times New Roman"/>
          <w:sz w:val="24"/>
          <w:szCs w:val="24"/>
        </w:rPr>
        <w:t>Through active participation in consultations, the Commission was able to include</w:t>
      </w:r>
      <w:r w:rsidR="00E964D5" w:rsidRPr="00ED7908">
        <w:rPr>
          <w:rFonts w:ascii="Times New Roman" w:hAnsi="Times New Roman" w:cs="Times New Roman"/>
          <w:sz w:val="24"/>
          <w:szCs w:val="24"/>
        </w:rPr>
        <w:t xml:space="preserve"> specific strategies </w:t>
      </w:r>
      <w:r w:rsidR="00A17653" w:rsidRPr="00ED7908">
        <w:rPr>
          <w:rFonts w:ascii="Times New Roman" w:hAnsi="Times New Roman" w:cs="Times New Roman"/>
          <w:sz w:val="24"/>
          <w:szCs w:val="24"/>
        </w:rPr>
        <w:t>in the development plan which will bolster the effo</w:t>
      </w:r>
      <w:r w:rsidR="00716BFE" w:rsidRPr="00ED7908">
        <w:rPr>
          <w:rFonts w:ascii="Times New Roman" w:hAnsi="Times New Roman" w:cs="Times New Roman"/>
          <w:sz w:val="24"/>
          <w:szCs w:val="24"/>
        </w:rPr>
        <w:t>r</w:t>
      </w:r>
      <w:r w:rsidR="00A17653" w:rsidRPr="00ED7908">
        <w:rPr>
          <w:rFonts w:ascii="Times New Roman" w:hAnsi="Times New Roman" w:cs="Times New Roman"/>
          <w:sz w:val="24"/>
          <w:szCs w:val="24"/>
        </w:rPr>
        <w:t>ts of the Commission and</w:t>
      </w:r>
      <w:r w:rsidR="00E964D5" w:rsidRPr="00ED7908">
        <w:rPr>
          <w:rFonts w:ascii="Times New Roman" w:hAnsi="Times New Roman" w:cs="Times New Roman"/>
          <w:sz w:val="24"/>
          <w:szCs w:val="24"/>
        </w:rPr>
        <w:t xml:space="preserve"> futher strengthen </w:t>
      </w:r>
      <w:r w:rsidR="00A17653" w:rsidRPr="00ED7908">
        <w:rPr>
          <w:rFonts w:ascii="Times New Roman" w:hAnsi="Times New Roman" w:cs="Times New Roman"/>
          <w:sz w:val="24"/>
          <w:szCs w:val="24"/>
        </w:rPr>
        <w:t>the organization</w:t>
      </w:r>
      <w:r w:rsidR="00E964D5" w:rsidRPr="00ED7908">
        <w:rPr>
          <w:rFonts w:ascii="Times New Roman" w:hAnsi="Times New Roman" w:cs="Times New Roman"/>
          <w:sz w:val="24"/>
          <w:szCs w:val="24"/>
        </w:rPr>
        <w:t xml:space="preserve"> so that it may </w:t>
      </w:r>
      <w:r w:rsidR="00A17653" w:rsidRPr="00ED7908">
        <w:rPr>
          <w:rFonts w:ascii="Times New Roman" w:hAnsi="Times New Roman" w:cs="Times New Roman"/>
          <w:sz w:val="24"/>
          <w:szCs w:val="24"/>
        </w:rPr>
        <w:t>b</w:t>
      </w:r>
      <w:r w:rsidR="00E964D5" w:rsidRPr="00ED7908">
        <w:rPr>
          <w:rFonts w:ascii="Times New Roman" w:hAnsi="Times New Roman" w:cs="Times New Roman"/>
          <w:sz w:val="24"/>
          <w:szCs w:val="24"/>
        </w:rPr>
        <w:t>e able to ensure the protection and promotion of human rights and the fulfillment o</w:t>
      </w:r>
      <w:r w:rsidR="00A17653" w:rsidRPr="00ED7908">
        <w:rPr>
          <w:rFonts w:ascii="Times New Roman" w:hAnsi="Times New Roman" w:cs="Times New Roman"/>
          <w:sz w:val="24"/>
          <w:szCs w:val="24"/>
        </w:rPr>
        <w:t xml:space="preserve">f its mandates as an NHRI. </w:t>
      </w:r>
    </w:p>
    <w:p w:rsidR="00AC52BF" w:rsidRPr="00ED7908" w:rsidRDefault="00AC52BF"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Chapter 5 of the PDP</w:t>
      </w:r>
      <w:r w:rsidR="00E964D5" w:rsidRPr="00ED7908">
        <w:rPr>
          <w:rFonts w:ascii="Times New Roman" w:hAnsi="Times New Roman" w:cs="Times New Roman"/>
          <w:sz w:val="24"/>
          <w:szCs w:val="24"/>
        </w:rPr>
        <w:t xml:space="preserve"> (</w:t>
      </w:r>
      <w:r w:rsidRPr="00ED7908">
        <w:rPr>
          <w:rFonts w:ascii="Times New Roman" w:hAnsi="Times New Roman" w:cs="Times New Roman"/>
          <w:sz w:val="24"/>
          <w:szCs w:val="24"/>
        </w:rPr>
        <w:t>Ensuring People-Centered, Clean, and Efficient Governance</w:t>
      </w:r>
      <w:r w:rsidR="00E964D5" w:rsidRPr="00ED7908">
        <w:rPr>
          <w:rFonts w:ascii="Times New Roman" w:hAnsi="Times New Roman" w:cs="Times New Roman"/>
          <w:sz w:val="24"/>
          <w:szCs w:val="24"/>
        </w:rPr>
        <w:t>)</w:t>
      </w:r>
      <w:r w:rsidRPr="00ED7908">
        <w:rPr>
          <w:rFonts w:ascii="Times New Roman" w:hAnsi="Times New Roman" w:cs="Times New Roman"/>
          <w:sz w:val="24"/>
          <w:szCs w:val="24"/>
        </w:rPr>
        <w:t xml:space="preserve"> discusses  strategies in attaining people-centered, clean and efficient governanc</w:t>
      </w:r>
      <w:r w:rsidR="00716BFE" w:rsidRPr="00ED7908">
        <w:rPr>
          <w:rFonts w:ascii="Times New Roman" w:hAnsi="Times New Roman" w:cs="Times New Roman"/>
          <w:sz w:val="24"/>
          <w:szCs w:val="24"/>
        </w:rPr>
        <w:t>e</w:t>
      </w:r>
      <w:r w:rsidRPr="00ED7908">
        <w:rPr>
          <w:rFonts w:ascii="Times New Roman" w:hAnsi="Times New Roman" w:cs="Times New Roman"/>
          <w:sz w:val="24"/>
          <w:szCs w:val="24"/>
        </w:rPr>
        <w:t xml:space="preserve"> by strengthening </w:t>
      </w:r>
      <w:r w:rsidRPr="00ED7908">
        <w:rPr>
          <w:rFonts w:ascii="Times New Roman" w:hAnsi="Times New Roman" w:cs="Times New Roman"/>
          <w:sz w:val="24"/>
          <w:szCs w:val="24"/>
        </w:rPr>
        <w:lastRenderedPageBreak/>
        <w:t xml:space="preserve">institutions, engaging and empowering citizens, and providing enabling mechanisms to improve access to public goods and services. Under this Chapter, the Commission is tasked to ensure the full and meaningful participation of all </w:t>
      </w:r>
      <w:r w:rsidR="00716BFE" w:rsidRPr="00ED7908">
        <w:rPr>
          <w:rFonts w:ascii="Times New Roman" w:hAnsi="Times New Roman" w:cs="Times New Roman"/>
          <w:sz w:val="24"/>
          <w:szCs w:val="24"/>
        </w:rPr>
        <w:t>F</w:t>
      </w:r>
      <w:r w:rsidRPr="00ED7908">
        <w:rPr>
          <w:rFonts w:ascii="Times New Roman" w:hAnsi="Times New Roman" w:cs="Times New Roman"/>
          <w:sz w:val="24"/>
          <w:szCs w:val="24"/>
        </w:rPr>
        <w:t>ilipino citi</w:t>
      </w:r>
      <w:r w:rsidR="00C13231" w:rsidRPr="00ED7908">
        <w:rPr>
          <w:rFonts w:ascii="Times New Roman" w:hAnsi="Times New Roman" w:cs="Times New Roman"/>
          <w:sz w:val="24"/>
          <w:szCs w:val="24"/>
        </w:rPr>
        <w:t>zens, esp</w:t>
      </w:r>
      <w:r w:rsidR="00716BFE" w:rsidRPr="00ED7908">
        <w:rPr>
          <w:rFonts w:ascii="Times New Roman" w:hAnsi="Times New Roman" w:cs="Times New Roman"/>
          <w:sz w:val="24"/>
          <w:szCs w:val="24"/>
        </w:rPr>
        <w:t>e</w:t>
      </w:r>
      <w:r w:rsidR="00C13231" w:rsidRPr="00ED7908">
        <w:rPr>
          <w:rFonts w:ascii="Times New Roman" w:hAnsi="Times New Roman" w:cs="Times New Roman"/>
          <w:sz w:val="24"/>
          <w:szCs w:val="24"/>
        </w:rPr>
        <w:t xml:space="preserve">cially the marginalized </w:t>
      </w:r>
      <w:r w:rsidRPr="00ED7908">
        <w:rPr>
          <w:rFonts w:ascii="Times New Roman" w:hAnsi="Times New Roman" w:cs="Times New Roman"/>
          <w:sz w:val="24"/>
          <w:szCs w:val="24"/>
        </w:rPr>
        <w:t xml:space="preserve">sector, in the electoral process through monitoring and advocating for policy measures towards that end. </w:t>
      </w:r>
    </w:p>
    <w:p w:rsidR="005F5709" w:rsidRPr="00ED7908" w:rsidRDefault="00C13231" w:rsidP="00A17653">
      <w:pPr>
        <w:spacing w:before="120" w:after="120"/>
        <w:ind w:firstLine="351"/>
        <w:jc w:val="both"/>
        <w:rPr>
          <w:rFonts w:ascii="Times New Roman" w:hAnsi="Times New Roman" w:cs="Times New Roman"/>
          <w:i/>
          <w:sz w:val="24"/>
          <w:szCs w:val="24"/>
        </w:rPr>
      </w:pPr>
      <w:r w:rsidRPr="00ED7908">
        <w:rPr>
          <w:rFonts w:ascii="Times New Roman" w:hAnsi="Times New Roman" w:cs="Times New Roman"/>
          <w:sz w:val="24"/>
          <w:szCs w:val="24"/>
        </w:rPr>
        <w:t>In Chapter 6 (</w:t>
      </w:r>
      <w:r w:rsidR="00AC52BF" w:rsidRPr="00ED7908">
        <w:rPr>
          <w:rFonts w:ascii="Times New Roman" w:hAnsi="Times New Roman" w:cs="Times New Roman"/>
          <w:sz w:val="24"/>
          <w:szCs w:val="24"/>
        </w:rPr>
        <w:t>Pursuing Swift and Fair Administration of Justice</w:t>
      </w:r>
      <w:r w:rsidRPr="00ED7908">
        <w:rPr>
          <w:rFonts w:ascii="Times New Roman" w:hAnsi="Times New Roman" w:cs="Times New Roman"/>
          <w:sz w:val="24"/>
          <w:szCs w:val="24"/>
        </w:rPr>
        <w:t>), the PDP indicated several sub-strategies for the delivery of fair and equal justice, among which is the strengthening of victim legal protection. Under this sub-strategy</w:t>
      </w:r>
      <w:r w:rsidRPr="00ED7908">
        <w:rPr>
          <w:rFonts w:ascii="Times New Roman" w:hAnsi="Times New Roman" w:cs="Times New Roman"/>
          <w:i/>
          <w:sz w:val="24"/>
          <w:szCs w:val="24"/>
        </w:rPr>
        <w:t>, ‘the Commission on Human Rights (CHR) will intensify its efforts to facilitate access to justice by: (a) monitoring and evaluation; (b) empowering the poor and marginalized to seek response and remedies for injustice; (c) improving legal protection, awareness and aid; (d) civil society and parliamentary oversight; (e) addressing human rights violations in the justice sector; and (f) strengthening linkages between formal and informal structures.‘</w:t>
      </w:r>
      <w:r w:rsidRPr="00ED7908">
        <w:rPr>
          <w:rStyle w:val="FootnoteReference"/>
          <w:rFonts w:ascii="Times New Roman" w:hAnsi="Times New Roman" w:cs="Times New Roman"/>
          <w:i/>
          <w:sz w:val="24"/>
          <w:szCs w:val="24"/>
        </w:rPr>
        <w:footnoteReference w:id="5"/>
      </w:r>
    </w:p>
    <w:p w:rsidR="00C13231" w:rsidRPr="00ED7908" w:rsidRDefault="00C13231" w:rsidP="00A17653">
      <w:pPr>
        <w:spacing w:before="120" w:after="120"/>
        <w:ind w:firstLine="351"/>
        <w:jc w:val="both"/>
        <w:rPr>
          <w:rFonts w:ascii="Times New Roman" w:hAnsi="Times New Roman" w:cs="Times New Roman"/>
          <w:sz w:val="24"/>
          <w:szCs w:val="24"/>
        </w:rPr>
      </w:pPr>
      <w:r w:rsidRPr="00ED7908">
        <w:rPr>
          <w:rFonts w:ascii="Times New Roman" w:hAnsi="Times New Roman" w:cs="Times New Roman"/>
          <w:sz w:val="24"/>
          <w:szCs w:val="24"/>
        </w:rPr>
        <w:t xml:space="preserve">Chapters 5 and 6 also provides for a legislative agenda which includes the Passage of the Commission on Human Rights Charter which will, in effect, </w:t>
      </w:r>
      <w:r w:rsidRPr="00ED7908">
        <w:rPr>
          <w:rFonts w:ascii="Times New Roman" w:hAnsi="Times New Roman" w:cs="Times New Roman"/>
          <w:i/>
          <w:sz w:val="24"/>
          <w:szCs w:val="24"/>
        </w:rPr>
        <w:t>‘provide an effective and expanded structural and functional organiazation to protect human rights and filipinos, here and abroad‘</w:t>
      </w:r>
      <w:r w:rsidRPr="00ED7908">
        <w:rPr>
          <w:rStyle w:val="FootnoteReference"/>
          <w:rFonts w:ascii="Times New Roman" w:hAnsi="Times New Roman" w:cs="Times New Roman"/>
          <w:i/>
          <w:sz w:val="24"/>
          <w:szCs w:val="24"/>
        </w:rPr>
        <w:footnoteReference w:id="6"/>
      </w:r>
      <w:r w:rsidRPr="00ED7908">
        <w:rPr>
          <w:rFonts w:ascii="Times New Roman" w:hAnsi="Times New Roman" w:cs="Times New Roman"/>
          <w:sz w:val="24"/>
          <w:szCs w:val="24"/>
        </w:rPr>
        <w:t xml:space="preserve">and </w:t>
      </w:r>
      <w:r w:rsidR="00A17653" w:rsidRPr="00ED7908">
        <w:rPr>
          <w:rFonts w:ascii="Times New Roman" w:hAnsi="Times New Roman" w:cs="Times New Roman"/>
          <w:sz w:val="24"/>
          <w:szCs w:val="24"/>
        </w:rPr>
        <w:t>‘</w:t>
      </w:r>
      <w:r w:rsidRPr="00ED7908">
        <w:rPr>
          <w:rFonts w:ascii="Times New Roman" w:hAnsi="Times New Roman" w:cs="Times New Roman"/>
          <w:i/>
          <w:sz w:val="24"/>
          <w:szCs w:val="24"/>
        </w:rPr>
        <w:t>Strengthen the CHR as a National Human Rights Institution (NHRI), compliant to the requirements of the UN Paris Principles affecting NHRIs worldwide. Among the requirements are ensuring NHRI’s independence, hence ful</w:t>
      </w:r>
      <w:r w:rsidR="00A17653" w:rsidRPr="00ED7908">
        <w:rPr>
          <w:rFonts w:ascii="Times New Roman" w:hAnsi="Times New Roman" w:cs="Times New Roman"/>
          <w:i/>
          <w:sz w:val="24"/>
          <w:szCs w:val="24"/>
        </w:rPr>
        <w:t>l fiscal autonomy is necessary.‘</w:t>
      </w:r>
      <w:r w:rsidRPr="00ED7908">
        <w:rPr>
          <w:rFonts w:ascii="Times New Roman" w:hAnsi="Times New Roman" w:cs="Times New Roman"/>
          <w:i/>
          <w:sz w:val="24"/>
          <w:szCs w:val="24"/>
        </w:rPr>
        <w:t xml:space="preserve">  </w:t>
      </w:r>
      <w:r w:rsidRPr="00ED7908">
        <w:rPr>
          <w:rFonts w:ascii="Times New Roman" w:hAnsi="Times New Roman" w:cs="Times New Roman"/>
          <w:sz w:val="24"/>
          <w:szCs w:val="24"/>
        </w:rPr>
        <w:t>The Commission on Human Rights Charter is currently pending in Congress.</w:t>
      </w:r>
    </w:p>
    <w:p w:rsidR="005F5709" w:rsidRPr="00ED7908" w:rsidRDefault="00A17653" w:rsidP="00A17653">
      <w:pPr>
        <w:spacing w:before="120" w:after="120"/>
        <w:jc w:val="both"/>
        <w:rPr>
          <w:rFonts w:ascii="Times New Roman" w:hAnsi="Times New Roman" w:cs="Times New Roman"/>
          <w:sz w:val="24"/>
          <w:szCs w:val="24"/>
        </w:rPr>
      </w:pPr>
      <w:r w:rsidRPr="00ED7908">
        <w:rPr>
          <w:rFonts w:ascii="Times New Roman" w:hAnsi="Times New Roman" w:cs="Times New Roman"/>
          <w:sz w:val="24"/>
          <w:szCs w:val="24"/>
        </w:rPr>
        <w:t>In support of the PDP, the Commission implements p</w:t>
      </w:r>
      <w:r w:rsidR="005F5709" w:rsidRPr="00ED7908">
        <w:rPr>
          <w:rFonts w:ascii="Times New Roman" w:hAnsi="Times New Roman" w:cs="Times New Roman"/>
          <w:sz w:val="24"/>
          <w:szCs w:val="24"/>
        </w:rPr>
        <w:t>roject</w:t>
      </w:r>
      <w:r w:rsidRPr="00ED7908">
        <w:rPr>
          <w:rFonts w:ascii="Times New Roman" w:hAnsi="Times New Roman" w:cs="Times New Roman"/>
          <w:sz w:val="24"/>
          <w:szCs w:val="24"/>
        </w:rPr>
        <w:t>s</w:t>
      </w:r>
      <w:r w:rsidR="005F5709" w:rsidRPr="00ED7908">
        <w:rPr>
          <w:rFonts w:ascii="Times New Roman" w:hAnsi="Times New Roman" w:cs="Times New Roman"/>
          <w:sz w:val="24"/>
          <w:szCs w:val="24"/>
        </w:rPr>
        <w:t xml:space="preserve"> and programs to pr</w:t>
      </w:r>
      <w:r w:rsidRPr="00ED7908">
        <w:rPr>
          <w:rFonts w:ascii="Times New Roman" w:hAnsi="Times New Roman" w:cs="Times New Roman"/>
          <w:sz w:val="24"/>
          <w:szCs w:val="24"/>
        </w:rPr>
        <w:t>omote the agendas nationally. The Commission likewise regularly engages</w:t>
      </w:r>
      <w:r w:rsidR="005F5709" w:rsidRPr="00ED7908">
        <w:rPr>
          <w:rFonts w:ascii="Times New Roman" w:hAnsi="Times New Roman" w:cs="Times New Roman"/>
          <w:sz w:val="24"/>
          <w:szCs w:val="24"/>
        </w:rPr>
        <w:t xml:space="preserve"> in dialogue with </w:t>
      </w:r>
      <w:r w:rsidRPr="00ED7908">
        <w:rPr>
          <w:rFonts w:ascii="Times New Roman" w:hAnsi="Times New Roman" w:cs="Times New Roman"/>
          <w:sz w:val="24"/>
          <w:szCs w:val="24"/>
        </w:rPr>
        <w:t xml:space="preserve">government agencies together with </w:t>
      </w:r>
      <w:r w:rsidR="005F5709" w:rsidRPr="00ED7908">
        <w:rPr>
          <w:rFonts w:ascii="Times New Roman" w:hAnsi="Times New Roman" w:cs="Times New Roman"/>
          <w:sz w:val="24"/>
          <w:szCs w:val="24"/>
        </w:rPr>
        <w:t xml:space="preserve">partner civil society organizations to further strengthen agendas specifically catering to human rights protection and promotion and to negate strategies that would have possible detrimental effects to human rights in any aspect. </w:t>
      </w:r>
    </w:p>
    <w:p w:rsidR="000B1A52" w:rsidRPr="00ED7908" w:rsidRDefault="000B1A52" w:rsidP="00A17653">
      <w:pPr>
        <w:spacing w:before="120" w:after="120"/>
        <w:ind w:left="351"/>
        <w:jc w:val="both"/>
        <w:rPr>
          <w:rFonts w:ascii="Times New Roman" w:hAnsi="Times New Roman" w:cs="Times New Roman"/>
          <w:b/>
          <w:sz w:val="24"/>
          <w:szCs w:val="24"/>
        </w:rPr>
      </w:pPr>
    </w:p>
    <w:p w:rsidR="00E636FF" w:rsidRPr="00ED7908" w:rsidRDefault="005F5709" w:rsidP="00A17653">
      <w:pPr>
        <w:pStyle w:val="ListParagraph"/>
        <w:numPr>
          <w:ilvl w:val="0"/>
          <w:numId w:val="1"/>
        </w:numPr>
        <w:spacing w:before="120" w:after="120"/>
        <w:jc w:val="both"/>
        <w:rPr>
          <w:rFonts w:ascii="Times New Roman" w:hAnsi="Times New Roman" w:cs="Times New Roman"/>
          <w:b/>
          <w:sz w:val="24"/>
          <w:szCs w:val="24"/>
        </w:rPr>
      </w:pPr>
      <w:r w:rsidRPr="00ED7908">
        <w:rPr>
          <w:rFonts w:ascii="Times New Roman" w:hAnsi="Times New Roman" w:cs="Times New Roman"/>
          <w:b/>
          <w:sz w:val="24"/>
          <w:szCs w:val="24"/>
        </w:rPr>
        <w:t>What are the main challenges or obstacles your organization and/or entity face in supporting the national sustainable development agendas that promote and realize all human rights including the right to development for all?</w:t>
      </w:r>
    </w:p>
    <w:p w:rsidR="005F5709" w:rsidRPr="00ED7908" w:rsidRDefault="005F5709" w:rsidP="00A17653">
      <w:pPr>
        <w:pStyle w:val="ListParagraph"/>
        <w:spacing w:before="120" w:after="120"/>
        <w:ind w:left="360"/>
        <w:jc w:val="both"/>
        <w:rPr>
          <w:rFonts w:ascii="Times New Roman" w:hAnsi="Times New Roman" w:cs="Times New Roman"/>
          <w:b/>
          <w:sz w:val="24"/>
          <w:szCs w:val="24"/>
        </w:rPr>
      </w:pPr>
    </w:p>
    <w:p w:rsidR="005F5709" w:rsidRPr="00ED7908" w:rsidRDefault="005F5709" w:rsidP="00A17653">
      <w:pPr>
        <w:pStyle w:val="ListParagraph"/>
        <w:spacing w:before="120" w:after="120"/>
        <w:ind w:left="360"/>
        <w:jc w:val="both"/>
        <w:rPr>
          <w:rFonts w:ascii="Times New Roman" w:hAnsi="Times New Roman" w:cs="Times New Roman"/>
          <w:sz w:val="24"/>
          <w:szCs w:val="24"/>
        </w:rPr>
      </w:pPr>
      <w:r w:rsidRPr="00ED7908">
        <w:rPr>
          <w:rFonts w:ascii="Times New Roman" w:hAnsi="Times New Roman" w:cs="Times New Roman"/>
          <w:sz w:val="24"/>
          <w:szCs w:val="24"/>
        </w:rPr>
        <w:t>As part of the monitoring duties of the CHR, the following are the challenges the Commission encounter:</w:t>
      </w:r>
    </w:p>
    <w:p w:rsidR="005F5709" w:rsidRPr="00ED7908" w:rsidRDefault="00DC6FAD" w:rsidP="00A17653">
      <w:pPr>
        <w:pStyle w:val="ListParagraph"/>
        <w:numPr>
          <w:ilvl w:val="0"/>
          <w:numId w:val="3"/>
        </w:numPr>
        <w:spacing w:before="120" w:after="120"/>
        <w:jc w:val="both"/>
        <w:rPr>
          <w:rFonts w:ascii="Times New Roman" w:hAnsi="Times New Roman" w:cs="Times New Roman"/>
          <w:sz w:val="24"/>
          <w:szCs w:val="24"/>
        </w:rPr>
      </w:pPr>
      <w:r w:rsidRPr="00ED7908">
        <w:rPr>
          <w:rFonts w:ascii="Times New Roman" w:hAnsi="Times New Roman" w:cs="Times New Roman"/>
          <w:sz w:val="24"/>
          <w:szCs w:val="24"/>
        </w:rPr>
        <w:t>The l</w:t>
      </w:r>
      <w:r w:rsidR="005F5709" w:rsidRPr="00ED7908">
        <w:rPr>
          <w:rFonts w:ascii="Times New Roman" w:hAnsi="Times New Roman" w:cs="Times New Roman"/>
          <w:sz w:val="24"/>
          <w:szCs w:val="24"/>
        </w:rPr>
        <w:t>ack of ready and available data from a single source-agency to monitor the national sustainable agenda</w:t>
      </w:r>
      <w:r w:rsidR="00484048" w:rsidRPr="00ED7908">
        <w:rPr>
          <w:rFonts w:ascii="Times New Roman" w:hAnsi="Times New Roman" w:cs="Times New Roman"/>
          <w:sz w:val="24"/>
          <w:szCs w:val="24"/>
        </w:rPr>
        <w:t>s</w:t>
      </w:r>
      <w:r w:rsidR="005F5709" w:rsidRPr="00ED7908">
        <w:rPr>
          <w:rFonts w:ascii="Times New Roman" w:hAnsi="Times New Roman" w:cs="Times New Roman"/>
          <w:sz w:val="24"/>
          <w:szCs w:val="24"/>
        </w:rPr>
        <w:t xml:space="preserve">. </w:t>
      </w:r>
    </w:p>
    <w:p w:rsidR="005F5709" w:rsidRPr="00ED7908" w:rsidRDefault="00DC6FAD" w:rsidP="00A17653">
      <w:pPr>
        <w:pStyle w:val="ListParagraph"/>
        <w:numPr>
          <w:ilvl w:val="0"/>
          <w:numId w:val="3"/>
        </w:numPr>
        <w:spacing w:before="120" w:after="120"/>
        <w:jc w:val="both"/>
        <w:rPr>
          <w:rFonts w:ascii="Times New Roman" w:hAnsi="Times New Roman" w:cs="Times New Roman"/>
          <w:sz w:val="24"/>
          <w:szCs w:val="24"/>
        </w:rPr>
      </w:pPr>
      <w:r w:rsidRPr="00ED7908">
        <w:rPr>
          <w:rFonts w:ascii="Times New Roman" w:hAnsi="Times New Roman" w:cs="Times New Roman"/>
          <w:sz w:val="24"/>
          <w:szCs w:val="24"/>
        </w:rPr>
        <w:t>The l</w:t>
      </w:r>
      <w:r w:rsidR="005F5709" w:rsidRPr="00ED7908">
        <w:rPr>
          <w:rFonts w:ascii="Times New Roman" w:hAnsi="Times New Roman" w:cs="Times New Roman"/>
          <w:sz w:val="24"/>
          <w:szCs w:val="24"/>
        </w:rPr>
        <w:t>ack of efficient coordination among agencies to ensure realization of agenda</w:t>
      </w:r>
    </w:p>
    <w:p w:rsidR="005F5709" w:rsidRPr="00ED7908" w:rsidRDefault="005F5709" w:rsidP="00A17653">
      <w:pPr>
        <w:pStyle w:val="ListParagraph"/>
        <w:numPr>
          <w:ilvl w:val="0"/>
          <w:numId w:val="3"/>
        </w:numPr>
        <w:spacing w:before="120" w:after="120"/>
        <w:jc w:val="both"/>
        <w:rPr>
          <w:rFonts w:ascii="Times New Roman" w:hAnsi="Times New Roman" w:cs="Times New Roman"/>
          <w:sz w:val="24"/>
          <w:szCs w:val="24"/>
        </w:rPr>
      </w:pPr>
      <w:r w:rsidRPr="00ED7908">
        <w:rPr>
          <w:rFonts w:ascii="Times New Roman" w:hAnsi="Times New Roman" w:cs="Times New Roman"/>
          <w:sz w:val="24"/>
          <w:szCs w:val="24"/>
        </w:rPr>
        <w:lastRenderedPageBreak/>
        <w:t xml:space="preserve">The </w:t>
      </w:r>
      <w:r w:rsidR="005963A1">
        <w:rPr>
          <w:rFonts w:ascii="Times New Roman" w:hAnsi="Times New Roman" w:cs="Times New Roman"/>
          <w:sz w:val="24"/>
          <w:szCs w:val="24"/>
        </w:rPr>
        <w:t>existing</w:t>
      </w:r>
      <w:r w:rsidRPr="00ED7908">
        <w:rPr>
          <w:rFonts w:ascii="Times New Roman" w:hAnsi="Times New Roman" w:cs="Times New Roman"/>
          <w:sz w:val="24"/>
          <w:szCs w:val="24"/>
        </w:rPr>
        <w:t xml:space="preserve"> negative perception of state actors </w:t>
      </w:r>
      <w:r w:rsidR="005963A1">
        <w:rPr>
          <w:rFonts w:ascii="Times New Roman" w:hAnsi="Times New Roman" w:cs="Times New Roman"/>
          <w:sz w:val="24"/>
          <w:szCs w:val="24"/>
        </w:rPr>
        <w:t xml:space="preserve">and some members of the public </w:t>
      </w:r>
      <w:r w:rsidRPr="00ED7908">
        <w:rPr>
          <w:rFonts w:ascii="Times New Roman" w:hAnsi="Times New Roman" w:cs="Times New Roman"/>
          <w:sz w:val="24"/>
          <w:szCs w:val="24"/>
        </w:rPr>
        <w:t>on human rights which</w:t>
      </w:r>
      <w:r w:rsidR="005963A1">
        <w:rPr>
          <w:rFonts w:ascii="Times New Roman" w:hAnsi="Times New Roman" w:cs="Times New Roman"/>
          <w:sz w:val="24"/>
          <w:szCs w:val="24"/>
        </w:rPr>
        <w:t xml:space="preserve"> for them</w:t>
      </w:r>
      <w:r w:rsidRPr="00ED7908">
        <w:rPr>
          <w:rFonts w:ascii="Times New Roman" w:hAnsi="Times New Roman" w:cs="Times New Roman"/>
          <w:sz w:val="24"/>
          <w:szCs w:val="24"/>
        </w:rPr>
        <w:t xml:space="preserve"> </w:t>
      </w:r>
      <w:r w:rsidR="005963A1">
        <w:rPr>
          <w:rFonts w:ascii="Times New Roman" w:hAnsi="Times New Roman" w:cs="Times New Roman"/>
          <w:sz w:val="24"/>
          <w:szCs w:val="24"/>
        </w:rPr>
        <w:t xml:space="preserve">human rights stand </w:t>
      </w:r>
      <w:r w:rsidR="00FE230F" w:rsidRPr="00ED7908">
        <w:rPr>
          <w:rFonts w:ascii="Times New Roman" w:hAnsi="Times New Roman" w:cs="Times New Roman"/>
          <w:sz w:val="24"/>
          <w:szCs w:val="24"/>
        </w:rPr>
        <w:t xml:space="preserve">as hindrance in the </w:t>
      </w:r>
      <w:r w:rsidRPr="00ED7908">
        <w:rPr>
          <w:rFonts w:ascii="Times New Roman" w:hAnsi="Times New Roman" w:cs="Times New Roman"/>
          <w:sz w:val="24"/>
          <w:szCs w:val="24"/>
        </w:rPr>
        <w:t>implement</w:t>
      </w:r>
      <w:r w:rsidR="00FE230F" w:rsidRPr="00ED7908">
        <w:rPr>
          <w:rFonts w:ascii="Times New Roman" w:hAnsi="Times New Roman" w:cs="Times New Roman"/>
          <w:sz w:val="24"/>
          <w:szCs w:val="24"/>
        </w:rPr>
        <w:t>ation of</w:t>
      </w:r>
      <w:r w:rsidR="00484048" w:rsidRPr="00ED7908">
        <w:rPr>
          <w:rFonts w:ascii="Times New Roman" w:hAnsi="Times New Roman" w:cs="Times New Roman"/>
          <w:sz w:val="24"/>
          <w:szCs w:val="24"/>
        </w:rPr>
        <w:t xml:space="preserve"> </w:t>
      </w:r>
      <w:r w:rsidR="005963A1">
        <w:rPr>
          <w:rFonts w:ascii="Times New Roman" w:hAnsi="Times New Roman" w:cs="Times New Roman"/>
          <w:sz w:val="24"/>
          <w:szCs w:val="24"/>
        </w:rPr>
        <w:t xml:space="preserve">government </w:t>
      </w:r>
      <w:r w:rsidR="00484048" w:rsidRPr="00ED7908">
        <w:rPr>
          <w:rFonts w:ascii="Times New Roman" w:hAnsi="Times New Roman" w:cs="Times New Roman"/>
          <w:sz w:val="24"/>
          <w:szCs w:val="24"/>
        </w:rPr>
        <w:t xml:space="preserve">policies relating to the agendas. </w:t>
      </w:r>
    </w:p>
    <w:p w:rsidR="0072272E" w:rsidRPr="00484048" w:rsidRDefault="0072272E" w:rsidP="00D201D7">
      <w:pPr>
        <w:spacing w:before="120" w:after="120"/>
        <w:ind w:left="351" w:right="447"/>
        <w:jc w:val="both"/>
        <w:rPr>
          <w:rFonts w:ascii="Times New Roman" w:hAnsi="Times New Roman" w:cs="Times New Roman"/>
          <w:sz w:val="24"/>
          <w:szCs w:val="24"/>
        </w:rPr>
      </w:pPr>
    </w:p>
    <w:p w:rsidR="00B8019C" w:rsidRPr="00484048" w:rsidRDefault="00B8019C">
      <w:pPr>
        <w:rPr>
          <w:rFonts w:ascii="Times New Roman" w:hAnsi="Times New Roman" w:cs="Times New Roman"/>
          <w:sz w:val="24"/>
          <w:szCs w:val="24"/>
        </w:rPr>
      </w:pPr>
    </w:p>
    <w:sectPr w:rsidR="00B8019C" w:rsidRPr="00484048" w:rsidSect="00E636FF">
      <w:headerReference w:type="default" r:id="rId10"/>
      <w:pgSz w:w="12240" w:h="15840"/>
      <w:pgMar w:top="1151" w:right="1440" w:bottom="1440" w:left="1440" w:header="149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35C" w:rsidRDefault="0045435C" w:rsidP="00D201D7">
      <w:pPr>
        <w:spacing w:after="0" w:line="240" w:lineRule="auto"/>
      </w:pPr>
      <w:r>
        <w:separator/>
      </w:r>
    </w:p>
  </w:endnote>
  <w:endnote w:type="continuationSeparator" w:id="0">
    <w:p w:rsidR="0045435C" w:rsidRDefault="0045435C" w:rsidP="00D2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35C" w:rsidRDefault="0045435C" w:rsidP="00D201D7">
      <w:pPr>
        <w:spacing w:after="0" w:line="240" w:lineRule="auto"/>
      </w:pPr>
      <w:r>
        <w:separator/>
      </w:r>
    </w:p>
  </w:footnote>
  <w:footnote w:type="continuationSeparator" w:id="0">
    <w:p w:rsidR="0045435C" w:rsidRDefault="0045435C" w:rsidP="00D201D7">
      <w:pPr>
        <w:spacing w:after="0" w:line="240" w:lineRule="auto"/>
      </w:pPr>
      <w:r>
        <w:continuationSeparator/>
      </w:r>
    </w:p>
  </w:footnote>
  <w:footnote w:id="1">
    <w:p w:rsidR="003C4EDF" w:rsidRPr="003C4EDF" w:rsidRDefault="003C4EDF" w:rsidP="00BF4A1C">
      <w:pPr>
        <w:pStyle w:val="FootnoteText"/>
        <w:jc w:val="both"/>
        <w:rPr>
          <w:lang w:val="en-PH"/>
        </w:rPr>
      </w:pPr>
      <w:r w:rsidRPr="00BF4A1C">
        <w:rPr>
          <w:rStyle w:val="FootnoteReference"/>
          <w:sz w:val="16"/>
        </w:rPr>
        <w:footnoteRef/>
      </w:r>
      <w:r w:rsidRPr="00BF4A1C">
        <w:rPr>
          <w:sz w:val="16"/>
        </w:rPr>
        <w:t xml:space="preserve"> </w:t>
      </w:r>
      <w:r w:rsidR="00BF4A1C" w:rsidRPr="00BF4A1C">
        <w:rPr>
          <w:rFonts w:ascii="Times New Roman" w:hAnsi="Times New Roman" w:cs="Times New Roman"/>
          <w:szCs w:val="24"/>
        </w:rPr>
        <w:t>The Universal Access to Quality Tertiary Education Act” makes education in  state universities and colleges (SUCs) and local universities and colleges (LUCs) and vocational schools under the Technical Education and Skills Development Authority (TESDA) virtually free, with the government shouldering tuition, miscellaneous and other fees.</w:t>
      </w:r>
    </w:p>
  </w:footnote>
  <w:footnote w:id="2">
    <w:p w:rsidR="008101FE" w:rsidRPr="008101FE" w:rsidRDefault="008101FE" w:rsidP="00A6279F">
      <w:pPr>
        <w:pStyle w:val="FootnoteText"/>
        <w:rPr>
          <w:lang w:val="en-PH"/>
        </w:rPr>
      </w:pPr>
      <w:r>
        <w:rPr>
          <w:rStyle w:val="FootnoteReference"/>
        </w:rPr>
        <w:footnoteRef/>
      </w:r>
      <w:r>
        <w:t xml:space="preserve"> </w:t>
      </w:r>
      <w:r w:rsidR="00D93060">
        <w:rPr>
          <w:lang w:val="en-PH"/>
        </w:rPr>
        <w:t xml:space="preserve">Corral, </w:t>
      </w:r>
      <w:proofErr w:type="spellStart"/>
      <w:r w:rsidR="00A6279F">
        <w:rPr>
          <w:lang w:val="en-PH"/>
        </w:rPr>
        <w:t>Violeta</w:t>
      </w:r>
      <w:proofErr w:type="spellEnd"/>
      <w:r w:rsidR="00A6279F">
        <w:rPr>
          <w:lang w:val="en-PH"/>
        </w:rPr>
        <w:t xml:space="preserve"> and Arnold, Shannon, 2017, </w:t>
      </w:r>
      <w:r w:rsidRPr="00A6279F">
        <w:rPr>
          <w:i/>
          <w:lang w:val="en-PH"/>
        </w:rPr>
        <w:t xml:space="preserve">Rights-based approach to land: the case of seaweed farmers in </w:t>
      </w:r>
      <w:proofErr w:type="spellStart"/>
      <w:r w:rsidRPr="00A6279F">
        <w:rPr>
          <w:i/>
          <w:lang w:val="en-PH"/>
        </w:rPr>
        <w:t>Caluya</w:t>
      </w:r>
      <w:proofErr w:type="spellEnd"/>
      <w:r w:rsidRPr="00A6279F">
        <w:rPr>
          <w:i/>
          <w:lang w:val="en-PH"/>
        </w:rPr>
        <w:t>, Antique, Philippines</w:t>
      </w:r>
      <w:r w:rsidR="00A6279F">
        <w:rPr>
          <w:lang w:val="en-PH"/>
        </w:rPr>
        <w:t xml:space="preserve">. Published by </w:t>
      </w:r>
      <w:proofErr w:type="spellStart"/>
      <w:r w:rsidRPr="008101FE">
        <w:rPr>
          <w:lang w:val="en-PH"/>
        </w:rPr>
        <w:t>Pambansang</w:t>
      </w:r>
      <w:proofErr w:type="spellEnd"/>
      <w:r w:rsidR="00D93060">
        <w:rPr>
          <w:lang w:val="en-PH"/>
        </w:rPr>
        <w:t xml:space="preserve"> </w:t>
      </w:r>
      <w:proofErr w:type="spellStart"/>
      <w:r w:rsidRPr="008101FE">
        <w:rPr>
          <w:lang w:val="en-PH"/>
        </w:rPr>
        <w:t>Kilusan</w:t>
      </w:r>
      <w:proofErr w:type="spellEnd"/>
      <w:r w:rsidRPr="008101FE">
        <w:rPr>
          <w:lang w:val="en-PH"/>
        </w:rPr>
        <w:t xml:space="preserve"> ng </w:t>
      </w:r>
      <w:proofErr w:type="spellStart"/>
      <w:r w:rsidRPr="008101FE">
        <w:rPr>
          <w:lang w:val="en-PH"/>
        </w:rPr>
        <w:t>mga</w:t>
      </w:r>
      <w:proofErr w:type="spellEnd"/>
      <w:r w:rsidR="00D93060">
        <w:rPr>
          <w:lang w:val="en-PH"/>
        </w:rPr>
        <w:t xml:space="preserve"> </w:t>
      </w:r>
      <w:proofErr w:type="spellStart"/>
      <w:r w:rsidRPr="008101FE">
        <w:rPr>
          <w:lang w:val="en-PH"/>
        </w:rPr>
        <w:t>Samahang</w:t>
      </w:r>
      <w:proofErr w:type="spellEnd"/>
      <w:r w:rsidR="00D93060">
        <w:rPr>
          <w:lang w:val="en-PH"/>
        </w:rPr>
        <w:t xml:space="preserve"> </w:t>
      </w:r>
      <w:proofErr w:type="spellStart"/>
      <w:r w:rsidRPr="008101FE">
        <w:rPr>
          <w:lang w:val="en-PH"/>
        </w:rPr>
        <w:t>Magsasaka</w:t>
      </w:r>
      <w:proofErr w:type="spellEnd"/>
      <w:r w:rsidRPr="008101FE">
        <w:rPr>
          <w:lang w:val="en-PH"/>
        </w:rPr>
        <w:t xml:space="preserve"> (PAKISAMA</w:t>
      </w:r>
      <w:r w:rsidR="00D93060">
        <w:rPr>
          <w:lang w:val="en-PH"/>
        </w:rPr>
        <w:t>)</w:t>
      </w:r>
      <w:r w:rsidR="00A6279F">
        <w:rPr>
          <w:lang w:val="en-PH"/>
        </w:rPr>
        <w:t xml:space="preserve">, </w:t>
      </w:r>
      <w:r w:rsidR="00A6279F" w:rsidRPr="00A6279F">
        <w:rPr>
          <w:lang w:val="en-PH"/>
        </w:rPr>
        <w:t>National Confederation of Small Farmers and Fishers in the Philippines, Philippines</w:t>
      </w:r>
      <w:r w:rsidR="00A6279F">
        <w:rPr>
          <w:lang w:val="en-PH"/>
        </w:rPr>
        <w:t>.</w:t>
      </w:r>
    </w:p>
  </w:footnote>
  <w:footnote w:id="3">
    <w:p w:rsidR="00BF4A1C" w:rsidRDefault="00BF4A1C" w:rsidP="00BF4A1C">
      <w:pPr>
        <w:pStyle w:val="FootnoteText"/>
        <w:jc w:val="both"/>
      </w:pPr>
      <w:r>
        <w:rPr>
          <w:rStyle w:val="FootnoteReference"/>
        </w:rPr>
        <w:footnoteRef/>
      </w:r>
      <w:r>
        <w:t xml:space="preserve"> A groundbreaking study by Richard Heede identified that 90 Carbon Major entities – including the world's largest fossil fuel companies – are responsible for an estimated 63% of all anthropogenic CO2 emissions between 1751 and 2010. With a recent update to his study for the timeframe 1751-2013, this figure climbs up to almost 65%. The 50 investor-owned Carbon Major companies contributed 337.7 Gt CO2e, equivalent to 21.6% of estimated global industrial emissions through 2013. Half the emissions have occurred since 1986, demonstrating the increasing speed with which fossil fuels are being burned.  http://link.springer.com/article/10.1007/s10584-013- 0986-y  </w:t>
      </w:r>
    </w:p>
    <w:p w:rsidR="00BF4A1C" w:rsidRPr="00BF4A1C" w:rsidRDefault="00BF4A1C" w:rsidP="00BF4A1C">
      <w:pPr>
        <w:pStyle w:val="FootnoteText"/>
        <w:rPr>
          <w:lang w:val="en-PH"/>
        </w:rPr>
      </w:pPr>
    </w:p>
  </w:footnote>
  <w:footnote w:id="4">
    <w:p w:rsidR="006B3C0A" w:rsidRPr="006B3C0A" w:rsidRDefault="006B3C0A">
      <w:pPr>
        <w:pStyle w:val="FootnoteText"/>
        <w:rPr>
          <w:lang w:val="en-US"/>
        </w:rPr>
      </w:pPr>
      <w:r>
        <w:rPr>
          <w:rStyle w:val="FootnoteReference"/>
        </w:rPr>
        <w:footnoteRef/>
      </w:r>
      <w:r>
        <w:t xml:space="preserve"> </w:t>
      </w:r>
      <w:r w:rsidR="00B81D24" w:rsidRPr="00B81D24">
        <w:t>Voluntary National Review at the 2016 High-Level Political Forum On the Sustainable Development Goals (SDGs): Philippine Report</w:t>
      </w:r>
    </w:p>
  </w:footnote>
  <w:footnote w:id="5">
    <w:p w:rsidR="00C13231" w:rsidRPr="00C13231" w:rsidRDefault="00C13231">
      <w:pPr>
        <w:pStyle w:val="FootnoteText"/>
        <w:rPr>
          <w:lang w:val="en-US"/>
        </w:rPr>
      </w:pPr>
      <w:r>
        <w:rPr>
          <w:rStyle w:val="FootnoteReference"/>
        </w:rPr>
        <w:footnoteRef/>
      </w:r>
      <w:r>
        <w:t xml:space="preserve"> </w:t>
      </w:r>
      <w:r>
        <w:rPr>
          <w:lang w:val="en-US"/>
        </w:rPr>
        <w:t xml:space="preserve">Idem. </w:t>
      </w:r>
    </w:p>
  </w:footnote>
  <w:footnote w:id="6">
    <w:p w:rsidR="00C13231" w:rsidRPr="00E964D5" w:rsidRDefault="00C13231" w:rsidP="00C13231">
      <w:pPr>
        <w:pStyle w:val="FootnoteText"/>
        <w:rPr>
          <w:lang w:val="en-US"/>
        </w:rPr>
      </w:pPr>
      <w:r>
        <w:rPr>
          <w:rStyle w:val="FootnoteReference"/>
        </w:rPr>
        <w:footnoteRef/>
      </w:r>
      <w:r>
        <w:t xml:space="preserve"> National Economic and Development Authrity. Philippine Development Plan 2017-2022. </w:t>
      </w:r>
      <w:hyperlink r:id="rId1" w:history="1">
        <w:r w:rsidRPr="00F47CF6">
          <w:rPr>
            <w:rStyle w:val="Hyperlink"/>
          </w:rPr>
          <w:t>http://pdp.neda.gov.ph/wp-content/uploads/2017/01/PDP-2017-2022-07-20-2017.pdf</w:t>
        </w:r>
      </w:hyperlink>
      <w:r>
        <w:t xml:space="preserve"> (last accessed on 30 November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D7" w:rsidRDefault="00D201D7" w:rsidP="00E636FF">
    <w:pPr>
      <w:pStyle w:val="Header"/>
      <w:tabs>
        <w:tab w:val="clear"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733D"/>
    <w:multiLevelType w:val="hybridMultilevel"/>
    <w:tmpl w:val="089A568A"/>
    <w:lvl w:ilvl="0" w:tplc="844CED24">
      <w:start w:val="1"/>
      <w:numFmt w:val="decimal"/>
      <w:lvlText w:val="%1."/>
      <w:lvlJc w:val="left"/>
      <w:pPr>
        <w:ind w:left="786" w:hanging="360"/>
      </w:pPr>
      <w:rPr>
        <w:rFonts w:hint="default"/>
      </w:rPr>
    </w:lvl>
    <w:lvl w:ilvl="1" w:tplc="34090019" w:tentative="1">
      <w:start w:val="1"/>
      <w:numFmt w:val="lowerLetter"/>
      <w:lvlText w:val="%2."/>
      <w:lvlJc w:val="left"/>
      <w:pPr>
        <w:ind w:left="1506" w:hanging="360"/>
      </w:pPr>
    </w:lvl>
    <w:lvl w:ilvl="2" w:tplc="3409001B" w:tentative="1">
      <w:start w:val="1"/>
      <w:numFmt w:val="lowerRoman"/>
      <w:lvlText w:val="%3."/>
      <w:lvlJc w:val="right"/>
      <w:pPr>
        <w:ind w:left="2226" w:hanging="180"/>
      </w:pPr>
    </w:lvl>
    <w:lvl w:ilvl="3" w:tplc="3409000F" w:tentative="1">
      <w:start w:val="1"/>
      <w:numFmt w:val="decimal"/>
      <w:lvlText w:val="%4."/>
      <w:lvlJc w:val="left"/>
      <w:pPr>
        <w:ind w:left="2946" w:hanging="360"/>
      </w:pPr>
    </w:lvl>
    <w:lvl w:ilvl="4" w:tplc="34090019" w:tentative="1">
      <w:start w:val="1"/>
      <w:numFmt w:val="lowerLetter"/>
      <w:lvlText w:val="%5."/>
      <w:lvlJc w:val="left"/>
      <w:pPr>
        <w:ind w:left="3666" w:hanging="360"/>
      </w:pPr>
    </w:lvl>
    <w:lvl w:ilvl="5" w:tplc="3409001B" w:tentative="1">
      <w:start w:val="1"/>
      <w:numFmt w:val="lowerRoman"/>
      <w:lvlText w:val="%6."/>
      <w:lvlJc w:val="right"/>
      <w:pPr>
        <w:ind w:left="4386" w:hanging="180"/>
      </w:pPr>
    </w:lvl>
    <w:lvl w:ilvl="6" w:tplc="3409000F" w:tentative="1">
      <w:start w:val="1"/>
      <w:numFmt w:val="decimal"/>
      <w:lvlText w:val="%7."/>
      <w:lvlJc w:val="left"/>
      <w:pPr>
        <w:ind w:left="5106" w:hanging="360"/>
      </w:pPr>
    </w:lvl>
    <w:lvl w:ilvl="7" w:tplc="34090019" w:tentative="1">
      <w:start w:val="1"/>
      <w:numFmt w:val="lowerLetter"/>
      <w:lvlText w:val="%8."/>
      <w:lvlJc w:val="left"/>
      <w:pPr>
        <w:ind w:left="5826" w:hanging="360"/>
      </w:pPr>
    </w:lvl>
    <w:lvl w:ilvl="8" w:tplc="3409001B" w:tentative="1">
      <w:start w:val="1"/>
      <w:numFmt w:val="lowerRoman"/>
      <w:lvlText w:val="%9."/>
      <w:lvlJc w:val="right"/>
      <w:pPr>
        <w:ind w:left="6546" w:hanging="180"/>
      </w:pPr>
    </w:lvl>
  </w:abstractNum>
  <w:abstractNum w:abstractNumId="1" w15:restartNumberingAfterBreak="0">
    <w:nsid w:val="68C33B58"/>
    <w:multiLevelType w:val="hybridMultilevel"/>
    <w:tmpl w:val="CC08E2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986197D"/>
    <w:multiLevelType w:val="hybridMultilevel"/>
    <w:tmpl w:val="8C4A9D40"/>
    <w:lvl w:ilvl="0" w:tplc="1542D2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D7"/>
    <w:rsid w:val="00040B2A"/>
    <w:rsid w:val="000B1A52"/>
    <w:rsid w:val="00122169"/>
    <w:rsid w:val="00130795"/>
    <w:rsid w:val="0027722D"/>
    <w:rsid w:val="002B5EF8"/>
    <w:rsid w:val="002C3C69"/>
    <w:rsid w:val="002C6724"/>
    <w:rsid w:val="00321B8E"/>
    <w:rsid w:val="00343937"/>
    <w:rsid w:val="003A332E"/>
    <w:rsid w:val="003C3776"/>
    <w:rsid w:val="003C4EDF"/>
    <w:rsid w:val="0045435C"/>
    <w:rsid w:val="00484048"/>
    <w:rsid w:val="00566B0C"/>
    <w:rsid w:val="005963A1"/>
    <w:rsid w:val="005E0EEB"/>
    <w:rsid w:val="005F5709"/>
    <w:rsid w:val="00632E0C"/>
    <w:rsid w:val="006B3C0A"/>
    <w:rsid w:val="00716BFE"/>
    <w:rsid w:val="0072059D"/>
    <w:rsid w:val="0072272E"/>
    <w:rsid w:val="008101FE"/>
    <w:rsid w:val="0083541D"/>
    <w:rsid w:val="00897F4B"/>
    <w:rsid w:val="00963133"/>
    <w:rsid w:val="009908E6"/>
    <w:rsid w:val="00A17653"/>
    <w:rsid w:val="00A5680A"/>
    <w:rsid w:val="00A6279F"/>
    <w:rsid w:val="00A8543F"/>
    <w:rsid w:val="00A87A4D"/>
    <w:rsid w:val="00AA41B5"/>
    <w:rsid w:val="00AB59DE"/>
    <w:rsid w:val="00AC52BF"/>
    <w:rsid w:val="00AE32D2"/>
    <w:rsid w:val="00B32385"/>
    <w:rsid w:val="00B8019C"/>
    <w:rsid w:val="00B81D24"/>
    <w:rsid w:val="00BC166C"/>
    <w:rsid w:val="00BD0A5B"/>
    <w:rsid w:val="00BE4601"/>
    <w:rsid w:val="00BF4A1C"/>
    <w:rsid w:val="00C13231"/>
    <w:rsid w:val="00C80DE9"/>
    <w:rsid w:val="00C8586B"/>
    <w:rsid w:val="00CF06C9"/>
    <w:rsid w:val="00D12F06"/>
    <w:rsid w:val="00D201D7"/>
    <w:rsid w:val="00D24ABF"/>
    <w:rsid w:val="00D93060"/>
    <w:rsid w:val="00DC6FAD"/>
    <w:rsid w:val="00E179BE"/>
    <w:rsid w:val="00E211BA"/>
    <w:rsid w:val="00E253A8"/>
    <w:rsid w:val="00E4560C"/>
    <w:rsid w:val="00E636FF"/>
    <w:rsid w:val="00E947F2"/>
    <w:rsid w:val="00E964D5"/>
    <w:rsid w:val="00ED7908"/>
    <w:rsid w:val="00F12EDA"/>
    <w:rsid w:val="00F12F43"/>
    <w:rsid w:val="00F56AE5"/>
    <w:rsid w:val="00F7327C"/>
    <w:rsid w:val="00F85357"/>
    <w:rsid w:val="00F86D97"/>
    <w:rsid w:val="00FA7A3A"/>
    <w:rsid w:val="00FE230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E247A-1A58-4C32-9D15-F9263B1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1D7"/>
    <w:pPr>
      <w:spacing w:after="200" w:line="276" w:lineRule="auto"/>
    </w:pPr>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D7"/>
    <w:rPr>
      <w:rFonts w:eastAsiaTheme="minorEastAsia"/>
      <w:lang w:val="de-DE" w:eastAsia="de-DE"/>
    </w:rPr>
  </w:style>
  <w:style w:type="paragraph" w:styleId="Footer">
    <w:name w:val="footer"/>
    <w:basedOn w:val="Normal"/>
    <w:link w:val="FooterChar"/>
    <w:uiPriority w:val="99"/>
    <w:unhideWhenUsed/>
    <w:rsid w:val="00D20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D7"/>
    <w:rPr>
      <w:rFonts w:eastAsiaTheme="minorEastAsia"/>
      <w:lang w:val="de-DE" w:eastAsia="de-DE"/>
    </w:rPr>
  </w:style>
  <w:style w:type="paragraph" w:styleId="ListParagraph">
    <w:name w:val="List Paragraph"/>
    <w:basedOn w:val="Normal"/>
    <w:uiPriority w:val="34"/>
    <w:qFormat/>
    <w:rsid w:val="00D201D7"/>
    <w:pPr>
      <w:spacing w:after="160" w:line="259" w:lineRule="auto"/>
      <w:ind w:left="720"/>
      <w:contextualSpacing/>
    </w:pPr>
    <w:rPr>
      <w:rFonts w:eastAsiaTheme="minorHAnsi"/>
      <w:lang w:val="en-GB" w:eastAsia="en-US"/>
    </w:rPr>
  </w:style>
  <w:style w:type="character" w:styleId="Hyperlink">
    <w:name w:val="Hyperlink"/>
    <w:basedOn w:val="DefaultParagraphFont"/>
    <w:uiPriority w:val="99"/>
    <w:unhideWhenUsed/>
    <w:rsid w:val="00E636FF"/>
    <w:rPr>
      <w:color w:val="0563C1" w:themeColor="hyperlink"/>
      <w:u w:val="single"/>
    </w:rPr>
  </w:style>
  <w:style w:type="paragraph" w:styleId="FootnoteText">
    <w:name w:val="footnote text"/>
    <w:basedOn w:val="Normal"/>
    <w:link w:val="FootnoteTextChar"/>
    <w:uiPriority w:val="99"/>
    <w:semiHidden/>
    <w:unhideWhenUsed/>
    <w:rsid w:val="006B3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C0A"/>
    <w:rPr>
      <w:rFonts w:eastAsiaTheme="minorEastAsia"/>
      <w:sz w:val="20"/>
      <w:szCs w:val="20"/>
      <w:lang w:val="de-DE" w:eastAsia="de-DE"/>
    </w:rPr>
  </w:style>
  <w:style w:type="character" w:styleId="FootnoteReference">
    <w:name w:val="footnote reference"/>
    <w:basedOn w:val="DefaultParagraphFont"/>
    <w:uiPriority w:val="99"/>
    <w:semiHidden/>
    <w:unhideWhenUsed/>
    <w:rsid w:val="006B3C0A"/>
    <w:rPr>
      <w:vertAlign w:val="superscript"/>
    </w:rPr>
  </w:style>
  <w:style w:type="character" w:styleId="FollowedHyperlink">
    <w:name w:val="FollowedHyperlink"/>
    <w:basedOn w:val="DefaultParagraphFont"/>
    <w:uiPriority w:val="99"/>
    <w:semiHidden/>
    <w:unhideWhenUsed/>
    <w:rsid w:val="00BF4A1C"/>
    <w:rPr>
      <w:color w:val="954F72" w:themeColor="followedHyperlink"/>
      <w:u w:val="single"/>
    </w:rPr>
  </w:style>
  <w:style w:type="paragraph" w:styleId="BalloonText">
    <w:name w:val="Balloon Text"/>
    <w:basedOn w:val="Normal"/>
    <w:link w:val="BalloonTextChar"/>
    <w:uiPriority w:val="99"/>
    <w:semiHidden/>
    <w:unhideWhenUsed/>
    <w:rsid w:val="0059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A1"/>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humanrights.org/en/philippines-commission-on-human-rights-investigation-of-47-fossil-fuel-companies-contribution-to-climate-human-rights-impacts"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pdp.neda.gov.ph/wp-content/uploads/2017/01/PDP-2017-2022-07-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DDFD43-EA7C-417F-873A-A4033CBBCC83}"/>
</file>

<file path=customXml/itemProps2.xml><?xml version="1.0" encoding="utf-8"?>
<ds:datastoreItem xmlns:ds="http://schemas.openxmlformats.org/officeDocument/2006/customXml" ds:itemID="{5AB11268-C0B1-4E48-86FD-A28D9032E8AB}"/>
</file>

<file path=customXml/itemProps3.xml><?xml version="1.0" encoding="utf-8"?>
<ds:datastoreItem xmlns:ds="http://schemas.openxmlformats.org/officeDocument/2006/customXml" ds:itemID="{D41D27BA-6827-4118-AD4A-28773560E287}"/>
</file>

<file path=customXml/itemProps4.xml><?xml version="1.0" encoding="utf-8"?>
<ds:datastoreItem xmlns:ds="http://schemas.openxmlformats.org/officeDocument/2006/customXml" ds:itemID="{8218688D-A9FC-406A-92BF-E2A7EFC51F4D}"/>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CB</cp:lastModifiedBy>
  <cp:revision>2</cp:revision>
  <dcterms:created xsi:type="dcterms:W3CDTF">2017-12-28T06:40:00Z</dcterms:created>
  <dcterms:modified xsi:type="dcterms:W3CDTF">2017-12-28T06:40:00Z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