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6" w:type="dxa"/>
        <w:tblLook w:val="04A0" w:firstRow="1" w:lastRow="0" w:firstColumn="1" w:lastColumn="0" w:noHBand="0" w:noVBand="1"/>
      </w:tblPr>
      <w:tblGrid>
        <w:gridCol w:w="2959"/>
        <w:gridCol w:w="233"/>
      </w:tblGrid>
      <w:tr w:rsidR="00FD50EA" w:rsidRPr="007747CC" w14:paraId="40C9C4B3" w14:textId="77777777" w:rsidTr="00141776">
        <w:tc>
          <w:tcPr>
            <w:tcW w:w="2959" w:type="dxa"/>
            <w:tcMar>
              <w:top w:w="113" w:type="dxa"/>
              <w:left w:w="57" w:type="dxa"/>
              <w:bottom w:w="113" w:type="dxa"/>
              <w:right w:w="0" w:type="dxa"/>
            </w:tcMar>
            <w:hideMark/>
          </w:tcPr>
          <w:p w14:paraId="5BBD05CD" w14:textId="299877D5" w:rsidR="00FD50EA" w:rsidRPr="00C50489" w:rsidRDefault="00251240" w:rsidP="00141776">
            <w:pPr>
              <w:rPr>
                <w:sz w:val="14"/>
                <w:szCs w:val="14"/>
                <w:highlight w:val="yellow"/>
              </w:rPr>
            </w:pPr>
            <w:r w:rsidRPr="00407039">
              <w:rPr>
                <w:sz w:val="14"/>
                <w:szCs w:val="14"/>
              </w:rPr>
              <w:t>REFERENCE:</w:t>
            </w:r>
            <w:r w:rsidR="00D70AC1" w:rsidRPr="00407039">
              <w:rPr>
                <w:sz w:val="14"/>
                <w:szCs w:val="14"/>
              </w:rPr>
              <w:t>OHCHR/HRCTMD/AC2</w:t>
            </w:r>
            <w:r w:rsidR="00141776" w:rsidRPr="00407039">
              <w:rPr>
                <w:sz w:val="14"/>
                <w:szCs w:val="14"/>
              </w:rPr>
              <w:t>4</w:t>
            </w:r>
            <w:r w:rsidR="00FD50EA" w:rsidRPr="00407039">
              <w:rPr>
                <w:sz w:val="14"/>
                <w:szCs w:val="14"/>
              </w:rPr>
              <w:t>//NV</w:t>
            </w:r>
            <w:r w:rsidR="00407039" w:rsidRPr="00407039">
              <w:rPr>
                <w:sz w:val="14"/>
                <w:szCs w:val="14"/>
              </w:rPr>
              <w:t>1</w:t>
            </w:r>
          </w:p>
        </w:tc>
        <w:tc>
          <w:tcPr>
            <w:tcW w:w="233" w:type="dxa"/>
            <w:tcMar>
              <w:top w:w="113" w:type="dxa"/>
              <w:left w:w="113" w:type="dxa"/>
              <w:bottom w:w="113" w:type="dxa"/>
              <w:right w:w="0" w:type="dxa"/>
            </w:tcMar>
          </w:tcPr>
          <w:p w14:paraId="7D9463E8" w14:textId="77777777" w:rsidR="00FD50EA" w:rsidRPr="007747CC" w:rsidRDefault="00FD50EA" w:rsidP="00DE0614">
            <w:pPr>
              <w:rPr>
                <w:sz w:val="24"/>
                <w:szCs w:val="24"/>
              </w:rPr>
            </w:pPr>
          </w:p>
        </w:tc>
      </w:tr>
    </w:tbl>
    <w:p w14:paraId="0AB2E4D7" w14:textId="5FA13F26" w:rsidR="00087F9C" w:rsidRPr="00305CA6" w:rsidRDefault="00087F9C" w:rsidP="00305CA6">
      <w:pPr>
        <w:pStyle w:val="H1G"/>
        <w:ind w:left="0" w:right="140" w:firstLine="0"/>
        <w:rPr>
          <w:sz w:val="23"/>
          <w:szCs w:val="23"/>
          <w:u w:val="single"/>
          <w:lang w:val="fr-FR"/>
        </w:rPr>
      </w:pPr>
      <w:r w:rsidRPr="00305CA6">
        <w:rPr>
          <w:sz w:val="23"/>
          <w:szCs w:val="23"/>
          <w:u w:val="single"/>
          <w:lang w:val="fr-FR"/>
        </w:rPr>
        <w:t>Objet</w:t>
      </w:r>
      <w:r w:rsidRPr="00305CA6">
        <w:rPr>
          <w:sz w:val="23"/>
          <w:szCs w:val="23"/>
          <w:lang w:val="fr-FR"/>
        </w:rPr>
        <w:t xml:space="preserve">: </w:t>
      </w:r>
      <w:r w:rsidRPr="00305CA6">
        <w:rPr>
          <w:sz w:val="23"/>
          <w:szCs w:val="23"/>
          <w:u w:val="single"/>
          <w:lang w:val="fr-FR"/>
        </w:rPr>
        <w:tab/>
      </w:r>
      <w:r w:rsidRPr="00305CA6">
        <w:rPr>
          <w:sz w:val="23"/>
          <w:szCs w:val="23"/>
          <w:lang w:val="fr-FR"/>
        </w:rPr>
        <w:t>Niveaux actuels de représentation des femmes dans les organes et mécanismes des droits de l'homme</w:t>
      </w:r>
    </w:p>
    <w:p w14:paraId="44EDDA7F" w14:textId="559A87A6" w:rsidR="00087F9C" w:rsidRPr="00305CA6" w:rsidRDefault="00087F9C" w:rsidP="00FD76ED">
      <w:pPr>
        <w:pStyle w:val="SingleTxtG"/>
        <w:spacing w:after="0" w:line="240" w:lineRule="auto"/>
        <w:ind w:left="0" w:right="99" w:firstLine="720"/>
        <w:rPr>
          <w:sz w:val="23"/>
          <w:szCs w:val="23"/>
          <w:lang w:val="fr-FR"/>
        </w:rPr>
      </w:pPr>
      <w:r w:rsidRPr="00305CA6">
        <w:rPr>
          <w:sz w:val="23"/>
          <w:szCs w:val="23"/>
          <w:lang w:val="fr-FR"/>
        </w:rPr>
        <w:t>Le Secrétariat du Comité consultatif du Conseil des droits de l'homme, au nom du Comité consultatif, a l'honneur de se référer à la résolution 41/6 adoptée par le Conseil des droits de l'homme le 11 juillet 2019 intitulée «</w:t>
      </w:r>
      <w:r w:rsidR="00FD76ED" w:rsidRPr="00305CA6">
        <w:rPr>
          <w:sz w:val="23"/>
          <w:szCs w:val="23"/>
          <w:lang w:val="fr-FR"/>
        </w:rPr>
        <w:t xml:space="preserve"> </w:t>
      </w:r>
      <w:r w:rsidRPr="00305CA6">
        <w:rPr>
          <w:sz w:val="23"/>
          <w:szCs w:val="23"/>
          <w:lang w:val="fr-FR"/>
        </w:rPr>
        <w:t>Élimination de toutes l</w:t>
      </w:r>
      <w:r w:rsidR="00FD76ED" w:rsidRPr="00305CA6">
        <w:rPr>
          <w:sz w:val="23"/>
          <w:szCs w:val="23"/>
          <w:lang w:val="fr-FR"/>
        </w:rPr>
        <w:t>es formes de discrimination à l’</w:t>
      </w:r>
      <w:r w:rsidRPr="00305CA6">
        <w:rPr>
          <w:sz w:val="23"/>
          <w:szCs w:val="23"/>
          <w:lang w:val="fr-FR"/>
        </w:rPr>
        <w:t>égard des femmes et des filles</w:t>
      </w:r>
      <w:r w:rsidR="00FD76ED" w:rsidRPr="00305CA6">
        <w:rPr>
          <w:sz w:val="23"/>
          <w:szCs w:val="23"/>
          <w:lang w:val="fr-FR"/>
        </w:rPr>
        <w:t xml:space="preserve"> </w:t>
      </w:r>
      <w:r w:rsidR="00305CA6" w:rsidRPr="00305CA6">
        <w:rPr>
          <w:sz w:val="23"/>
          <w:szCs w:val="23"/>
          <w:lang w:val="fr-FR"/>
        </w:rPr>
        <w:t xml:space="preserve">». </w:t>
      </w:r>
      <w:r w:rsidRPr="00305CA6">
        <w:rPr>
          <w:sz w:val="23"/>
          <w:szCs w:val="23"/>
          <w:lang w:val="fr-FR"/>
        </w:rPr>
        <w:t>La résolution est jointe pour plus de commodité.</w:t>
      </w:r>
    </w:p>
    <w:p w14:paraId="62AD5B1B" w14:textId="77777777" w:rsidR="00305CA6" w:rsidRPr="00305CA6" w:rsidRDefault="00305CA6" w:rsidP="00FD76ED">
      <w:pPr>
        <w:pStyle w:val="SingleTxtG"/>
        <w:spacing w:after="0" w:line="240" w:lineRule="auto"/>
        <w:ind w:left="0" w:right="99" w:firstLine="720"/>
        <w:rPr>
          <w:sz w:val="23"/>
          <w:szCs w:val="23"/>
          <w:lang w:val="fr-FR"/>
        </w:rPr>
      </w:pPr>
    </w:p>
    <w:p w14:paraId="13E1449C" w14:textId="40727F0B" w:rsidR="00542A14" w:rsidRPr="00305CA6" w:rsidRDefault="00FD76ED" w:rsidP="00FD76ED">
      <w:pPr>
        <w:pStyle w:val="SingleTxtG"/>
        <w:spacing w:after="0" w:line="240" w:lineRule="auto"/>
        <w:ind w:left="0" w:right="99" w:firstLine="720"/>
        <w:rPr>
          <w:sz w:val="23"/>
          <w:szCs w:val="23"/>
          <w:lang w:val="fr-FR"/>
        </w:rPr>
      </w:pPr>
      <w:r w:rsidRPr="00305CA6">
        <w:rPr>
          <w:sz w:val="23"/>
          <w:szCs w:val="23"/>
          <w:lang w:val="fr-FR"/>
        </w:rPr>
        <w:t xml:space="preserve">Dans ladite résolution, le Conseil a prié le Comité consultatif d’élaborer un rapport, en étroite coopération avec le Groupe de travail et le Comité pour l'élimination de la discrimination à l'égard des femmes, sur les niveaux actuels de représentation des femmes dans les organes et mécanismes </w:t>
      </w:r>
      <w:r w:rsidR="00542A14">
        <w:rPr>
          <w:sz w:val="23"/>
          <w:szCs w:val="23"/>
          <w:lang w:val="fr-FR"/>
        </w:rPr>
        <w:t>relatifs aux</w:t>
      </w:r>
      <w:r w:rsidRPr="00305CA6">
        <w:rPr>
          <w:sz w:val="23"/>
          <w:szCs w:val="23"/>
          <w:lang w:val="fr-FR"/>
        </w:rPr>
        <w:t xml:space="preserve"> droits de l'homme tels que le Comité consultatif, les organes </w:t>
      </w:r>
      <w:r w:rsidR="00542A14">
        <w:rPr>
          <w:sz w:val="23"/>
          <w:szCs w:val="23"/>
          <w:lang w:val="fr-FR"/>
        </w:rPr>
        <w:t>conventionnels</w:t>
      </w:r>
      <w:r w:rsidRPr="00305CA6">
        <w:rPr>
          <w:sz w:val="23"/>
          <w:szCs w:val="23"/>
          <w:lang w:val="fr-FR"/>
        </w:rPr>
        <w:t xml:space="preserve"> et les procédures spéciales établies par le Conseil des droits de l'homme. Le rapport, qui sera présenté au Conseil à sa</w:t>
      </w:r>
      <w:r w:rsidR="00542A14">
        <w:rPr>
          <w:sz w:val="23"/>
          <w:szCs w:val="23"/>
          <w:lang w:val="fr-FR"/>
        </w:rPr>
        <w:t xml:space="preserve"> quarante-septième session (juin</w:t>
      </w:r>
      <w:r w:rsidRPr="00305CA6">
        <w:rPr>
          <w:sz w:val="23"/>
          <w:szCs w:val="23"/>
          <w:lang w:val="fr-FR"/>
        </w:rPr>
        <w:t xml:space="preserve"> 2021), doit inclure les </w:t>
      </w:r>
      <w:r w:rsidR="00542A14" w:rsidRPr="00542A14">
        <w:rPr>
          <w:sz w:val="23"/>
          <w:szCs w:val="23"/>
          <w:lang w:val="fr-FR"/>
        </w:rPr>
        <w:t>bonnes pratiques des États en matière de désignation, d’élection et de nomination des candidats afin d’assurer une représentation équilibrée des sexes, conformément à la stratégie à l’échelle du système en faveur de la parité des sexes, et des recommandations pour aider le Conseil et les États Membres dans ce domaine</w:t>
      </w:r>
      <w:r w:rsidR="00542A14">
        <w:rPr>
          <w:sz w:val="23"/>
          <w:szCs w:val="23"/>
          <w:lang w:val="fr-FR"/>
        </w:rPr>
        <w:t>.</w:t>
      </w:r>
    </w:p>
    <w:p w14:paraId="187FD426" w14:textId="08037B3A" w:rsidR="00FD76ED" w:rsidRPr="00542A14" w:rsidRDefault="00FD76ED" w:rsidP="00E22F5A">
      <w:pPr>
        <w:pStyle w:val="SingleTxtG"/>
        <w:spacing w:after="0" w:line="240" w:lineRule="auto"/>
        <w:ind w:left="0" w:right="99"/>
        <w:rPr>
          <w:sz w:val="23"/>
          <w:szCs w:val="23"/>
          <w:lang w:val="fr-FR" w:eastAsia="ko-KR"/>
        </w:rPr>
      </w:pPr>
    </w:p>
    <w:p w14:paraId="1C92FE38" w14:textId="3A41315F" w:rsidR="00FD76ED" w:rsidRPr="00305CA6" w:rsidRDefault="00FD76ED" w:rsidP="00FD76ED">
      <w:pPr>
        <w:pStyle w:val="SingleTxtG"/>
        <w:spacing w:after="0" w:line="240" w:lineRule="auto"/>
        <w:ind w:left="0" w:right="99" w:firstLine="720"/>
        <w:rPr>
          <w:sz w:val="23"/>
          <w:szCs w:val="23"/>
          <w:lang w:val="fr-FR"/>
        </w:rPr>
      </w:pPr>
      <w:r w:rsidRPr="00305CA6">
        <w:rPr>
          <w:sz w:val="23"/>
          <w:szCs w:val="23"/>
          <w:lang w:val="fr-FR"/>
        </w:rPr>
        <w:t>À cet égard, et conformément au paragraphe 17 de la résolution, le Comité consultatif du Conseil des droits de l'homme réitère sa demande d'avis, de contributions et de participation significative</w:t>
      </w:r>
      <w:r w:rsidR="00542A14" w:rsidRPr="00305CA6">
        <w:rPr>
          <w:sz w:val="23"/>
          <w:szCs w:val="23"/>
          <w:lang w:val="fr-FR"/>
        </w:rPr>
        <w:t>, lors de l'élaboration du rapport susmentionné</w:t>
      </w:r>
      <w:r w:rsidR="00542A14">
        <w:rPr>
          <w:sz w:val="23"/>
          <w:szCs w:val="23"/>
          <w:lang w:val="fr-FR"/>
        </w:rPr>
        <w:t>,</w:t>
      </w:r>
      <w:r w:rsidRPr="00305CA6">
        <w:rPr>
          <w:sz w:val="23"/>
          <w:szCs w:val="23"/>
          <w:lang w:val="fr-FR"/>
        </w:rPr>
        <w:t xml:space="preserve"> des parties prenantes concernées, qui ne l'ont peut-être pas encore fait, y compris les États Membres, les organisation</w:t>
      </w:r>
      <w:r w:rsidR="00305CA6" w:rsidRPr="00305CA6">
        <w:rPr>
          <w:sz w:val="23"/>
          <w:szCs w:val="23"/>
          <w:lang w:val="fr-FR"/>
        </w:rPr>
        <w:t>s internationales et régionales</w:t>
      </w:r>
      <w:r w:rsidRPr="00305CA6">
        <w:rPr>
          <w:sz w:val="23"/>
          <w:szCs w:val="23"/>
          <w:lang w:val="fr-FR"/>
        </w:rPr>
        <w:t>, le Haut-Commissariat des Nations Unies aux droits de l'homme, les procédures spéciales, les institut</w:t>
      </w:r>
      <w:r w:rsidR="00305CA6" w:rsidRPr="00305CA6">
        <w:rPr>
          <w:sz w:val="23"/>
          <w:szCs w:val="23"/>
          <w:lang w:val="fr-FR"/>
        </w:rPr>
        <w:t>ions nationales des droits de l’</w:t>
      </w:r>
      <w:r w:rsidRPr="00305CA6">
        <w:rPr>
          <w:sz w:val="23"/>
          <w:szCs w:val="23"/>
          <w:lang w:val="fr-FR"/>
        </w:rPr>
        <w:t xml:space="preserve">homme, la société civile et les établissements universitaires. Le Comité consultatif </w:t>
      </w:r>
      <w:r w:rsidR="008478B5">
        <w:rPr>
          <w:sz w:val="23"/>
          <w:szCs w:val="23"/>
          <w:lang w:val="fr-FR"/>
        </w:rPr>
        <w:t xml:space="preserve">fait circuler </w:t>
      </w:r>
      <w:r w:rsidRPr="00305CA6">
        <w:rPr>
          <w:sz w:val="23"/>
          <w:szCs w:val="23"/>
          <w:lang w:val="fr-FR"/>
        </w:rPr>
        <w:t>de nouveau donc le questionnaire ci-joint sur le sujet pour faciliter la soumission des contributions au rapport.</w:t>
      </w:r>
    </w:p>
    <w:p w14:paraId="2A8ABF48" w14:textId="696D84D1" w:rsidR="00FD76ED" w:rsidRPr="00542A14" w:rsidRDefault="00FD76ED" w:rsidP="00E22F5A">
      <w:pPr>
        <w:pStyle w:val="SingleTxtG"/>
        <w:spacing w:after="0" w:line="240" w:lineRule="auto"/>
        <w:ind w:left="0" w:right="99"/>
        <w:rPr>
          <w:sz w:val="23"/>
          <w:szCs w:val="23"/>
          <w:highlight w:val="yellow"/>
          <w:lang w:val="fr-FR"/>
        </w:rPr>
      </w:pPr>
    </w:p>
    <w:p w14:paraId="2A80449F" w14:textId="77777777" w:rsidR="00FD76ED" w:rsidRPr="00305CA6" w:rsidRDefault="00FD76ED" w:rsidP="00FD76ED">
      <w:pPr>
        <w:ind w:firstLine="720"/>
        <w:rPr>
          <w:sz w:val="23"/>
          <w:szCs w:val="23"/>
          <w:lang w:val="fr-FR"/>
        </w:rPr>
      </w:pPr>
      <w:r w:rsidRPr="00305CA6">
        <w:rPr>
          <w:sz w:val="23"/>
          <w:szCs w:val="23"/>
          <w:lang w:val="fr-FR"/>
        </w:rPr>
        <w:t xml:space="preserve">Le Secrétariat du Comité consultatif serait reconnaissant si des informations pouvaient être soumises avant le </w:t>
      </w:r>
      <w:r w:rsidRPr="00E76C4E">
        <w:rPr>
          <w:b/>
          <w:sz w:val="23"/>
          <w:szCs w:val="23"/>
          <w:lang w:val="fr-FR"/>
        </w:rPr>
        <w:t>29 mai 2020</w:t>
      </w:r>
      <w:r w:rsidRPr="00305CA6">
        <w:rPr>
          <w:sz w:val="23"/>
          <w:szCs w:val="23"/>
          <w:lang w:val="fr-FR"/>
        </w:rPr>
        <w:t xml:space="preserve"> à l'adresse suivante:</w:t>
      </w:r>
    </w:p>
    <w:p w14:paraId="174A17CA" w14:textId="096C7FA0" w:rsidR="00FD76ED" w:rsidRPr="00542A14" w:rsidRDefault="00FD76ED" w:rsidP="00305CA6">
      <w:pPr>
        <w:tabs>
          <w:tab w:val="left" w:pos="993"/>
        </w:tabs>
        <w:jc w:val="both"/>
        <w:rPr>
          <w:sz w:val="23"/>
          <w:szCs w:val="23"/>
          <w:lang w:val="fr-FR"/>
        </w:rPr>
      </w:pPr>
    </w:p>
    <w:p w14:paraId="73202E29" w14:textId="77777777" w:rsidR="00FD76ED" w:rsidRPr="00305CA6" w:rsidRDefault="00FD76ED" w:rsidP="00FD76ED">
      <w:pPr>
        <w:tabs>
          <w:tab w:val="left" w:pos="993"/>
        </w:tabs>
        <w:ind w:left="1440"/>
        <w:jc w:val="both"/>
        <w:rPr>
          <w:sz w:val="23"/>
          <w:szCs w:val="23"/>
          <w:lang w:val="fr-FR"/>
        </w:rPr>
      </w:pPr>
      <w:r w:rsidRPr="00305CA6">
        <w:rPr>
          <w:sz w:val="23"/>
          <w:szCs w:val="23"/>
          <w:lang w:val="fr-FR"/>
        </w:rPr>
        <w:t>Secrétariat du Comité consultatif du Conseil des droits de l'homme</w:t>
      </w:r>
    </w:p>
    <w:p w14:paraId="3497DD59" w14:textId="77777777" w:rsidR="00FD76ED" w:rsidRPr="00305CA6" w:rsidRDefault="00FD76ED" w:rsidP="00FD76ED">
      <w:pPr>
        <w:tabs>
          <w:tab w:val="left" w:pos="993"/>
        </w:tabs>
        <w:ind w:left="1440"/>
        <w:jc w:val="both"/>
        <w:rPr>
          <w:sz w:val="23"/>
          <w:szCs w:val="23"/>
          <w:lang w:val="fr-FR"/>
        </w:rPr>
      </w:pPr>
      <w:r w:rsidRPr="00305CA6">
        <w:rPr>
          <w:sz w:val="23"/>
          <w:szCs w:val="23"/>
          <w:lang w:val="fr-FR"/>
        </w:rPr>
        <w:t>OHCHR - Office des Nations Unies à Genève</w:t>
      </w:r>
    </w:p>
    <w:p w14:paraId="41135BF3" w14:textId="77777777" w:rsidR="00FD76ED" w:rsidRPr="00305CA6" w:rsidRDefault="00FD76ED" w:rsidP="00FD76ED">
      <w:pPr>
        <w:tabs>
          <w:tab w:val="left" w:pos="993"/>
        </w:tabs>
        <w:ind w:left="1440"/>
        <w:jc w:val="both"/>
        <w:rPr>
          <w:sz w:val="23"/>
          <w:szCs w:val="23"/>
          <w:lang w:val="fr-FR"/>
        </w:rPr>
      </w:pPr>
      <w:r w:rsidRPr="00305CA6">
        <w:rPr>
          <w:sz w:val="23"/>
          <w:szCs w:val="23"/>
          <w:lang w:val="fr-FR"/>
        </w:rPr>
        <w:t>CH-1211 Genève 10, Suisse</w:t>
      </w:r>
    </w:p>
    <w:p w14:paraId="1EBB5118" w14:textId="77777777" w:rsidR="00FD76ED" w:rsidRPr="00305CA6" w:rsidRDefault="00FD76ED" w:rsidP="00FD76ED">
      <w:pPr>
        <w:tabs>
          <w:tab w:val="left" w:pos="993"/>
        </w:tabs>
        <w:ind w:left="1440"/>
        <w:jc w:val="both"/>
        <w:rPr>
          <w:sz w:val="23"/>
          <w:szCs w:val="23"/>
          <w:lang w:val="fr-FR"/>
        </w:rPr>
      </w:pPr>
      <w:r w:rsidRPr="00305CA6">
        <w:rPr>
          <w:sz w:val="23"/>
          <w:szCs w:val="23"/>
          <w:lang w:val="fr-FR"/>
        </w:rPr>
        <w:t>Courriel: hrcadvisorycommittee@ohchr.org</w:t>
      </w:r>
    </w:p>
    <w:p w14:paraId="48F1AF82" w14:textId="703FC491" w:rsidR="00FD76ED" w:rsidRPr="00542A14" w:rsidRDefault="00FD76ED" w:rsidP="00FD76ED">
      <w:pPr>
        <w:tabs>
          <w:tab w:val="left" w:pos="993"/>
        </w:tabs>
        <w:ind w:left="1440"/>
        <w:jc w:val="both"/>
        <w:rPr>
          <w:sz w:val="23"/>
          <w:szCs w:val="23"/>
          <w:lang w:val="fr-FR"/>
        </w:rPr>
      </w:pPr>
      <w:r w:rsidRPr="00542A14">
        <w:rPr>
          <w:sz w:val="23"/>
          <w:szCs w:val="23"/>
          <w:lang w:val="fr-FR"/>
        </w:rPr>
        <w:t>Télécopie</w:t>
      </w:r>
      <w:r w:rsidR="00305CA6" w:rsidRPr="00542A14">
        <w:rPr>
          <w:sz w:val="23"/>
          <w:szCs w:val="23"/>
          <w:lang w:val="fr-FR"/>
        </w:rPr>
        <w:t xml:space="preserve"> </w:t>
      </w:r>
      <w:r w:rsidRPr="00542A14">
        <w:rPr>
          <w:sz w:val="23"/>
          <w:szCs w:val="23"/>
          <w:lang w:val="fr-FR"/>
        </w:rPr>
        <w:t>: +41 22917 9011</w:t>
      </w:r>
    </w:p>
    <w:p w14:paraId="03AC6A1B" w14:textId="4405B68F" w:rsidR="00FD76ED" w:rsidRPr="00542A14" w:rsidRDefault="00FD76ED" w:rsidP="00E22F5A">
      <w:pPr>
        <w:pStyle w:val="SingleTxtG"/>
        <w:spacing w:after="0" w:line="240" w:lineRule="auto"/>
        <w:ind w:left="0" w:right="99"/>
        <w:rPr>
          <w:sz w:val="23"/>
          <w:szCs w:val="23"/>
          <w:lang w:val="fr-FR"/>
        </w:rPr>
      </w:pPr>
    </w:p>
    <w:p w14:paraId="2A397560" w14:textId="619CEB14" w:rsidR="00FD76ED" w:rsidRPr="00305CA6" w:rsidRDefault="00FD76ED" w:rsidP="00FD76ED">
      <w:pPr>
        <w:pStyle w:val="SingleTxtG"/>
        <w:spacing w:after="0" w:line="240" w:lineRule="auto"/>
        <w:ind w:left="0" w:right="99" w:firstLine="720"/>
        <w:rPr>
          <w:sz w:val="23"/>
          <w:szCs w:val="23"/>
          <w:lang w:val="fr-FR"/>
        </w:rPr>
      </w:pPr>
      <w:r w:rsidRPr="00305CA6">
        <w:rPr>
          <w:sz w:val="23"/>
          <w:szCs w:val="23"/>
          <w:lang w:val="fr-FR"/>
        </w:rPr>
        <w:t>Le Secrétariat du Comité consultatif du Conseil des droits de l'homme saisit cette occasion pour renouveler les assurances de sa très haute considération.</w:t>
      </w:r>
    </w:p>
    <w:p w14:paraId="5DB135F6" w14:textId="77777777" w:rsidR="00305CA6" w:rsidRDefault="00305CA6" w:rsidP="00305CA6">
      <w:pPr>
        <w:pStyle w:val="SingleTxtG"/>
        <w:spacing w:after="0" w:line="240" w:lineRule="auto"/>
        <w:ind w:left="6480" w:right="99"/>
        <w:rPr>
          <w:sz w:val="24"/>
          <w:szCs w:val="24"/>
          <w:lang w:val="fr-FR"/>
        </w:rPr>
      </w:pPr>
    </w:p>
    <w:p w14:paraId="4BEFC70E" w14:textId="42C6BAC2" w:rsidR="00FD50EA" w:rsidRPr="00305CA6" w:rsidRDefault="007F1D0B" w:rsidP="00305CA6">
      <w:pPr>
        <w:pStyle w:val="SingleTxtG"/>
        <w:spacing w:after="0" w:line="240" w:lineRule="auto"/>
        <w:ind w:left="6480" w:right="99"/>
        <w:rPr>
          <w:sz w:val="23"/>
          <w:szCs w:val="23"/>
          <w:lang w:val="fr-FR"/>
        </w:rPr>
      </w:pPr>
      <w:r>
        <w:rPr>
          <w:sz w:val="23"/>
          <w:szCs w:val="23"/>
          <w:lang w:val="fr-FR"/>
        </w:rPr>
        <w:t>20</w:t>
      </w:r>
      <w:bookmarkStart w:id="0" w:name="_GoBack"/>
      <w:bookmarkEnd w:id="0"/>
      <w:r w:rsidR="00B9463E" w:rsidRPr="00305CA6">
        <w:rPr>
          <w:sz w:val="23"/>
          <w:szCs w:val="23"/>
          <w:lang w:val="fr-FR"/>
        </w:rPr>
        <w:t xml:space="preserve"> </w:t>
      </w:r>
      <w:r w:rsidR="009A5FEB">
        <w:rPr>
          <w:sz w:val="23"/>
          <w:szCs w:val="23"/>
          <w:lang w:val="fr-FR"/>
        </w:rPr>
        <w:t xml:space="preserve">mars </w:t>
      </w:r>
      <w:r w:rsidR="00141776" w:rsidRPr="00305CA6">
        <w:rPr>
          <w:sz w:val="23"/>
          <w:szCs w:val="23"/>
          <w:lang w:val="fr-FR"/>
        </w:rPr>
        <w:t>2020</w:t>
      </w:r>
    </w:p>
    <w:p w14:paraId="5C366849" w14:textId="77777777" w:rsidR="00305CA6" w:rsidRDefault="00305CA6" w:rsidP="00087F9C">
      <w:pPr>
        <w:jc w:val="center"/>
        <w:rPr>
          <w:b/>
          <w:lang w:val="fr-FR"/>
        </w:rPr>
      </w:pPr>
    </w:p>
    <w:p w14:paraId="241826A6" w14:textId="77777777" w:rsidR="00305CA6" w:rsidRDefault="00305CA6" w:rsidP="00087F9C">
      <w:pPr>
        <w:jc w:val="center"/>
        <w:rPr>
          <w:b/>
          <w:lang w:val="fr-FR"/>
        </w:rPr>
      </w:pPr>
    </w:p>
    <w:p w14:paraId="0491D5E6" w14:textId="77777777" w:rsidR="00305CA6" w:rsidRDefault="00305CA6" w:rsidP="00087F9C">
      <w:pPr>
        <w:jc w:val="center"/>
        <w:rPr>
          <w:b/>
          <w:lang w:val="fr-FR"/>
        </w:rPr>
      </w:pPr>
    </w:p>
    <w:p w14:paraId="4B31120E" w14:textId="77777777" w:rsidR="00305CA6" w:rsidRDefault="00305CA6" w:rsidP="00087F9C">
      <w:pPr>
        <w:jc w:val="center"/>
        <w:rPr>
          <w:b/>
          <w:lang w:val="fr-FR"/>
        </w:rPr>
      </w:pPr>
    </w:p>
    <w:p w14:paraId="615A49C5" w14:textId="77777777" w:rsidR="00305CA6" w:rsidRDefault="00305CA6" w:rsidP="00087F9C">
      <w:pPr>
        <w:jc w:val="center"/>
        <w:rPr>
          <w:b/>
          <w:lang w:val="fr-FR"/>
        </w:rPr>
      </w:pPr>
    </w:p>
    <w:p w14:paraId="29DF2766" w14:textId="4D2D63CB" w:rsidR="00087F9C" w:rsidRPr="00305CA6" w:rsidRDefault="00087F9C" w:rsidP="00087F9C">
      <w:pPr>
        <w:jc w:val="center"/>
        <w:rPr>
          <w:b/>
          <w:sz w:val="24"/>
          <w:szCs w:val="24"/>
          <w:lang w:val="fr-FR"/>
        </w:rPr>
      </w:pPr>
      <w:r w:rsidRPr="00305CA6">
        <w:rPr>
          <w:b/>
          <w:sz w:val="24"/>
          <w:szCs w:val="24"/>
          <w:lang w:val="fr-FR"/>
        </w:rPr>
        <w:t>Comité consultatif du Conseil des droits de l’homme</w:t>
      </w:r>
    </w:p>
    <w:p w14:paraId="70F73F6E" w14:textId="77777777" w:rsidR="00087F9C" w:rsidRPr="00305CA6" w:rsidRDefault="00087F9C" w:rsidP="00087F9C">
      <w:pPr>
        <w:jc w:val="center"/>
        <w:rPr>
          <w:b/>
          <w:sz w:val="24"/>
          <w:szCs w:val="24"/>
          <w:lang w:val="fr-FR"/>
        </w:rPr>
      </w:pPr>
      <w:r w:rsidRPr="00305CA6">
        <w:rPr>
          <w:b/>
          <w:sz w:val="24"/>
          <w:szCs w:val="24"/>
          <w:lang w:val="fr-FR"/>
        </w:rPr>
        <w:t>Questionnaire sur les niveaux actuels de représentation des femmes dans les organes et mécanismes relatifs aux droits de l’homme</w:t>
      </w:r>
    </w:p>
    <w:p w14:paraId="584954D2" w14:textId="77777777" w:rsidR="00087F9C" w:rsidRPr="00305CA6" w:rsidRDefault="00087F9C" w:rsidP="00087F9C">
      <w:pPr>
        <w:rPr>
          <w:sz w:val="24"/>
          <w:szCs w:val="24"/>
          <w:lang w:val="fr-FR"/>
        </w:rPr>
      </w:pPr>
    </w:p>
    <w:p w14:paraId="1047F1DB"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Les processus en vigueur dans l'État permettent-ils ou encouragent-ils la prise en compte d’une représentation équilibrée des sexes lors de la désignation, de l'élection et de la nominations d'experts pour les organes des droits de l'homme tels que le Comité consultatif et les organes des traités ? Ces processus assurent-ils la publicité, la transparence et la participation des organisations de la société civile et/ou d'autres acteurs ?</w:t>
      </w:r>
    </w:p>
    <w:p w14:paraId="331611D0"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L'État tient-il compte de la composition par sexe au sein des organes de traités ou du Comité consultatif au moment de la nomination ou de l'élection ?</w:t>
      </w:r>
    </w:p>
    <w:p w14:paraId="70B61554"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L'État dispose-t-il de bonnes pratiques nationales en matière de désignation, d'élection et de nomination des candidats aux organes des droits de l'homme tels que le Comité consultatif et les organes des traités ? Ces processus tiennent-ils compte du genre lors de la nomination, de l'élection ou de la désignation ?</w:t>
      </w:r>
    </w:p>
    <w:p w14:paraId="145D1D45"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Comment l'État prend-il en considération ses obligations en matière de non-discrimination et de droit des femmes à l'égalité d'accès à la participation, ainsi que ses obligations au titre de l'article 8 de la Convention sur l'élimination de toutes les formes de discrimination à l'égard des femmes (CEDAW), en vue d'assurer la participation des femmes dans des conditions d'égalité avec les hommes lorsqu'il désigne ou nomme des candidats pour les organes et mécanismes des droits de l’homme?</w:t>
      </w:r>
    </w:p>
    <w:p w14:paraId="5338AD51"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 xml:space="preserve">Combien de femmes l'État </w:t>
      </w:r>
      <w:proofErr w:type="spellStart"/>
      <w:r w:rsidRPr="00305CA6">
        <w:rPr>
          <w:rFonts w:ascii="Times New Roman" w:hAnsi="Times New Roman" w:cs="Times New Roman"/>
          <w:sz w:val="24"/>
          <w:szCs w:val="24"/>
          <w:lang w:val="fr-FR"/>
        </w:rPr>
        <w:t>a-t-il</w:t>
      </w:r>
      <w:proofErr w:type="spellEnd"/>
      <w:r w:rsidRPr="00305CA6">
        <w:rPr>
          <w:rFonts w:ascii="Times New Roman" w:hAnsi="Times New Roman" w:cs="Times New Roman"/>
          <w:sz w:val="24"/>
          <w:szCs w:val="24"/>
          <w:lang w:val="fr-FR"/>
        </w:rPr>
        <w:t xml:space="preserve"> nommées dans les organes et mécanismes des droits de l'homme au cours des cinq dernières années (tels que le Comité consultatif ou les organes des traités) ?</w:t>
      </w:r>
    </w:p>
    <w:p w14:paraId="405DE0AE"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L'État prend-il des mesures pour diffuser, promouvoir et encourager les femmes à candidater aux postes vacants de titulaires de mandat au titre des procédures spéciales ?</w:t>
      </w:r>
    </w:p>
    <w:p w14:paraId="6C814E65"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 xml:space="preserve">Quels sont les principales difficultés rencontrées dans votre pays dans la mise en œuvre de l'équilibre entre les sexes lors de la nomination et de l'élection de candidats aux organes et mécanismes de défense des droits de l'homme tels que le Comité consultatif, les organes des traités et les procédures spéciales ?  </w:t>
      </w:r>
    </w:p>
    <w:p w14:paraId="37A97B11" w14:textId="77777777" w:rsidR="00087F9C" w:rsidRPr="00305CA6" w:rsidRDefault="00087F9C" w:rsidP="00087F9C">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Existe-t-il de bonnes pratiques de l'État ou d'autres parties prenantes qui garantissent la parité entre les sexes ? Si oui, pouvez-vous nous faire part de ces pratiques ?</w:t>
      </w:r>
    </w:p>
    <w:p w14:paraId="72D9F204" w14:textId="41BA61B9" w:rsidR="007A5543" w:rsidRPr="00305CA6" w:rsidRDefault="00087F9C" w:rsidP="00305CA6">
      <w:pPr>
        <w:pStyle w:val="ListParagraph"/>
        <w:numPr>
          <w:ilvl w:val="0"/>
          <w:numId w:val="26"/>
        </w:numPr>
        <w:contextualSpacing w:val="0"/>
        <w:rPr>
          <w:rFonts w:ascii="Times New Roman" w:hAnsi="Times New Roman" w:cs="Times New Roman"/>
          <w:sz w:val="24"/>
          <w:szCs w:val="24"/>
          <w:lang w:val="fr-FR"/>
        </w:rPr>
      </w:pPr>
      <w:r w:rsidRPr="00305CA6">
        <w:rPr>
          <w:rFonts w:ascii="Times New Roman" w:hAnsi="Times New Roman" w:cs="Times New Roman"/>
          <w:sz w:val="24"/>
          <w:szCs w:val="24"/>
          <w:lang w:val="fr-FR"/>
        </w:rPr>
        <w:t xml:space="preserve">Y </w:t>
      </w:r>
      <w:proofErr w:type="spellStart"/>
      <w:r w:rsidRPr="00305CA6">
        <w:rPr>
          <w:rFonts w:ascii="Times New Roman" w:hAnsi="Times New Roman" w:cs="Times New Roman"/>
          <w:sz w:val="24"/>
          <w:szCs w:val="24"/>
          <w:lang w:val="fr-FR"/>
        </w:rPr>
        <w:t>a-t-il</w:t>
      </w:r>
      <w:proofErr w:type="spellEnd"/>
      <w:r w:rsidRPr="00305CA6">
        <w:rPr>
          <w:rFonts w:ascii="Times New Roman" w:hAnsi="Times New Roman" w:cs="Times New Roman"/>
          <w:sz w:val="24"/>
          <w:szCs w:val="24"/>
          <w:lang w:val="fr-FR"/>
        </w:rPr>
        <w:t xml:space="preserve"> des recommandations à l'intention des États, des organismes internationaux ou d'autres entités que vous souhaiteriez partager afin de renforcer ce rapport ?</w:t>
      </w:r>
    </w:p>
    <w:sectPr w:rsidR="007A5543" w:rsidRPr="00305CA6"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D59C" w14:textId="77777777" w:rsidR="00507D16" w:rsidRDefault="00507D16">
      <w:r>
        <w:separator/>
      </w:r>
    </w:p>
  </w:endnote>
  <w:endnote w:type="continuationSeparator" w:id="0">
    <w:p w14:paraId="2DB042B9" w14:textId="77777777" w:rsidR="00507D16" w:rsidRDefault="0050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FCC5"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92D32" w14:textId="77777777" w:rsidR="00507D16" w:rsidRDefault="00507D16">
      <w:r>
        <w:separator/>
      </w:r>
    </w:p>
  </w:footnote>
  <w:footnote w:type="continuationSeparator" w:id="0">
    <w:p w14:paraId="5932A485" w14:textId="77777777" w:rsidR="00507D16" w:rsidRDefault="0050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E644" w14:textId="2AB40D0D" w:rsidR="00440E30" w:rsidRPr="00AD4CA9" w:rsidRDefault="00D70AC1"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37A27254" wp14:editId="53887E30">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7F1D0B">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96DD" w14:textId="0DCACD9A" w:rsidR="00440E30" w:rsidRPr="00925A9D" w:rsidRDefault="00D70AC1"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2F0614B" wp14:editId="15AFA147">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1D3FEE66"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A971DB" w14:textId="77777777" w:rsidR="00440E30" w:rsidRPr="00E410AD"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E410AD">
      <w:rPr>
        <w:sz w:val="14"/>
        <w:szCs w:val="14"/>
        <w:lang w:val="fr-CH"/>
      </w:rPr>
      <w:t>www.ohc</w:t>
    </w:r>
    <w:r w:rsidR="00CD1C98">
      <w:rPr>
        <w:sz w:val="14"/>
        <w:szCs w:val="14"/>
        <w:lang w:val="fr-CH"/>
      </w:rPr>
      <w:t xml:space="preserve">hr.org • TEL: </w:t>
    </w:r>
    <w:r w:rsidR="00083BD0">
      <w:rPr>
        <w:sz w:val="14"/>
        <w:szCs w:val="14"/>
        <w:lang w:val="fr-CH"/>
      </w:rPr>
      <w:t xml:space="preserve">+41 22 917 9000 • FAX: </w:t>
    </w:r>
    <w:r w:rsidR="000E197C">
      <w:rPr>
        <w:sz w:val="14"/>
        <w:szCs w:val="14"/>
        <w:lang w:val="fr-CH"/>
      </w:rPr>
      <w:t xml:space="preserve">+41 22 917 9008 • E-MAIL: </w:t>
    </w:r>
    <w:r w:rsidR="00011CA2" w:rsidRPr="00011CA2">
      <w:rPr>
        <w:sz w:val="14"/>
        <w:szCs w:val="14"/>
        <w:lang w:val="fr-CH"/>
      </w:rPr>
      <w:t>hrcadvisorycommittee@ohchr.org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3F8229FF"/>
    <w:multiLevelType w:val="hybridMultilevel"/>
    <w:tmpl w:val="4F06FCE0"/>
    <w:lvl w:ilvl="0" w:tplc="580A000F">
      <w:start w:val="1"/>
      <w:numFmt w:val="decimal"/>
      <w:lvlText w:val="%1."/>
      <w:lvlJc w:val="left"/>
      <w:pPr>
        <w:ind w:left="720" w:hanging="360"/>
      </w:pPr>
      <w:rPr>
        <w:rFonts w:ascii="Times New Roman" w:hAnsi="Times New Roman"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A7F92"/>
    <w:multiLevelType w:val="hybridMultilevel"/>
    <w:tmpl w:val="54E42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4"/>
  </w:num>
  <w:num w:numId="3">
    <w:abstractNumId w:val="18"/>
  </w:num>
  <w:num w:numId="4">
    <w:abstractNumId w:val="9"/>
  </w:num>
  <w:num w:numId="5">
    <w:abstractNumId w:val="19"/>
  </w:num>
  <w:num w:numId="6">
    <w:abstractNumId w:val="11"/>
  </w:num>
  <w:num w:numId="7">
    <w:abstractNumId w:val="2"/>
  </w:num>
  <w:num w:numId="8">
    <w:abstractNumId w:val="12"/>
  </w:num>
  <w:num w:numId="9">
    <w:abstractNumId w:val="4"/>
  </w:num>
  <w:num w:numId="10">
    <w:abstractNumId w:val="1"/>
  </w:num>
  <w:num w:numId="11">
    <w:abstractNumId w:val="10"/>
  </w:num>
  <w:num w:numId="12">
    <w:abstractNumId w:val="22"/>
  </w:num>
  <w:num w:numId="13">
    <w:abstractNumId w:val="23"/>
  </w:num>
  <w:num w:numId="14">
    <w:abstractNumId w:val="15"/>
  </w:num>
  <w:num w:numId="15">
    <w:abstractNumId w:val="6"/>
  </w:num>
  <w:num w:numId="16">
    <w:abstractNumId w:val="0"/>
  </w:num>
  <w:num w:numId="17">
    <w:abstractNumId w:val="21"/>
  </w:num>
  <w:num w:numId="18">
    <w:abstractNumId w:val="8"/>
  </w:num>
  <w:num w:numId="19">
    <w:abstractNumId w:val="14"/>
  </w:num>
  <w:num w:numId="20">
    <w:abstractNumId w:val="5"/>
  </w:num>
  <w:num w:numId="21">
    <w:abstractNumId w:val="20"/>
  </w:num>
  <w:num w:numId="22">
    <w:abstractNumId w:val="17"/>
  </w:num>
  <w:num w:numId="23">
    <w:abstractNumId w:val="7"/>
  </w:num>
  <w:num w:numId="24">
    <w:abstractNumId w:val="3"/>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1F"/>
    <w:rsid w:val="00077294"/>
    <w:rsid w:val="00083BD0"/>
    <w:rsid w:val="000875C6"/>
    <w:rsid w:val="00087F9C"/>
    <w:rsid w:val="000A2B89"/>
    <w:rsid w:val="000A6F03"/>
    <w:rsid w:val="000B54D7"/>
    <w:rsid w:val="000C25D0"/>
    <w:rsid w:val="000C3817"/>
    <w:rsid w:val="000C41CD"/>
    <w:rsid w:val="000D34F2"/>
    <w:rsid w:val="000E197C"/>
    <w:rsid w:val="000E42EE"/>
    <w:rsid w:val="000F6517"/>
    <w:rsid w:val="00106F64"/>
    <w:rsid w:val="00112286"/>
    <w:rsid w:val="0011491C"/>
    <w:rsid w:val="00115798"/>
    <w:rsid w:val="001205D6"/>
    <w:rsid w:val="00120B25"/>
    <w:rsid w:val="00137B3E"/>
    <w:rsid w:val="00141776"/>
    <w:rsid w:val="001666EE"/>
    <w:rsid w:val="00190D13"/>
    <w:rsid w:val="00194332"/>
    <w:rsid w:val="001C0772"/>
    <w:rsid w:val="001E3384"/>
    <w:rsid w:val="001F275D"/>
    <w:rsid w:val="002028A9"/>
    <w:rsid w:val="0021296A"/>
    <w:rsid w:val="00213455"/>
    <w:rsid w:val="00214487"/>
    <w:rsid w:val="00214C64"/>
    <w:rsid w:val="00221893"/>
    <w:rsid w:val="00227E2F"/>
    <w:rsid w:val="00235A1A"/>
    <w:rsid w:val="002431DB"/>
    <w:rsid w:val="00251240"/>
    <w:rsid w:val="0025174E"/>
    <w:rsid w:val="00270F85"/>
    <w:rsid w:val="00274FA3"/>
    <w:rsid w:val="00275C35"/>
    <w:rsid w:val="002813E4"/>
    <w:rsid w:val="0028624E"/>
    <w:rsid w:val="002863A2"/>
    <w:rsid w:val="002A7066"/>
    <w:rsid w:val="002D1B96"/>
    <w:rsid w:val="002E6117"/>
    <w:rsid w:val="002E65F4"/>
    <w:rsid w:val="002E6E5F"/>
    <w:rsid w:val="00305CA6"/>
    <w:rsid w:val="00314F0D"/>
    <w:rsid w:val="00323761"/>
    <w:rsid w:val="00324438"/>
    <w:rsid w:val="00335FB9"/>
    <w:rsid w:val="00356299"/>
    <w:rsid w:val="00356E38"/>
    <w:rsid w:val="00361113"/>
    <w:rsid w:val="00383719"/>
    <w:rsid w:val="00396E4C"/>
    <w:rsid w:val="00397748"/>
    <w:rsid w:val="003A3957"/>
    <w:rsid w:val="003B269D"/>
    <w:rsid w:val="003C37C3"/>
    <w:rsid w:val="003D3D66"/>
    <w:rsid w:val="003D5B9F"/>
    <w:rsid w:val="003F5384"/>
    <w:rsid w:val="00407039"/>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C55EA"/>
    <w:rsid w:val="004D4035"/>
    <w:rsid w:val="004D6742"/>
    <w:rsid w:val="004E0AB6"/>
    <w:rsid w:val="004E49EC"/>
    <w:rsid w:val="004E4D86"/>
    <w:rsid w:val="00507D16"/>
    <w:rsid w:val="005164A4"/>
    <w:rsid w:val="00517546"/>
    <w:rsid w:val="0052673C"/>
    <w:rsid w:val="00530EF5"/>
    <w:rsid w:val="00542A14"/>
    <w:rsid w:val="0055573E"/>
    <w:rsid w:val="00562D63"/>
    <w:rsid w:val="00564578"/>
    <w:rsid w:val="00570A1B"/>
    <w:rsid w:val="005736D7"/>
    <w:rsid w:val="00576638"/>
    <w:rsid w:val="00580D1F"/>
    <w:rsid w:val="00582278"/>
    <w:rsid w:val="005849E6"/>
    <w:rsid w:val="00585F8E"/>
    <w:rsid w:val="005871D9"/>
    <w:rsid w:val="005957ED"/>
    <w:rsid w:val="00595E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C73D5"/>
    <w:rsid w:val="006F790C"/>
    <w:rsid w:val="00712363"/>
    <w:rsid w:val="007210F6"/>
    <w:rsid w:val="00721D17"/>
    <w:rsid w:val="00723438"/>
    <w:rsid w:val="00733660"/>
    <w:rsid w:val="00737337"/>
    <w:rsid w:val="00741EBC"/>
    <w:rsid w:val="007432E5"/>
    <w:rsid w:val="007450E8"/>
    <w:rsid w:val="00776BDB"/>
    <w:rsid w:val="0079051E"/>
    <w:rsid w:val="00790CBE"/>
    <w:rsid w:val="007A5543"/>
    <w:rsid w:val="007C4A8E"/>
    <w:rsid w:val="007C648D"/>
    <w:rsid w:val="007D1657"/>
    <w:rsid w:val="007D476F"/>
    <w:rsid w:val="007E1585"/>
    <w:rsid w:val="007F1D0B"/>
    <w:rsid w:val="00807C6D"/>
    <w:rsid w:val="008143F7"/>
    <w:rsid w:val="008170B0"/>
    <w:rsid w:val="00842220"/>
    <w:rsid w:val="008427AA"/>
    <w:rsid w:val="008478B5"/>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D30D7"/>
    <w:rsid w:val="008E46C1"/>
    <w:rsid w:val="009019E5"/>
    <w:rsid w:val="009240B2"/>
    <w:rsid w:val="00925A9D"/>
    <w:rsid w:val="00943D30"/>
    <w:rsid w:val="00944040"/>
    <w:rsid w:val="00944E25"/>
    <w:rsid w:val="0097283F"/>
    <w:rsid w:val="009A2EB7"/>
    <w:rsid w:val="009A5FEB"/>
    <w:rsid w:val="009B459A"/>
    <w:rsid w:val="009D76A9"/>
    <w:rsid w:val="009E1224"/>
    <w:rsid w:val="009F18EC"/>
    <w:rsid w:val="009F2043"/>
    <w:rsid w:val="009F2491"/>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97BA4"/>
    <w:rsid w:val="00AC50E4"/>
    <w:rsid w:val="00AD4CA9"/>
    <w:rsid w:val="00AE03D7"/>
    <w:rsid w:val="00AE2F5E"/>
    <w:rsid w:val="00AF291B"/>
    <w:rsid w:val="00B04529"/>
    <w:rsid w:val="00B14752"/>
    <w:rsid w:val="00B27302"/>
    <w:rsid w:val="00B3003E"/>
    <w:rsid w:val="00B325A2"/>
    <w:rsid w:val="00B350A4"/>
    <w:rsid w:val="00B42B30"/>
    <w:rsid w:val="00B45749"/>
    <w:rsid w:val="00B458F6"/>
    <w:rsid w:val="00B54DD5"/>
    <w:rsid w:val="00B7425B"/>
    <w:rsid w:val="00B84F09"/>
    <w:rsid w:val="00B84F46"/>
    <w:rsid w:val="00B9463E"/>
    <w:rsid w:val="00BA09BA"/>
    <w:rsid w:val="00BD6119"/>
    <w:rsid w:val="00BD71DF"/>
    <w:rsid w:val="00BE1715"/>
    <w:rsid w:val="00BF6684"/>
    <w:rsid w:val="00C04FBD"/>
    <w:rsid w:val="00C12BED"/>
    <w:rsid w:val="00C23DDD"/>
    <w:rsid w:val="00C35851"/>
    <w:rsid w:val="00C50489"/>
    <w:rsid w:val="00C64254"/>
    <w:rsid w:val="00C74811"/>
    <w:rsid w:val="00C772EF"/>
    <w:rsid w:val="00C82CCE"/>
    <w:rsid w:val="00CB1C6E"/>
    <w:rsid w:val="00CC5BEF"/>
    <w:rsid w:val="00CD1C98"/>
    <w:rsid w:val="00D00DDC"/>
    <w:rsid w:val="00D02F61"/>
    <w:rsid w:val="00D239C7"/>
    <w:rsid w:val="00D32E5B"/>
    <w:rsid w:val="00D3608E"/>
    <w:rsid w:val="00D36635"/>
    <w:rsid w:val="00D5039D"/>
    <w:rsid w:val="00D5082F"/>
    <w:rsid w:val="00D5468B"/>
    <w:rsid w:val="00D55990"/>
    <w:rsid w:val="00D67524"/>
    <w:rsid w:val="00D70178"/>
    <w:rsid w:val="00D70AC1"/>
    <w:rsid w:val="00D84C7E"/>
    <w:rsid w:val="00D968C8"/>
    <w:rsid w:val="00DB5616"/>
    <w:rsid w:val="00DB5F19"/>
    <w:rsid w:val="00DD4909"/>
    <w:rsid w:val="00DE0614"/>
    <w:rsid w:val="00DE3254"/>
    <w:rsid w:val="00DE58DC"/>
    <w:rsid w:val="00DF21B7"/>
    <w:rsid w:val="00E033EA"/>
    <w:rsid w:val="00E13BE9"/>
    <w:rsid w:val="00E15347"/>
    <w:rsid w:val="00E22F5A"/>
    <w:rsid w:val="00E25CDA"/>
    <w:rsid w:val="00E410AD"/>
    <w:rsid w:val="00E550E4"/>
    <w:rsid w:val="00E60057"/>
    <w:rsid w:val="00E679E8"/>
    <w:rsid w:val="00E76C4E"/>
    <w:rsid w:val="00E82AB3"/>
    <w:rsid w:val="00E9237D"/>
    <w:rsid w:val="00E977BA"/>
    <w:rsid w:val="00EA6B3E"/>
    <w:rsid w:val="00EE5BA8"/>
    <w:rsid w:val="00EF0062"/>
    <w:rsid w:val="00F006B5"/>
    <w:rsid w:val="00F0632F"/>
    <w:rsid w:val="00F20492"/>
    <w:rsid w:val="00F207CC"/>
    <w:rsid w:val="00F2130E"/>
    <w:rsid w:val="00F36205"/>
    <w:rsid w:val="00F47B64"/>
    <w:rsid w:val="00F611C6"/>
    <w:rsid w:val="00F80A14"/>
    <w:rsid w:val="00F80D28"/>
    <w:rsid w:val="00F82ECF"/>
    <w:rsid w:val="00F9568D"/>
    <w:rsid w:val="00FB41B6"/>
    <w:rsid w:val="00FC1DDB"/>
    <w:rsid w:val="00FD50EA"/>
    <w:rsid w:val="00FD76ED"/>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D3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customStyle="1" w:styleId="SingleTxtG">
    <w:name w:val="_ Single Txt_G"/>
    <w:basedOn w:val="Normal"/>
    <w:link w:val="SingleTxtGChar"/>
    <w:qFormat/>
    <w:rsid w:val="006C73D5"/>
    <w:pPr>
      <w:suppressAutoHyphens/>
      <w:spacing w:after="120" w:line="240" w:lineRule="atLeast"/>
      <w:ind w:left="1134" w:right="1134"/>
      <w:jc w:val="both"/>
    </w:pPr>
  </w:style>
  <w:style w:type="character" w:customStyle="1" w:styleId="SingleTxtGChar">
    <w:name w:val="_ Single Txt_G Char"/>
    <w:link w:val="SingleTxtG"/>
    <w:rsid w:val="006C73D5"/>
    <w:rPr>
      <w:lang w:val="en-GB" w:eastAsia="en-US"/>
    </w:rPr>
  </w:style>
  <w:style w:type="paragraph" w:styleId="ListParagraph">
    <w:name w:val="List Paragraph"/>
    <w:basedOn w:val="Normal"/>
    <w:uiPriority w:val="34"/>
    <w:qFormat/>
    <w:rsid w:val="007A5543"/>
    <w:pPr>
      <w:spacing w:after="160" w:line="259" w:lineRule="auto"/>
      <w:ind w:left="720"/>
      <w:contextualSpacing/>
    </w:pPr>
    <w:rPr>
      <w:rFonts w:asciiTheme="minorHAnsi" w:eastAsiaTheme="minorHAnsi" w:hAnsiTheme="minorHAnsi" w:cstheme="minorBidi"/>
      <w:sz w:val="22"/>
      <w:szCs w:val="2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6593">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284191746">
      <w:bodyDiv w:val="1"/>
      <w:marLeft w:val="0"/>
      <w:marRight w:val="0"/>
      <w:marTop w:val="0"/>
      <w:marBottom w:val="0"/>
      <w:divBdr>
        <w:top w:val="none" w:sz="0" w:space="0" w:color="auto"/>
        <w:left w:val="none" w:sz="0" w:space="0" w:color="auto"/>
        <w:bottom w:val="none" w:sz="0" w:space="0" w:color="auto"/>
        <w:right w:val="none" w:sz="0" w:space="0" w:color="auto"/>
      </w:divBdr>
      <w:divsChild>
        <w:div w:id="373045529">
          <w:marLeft w:val="0"/>
          <w:marRight w:val="0"/>
          <w:marTop w:val="0"/>
          <w:marBottom w:val="0"/>
          <w:divBdr>
            <w:top w:val="none" w:sz="0" w:space="0" w:color="auto"/>
            <w:left w:val="none" w:sz="0" w:space="0" w:color="auto"/>
            <w:bottom w:val="none" w:sz="0" w:space="0" w:color="auto"/>
            <w:right w:val="none" w:sz="0" w:space="0" w:color="auto"/>
          </w:divBdr>
          <w:divsChild>
            <w:div w:id="1025863485">
              <w:marLeft w:val="0"/>
              <w:marRight w:val="0"/>
              <w:marTop w:val="0"/>
              <w:marBottom w:val="0"/>
              <w:divBdr>
                <w:top w:val="none" w:sz="0" w:space="0" w:color="auto"/>
                <w:left w:val="none" w:sz="0" w:space="0" w:color="auto"/>
                <w:bottom w:val="none" w:sz="0" w:space="0" w:color="auto"/>
                <w:right w:val="none" w:sz="0" w:space="0" w:color="auto"/>
              </w:divBdr>
              <w:divsChild>
                <w:div w:id="34816106">
                  <w:marLeft w:val="0"/>
                  <w:marRight w:val="0"/>
                  <w:marTop w:val="0"/>
                  <w:marBottom w:val="0"/>
                  <w:divBdr>
                    <w:top w:val="none" w:sz="0" w:space="0" w:color="auto"/>
                    <w:left w:val="none" w:sz="0" w:space="0" w:color="auto"/>
                    <w:bottom w:val="none" w:sz="0" w:space="0" w:color="auto"/>
                    <w:right w:val="none" w:sz="0" w:space="0" w:color="auto"/>
                  </w:divBdr>
                  <w:divsChild>
                    <w:div w:id="35395299">
                      <w:marLeft w:val="0"/>
                      <w:marRight w:val="0"/>
                      <w:marTop w:val="0"/>
                      <w:marBottom w:val="0"/>
                      <w:divBdr>
                        <w:top w:val="none" w:sz="0" w:space="0" w:color="auto"/>
                        <w:left w:val="none" w:sz="0" w:space="0" w:color="auto"/>
                        <w:bottom w:val="none" w:sz="0" w:space="0" w:color="auto"/>
                        <w:right w:val="none" w:sz="0" w:space="0" w:color="auto"/>
                      </w:divBdr>
                      <w:divsChild>
                        <w:div w:id="1755855115">
                          <w:marLeft w:val="0"/>
                          <w:marRight w:val="0"/>
                          <w:marTop w:val="0"/>
                          <w:marBottom w:val="0"/>
                          <w:divBdr>
                            <w:top w:val="none" w:sz="0" w:space="0" w:color="auto"/>
                            <w:left w:val="none" w:sz="0" w:space="0" w:color="auto"/>
                            <w:bottom w:val="none" w:sz="0" w:space="0" w:color="auto"/>
                            <w:right w:val="none" w:sz="0" w:space="0" w:color="auto"/>
                          </w:divBdr>
                          <w:divsChild>
                            <w:div w:id="2120831962">
                              <w:marLeft w:val="0"/>
                              <w:marRight w:val="0"/>
                              <w:marTop w:val="0"/>
                              <w:marBottom w:val="0"/>
                              <w:divBdr>
                                <w:top w:val="none" w:sz="0" w:space="0" w:color="auto"/>
                                <w:left w:val="none" w:sz="0" w:space="0" w:color="auto"/>
                                <w:bottom w:val="none" w:sz="0" w:space="0" w:color="auto"/>
                                <w:right w:val="none" w:sz="0" w:space="0" w:color="auto"/>
                              </w:divBdr>
                              <w:divsChild>
                                <w:div w:id="1607032572">
                                  <w:marLeft w:val="0"/>
                                  <w:marRight w:val="0"/>
                                  <w:marTop w:val="0"/>
                                  <w:marBottom w:val="0"/>
                                  <w:divBdr>
                                    <w:top w:val="none" w:sz="0" w:space="0" w:color="auto"/>
                                    <w:left w:val="none" w:sz="0" w:space="0" w:color="auto"/>
                                    <w:bottom w:val="none" w:sz="0" w:space="0" w:color="auto"/>
                                    <w:right w:val="none" w:sz="0" w:space="0" w:color="auto"/>
                                  </w:divBdr>
                                  <w:divsChild>
                                    <w:div w:id="2122067777">
                                      <w:marLeft w:val="0"/>
                                      <w:marRight w:val="0"/>
                                      <w:marTop w:val="0"/>
                                      <w:marBottom w:val="0"/>
                                      <w:divBdr>
                                        <w:top w:val="none" w:sz="0" w:space="0" w:color="auto"/>
                                        <w:left w:val="none" w:sz="0" w:space="0" w:color="auto"/>
                                        <w:bottom w:val="none" w:sz="0" w:space="0" w:color="auto"/>
                                        <w:right w:val="none" w:sz="0" w:space="0" w:color="auto"/>
                                      </w:divBdr>
                                      <w:divsChild>
                                        <w:div w:id="818615077">
                                          <w:marLeft w:val="0"/>
                                          <w:marRight w:val="0"/>
                                          <w:marTop w:val="0"/>
                                          <w:marBottom w:val="0"/>
                                          <w:divBdr>
                                            <w:top w:val="none" w:sz="0" w:space="0" w:color="auto"/>
                                            <w:left w:val="none" w:sz="0" w:space="0" w:color="auto"/>
                                            <w:bottom w:val="none" w:sz="0" w:space="0" w:color="auto"/>
                                            <w:right w:val="none" w:sz="0" w:space="0" w:color="auto"/>
                                          </w:divBdr>
                                          <w:divsChild>
                                            <w:div w:id="1016545272">
                                              <w:marLeft w:val="0"/>
                                              <w:marRight w:val="0"/>
                                              <w:marTop w:val="0"/>
                                              <w:marBottom w:val="495"/>
                                              <w:divBdr>
                                                <w:top w:val="none" w:sz="0" w:space="0" w:color="auto"/>
                                                <w:left w:val="none" w:sz="0" w:space="0" w:color="auto"/>
                                                <w:bottom w:val="none" w:sz="0" w:space="0" w:color="auto"/>
                                                <w:right w:val="none" w:sz="0" w:space="0" w:color="auto"/>
                                              </w:divBdr>
                                              <w:divsChild>
                                                <w:div w:id="5996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2.xml><?xml version="1.0" encoding="utf-8"?>
<ds:datastoreItem xmlns:ds="http://schemas.openxmlformats.org/officeDocument/2006/customXml" ds:itemID="{BA805DD3-C0F6-49FC-B2DE-56506E0477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23FE284-F28F-499D-903A-6B6968DF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5.xml><?xml version="1.0" encoding="utf-8"?>
<ds:datastoreItem xmlns:ds="http://schemas.openxmlformats.org/officeDocument/2006/customXml" ds:itemID="{C3D506BC-4290-416C-91E8-7F5F85BF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4442</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NV legally binding instruments_AC22 (E)</vt:lpstr>
      <vt:lpstr>NV legally binding instruments_AC22 (E)</vt:lpstr>
    </vt:vector>
  </TitlesOfParts>
  <LinksUpToDate>false</LinksUpToDate>
  <CharactersWithSpaces>5247</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2020-03-20T08:45:00Z</dcterms:created>
  <dcterms:modified xsi:type="dcterms:W3CDTF">2020-03-20T08:50:00Z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