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BA" w:rsidRDefault="00CA13BA" w:rsidP="00CA13BA">
      <w:pPr>
        <w:jc w:val="center"/>
        <w:rPr>
          <w:rFonts w:ascii="Arial" w:hAnsi="Arial" w:cs="Arial"/>
          <w:b/>
          <w:sz w:val="24"/>
          <w:szCs w:val="24"/>
          <w:lang w:val="en-US"/>
        </w:rPr>
      </w:pPr>
      <w:bookmarkStart w:id="0" w:name="_GoBack"/>
      <w:bookmarkEnd w:id="0"/>
      <w:r>
        <w:rPr>
          <w:rFonts w:ascii="Arial" w:hAnsi="Arial" w:cs="Arial"/>
          <w:b/>
          <w:sz w:val="24"/>
          <w:szCs w:val="24"/>
          <w:lang w:val="en-US"/>
        </w:rPr>
        <w:t>Talking points for a possible EU intervention at the Twenty-fourth session of the Advisory Committee of the Human Rights Council</w:t>
      </w:r>
    </w:p>
    <w:p w:rsidR="00CA13BA" w:rsidRDefault="00CA13BA" w:rsidP="00CA13BA">
      <w:pPr>
        <w:jc w:val="center"/>
        <w:rPr>
          <w:rFonts w:ascii="Arial" w:hAnsi="Arial" w:cs="Arial"/>
          <w:sz w:val="24"/>
          <w:szCs w:val="24"/>
          <w:lang w:val="en-US"/>
        </w:rPr>
      </w:pPr>
      <w:r>
        <w:rPr>
          <w:rFonts w:ascii="Arial" w:hAnsi="Arial" w:cs="Arial"/>
          <w:sz w:val="24"/>
          <w:szCs w:val="24"/>
          <w:lang w:val="en-US"/>
        </w:rPr>
        <w:t xml:space="preserve">18 February 2020 at 10:00, </w:t>
      </w:r>
      <w:proofErr w:type="spellStart"/>
      <w:r>
        <w:rPr>
          <w:rFonts w:ascii="Arial" w:hAnsi="Arial" w:cs="Arial"/>
          <w:sz w:val="24"/>
          <w:szCs w:val="24"/>
          <w:lang w:val="en-US"/>
        </w:rPr>
        <w:t>Palais</w:t>
      </w:r>
      <w:proofErr w:type="spellEnd"/>
      <w:r>
        <w:rPr>
          <w:rFonts w:ascii="Arial" w:hAnsi="Arial" w:cs="Arial"/>
          <w:sz w:val="24"/>
          <w:szCs w:val="24"/>
          <w:lang w:val="en-US"/>
        </w:rPr>
        <w:t xml:space="preserve"> des Nations, Room XX</w:t>
      </w:r>
    </w:p>
    <w:p w:rsidR="00CA13BA" w:rsidRDefault="00CA13BA" w:rsidP="00CA13BA">
      <w:pPr>
        <w:rPr>
          <w:rFonts w:ascii="Arial" w:hAnsi="Arial" w:cs="Arial"/>
          <w:sz w:val="24"/>
          <w:szCs w:val="24"/>
          <w:lang w:val="en-US"/>
        </w:rPr>
      </w:pPr>
    </w:p>
    <w:p w:rsidR="00CA13BA" w:rsidRDefault="00CA13BA" w:rsidP="00CA13BA">
      <w:pPr>
        <w:jc w:val="center"/>
        <w:rPr>
          <w:rFonts w:ascii="Arial" w:hAnsi="Arial" w:cs="Arial"/>
          <w:b/>
          <w:sz w:val="24"/>
          <w:szCs w:val="24"/>
          <w:lang w:val="en-US"/>
        </w:rPr>
      </w:pPr>
      <w:r>
        <w:rPr>
          <w:rFonts w:ascii="Arial" w:hAnsi="Arial" w:cs="Arial"/>
          <w:b/>
          <w:sz w:val="24"/>
          <w:szCs w:val="24"/>
          <w:lang w:val="en-US"/>
        </w:rPr>
        <w:t>"The importance of a legally binding instrument on the right to development"</w:t>
      </w:r>
    </w:p>
    <w:p w:rsidR="00CA13BA" w:rsidRDefault="00CA13BA" w:rsidP="00CA13BA">
      <w:pPr>
        <w:jc w:val="center"/>
        <w:rPr>
          <w:rFonts w:ascii="Arial" w:hAnsi="Arial" w:cs="Arial"/>
          <w:b/>
          <w:sz w:val="24"/>
          <w:szCs w:val="24"/>
          <w:lang w:val="en-US"/>
        </w:rPr>
      </w:pPr>
    </w:p>
    <w:p w:rsidR="00CA13BA" w:rsidRPr="003948F6" w:rsidRDefault="00CA13BA" w:rsidP="003948F6">
      <w:pPr>
        <w:pStyle w:val="ListParagraph"/>
        <w:numPr>
          <w:ilvl w:val="0"/>
          <w:numId w:val="1"/>
        </w:numPr>
        <w:jc w:val="both"/>
        <w:rPr>
          <w:rFonts w:ascii="Arial" w:hAnsi="Arial" w:cs="Arial"/>
          <w:sz w:val="24"/>
          <w:szCs w:val="24"/>
        </w:rPr>
      </w:pPr>
      <w:r w:rsidRPr="003948F6">
        <w:rPr>
          <w:rFonts w:ascii="Arial" w:hAnsi="Arial" w:cs="Arial"/>
          <w:sz w:val="24"/>
          <w:szCs w:val="24"/>
        </w:rPr>
        <w:t>These are just a few thoughts about the second draft of your study, given that there are several parallel dialogues on the Right to development.</w:t>
      </w:r>
    </w:p>
    <w:p w:rsidR="00CA13BA" w:rsidRPr="003948F6" w:rsidRDefault="00CA13BA" w:rsidP="003948F6">
      <w:pPr>
        <w:pStyle w:val="ListParagraph"/>
        <w:jc w:val="both"/>
        <w:rPr>
          <w:rFonts w:ascii="Arial" w:hAnsi="Arial" w:cs="Arial"/>
          <w:sz w:val="24"/>
          <w:szCs w:val="24"/>
        </w:rPr>
      </w:pPr>
    </w:p>
    <w:p w:rsidR="00CA13BA" w:rsidRDefault="00CA13BA" w:rsidP="003948F6">
      <w:pPr>
        <w:pStyle w:val="ListParagraph"/>
        <w:numPr>
          <w:ilvl w:val="0"/>
          <w:numId w:val="2"/>
        </w:numPr>
        <w:spacing w:after="0"/>
        <w:contextualSpacing w:val="0"/>
        <w:jc w:val="both"/>
        <w:rPr>
          <w:rFonts w:ascii="Arial" w:hAnsi="Arial" w:cs="Arial"/>
          <w:sz w:val="24"/>
          <w:szCs w:val="24"/>
        </w:rPr>
      </w:pPr>
      <w:r w:rsidRPr="003948F6">
        <w:rPr>
          <w:rFonts w:ascii="Arial" w:hAnsi="Arial" w:cs="Arial"/>
          <w:sz w:val="24"/>
          <w:szCs w:val="24"/>
        </w:rPr>
        <w:t xml:space="preserve">On your 'Affirmation of the Right to development': We can reiterate our support </w:t>
      </w:r>
      <w:r w:rsidR="003948F6" w:rsidRPr="003948F6">
        <w:rPr>
          <w:rFonts w:ascii="Arial" w:hAnsi="Arial" w:cs="Arial"/>
          <w:sz w:val="24"/>
          <w:szCs w:val="24"/>
        </w:rPr>
        <w:t>to</w:t>
      </w:r>
      <w:r w:rsidRPr="003948F6">
        <w:rPr>
          <w:rFonts w:ascii="Arial" w:hAnsi="Arial" w:cs="Arial"/>
          <w:sz w:val="24"/>
          <w:szCs w:val="24"/>
        </w:rPr>
        <w:t xml:space="preserve"> a concept based on the indivisibility and interdependence of all human rights, recognizing the multidimensional nature of development strategies and the individual rights holders as the central subject and driving force of the development process. </w:t>
      </w:r>
    </w:p>
    <w:p w:rsidR="003948F6" w:rsidRPr="003948F6" w:rsidRDefault="003948F6" w:rsidP="003948F6">
      <w:pPr>
        <w:pStyle w:val="ListParagraph"/>
        <w:spacing w:after="0"/>
        <w:contextualSpacing w:val="0"/>
        <w:jc w:val="both"/>
        <w:rPr>
          <w:rFonts w:ascii="Arial" w:hAnsi="Arial" w:cs="Arial"/>
          <w:sz w:val="24"/>
          <w:szCs w:val="24"/>
        </w:rPr>
      </w:pPr>
    </w:p>
    <w:p w:rsidR="003948F6" w:rsidRDefault="00CA13BA" w:rsidP="003948F6">
      <w:pPr>
        <w:pStyle w:val="ListParagraph"/>
        <w:numPr>
          <w:ilvl w:val="0"/>
          <w:numId w:val="2"/>
        </w:numPr>
        <w:jc w:val="both"/>
        <w:rPr>
          <w:rFonts w:ascii="Arial" w:hAnsi="Arial" w:cs="Arial"/>
          <w:sz w:val="24"/>
          <w:szCs w:val="24"/>
        </w:rPr>
      </w:pPr>
      <w:r w:rsidRPr="003948F6">
        <w:rPr>
          <w:rFonts w:ascii="Arial" w:hAnsi="Arial" w:cs="Arial"/>
          <w:sz w:val="24"/>
          <w:szCs w:val="24"/>
        </w:rPr>
        <w:t xml:space="preserve">On </w:t>
      </w:r>
      <w:r w:rsidR="003948F6" w:rsidRPr="003948F6">
        <w:rPr>
          <w:rFonts w:ascii="Arial" w:hAnsi="Arial" w:cs="Arial"/>
          <w:sz w:val="24"/>
          <w:szCs w:val="24"/>
        </w:rPr>
        <w:t>'</w:t>
      </w:r>
      <w:r w:rsidRPr="003948F6">
        <w:rPr>
          <w:rFonts w:ascii="Arial" w:hAnsi="Arial" w:cs="Arial"/>
          <w:sz w:val="24"/>
          <w:szCs w:val="24"/>
        </w:rPr>
        <w:t>Sustainable development Goals and the Right to development':</w:t>
      </w:r>
      <w:r w:rsidR="003948F6" w:rsidRPr="003948F6">
        <w:rPr>
          <w:rFonts w:ascii="Arial" w:hAnsi="Arial" w:cs="Arial"/>
          <w:sz w:val="24"/>
          <w:szCs w:val="24"/>
        </w:rPr>
        <w:t xml:space="preserve"> The Right to Development requires the full and non-discriminatory realisation of all human rights, be they civil, political, economic, social or cultural; and requires a mix of policies, which will create an enabling environment for individuals, involving a wide range of actors, at different levels. Indeed, any development policy should make the individual human being the main participant and beneficiary of development. We would like to emphasize that, while national development efforts should be supported, States, acting individually and collectively, have the primary responsibility for realising the right to development and ensuring that their citizens can benefit.</w:t>
      </w:r>
    </w:p>
    <w:p w:rsidR="003948F6" w:rsidRPr="003948F6" w:rsidRDefault="003948F6" w:rsidP="003948F6">
      <w:pPr>
        <w:pStyle w:val="ListParagraph"/>
        <w:jc w:val="both"/>
        <w:rPr>
          <w:rFonts w:ascii="Arial" w:hAnsi="Arial" w:cs="Arial"/>
          <w:sz w:val="24"/>
          <w:szCs w:val="24"/>
        </w:rPr>
      </w:pPr>
    </w:p>
    <w:p w:rsidR="00CA13BA" w:rsidRPr="003948F6" w:rsidRDefault="003948F6" w:rsidP="003948F6">
      <w:pPr>
        <w:pStyle w:val="ListParagraph"/>
        <w:numPr>
          <w:ilvl w:val="0"/>
          <w:numId w:val="1"/>
        </w:numPr>
        <w:jc w:val="both"/>
        <w:rPr>
          <w:rFonts w:ascii="Arial" w:hAnsi="Arial" w:cs="Arial"/>
          <w:sz w:val="24"/>
          <w:szCs w:val="24"/>
        </w:rPr>
      </w:pPr>
      <w:r w:rsidRPr="003948F6">
        <w:rPr>
          <w:rFonts w:ascii="Arial" w:hAnsi="Arial" w:cs="Arial"/>
          <w:sz w:val="24"/>
          <w:szCs w:val="24"/>
        </w:rPr>
        <w:t xml:space="preserve">On a Legally Binding Instrument on the Right to </w:t>
      </w:r>
      <w:r w:rsidR="00B646CF">
        <w:rPr>
          <w:rFonts w:ascii="Arial" w:hAnsi="Arial" w:cs="Arial"/>
          <w:sz w:val="24"/>
          <w:szCs w:val="24"/>
        </w:rPr>
        <w:t>d</w:t>
      </w:r>
      <w:r w:rsidRPr="003948F6">
        <w:rPr>
          <w:rFonts w:ascii="Arial" w:hAnsi="Arial" w:cs="Arial"/>
          <w:sz w:val="24"/>
          <w:szCs w:val="24"/>
        </w:rPr>
        <w:t xml:space="preserve">evelopment: </w:t>
      </w:r>
      <w:r w:rsidR="00CA13BA" w:rsidRPr="003948F6">
        <w:rPr>
          <w:rFonts w:ascii="Arial" w:hAnsi="Arial" w:cs="Arial"/>
          <w:sz w:val="24"/>
          <w:szCs w:val="24"/>
          <w:lang w:val="en-US"/>
        </w:rPr>
        <w:t xml:space="preserve">We have to re-state our position that we are not in </w:t>
      </w:r>
      <w:proofErr w:type="spellStart"/>
      <w:r w:rsidR="00CA13BA" w:rsidRPr="003948F6">
        <w:rPr>
          <w:rFonts w:ascii="Arial" w:hAnsi="Arial" w:cs="Arial"/>
          <w:sz w:val="24"/>
          <w:szCs w:val="24"/>
          <w:lang w:val="en-US"/>
        </w:rPr>
        <w:t>favour</w:t>
      </w:r>
      <w:proofErr w:type="spellEnd"/>
      <w:r w:rsidR="00CA13BA" w:rsidRPr="003948F6">
        <w:rPr>
          <w:rFonts w:ascii="Arial" w:hAnsi="Arial" w:cs="Arial"/>
          <w:sz w:val="24"/>
          <w:szCs w:val="24"/>
          <w:lang w:val="en-US"/>
        </w:rPr>
        <w:t xml:space="preserve"> of the elaboration of an international legal standard of a binding nature as we do not believe that this is the appropriate mechanism to </w:t>
      </w:r>
      <w:proofErr w:type="spellStart"/>
      <w:r w:rsidR="00CA13BA" w:rsidRPr="003948F6">
        <w:rPr>
          <w:rFonts w:ascii="Arial" w:hAnsi="Arial" w:cs="Arial"/>
          <w:sz w:val="24"/>
          <w:szCs w:val="24"/>
          <w:lang w:val="en-US"/>
        </w:rPr>
        <w:t>realise</w:t>
      </w:r>
      <w:proofErr w:type="spellEnd"/>
      <w:r w:rsidR="00CA13BA" w:rsidRPr="003948F6">
        <w:rPr>
          <w:rFonts w:ascii="Arial" w:hAnsi="Arial" w:cs="Arial"/>
          <w:sz w:val="24"/>
          <w:szCs w:val="24"/>
          <w:lang w:val="en-US"/>
        </w:rPr>
        <w:t xml:space="preserve"> the right to development. </w:t>
      </w:r>
    </w:p>
    <w:p w:rsidR="003948F6" w:rsidRPr="003948F6" w:rsidRDefault="003948F6" w:rsidP="003948F6">
      <w:pPr>
        <w:pStyle w:val="ListParagraph"/>
        <w:jc w:val="both"/>
        <w:rPr>
          <w:rFonts w:ascii="Arial" w:hAnsi="Arial" w:cs="Arial"/>
          <w:sz w:val="24"/>
          <w:szCs w:val="24"/>
        </w:rPr>
      </w:pPr>
    </w:p>
    <w:p w:rsidR="00CA13BA" w:rsidRPr="003948F6" w:rsidRDefault="00CA13BA" w:rsidP="003948F6">
      <w:pPr>
        <w:pStyle w:val="ListParagraph"/>
        <w:numPr>
          <w:ilvl w:val="0"/>
          <w:numId w:val="1"/>
        </w:numPr>
        <w:jc w:val="both"/>
        <w:rPr>
          <w:rFonts w:ascii="Arial" w:hAnsi="Arial" w:cs="Arial"/>
          <w:sz w:val="24"/>
          <w:szCs w:val="24"/>
        </w:rPr>
      </w:pPr>
      <w:r w:rsidRPr="003948F6">
        <w:rPr>
          <w:rFonts w:ascii="Arial" w:hAnsi="Arial" w:cs="Arial"/>
          <w:sz w:val="24"/>
          <w:szCs w:val="24"/>
        </w:rPr>
        <w:t>Thank you for your attention.</w:t>
      </w:r>
    </w:p>
    <w:p w:rsidR="00CA13BA" w:rsidRPr="003948F6" w:rsidRDefault="00CA13BA" w:rsidP="003948F6">
      <w:pPr>
        <w:jc w:val="both"/>
        <w:rPr>
          <w:rFonts w:ascii="Arial" w:hAnsi="Arial" w:cs="Arial"/>
          <w:sz w:val="24"/>
          <w:szCs w:val="24"/>
        </w:rPr>
      </w:pPr>
    </w:p>
    <w:p w:rsidR="00805335" w:rsidRPr="00CA13BA" w:rsidRDefault="001E62B7">
      <w:pPr>
        <w:rPr>
          <w:lang w:val="en-US"/>
        </w:rPr>
      </w:pPr>
    </w:p>
    <w:sectPr w:rsidR="00805335" w:rsidRPr="00CA1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40F6D"/>
    <w:multiLevelType w:val="hybridMultilevel"/>
    <w:tmpl w:val="026A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DD73E5"/>
    <w:multiLevelType w:val="hybridMultilevel"/>
    <w:tmpl w:val="19C86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A13BA"/>
    <w:rsid w:val="001E62B7"/>
    <w:rsid w:val="002841B5"/>
    <w:rsid w:val="003948F6"/>
    <w:rsid w:val="007C2797"/>
    <w:rsid w:val="00AE2F59"/>
    <w:rsid w:val="00B646CF"/>
    <w:rsid w:val="00CA13BA"/>
    <w:rsid w:val="00DC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color w:val="000000"/>
        <w:sz w:val="22"/>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3BA"/>
    <w:rPr>
      <w:rFonts w:asciiTheme="minorHAnsi" w:eastAsiaTheme="minorHAnsi" w:hAnsiTheme="minorHAnsi"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3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color w:val="000000"/>
        <w:sz w:val="22"/>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3BA"/>
    <w:rPr>
      <w:rFonts w:asciiTheme="minorHAnsi" w:eastAsiaTheme="minorHAnsi" w:hAnsiTheme="minorHAnsi"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F5759A-72A4-474B-9E55-F57004B2447E}"/>
</file>

<file path=customXml/itemProps2.xml><?xml version="1.0" encoding="utf-8"?>
<ds:datastoreItem xmlns:ds="http://schemas.openxmlformats.org/officeDocument/2006/customXml" ds:itemID="{837C1FEB-F766-4B9F-B91A-8404F0F2D5A9}"/>
</file>

<file path=customXml/itemProps3.xml><?xml version="1.0" encoding="utf-8"?>
<ds:datastoreItem xmlns:ds="http://schemas.openxmlformats.org/officeDocument/2006/customXml" ds:itemID="{8FB33A89-11EB-4574-BA10-A8D904F6AD7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SZOMBATI Bela (EEAS-GENEVA)</dc:creator>
  <cp:lastModifiedBy>CHOUCQ Nadine (EEAS-GENEVA)</cp:lastModifiedBy>
  <cp:revision>2</cp:revision>
  <dcterms:created xsi:type="dcterms:W3CDTF">2020-02-17T10:42:00Z</dcterms:created>
  <dcterms:modified xsi:type="dcterms:W3CDTF">2020-02-17T10:42:00Z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