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C91" w:rsidRPr="000A1ED5" w:rsidRDefault="00555C91" w:rsidP="00DF2CA9">
      <w:pPr>
        <w:spacing w:after="120" w:line="240" w:lineRule="auto"/>
        <w:jc w:val="center"/>
        <w:rPr>
          <w:rFonts w:ascii="Calibri" w:hAnsi="Calibri" w:cs="Calibri"/>
          <w:b/>
          <w:bCs/>
          <w:color w:val="000000"/>
          <w:sz w:val="28"/>
          <w:szCs w:val="28"/>
          <w:lang w:val="en-GB"/>
        </w:rPr>
      </w:pPr>
      <w:r w:rsidRPr="000A1ED5">
        <w:rPr>
          <w:rFonts w:ascii="Calibri" w:hAnsi="Calibri" w:cs="Calibri"/>
          <w:b/>
          <w:bCs/>
          <w:color w:val="000000"/>
          <w:sz w:val="28"/>
          <w:szCs w:val="28"/>
          <w:lang w:val="en-GB"/>
        </w:rPr>
        <w:t xml:space="preserve">Advisory Committee of the Human Rights Council </w:t>
      </w:r>
    </w:p>
    <w:p w:rsidR="00577670" w:rsidRPr="000A1ED5" w:rsidRDefault="00E251D9" w:rsidP="00DF2CA9">
      <w:pPr>
        <w:spacing w:after="120" w:line="240" w:lineRule="auto"/>
        <w:jc w:val="center"/>
        <w:rPr>
          <w:rFonts w:ascii="Calibri" w:hAnsi="Calibri" w:cs="Calibri"/>
          <w:b/>
          <w:bCs/>
          <w:color w:val="000000"/>
          <w:sz w:val="28"/>
          <w:szCs w:val="28"/>
          <w:lang w:val="en-GB"/>
        </w:rPr>
      </w:pPr>
      <w:r w:rsidRPr="000A1ED5">
        <w:rPr>
          <w:rFonts w:ascii="Calibri" w:hAnsi="Calibri" w:cs="Calibri"/>
          <w:b/>
          <w:bCs/>
          <w:color w:val="000000"/>
          <w:sz w:val="28"/>
          <w:szCs w:val="28"/>
          <w:lang w:val="en-GB"/>
        </w:rPr>
        <w:t>Questionnaire on</w:t>
      </w:r>
      <w:r w:rsidR="009B5599" w:rsidRPr="000A1ED5">
        <w:rPr>
          <w:rFonts w:ascii="Calibri" w:hAnsi="Calibri" w:cs="Calibri"/>
          <w:b/>
          <w:bCs/>
          <w:color w:val="000000"/>
          <w:sz w:val="28"/>
          <w:szCs w:val="28"/>
          <w:lang w:val="en-GB"/>
        </w:rPr>
        <w:t xml:space="preserve"> </w:t>
      </w:r>
      <w:r w:rsidR="003E4748" w:rsidRPr="000A1ED5">
        <w:rPr>
          <w:rFonts w:ascii="Calibri" w:hAnsi="Calibri" w:cs="Calibri"/>
          <w:b/>
          <w:bCs/>
          <w:color w:val="000000"/>
          <w:sz w:val="28"/>
          <w:szCs w:val="28"/>
          <w:lang w:val="en-GB"/>
        </w:rPr>
        <w:t>n</w:t>
      </w:r>
      <w:r w:rsidR="009B5599" w:rsidRPr="000A1ED5">
        <w:rPr>
          <w:rFonts w:ascii="Calibri" w:hAnsi="Calibri" w:cs="Calibri"/>
          <w:b/>
          <w:bCs/>
          <w:color w:val="000000"/>
          <w:sz w:val="28"/>
          <w:szCs w:val="28"/>
          <w:lang w:val="en-GB"/>
        </w:rPr>
        <w:t>ew and emerging digital technologies and human rights</w:t>
      </w:r>
      <w:r w:rsidRPr="000A1ED5">
        <w:rPr>
          <w:rFonts w:ascii="Calibri" w:hAnsi="Calibri" w:cs="Calibri"/>
          <w:b/>
          <w:bCs/>
          <w:color w:val="000000"/>
          <w:sz w:val="28"/>
          <w:szCs w:val="28"/>
          <w:lang w:val="en-GB"/>
        </w:rPr>
        <w:t xml:space="preserve"> </w:t>
      </w:r>
      <w:r w:rsidRPr="000A1ED5">
        <w:rPr>
          <w:rFonts w:ascii="Calibri" w:hAnsi="Calibri" w:cs="Calibri"/>
          <w:b/>
          <w:bCs/>
          <w:color w:val="000000"/>
          <w:sz w:val="28"/>
          <w:szCs w:val="28"/>
          <w:lang w:val="en-GB"/>
        </w:rPr>
        <w:endnoteReference w:id="1"/>
      </w:r>
    </w:p>
    <w:p w:rsidR="00E251D9" w:rsidRPr="000A1ED5" w:rsidRDefault="00E251D9" w:rsidP="00DF2CA9">
      <w:pPr>
        <w:spacing w:after="120" w:line="240" w:lineRule="auto"/>
        <w:rPr>
          <w:rFonts w:ascii="Calibri" w:hAnsi="Calibri" w:cs="Calibri"/>
          <w:color w:val="000000"/>
          <w:lang w:val="en-GB"/>
        </w:rPr>
      </w:pPr>
    </w:p>
    <w:p w:rsidR="009B5599" w:rsidRPr="00DF2CA9" w:rsidRDefault="00E251D9" w:rsidP="00DF2CA9">
      <w:pPr>
        <w:spacing w:after="120" w:line="240" w:lineRule="auto"/>
        <w:jc w:val="both"/>
        <w:rPr>
          <w:rFonts w:ascii="Calibri" w:hAnsi="Calibri" w:cs="Calibri"/>
          <w:b/>
          <w:bCs/>
          <w:color w:val="000000"/>
          <w:lang w:val="en-GB"/>
        </w:rPr>
      </w:pPr>
      <w:r w:rsidRPr="00DF2CA9">
        <w:rPr>
          <w:rFonts w:ascii="Calibri" w:hAnsi="Calibri" w:cs="Calibri"/>
          <w:b/>
          <w:bCs/>
          <w:color w:val="000000"/>
          <w:lang w:val="en-GB"/>
        </w:rPr>
        <w:t>Core q</w:t>
      </w:r>
      <w:r w:rsidR="00AB538C" w:rsidRPr="00DF2CA9">
        <w:rPr>
          <w:rFonts w:ascii="Calibri" w:hAnsi="Calibri" w:cs="Calibri"/>
          <w:b/>
          <w:bCs/>
          <w:color w:val="000000"/>
          <w:lang w:val="en-GB"/>
        </w:rPr>
        <w:t>uestions</w:t>
      </w:r>
      <w:r w:rsidR="0047099C" w:rsidRPr="00DF2CA9">
        <w:rPr>
          <w:rFonts w:ascii="Calibri" w:hAnsi="Calibri" w:cs="Calibri"/>
          <w:b/>
          <w:bCs/>
          <w:color w:val="000000"/>
          <w:lang w:val="en-GB"/>
        </w:rPr>
        <w:t xml:space="preserve"> (for all stakeholders)</w:t>
      </w:r>
    </w:p>
    <w:p w:rsidR="003E4748" w:rsidRPr="00DF2CA9" w:rsidRDefault="003E4748" w:rsidP="00DF2CA9">
      <w:pPr>
        <w:pStyle w:val="PargrafodaLista"/>
        <w:numPr>
          <w:ilvl w:val="0"/>
          <w:numId w:val="1"/>
        </w:numPr>
        <w:spacing w:after="120" w:line="240" w:lineRule="auto"/>
        <w:jc w:val="both"/>
        <w:rPr>
          <w:rFonts w:ascii="Calibri" w:hAnsi="Calibri" w:cs="Calibri"/>
          <w:b/>
          <w:bCs/>
          <w:color w:val="000000"/>
          <w:lang w:val="en-GB"/>
        </w:rPr>
      </w:pPr>
      <w:r w:rsidRPr="00DF2CA9">
        <w:rPr>
          <w:rFonts w:ascii="Calibri" w:hAnsi="Calibri" w:cs="Calibri"/>
          <w:b/>
          <w:bCs/>
          <w:color w:val="000000"/>
          <w:lang w:val="en-GB"/>
        </w:rPr>
        <w:t>In what ways do new and emerging digital technologies help to protect and promote human rights? How can the positive benefits of these technologies be realized?</w:t>
      </w:r>
    </w:p>
    <w:p w:rsidR="007850D7" w:rsidRPr="000A1ED5" w:rsidRDefault="007850D7"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 xml:space="preserve">Emerging digital technologies may be a powerful instrument to encourage citizens' social, economic and political participation. In fact, as they allow rapid access to all kinds of information, they can support an easier access to knowledge, providing tools that enable citizens’ to all kind of purposes: learning, working, and even to enforce citizenship, namely by strengthening pluralist debates, forming joint positions and encouraging the process of decision-making in a democratic way. </w:t>
      </w:r>
    </w:p>
    <w:p w:rsidR="00EB51B4" w:rsidRPr="000A1ED5" w:rsidRDefault="007850D7"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On the other hand, they can also be a powerful means of spreading information and knowledge, of reporting good practices in implementing inclusive human rights policies, as well as of reporting abuse and violation of human rights, supporting the global mobilization of people against them.</w:t>
      </w:r>
    </w:p>
    <w:p w:rsidR="00B72FEF" w:rsidRPr="000A1ED5" w:rsidRDefault="00B72FEF"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 xml:space="preserve">Thus, from the point of view of </w:t>
      </w:r>
      <w:r w:rsidR="00DB2BB4" w:rsidRPr="000A1ED5">
        <w:rPr>
          <w:rFonts w:ascii="Calibri" w:hAnsi="Calibri" w:cs="Calibri"/>
          <w:color w:val="000000"/>
          <w:lang w:val="en-GB"/>
        </w:rPr>
        <w:t xml:space="preserve">the </w:t>
      </w:r>
      <w:r w:rsidRPr="000A1ED5">
        <w:rPr>
          <w:rFonts w:ascii="Calibri" w:hAnsi="Calibri" w:cs="Calibri"/>
          <w:color w:val="000000"/>
          <w:lang w:val="en-GB"/>
        </w:rPr>
        <w:t>working conditions, we consider that several benefits of Digital Technologies can be identified, such as: (</w:t>
      </w:r>
      <w:proofErr w:type="spellStart"/>
      <w:r w:rsidRPr="000A1ED5">
        <w:rPr>
          <w:rFonts w:ascii="Calibri" w:hAnsi="Calibri" w:cs="Calibri"/>
          <w:color w:val="000000"/>
          <w:lang w:val="en-GB"/>
        </w:rPr>
        <w:t>i</w:t>
      </w:r>
      <w:proofErr w:type="spellEnd"/>
      <w:r w:rsidRPr="000A1ED5">
        <w:rPr>
          <w:rFonts w:ascii="Calibri" w:hAnsi="Calibri" w:cs="Calibri"/>
          <w:color w:val="000000"/>
          <w:lang w:val="en-GB"/>
        </w:rPr>
        <w:t>) improve the ability to manage information; (ii) Increase participation in organizational processes; (iii) Create new opportunities for networking people and groups and facilitate and improve communication at work: communication between people more quickly and effectively via email and chat; (iv) Promote teleworking; (v) Contribute to easy access to global communication and as such allow greater access to the collection and processing of data worldwide.</w:t>
      </w:r>
    </w:p>
    <w:p w:rsidR="00B72FEF" w:rsidRPr="000A1ED5" w:rsidRDefault="00B72FEF"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Indeed, new and emerging digital technologies have implications in all aspects of work, whether regarding the people or platforms that do the work; the form and place where the work is performed; the type of work that is performed and the organization and conditions of performance, as well as the safety and health of workers.</w:t>
      </w:r>
    </w:p>
    <w:p w:rsidR="00D93C15" w:rsidRPr="000A1ED5" w:rsidRDefault="00B4561E"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A</w:t>
      </w:r>
      <w:r w:rsidR="00DB2BB4" w:rsidRPr="000A1ED5">
        <w:rPr>
          <w:rFonts w:ascii="Calibri" w:hAnsi="Calibri" w:cs="Calibri"/>
          <w:color w:val="000000"/>
          <w:lang w:val="en-GB"/>
        </w:rPr>
        <w:t xml:space="preserve"> </w:t>
      </w:r>
      <w:r w:rsidR="00095915" w:rsidRPr="000A1ED5">
        <w:rPr>
          <w:rFonts w:ascii="Calibri" w:hAnsi="Calibri" w:cs="Calibri"/>
          <w:color w:val="000000"/>
          <w:lang w:val="en-GB"/>
        </w:rPr>
        <w:t xml:space="preserve">good </w:t>
      </w:r>
      <w:r w:rsidRPr="000A1ED5">
        <w:rPr>
          <w:rFonts w:ascii="Calibri" w:hAnsi="Calibri" w:cs="Calibri"/>
          <w:color w:val="000000"/>
          <w:lang w:val="en-GB"/>
        </w:rPr>
        <w:t xml:space="preserve">example is </w:t>
      </w:r>
      <w:r w:rsidR="007A713D" w:rsidRPr="000A1ED5">
        <w:rPr>
          <w:rFonts w:ascii="Calibri" w:hAnsi="Calibri" w:cs="Calibri"/>
          <w:color w:val="000000"/>
          <w:lang w:val="en-GB"/>
        </w:rPr>
        <w:t xml:space="preserve">the </w:t>
      </w:r>
      <w:r w:rsidR="00396F9C" w:rsidRPr="000A1ED5">
        <w:rPr>
          <w:rFonts w:ascii="Calibri" w:hAnsi="Calibri" w:cs="Calibri"/>
          <w:color w:val="000000"/>
          <w:lang w:val="en-GB"/>
        </w:rPr>
        <w:t>Portuguese Social Security S</w:t>
      </w:r>
      <w:r w:rsidR="000422D8" w:rsidRPr="000A1ED5">
        <w:rPr>
          <w:rFonts w:ascii="Calibri" w:hAnsi="Calibri" w:cs="Calibri"/>
          <w:color w:val="000000"/>
          <w:lang w:val="en-GB"/>
        </w:rPr>
        <w:t xml:space="preserve">ystem </w:t>
      </w:r>
      <w:r w:rsidRPr="000A1ED5">
        <w:rPr>
          <w:rFonts w:ascii="Calibri" w:hAnsi="Calibri" w:cs="Calibri"/>
          <w:color w:val="000000"/>
          <w:lang w:val="en-GB"/>
        </w:rPr>
        <w:t xml:space="preserve">that </w:t>
      </w:r>
      <w:r w:rsidR="000422D8" w:rsidRPr="000A1ED5">
        <w:rPr>
          <w:rFonts w:ascii="Calibri" w:hAnsi="Calibri" w:cs="Calibri"/>
          <w:color w:val="000000"/>
          <w:lang w:val="en-GB"/>
        </w:rPr>
        <w:t xml:space="preserve">has reinforced </w:t>
      </w:r>
      <w:r w:rsidR="00DB2BB4" w:rsidRPr="000A1ED5">
        <w:rPr>
          <w:rFonts w:ascii="Calibri" w:hAnsi="Calibri" w:cs="Calibri"/>
          <w:color w:val="000000"/>
          <w:lang w:val="en-GB"/>
        </w:rPr>
        <w:t>its</w:t>
      </w:r>
      <w:r w:rsidR="000422D8" w:rsidRPr="000A1ED5">
        <w:rPr>
          <w:rFonts w:ascii="Calibri" w:hAnsi="Calibri" w:cs="Calibri"/>
          <w:color w:val="000000"/>
          <w:lang w:val="en-GB"/>
        </w:rPr>
        <w:t xml:space="preserve"> online services to citizens by creating </w:t>
      </w:r>
      <w:r w:rsidR="00DB2BB4" w:rsidRPr="000A1ED5">
        <w:rPr>
          <w:rFonts w:ascii="Calibri" w:hAnsi="Calibri" w:cs="Calibri"/>
          <w:color w:val="000000"/>
          <w:lang w:val="en-GB"/>
        </w:rPr>
        <w:t xml:space="preserve">the </w:t>
      </w:r>
      <w:r w:rsidR="000422D8" w:rsidRPr="000A1ED5">
        <w:rPr>
          <w:rFonts w:ascii="Calibri" w:hAnsi="Calibri" w:cs="Calibri"/>
          <w:color w:val="000000"/>
          <w:lang w:val="en-GB"/>
        </w:rPr>
        <w:t xml:space="preserve">Direct Social Security (SSD). </w:t>
      </w:r>
      <w:r w:rsidR="00D93C15" w:rsidRPr="000A1ED5">
        <w:rPr>
          <w:rFonts w:ascii="Calibri" w:hAnsi="Calibri" w:cs="Calibri"/>
          <w:color w:val="000000"/>
          <w:lang w:val="en-GB"/>
        </w:rPr>
        <w:t>Th</w:t>
      </w:r>
      <w:r w:rsidR="00DB2BB4" w:rsidRPr="000A1ED5">
        <w:rPr>
          <w:rFonts w:ascii="Calibri" w:hAnsi="Calibri" w:cs="Calibri"/>
          <w:color w:val="000000"/>
          <w:lang w:val="en-GB"/>
        </w:rPr>
        <w:t>is</w:t>
      </w:r>
      <w:r w:rsidR="00D93C15" w:rsidRPr="000A1ED5">
        <w:rPr>
          <w:rFonts w:ascii="Calibri" w:hAnsi="Calibri" w:cs="Calibri"/>
          <w:color w:val="000000"/>
          <w:lang w:val="en-GB"/>
        </w:rPr>
        <w:t xml:space="preserve"> service aim</w:t>
      </w:r>
      <w:r w:rsidR="00DB2BB4" w:rsidRPr="000A1ED5">
        <w:rPr>
          <w:rFonts w:ascii="Calibri" w:hAnsi="Calibri" w:cs="Calibri"/>
          <w:color w:val="000000"/>
          <w:lang w:val="en-GB"/>
        </w:rPr>
        <w:t>s</w:t>
      </w:r>
      <w:r w:rsidR="00D93C15" w:rsidRPr="000A1ED5">
        <w:rPr>
          <w:rFonts w:ascii="Calibri" w:hAnsi="Calibri" w:cs="Calibri"/>
          <w:color w:val="000000"/>
          <w:lang w:val="en-GB"/>
        </w:rPr>
        <w:t xml:space="preserve"> to improve the relationship between Social Security and Citizen</w:t>
      </w:r>
      <w:r w:rsidR="00DB2BB4" w:rsidRPr="000A1ED5">
        <w:rPr>
          <w:rFonts w:ascii="Calibri" w:hAnsi="Calibri" w:cs="Calibri"/>
          <w:color w:val="000000"/>
          <w:lang w:val="en-GB"/>
        </w:rPr>
        <w:t>s</w:t>
      </w:r>
      <w:r w:rsidR="00D93C15" w:rsidRPr="000A1ED5">
        <w:rPr>
          <w:rFonts w:ascii="Calibri" w:hAnsi="Calibri" w:cs="Calibri"/>
          <w:color w:val="000000"/>
          <w:lang w:val="en-GB"/>
        </w:rPr>
        <w:t xml:space="preserve">, allowing </w:t>
      </w:r>
      <w:r w:rsidR="00DB2BB4" w:rsidRPr="000A1ED5">
        <w:rPr>
          <w:rFonts w:ascii="Calibri" w:hAnsi="Calibri" w:cs="Calibri"/>
          <w:color w:val="000000"/>
          <w:lang w:val="en-GB"/>
        </w:rPr>
        <w:t xml:space="preserve">for </w:t>
      </w:r>
      <w:r w:rsidR="00D93C15" w:rsidRPr="000A1ED5">
        <w:rPr>
          <w:rFonts w:ascii="Calibri" w:hAnsi="Calibri" w:cs="Calibri"/>
          <w:color w:val="000000"/>
          <w:lang w:val="en-GB"/>
        </w:rPr>
        <w:t xml:space="preserve">their direct interaction with the Information System. Thus, </w:t>
      </w:r>
      <w:r w:rsidR="003E6FB4" w:rsidRPr="000A1ED5">
        <w:rPr>
          <w:rFonts w:ascii="Calibri" w:hAnsi="Calibri" w:cs="Calibri"/>
          <w:color w:val="000000"/>
          <w:lang w:val="en-GB"/>
        </w:rPr>
        <w:t>c</w:t>
      </w:r>
      <w:r w:rsidR="00D93C15" w:rsidRPr="000A1ED5">
        <w:rPr>
          <w:rFonts w:ascii="Calibri" w:hAnsi="Calibri" w:cs="Calibri"/>
          <w:color w:val="000000"/>
          <w:lang w:val="en-GB"/>
        </w:rPr>
        <w:t>itizen</w:t>
      </w:r>
      <w:r w:rsidR="003E6FB4" w:rsidRPr="000A1ED5">
        <w:rPr>
          <w:rFonts w:ascii="Calibri" w:hAnsi="Calibri" w:cs="Calibri"/>
          <w:color w:val="000000"/>
          <w:lang w:val="en-GB"/>
        </w:rPr>
        <w:t>s</w:t>
      </w:r>
      <w:r w:rsidR="00D93C15" w:rsidRPr="000A1ED5">
        <w:rPr>
          <w:rFonts w:ascii="Calibri" w:hAnsi="Calibri" w:cs="Calibri"/>
          <w:color w:val="000000"/>
          <w:lang w:val="en-GB"/>
        </w:rPr>
        <w:t xml:space="preserve"> manag</w:t>
      </w:r>
      <w:r w:rsidR="003E6FB4" w:rsidRPr="000A1ED5">
        <w:rPr>
          <w:rFonts w:ascii="Calibri" w:hAnsi="Calibri" w:cs="Calibri"/>
          <w:color w:val="000000"/>
          <w:lang w:val="en-GB"/>
        </w:rPr>
        <w:t xml:space="preserve">e </w:t>
      </w:r>
      <w:r w:rsidR="00D93C15" w:rsidRPr="000A1ED5">
        <w:rPr>
          <w:rFonts w:ascii="Calibri" w:hAnsi="Calibri" w:cs="Calibri"/>
          <w:color w:val="000000"/>
          <w:lang w:val="en-GB"/>
        </w:rPr>
        <w:t>the relationship with Social Security</w:t>
      </w:r>
      <w:r w:rsidR="003E6FB4" w:rsidRPr="000A1ED5">
        <w:rPr>
          <w:rFonts w:ascii="Calibri" w:hAnsi="Calibri" w:cs="Calibri"/>
          <w:color w:val="000000"/>
          <w:lang w:val="en-GB"/>
        </w:rPr>
        <w:t xml:space="preserve"> saving time and travels to the Social Security front offices´.</w:t>
      </w:r>
    </w:p>
    <w:p w:rsidR="00C5129E" w:rsidRPr="000A1ED5" w:rsidRDefault="00C5129E"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 xml:space="preserve">Regarding the human right to work, governments will need to consider specific actions to expand the opportunities that technologies bring. Four strategic sets of policies and programs that a government could consider to maximize the positive effects of technology on employment, while mitigating the negative effects: </w:t>
      </w:r>
      <w:proofErr w:type="spellStart"/>
      <w:r w:rsidRPr="000A1ED5">
        <w:rPr>
          <w:rFonts w:ascii="Calibri" w:hAnsi="Calibri" w:cs="Calibri"/>
          <w:color w:val="000000"/>
          <w:lang w:val="en-GB"/>
        </w:rPr>
        <w:t>i</w:t>
      </w:r>
      <w:proofErr w:type="spellEnd"/>
      <w:r w:rsidRPr="000A1ED5">
        <w:rPr>
          <w:rFonts w:ascii="Calibri" w:hAnsi="Calibri" w:cs="Calibri"/>
          <w:color w:val="000000"/>
          <w:lang w:val="en-GB"/>
        </w:rPr>
        <w:t xml:space="preserve">) enable the creation of more digital jobs, ii) increase access to digital tools, iii) empower the workforce in a digital age and iv) assist workers during the transition. The underlying theme for these actions </w:t>
      </w:r>
      <w:proofErr w:type="gramStart"/>
      <w:r w:rsidRPr="000A1ED5">
        <w:rPr>
          <w:rFonts w:ascii="Calibri" w:hAnsi="Calibri" w:cs="Calibri"/>
          <w:color w:val="000000"/>
          <w:lang w:val="en-GB"/>
        </w:rPr>
        <w:t>is</w:t>
      </w:r>
      <w:proofErr w:type="gramEnd"/>
      <w:r w:rsidRPr="000A1ED5">
        <w:rPr>
          <w:rFonts w:ascii="Calibri" w:hAnsi="Calibri" w:cs="Calibri"/>
          <w:color w:val="000000"/>
          <w:lang w:val="en-GB"/>
        </w:rPr>
        <w:t xml:space="preserve"> to boost participation in technology-enabled employment, while preparing the workforce for possible disruptions. Creating more digital jobs and increasing access digital tools, while empowering the workforce will help expand opportunities and the ability of more people to move into positions where they are reaping the benefits of technology. This will address susceptibility of jobs to digitization and can help to mitigate polarization. An empowered workforce will also be able to manage better the new risks they face. </w:t>
      </w:r>
    </w:p>
    <w:p w:rsidR="00C5129E" w:rsidRPr="000A1ED5" w:rsidRDefault="00C5129E"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 xml:space="preserve">Concerning the human rights related to education and training, new and emerging digital technologies are already central to the development of new ways of teaching and learning and, thus, to an easier accomplishment of the right to education, especially for those who are furthest from the education and </w:t>
      </w:r>
      <w:r w:rsidRPr="000A1ED5">
        <w:rPr>
          <w:rFonts w:ascii="Calibri" w:hAnsi="Calibri" w:cs="Calibri"/>
          <w:color w:val="000000"/>
          <w:lang w:val="en-GB"/>
        </w:rPr>
        <w:lastRenderedPageBreak/>
        <w:t>training system. They may also provide cheaper and wider access to educational tools, anytime and anywhere, through e-learning or blended-learning. In that way, digital technologies are a fundamental means to promote inclusive education and training.</w:t>
      </w:r>
    </w:p>
    <w:p w:rsidR="00824C08" w:rsidRDefault="00824C08"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For all this reasons, new and emerging technologies can really help in the protection and promotion of human rights. However, they can only play this role if: (a) their access is guaranteed to all citizens on equal/similar terms, considering all possible social, cultural or personal handicaps; (b) effective mechanisms are put in place to monitor their use, inclusive by protecting their abusive and harmful use against citizens' rights.</w:t>
      </w:r>
    </w:p>
    <w:p w:rsidR="000574F6" w:rsidRPr="000574F6" w:rsidRDefault="000574F6" w:rsidP="000574F6">
      <w:pPr>
        <w:spacing w:after="120" w:line="240" w:lineRule="auto"/>
        <w:jc w:val="both"/>
        <w:rPr>
          <w:rFonts w:ascii="Calibri" w:hAnsi="Calibri" w:cs="Calibri"/>
          <w:color w:val="000000"/>
          <w:lang w:val="en-GB"/>
        </w:rPr>
      </w:pPr>
      <w:r w:rsidRPr="000574F6">
        <w:rPr>
          <w:rFonts w:ascii="Calibri" w:hAnsi="Calibri" w:cs="Calibri"/>
          <w:color w:val="000000"/>
          <w:lang w:val="en-GB"/>
        </w:rPr>
        <w:t>The nexus between new technologies and homeland security has been discussed at the highest level, focusing on the need to minimize the risk of new technologies when used by criminal organizations</w:t>
      </w:r>
      <w:r>
        <w:rPr>
          <w:rFonts w:ascii="Calibri" w:hAnsi="Calibri" w:cs="Calibri"/>
          <w:color w:val="000000"/>
          <w:lang w:val="en-GB"/>
        </w:rPr>
        <w:t>. I</w:t>
      </w:r>
      <w:r w:rsidRPr="000574F6">
        <w:rPr>
          <w:rFonts w:ascii="Calibri" w:hAnsi="Calibri" w:cs="Calibri"/>
          <w:color w:val="000000"/>
          <w:lang w:val="en-GB"/>
        </w:rPr>
        <w:t xml:space="preserve">t is important to keep up with technological developments and explore their potential, that can be used </w:t>
      </w:r>
      <w:r>
        <w:rPr>
          <w:rFonts w:ascii="Calibri" w:hAnsi="Calibri" w:cs="Calibri"/>
          <w:color w:val="000000"/>
          <w:lang w:val="en-GB"/>
        </w:rPr>
        <w:t>in</w:t>
      </w:r>
      <w:r w:rsidRPr="000574F6">
        <w:rPr>
          <w:rFonts w:ascii="Calibri" w:hAnsi="Calibri" w:cs="Calibri"/>
          <w:color w:val="000000"/>
          <w:lang w:val="en-GB"/>
        </w:rPr>
        <w:t xml:space="preserve"> new tools and mechanisms of control and safeguard, in </w:t>
      </w:r>
      <w:r>
        <w:rPr>
          <w:rFonts w:ascii="Calibri" w:hAnsi="Calibri" w:cs="Calibri"/>
          <w:color w:val="000000"/>
          <w:lang w:val="en-GB"/>
        </w:rPr>
        <w:t xml:space="preserve">the </w:t>
      </w:r>
      <w:r w:rsidRPr="000574F6">
        <w:rPr>
          <w:rFonts w:ascii="Calibri" w:hAnsi="Calibri" w:cs="Calibri"/>
          <w:color w:val="000000"/>
          <w:lang w:val="en-GB"/>
        </w:rPr>
        <w:t xml:space="preserve">protection of personal data, in exchange of information about criminal </w:t>
      </w:r>
      <w:r>
        <w:rPr>
          <w:rFonts w:ascii="Calibri" w:hAnsi="Calibri" w:cs="Calibri"/>
          <w:color w:val="000000"/>
          <w:lang w:val="en-GB"/>
        </w:rPr>
        <w:t>groups</w:t>
      </w:r>
      <w:r w:rsidRPr="000574F6">
        <w:rPr>
          <w:rFonts w:ascii="Calibri" w:hAnsi="Calibri" w:cs="Calibri"/>
          <w:color w:val="000000"/>
          <w:lang w:val="en-GB"/>
        </w:rPr>
        <w:t xml:space="preserve">, among others. </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 xml:space="preserve">As new and emerging digital technologies (NEDT) increase the process of economic, political and intellectual globalization, they affect simultaneously both individuals and nation’s structures. Interactivity and connectivity characteristics of NEDT can make a fundamental contribution to human rights protection and promotion. For instance, they enhance freedom of expression and democratize it, as they allow it to be extended to the entire world. </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Since democracy entails access to media pluralism, NEDT enhance the promotion of democracy and participatory citizenship by allowing the global dissemination of information. With NEDT, the ease of inform and being informed enables spreading the knowledge on human rights across the globe. This leads to greater demands for respect for these rights, greater denunciation of violation of human rights, and greater sensitivity of the public and private sector to this issue.</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 xml:space="preserve">The unprecedented mobility and migration flows in today's world – in part due to the expansion of transports and communication technologies – and the resulting interculturality, led to new behaviours, new global communities, new possibilities for </w:t>
      </w:r>
      <w:proofErr w:type="gramStart"/>
      <w:r w:rsidRPr="00011E39">
        <w:rPr>
          <w:rFonts w:ascii="Calibri" w:hAnsi="Calibri" w:cs="Calibri"/>
          <w:color w:val="000000"/>
          <w:lang w:val="en-GB"/>
        </w:rPr>
        <w:t>each individual's</w:t>
      </w:r>
      <w:proofErr w:type="gramEnd"/>
      <w:r w:rsidRPr="00011E39">
        <w:rPr>
          <w:rFonts w:ascii="Calibri" w:hAnsi="Calibri" w:cs="Calibri"/>
          <w:color w:val="000000"/>
          <w:lang w:val="en-GB"/>
        </w:rPr>
        <w:t xml:space="preserve"> life. Thus, technological development and migration alongside are today defining themes of the globalized world. And for migrants who have access to global communication networks, this idea of ​​networking and connection translates into a permanent proximity feel that can allow the connection with their home communities.</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Concerning new technologies and techniques of datafication, data distribution and cloud computing, as they provide the ability to store and work on a larger and more reliable volume of data, they also allow achieving a better understanding and response to the needs of targeted groups, resulting in a greater capacity to create public policies that are more adapted to the needs of citizens, as well as a greater dissemination of knowledge.</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New technologies of personalized medicine are equally useful in a globalized world. For example, in terms of mental healthcare, there are already technological developments that enable migrants to get the medical support they urge, whether they live in countries where they do not speak the local language or do not have access to health care, or even where mental pathology is not socially accepted.</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 xml:space="preserve">Thus, the following stand out as positive aspects of the use of NEDT: interaction; multiculturalism; ease of communication between geographically distant people and organizations; fading of physical and sensory handicaps; greater access to information; greater learning potential. We emphasize that freedom of expression and free and equal access to new technologies are prerequisites for the </w:t>
      </w:r>
      <w:proofErr w:type="gramStart"/>
      <w:r w:rsidRPr="00011E39">
        <w:rPr>
          <w:rFonts w:ascii="Calibri" w:hAnsi="Calibri" w:cs="Calibri"/>
          <w:color w:val="000000"/>
          <w:lang w:val="en-GB"/>
        </w:rPr>
        <w:t>above mentioned</w:t>
      </w:r>
      <w:proofErr w:type="gramEnd"/>
      <w:r w:rsidRPr="00011E39">
        <w:rPr>
          <w:rFonts w:ascii="Calibri" w:hAnsi="Calibri" w:cs="Calibri"/>
          <w:color w:val="000000"/>
          <w:lang w:val="en-GB"/>
        </w:rPr>
        <w:t xml:space="preserve"> positive benefits to be realized.</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 xml:space="preserve">Taking this into account, the High Commission for Migration launched, in June 2018, </w:t>
      </w:r>
      <w:proofErr w:type="spellStart"/>
      <w:r w:rsidRPr="00011E39">
        <w:rPr>
          <w:rFonts w:ascii="Calibri" w:hAnsi="Calibri" w:cs="Calibri"/>
          <w:color w:val="000000"/>
          <w:lang w:val="en-GB"/>
        </w:rPr>
        <w:t>MyCNAIM</w:t>
      </w:r>
      <w:proofErr w:type="spellEnd"/>
      <w:r w:rsidRPr="00011E39">
        <w:rPr>
          <w:rFonts w:ascii="Calibri" w:hAnsi="Calibri" w:cs="Calibri"/>
          <w:color w:val="000000"/>
          <w:lang w:val="en-GB"/>
        </w:rPr>
        <w:t xml:space="preserve"> app: </w:t>
      </w:r>
    </w:p>
    <w:p w:rsidR="00011E39" w:rsidRPr="00011E39" w:rsidRDefault="000837E5" w:rsidP="00011E39">
      <w:pPr>
        <w:spacing w:after="120" w:line="240" w:lineRule="auto"/>
        <w:jc w:val="both"/>
        <w:rPr>
          <w:rFonts w:ascii="Calibri" w:hAnsi="Calibri" w:cs="Calibri"/>
          <w:color w:val="000000"/>
          <w:lang w:val="en-GB"/>
        </w:rPr>
      </w:pPr>
      <w:hyperlink r:id="rId11" w:history="1">
        <w:r w:rsidR="00011E39" w:rsidRPr="00011E39">
          <w:rPr>
            <w:rFonts w:ascii="Calibri" w:hAnsi="Calibri" w:cs="Calibri"/>
            <w:color w:val="000000"/>
            <w:lang w:val="en-GB"/>
          </w:rPr>
          <w:t>https://apps.apple.com/pt/app/mycnaim/id1391011670</w:t>
        </w:r>
      </w:hyperlink>
      <w:r w:rsidR="00011E39" w:rsidRPr="00011E39">
        <w:rPr>
          <w:rFonts w:ascii="Calibri" w:hAnsi="Calibri" w:cs="Calibri"/>
          <w:color w:val="000000"/>
          <w:lang w:val="en-GB"/>
        </w:rPr>
        <w:t xml:space="preserve"> </w:t>
      </w:r>
    </w:p>
    <w:p w:rsidR="00011E39" w:rsidRPr="00011E39" w:rsidRDefault="000837E5" w:rsidP="00011E39">
      <w:pPr>
        <w:spacing w:after="120" w:line="240" w:lineRule="auto"/>
        <w:jc w:val="both"/>
        <w:rPr>
          <w:rFonts w:ascii="Calibri" w:hAnsi="Calibri" w:cs="Calibri"/>
          <w:color w:val="000000"/>
          <w:lang w:val="en-GB"/>
        </w:rPr>
      </w:pPr>
      <w:hyperlink r:id="rId12" w:history="1">
        <w:r w:rsidR="00011E39" w:rsidRPr="00011E39">
          <w:rPr>
            <w:rFonts w:ascii="Calibri" w:hAnsi="Calibri" w:cs="Calibri"/>
            <w:color w:val="000000"/>
            <w:lang w:val="en-GB"/>
          </w:rPr>
          <w:t>https://play.google.com/store/apps/details?id=com.tandeminnovation.acm</w:t>
        </w:r>
      </w:hyperlink>
      <w:r w:rsidR="00011E39" w:rsidRPr="00011E39">
        <w:rPr>
          <w:rFonts w:ascii="Calibri" w:hAnsi="Calibri" w:cs="Calibri"/>
          <w:color w:val="000000"/>
          <w:lang w:val="en-GB"/>
        </w:rPr>
        <w:t xml:space="preserve"> </w:t>
      </w:r>
    </w:p>
    <w:p w:rsidR="00011E39" w:rsidRPr="00011E39" w:rsidRDefault="00011E39" w:rsidP="00011E39">
      <w:pPr>
        <w:spacing w:after="120" w:line="240" w:lineRule="auto"/>
        <w:jc w:val="both"/>
        <w:rPr>
          <w:rFonts w:ascii="Calibri" w:hAnsi="Calibri" w:cs="Calibri"/>
          <w:color w:val="000000"/>
          <w:lang w:val="en-GB"/>
        </w:rPr>
      </w:pP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 xml:space="preserve">This mobile application promotes proximity between the services and the migrant communities. It provides information regarding the various services made available by ACM, as well as legal information on entering and staying in Portugal, international protection, access to nationality, housing, employment, health, education, learning Portuguese, and many other important information for integration in Portugal. </w:t>
      </w:r>
    </w:p>
    <w:p w:rsidR="00011E39" w:rsidRPr="00011E39" w:rsidRDefault="00011E39" w:rsidP="00011E39">
      <w:pPr>
        <w:spacing w:after="120" w:line="240" w:lineRule="auto"/>
        <w:jc w:val="both"/>
        <w:rPr>
          <w:rFonts w:ascii="Calibri" w:hAnsi="Calibri" w:cs="Calibri"/>
          <w:color w:val="000000"/>
          <w:lang w:val="en-GB"/>
        </w:rPr>
      </w:pPr>
      <w:proofErr w:type="gramStart"/>
      <w:r w:rsidRPr="00011E39">
        <w:rPr>
          <w:rFonts w:ascii="Calibri" w:hAnsi="Calibri" w:cs="Calibri"/>
          <w:color w:val="000000"/>
          <w:lang w:val="en-GB"/>
        </w:rPr>
        <w:t>Additionally</w:t>
      </w:r>
      <w:proofErr w:type="gramEnd"/>
      <w:r w:rsidRPr="00011E39">
        <w:rPr>
          <w:rFonts w:ascii="Calibri" w:hAnsi="Calibri" w:cs="Calibri"/>
          <w:color w:val="000000"/>
          <w:lang w:val="en-GB"/>
        </w:rPr>
        <w:t xml:space="preserve"> the Migrant Forum, an online interactive information tool, in Portuguese, English and Arabic was created to allow for discussion among migrants and different stakeholders, to consult FAQs and to watch some tutorials on practical questions.</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 xml:space="preserve">We should also highlight the Choices Programme, created in 2001, is a national programme that promotes the social inclusion of children and young people from disadvantaged backgrounds, enhances non-discrimination and strengths social cohesion. This programme is under the Presidency of the Council of </w:t>
      </w:r>
      <w:proofErr w:type="gramStart"/>
      <w:r w:rsidRPr="00011E39">
        <w:rPr>
          <w:rFonts w:ascii="Calibri" w:hAnsi="Calibri" w:cs="Calibri"/>
          <w:color w:val="000000"/>
          <w:lang w:val="en-GB"/>
        </w:rPr>
        <w:t>Ministers, and</w:t>
      </w:r>
      <w:proofErr w:type="gramEnd"/>
      <w:r w:rsidRPr="00011E39">
        <w:rPr>
          <w:rFonts w:ascii="Calibri" w:hAnsi="Calibri" w:cs="Calibri"/>
          <w:color w:val="000000"/>
          <w:lang w:val="en-GB"/>
        </w:rPr>
        <w:t xml:space="preserve"> is part of the ACM. </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The projects are designed by local consortia composed by public and private institutions, concerning five main categories: 1) School inclusion and non-formal education; 2) Vocational training and employability; 3) Community and civic participation; 4) Digital inclusion; 5) Entrepreneurship and empowerment.</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From its 2nd Generation (2004-2006) to its 6th Generation (2016-2018), the Choices Programme had a special focus on Digital Inclusion, by creating the Centre for Digital Inclusion (CID). In this Centres several activities take place, such as:</w:t>
      </w:r>
    </w:p>
    <w:p w:rsidR="00011E39" w:rsidRPr="00011E39" w:rsidRDefault="00011E39" w:rsidP="00011E39">
      <w:pPr>
        <w:pStyle w:val="PargrafodaLista"/>
        <w:numPr>
          <w:ilvl w:val="0"/>
          <w:numId w:val="12"/>
        </w:numPr>
        <w:spacing w:after="120" w:line="240" w:lineRule="auto"/>
        <w:jc w:val="both"/>
        <w:rPr>
          <w:rFonts w:ascii="Calibri" w:hAnsi="Calibri" w:cs="Calibri"/>
          <w:color w:val="000000"/>
          <w:lang w:val="en-GB"/>
        </w:rPr>
      </w:pPr>
      <w:r w:rsidRPr="00011E39">
        <w:rPr>
          <w:rFonts w:ascii="Calibri" w:hAnsi="Calibri" w:cs="Calibri"/>
          <w:color w:val="000000"/>
          <w:lang w:val="en-GB"/>
        </w:rPr>
        <w:t xml:space="preserve">School support and informal educational: through the utilization of online tools for study support, homework and </w:t>
      </w:r>
      <w:proofErr w:type="gramStart"/>
      <w:r w:rsidRPr="00011E39">
        <w:rPr>
          <w:rFonts w:ascii="Calibri" w:hAnsi="Calibri" w:cs="Calibri"/>
          <w:color w:val="000000"/>
          <w:lang w:val="en-GB"/>
        </w:rPr>
        <w:t>school works</w:t>
      </w:r>
      <w:proofErr w:type="gramEnd"/>
      <w:r w:rsidRPr="00011E39">
        <w:rPr>
          <w:rFonts w:ascii="Calibri" w:hAnsi="Calibri" w:cs="Calibri"/>
          <w:color w:val="000000"/>
          <w:lang w:val="en-GB"/>
        </w:rPr>
        <w:t>;</w:t>
      </w:r>
    </w:p>
    <w:p w:rsidR="00011E39" w:rsidRPr="00011E39" w:rsidRDefault="00011E39" w:rsidP="00011E39">
      <w:pPr>
        <w:pStyle w:val="PargrafodaLista"/>
        <w:numPr>
          <w:ilvl w:val="0"/>
          <w:numId w:val="12"/>
        </w:numPr>
        <w:spacing w:after="120" w:line="240" w:lineRule="auto"/>
        <w:jc w:val="both"/>
        <w:rPr>
          <w:rFonts w:ascii="Calibri" w:hAnsi="Calibri" w:cs="Calibri"/>
          <w:color w:val="000000"/>
          <w:lang w:val="en-GB"/>
        </w:rPr>
      </w:pPr>
      <w:r w:rsidRPr="00011E39">
        <w:rPr>
          <w:rFonts w:ascii="Calibri" w:hAnsi="Calibri" w:cs="Calibri"/>
          <w:color w:val="000000"/>
          <w:lang w:val="en-GB"/>
        </w:rPr>
        <w:t xml:space="preserve">Professional training and employability: by providing training in information and communication technologies, in job searching, </w:t>
      </w:r>
      <w:proofErr w:type="gramStart"/>
      <w:r w:rsidRPr="00011E39">
        <w:rPr>
          <w:rFonts w:ascii="Calibri" w:hAnsi="Calibri" w:cs="Calibri"/>
          <w:color w:val="000000"/>
          <w:lang w:val="en-GB"/>
        </w:rPr>
        <w:t>and also</w:t>
      </w:r>
      <w:proofErr w:type="gramEnd"/>
      <w:r w:rsidRPr="00011E39">
        <w:rPr>
          <w:rFonts w:ascii="Calibri" w:hAnsi="Calibri" w:cs="Calibri"/>
          <w:color w:val="000000"/>
          <w:lang w:val="en-GB"/>
        </w:rPr>
        <w:t xml:space="preserve"> CV and cover letter drafting;</w:t>
      </w:r>
    </w:p>
    <w:p w:rsidR="00011E39" w:rsidRPr="00011E39" w:rsidRDefault="00011E39" w:rsidP="00011E39">
      <w:pPr>
        <w:pStyle w:val="PargrafodaLista"/>
        <w:numPr>
          <w:ilvl w:val="0"/>
          <w:numId w:val="12"/>
        </w:numPr>
        <w:spacing w:after="120" w:line="240" w:lineRule="auto"/>
        <w:jc w:val="both"/>
        <w:rPr>
          <w:rFonts w:ascii="Calibri" w:hAnsi="Calibri" w:cs="Calibri"/>
          <w:color w:val="000000"/>
          <w:lang w:val="en-GB"/>
        </w:rPr>
      </w:pPr>
      <w:r w:rsidRPr="00011E39">
        <w:rPr>
          <w:rFonts w:ascii="Calibri" w:hAnsi="Calibri" w:cs="Calibri"/>
          <w:color w:val="000000"/>
          <w:lang w:val="en-GB"/>
        </w:rPr>
        <w:t>Community boosting and citizenship: by creating and managing the Choices Programme’s communication materials (such as newsletters, magazines, websites, social media, radio); by running awareness-building sessions on Cybersecurity for the community;</w:t>
      </w:r>
    </w:p>
    <w:p w:rsidR="00011E39" w:rsidRPr="00011E39" w:rsidRDefault="00011E39" w:rsidP="00011E39">
      <w:pPr>
        <w:pStyle w:val="PargrafodaLista"/>
        <w:numPr>
          <w:ilvl w:val="0"/>
          <w:numId w:val="12"/>
        </w:numPr>
        <w:spacing w:after="120" w:line="240" w:lineRule="auto"/>
        <w:jc w:val="both"/>
        <w:rPr>
          <w:rFonts w:ascii="Calibri" w:hAnsi="Calibri" w:cs="Calibri"/>
          <w:color w:val="000000"/>
          <w:lang w:val="en-GB"/>
        </w:rPr>
      </w:pPr>
      <w:r w:rsidRPr="00011E39">
        <w:rPr>
          <w:rFonts w:ascii="Calibri" w:hAnsi="Calibri" w:cs="Calibri"/>
          <w:color w:val="000000"/>
          <w:lang w:val="en-GB"/>
        </w:rPr>
        <w:t>Promoting entrepreneurship and capacitation: by developing training on multimedia (photography, audio, image, video, etc.), as well as hardware, drone, and 3D printing workshops.</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 xml:space="preserve">On Choices Programme’s 7th Generation (2019-2020), digital inclusion has gained pace by becoming a part of the Programme general principles. </w:t>
      </w:r>
      <w:proofErr w:type="gramStart"/>
      <w:r w:rsidRPr="00011E39">
        <w:rPr>
          <w:rFonts w:ascii="Calibri" w:hAnsi="Calibri" w:cs="Calibri"/>
          <w:color w:val="000000"/>
          <w:lang w:val="en-GB"/>
        </w:rPr>
        <w:t>At the moment</w:t>
      </w:r>
      <w:proofErr w:type="gramEnd"/>
      <w:r w:rsidRPr="00011E39">
        <w:rPr>
          <w:rFonts w:ascii="Calibri" w:hAnsi="Calibri" w:cs="Calibri"/>
          <w:color w:val="000000"/>
          <w:lang w:val="en-GB"/>
        </w:rPr>
        <w:t>, 53 CID are being financed. So far, Choices Programme’s 7th Generation digital inclusion activities involved 7.011 individuals: 44% (3.067) of whom are women; 89% of these individuals are children and teenagers; young people aged between 11 and 14 years are the biggest attendees (31%), followed by the age group of 6 to 10 years old (27%), then those with 15 to 18 years old (20%) and the remaining have more than 18 years old.</w:t>
      </w:r>
    </w:p>
    <w:p w:rsidR="000828F2" w:rsidRPr="000828F2" w:rsidRDefault="000828F2" w:rsidP="000828F2">
      <w:pPr>
        <w:spacing w:after="120" w:line="240" w:lineRule="auto"/>
        <w:jc w:val="both"/>
        <w:rPr>
          <w:rFonts w:ascii="Calibri" w:hAnsi="Calibri" w:cs="Calibri"/>
          <w:color w:val="000000"/>
          <w:lang w:val="en-GB"/>
        </w:rPr>
      </w:pPr>
      <w:r w:rsidRPr="000828F2">
        <w:rPr>
          <w:rFonts w:ascii="Calibri" w:hAnsi="Calibri" w:cs="Calibri"/>
          <w:color w:val="000000"/>
          <w:lang w:val="en-GB"/>
        </w:rPr>
        <w:t>From the point of view of justice, emerging digital technologies (namely artificial intelligence) have the potential to radically improve access to justice, delivering readily available, instant, tailor-made, detailed, up-to-date and cost-free feedback on citizens’ inquiries (whether they regard the law governing a certain matter, assistance on its interpretation or a specific legal issue).</w:t>
      </w:r>
    </w:p>
    <w:p w:rsidR="000828F2" w:rsidRPr="000828F2" w:rsidRDefault="000828F2" w:rsidP="000828F2">
      <w:pPr>
        <w:spacing w:after="120" w:line="240" w:lineRule="auto"/>
        <w:jc w:val="both"/>
        <w:rPr>
          <w:rFonts w:ascii="Calibri" w:hAnsi="Calibri" w:cs="Calibri"/>
          <w:color w:val="000000"/>
          <w:lang w:val="en-GB"/>
        </w:rPr>
      </w:pPr>
      <w:r w:rsidRPr="000828F2">
        <w:rPr>
          <w:rFonts w:ascii="Calibri" w:hAnsi="Calibri" w:cs="Calibri"/>
          <w:color w:val="000000"/>
          <w:lang w:val="en-GB"/>
        </w:rPr>
        <w:t>Likewise, electronic filing systems and other court support software have much to gain from emerging technologies (including artificial intelligence and other automation tools), which allow for faster, safer, and cheaper data processing. They would be beneficial for legal proceedings, but also for statistical output and case law research.</w:t>
      </w:r>
    </w:p>
    <w:p w:rsidR="007850D7" w:rsidRDefault="007850D7" w:rsidP="00DF2CA9">
      <w:pPr>
        <w:spacing w:after="120" w:line="240" w:lineRule="auto"/>
        <w:jc w:val="both"/>
        <w:rPr>
          <w:rFonts w:ascii="Calibri" w:hAnsi="Calibri" w:cs="Calibri"/>
          <w:color w:val="000000"/>
          <w:lang w:val="en-GB"/>
        </w:rPr>
      </w:pPr>
    </w:p>
    <w:p w:rsidR="0049646B" w:rsidRPr="00DF2CA9" w:rsidRDefault="00826D53" w:rsidP="00DF2CA9">
      <w:pPr>
        <w:pStyle w:val="PargrafodaLista"/>
        <w:numPr>
          <w:ilvl w:val="0"/>
          <w:numId w:val="1"/>
        </w:numPr>
        <w:spacing w:after="120" w:line="240" w:lineRule="auto"/>
        <w:jc w:val="both"/>
        <w:rPr>
          <w:rFonts w:ascii="Calibri" w:hAnsi="Calibri" w:cs="Calibri"/>
          <w:b/>
          <w:bCs/>
          <w:color w:val="000000"/>
          <w:lang w:val="en-GB"/>
        </w:rPr>
      </w:pPr>
      <w:r w:rsidRPr="00DF2CA9">
        <w:rPr>
          <w:rFonts w:ascii="Calibri" w:hAnsi="Calibri" w:cs="Calibri"/>
          <w:b/>
          <w:bCs/>
          <w:color w:val="000000"/>
          <w:lang w:val="en-GB"/>
        </w:rPr>
        <w:t>What are</w:t>
      </w:r>
      <w:r w:rsidR="009E60E8" w:rsidRPr="00DF2CA9">
        <w:rPr>
          <w:rFonts w:ascii="Calibri" w:hAnsi="Calibri" w:cs="Calibri"/>
          <w:b/>
          <w:bCs/>
          <w:color w:val="000000"/>
          <w:lang w:val="en-GB"/>
        </w:rPr>
        <w:t xml:space="preserve"> some of</w:t>
      </w:r>
      <w:r w:rsidRPr="00DF2CA9">
        <w:rPr>
          <w:rFonts w:ascii="Calibri" w:hAnsi="Calibri" w:cs="Calibri"/>
          <w:b/>
          <w:bCs/>
          <w:color w:val="000000"/>
          <w:lang w:val="en-GB"/>
        </w:rPr>
        <w:t xml:space="preserve"> the key</w:t>
      </w:r>
      <w:r w:rsidR="00A261B6" w:rsidRPr="00DF2CA9">
        <w:rPr>
          <w:rFonts w:ascii="Calibri" w:hAnsi="Calibri" w:cs="Calibri"/>
          <w:b/>
          <w:bCs/>
          <w:color w:val="000000"/>
          <w:lang w:val="en-GB"/>
        </w:rPr>
        <w:t xml:space="preserve"> </w:t>
      </w:r>
      <w:r w:rsidR="0049646B" w:rsidRPr="00DF2CA9">
        <w:rPr>
          <w:rFonts w:ascii="Calibri" w:hAnsi="Calibri" w:cs="Calibri"/>
          <w:b/>
          <w:bCs/>
          <w:color w:val="000000"/>
          <w:lang w:val="en-GB"/>
        </w:rPr>
        <w:t>human rights challenge</w:t>
      </w:r>
      <w:r w:rsidR="00727C22" w:rsidRPr="00DF2CA9">
        <w:rPr>
          <w:rFonts w:ascii="Calibri" w:hAnsi="Calibri" w:cs="Calibri"/>
          <w:b/>
          <w:bCs/>
          <w:color w:val="000000"/>
          <w:lang w:val="en-GB"/>
        </w:rPr>
        <w:t>s</w:t>
      </w:r>
      <w:r w:rsidR="0049646B" w:rsidRPr="00DF2CA9">
        <w:rPr>
          <w:rFonts w:ascii="Calibri" w:hAnsi="Calibri" w:cs="Calibri"/>
          <w:b/>
          <w:bCs/>
          <w:color w:val="000000"/>
          <w:lang w:val="en-GB"/>
        </w:rPr>
        <w:t xml:space="preserve"> arising from </w:t>
      </w:r>
      <w:r w:rsidR="003E4748" w:rsidRPr="00DF2CA9">
        <w:rPr>
          <w:rFonts w:ascii="Calibri" w:hAnsi="Calibri" w:cs="Calibri"/>
          <w:b/>
          <w:bCs/>
          <w:color w:val="000000"/>
          <w:lang w:val="en-GB"/>
        </w:rPr>
        <w:t>new and emerging digital technologies</w:t>
      </w:r>
      <w:r w:rsidR="0049646B" w:rsidRPr="00DF2CA9">
        <w:rPr>
          <w:rFonts w:ascii="Calibri" w:hAnsi="Calibri" w:cs="Calibri"/>
          <w:b/>
          <w:bCs/>
          <w:color w:val="000000"/>
          <w:lang w:val="en-GB"/>
        </w:rPr>
        <w:t>?</w:t>
      </w:r>
      <w:r w:rsidR="00FD0808" w:rsidRPr="00DF2CA9">
        <w:rPr>
          <w:rFonts w:ascii="Calibri" w:hAnsi="Calibri" w:cs="Calibri"/>
          <w:b/>
          <w:bCs/>
          <w:color w:val="000000"/>
          <w:lang w:val="en-GB"/>
        </w:rPr>
        <w:t xml:space="preserve"> </w:t>
      </w:r>
      <w:r w:rsidR="001E21E6" w:rsidRPr="00DF2CA9">
        <w:rPr>
          <w:rFonts w:ascii="Calibri" w:hAnsi="Calibri" w:cs="Calibri"/>
          <w:b/>
          <w:bCs/>
          <w:color w:val="000000"/>
          <w:lang w:val="en-GB"/>
        </w:rPr>
        <w:t xml:space="preserve">How can these </w:t>
      </w:r>
      <w:r w:rsidR="00F149D2" w:rsidRPr="00DF2CA9">
        <w:rPr>
          <w:rFonts w:ascii="Calibri" w:hAnsi="Calibri" w:cs="Calibri"/>
          <w:b/>
          <w:bCs/>
          <w:color w:val="000000"/>
          <w:lang w:val="en-GB"/>
        </w:rPr>
        <w:t>risks</w:t>
      </w:r>
      <w:r w:rsidR="001E21E6" w:rsidRPr="00DF2CA9">
        <w:rPr>
          <w:rFonts w:ascii="Calibri" w:hAnsi="Calibri" w:cs="Calibri"/>
          <w:b/>
          <w:bCs/>
          <w:color w:val="000000"/>
          <w:lang w:val="en-GB"/>
        </w:rPr>
        <w:t xml:space="preserve"> be mitigated? </w:t>
      </w:r>
      <w:r w:rsidR="009E60E8" w:rsidRPr="00DF2CA9">
        <w:rPr>
          <w:rFonts w:ascii="Calibri" w:hAnsi="Calibri" w:cs="Calibri"/>
          <w:b/>
          <w:bCs/>
          <w:color w:val="000000"/>
          <w:lang w:val="en-GB"/>
        </w:rPr>
        <w:t xml:space="preserve">Do </w:t>
      </w:r>
      <w:r w:rsidR="003E4748" w:rsidRPr="00DF2CA9">
        <w:rPr>
          <w:rFonts w:ascii="Calibri" w:hAnsi="Calibri" w:cs="Calibri"/>
          <w:b/>
          <w:bCs/>
          <w:color w:val="000000"/>
          <w:lang w:val="en-GB"/>
        </w:rPr>
        <w:t>new and emerging digital technologies</w:t>
      </w:r>
      <w:r w:rsidR="009E60E8" w:rsidRPr="00DF2CA9">
        <w:rPr>
          <w:rFonts w:ascii="Calibri" w:hAnsi="Calibri" w:cs="Calibri"/>
          <w:b/>
          <w:bCs/>
          <w:color w:val="000000"/>
          <w:lang w:val="en-GB"/>
        </w:rPr>
        <w:t xml:space="preserve"> create unique and unprecedented challenges or are there earlier precedents that help us understand the issue area? </w:t>
      </w:r>
    </w:p>
    <w:p w:rsidR="00C25F75" w:rsidRPr="000A1ED5" w:rsidRDefault="00C25F75"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 xml:space="preserve">As regards the right to work, the new and emerging technologies will cause deep changes in the world of work. On the one hand, some jobs are highly vulnerable to automation and will face the risk of being lost to machines. On the other hand, new jobs related to the development, maintenance and upgrading of artificial intelligence technologies and big data infrastructures are among those expected to grow. Yet, it is difficult to know in advance how many jobs like these will be created, and </w:t>
      </w:r>
      <w:r w:rsidR="00F30C65" w:rsidRPr="000A1ED5">
        <w:rPr>
          <w:rFonts w:ascii="Calibri" w:hAnsi="Calibri" w:cs="Calibri"/>
          <w:color w:val="000000"/>
          <w:lang w:val="en-GB"/>
        </w:rPr>
        <w:t>which</w:t>
      </w:r>
      <w:r w:rsidRPr="000A1ED5">
        <w:rPr>
          <w:rFonts w:ascii="Calibri" w:hAnsi="Calibri" w:cs="Calibri"/>
          <w:color w:val="000000"/>
          <w:lang w:val="en-GB"/>
        </w:rPr>
        <w:t xml:space="preserve"> sectors they will emerge. Nevertheless, the kinds of jobs that are predicted to grow appear to be those that require higher education, intensive use of social and interpretative skills, and at least a basic knowledge of </w:t>
      </w:r>
      <w:r w:rsidR="000A4F18" w:rsidRPr="000A1ED5">
        <w:rPr>
          <w:rFonts w:ascii="Calibri" w:hAnsi="Calibri" w:cs="Calibri"/>
          <w:color w:val="000000"/>
          <w:lang w:val="en-GB"/>
        </w:rPr>
        <w:t>Information and Communication Technology (</w:t>
      </w:r>
      <w:r w:rsidRPr="000A1ED5">
        <w:rPr>
          <w:rFonts w:ascii="Calibri" w:hAnsi="Calibri" w:cs="Calibri"/>
          <w:color w:val="000000"/>
          <w:lang w:val="en-GB"/>
        </w:rPr>
        <w:t>ICT</w:t>
      </w:r>
      <w:r w:rsidR="000A4F18" w:rsidRPr="000A1ED5">
        <w:rPr>
          <w:rFonts w:ascii="Calibri" w:hAnsi="Calibri" w:cs="Calibri"/>
          <w:color w:val="000000"/>
          <w:lang w:val="en-GB"/>
        </w:rPr>
        <w:t>)</w:t>
      </w:r>
      <w:r w:rsidRPr="000A1ED5">
        <w:rPr>
          <w:rFonts w:ascii="Calibri" w:hAnsi="Calibri" w:cs="Calibri"/>
          <w:color w:val="000000"/>
          <w:lang w:val="en-GB"/>
        </w:rPr>
        <w:t>.</w:t>
      </w:r>
    </w:p>
    <w:p w:rsidR="00C25F75" w:rsidRPr="000A1ED5" w:rsidRDefault="00C25F75"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One of the main risks to human rights arising from new and emerging technologies is also the worsening of inequalities caused by unequal access, particularly among citizens belonging to disadvantaged social groups, especially those with low educational levels.</w:t>
      </w:r>
    </w:p>
    <w:p w:rsidR="00F30C65" w:rsidRPr="000A1ED5" w:rsidRDefault="00F30C65"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A big challenge is the protection of personal and confidential data.</w:t>
      </w:r>
    </w:p>
    <w:p w:rsidR="00C25F75" w:rsidRPr="000A1ED5" w:rsidRDefault="00C25F75"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These risks can be mitigated by reinforcing citizens' digital skills through effective and inclusive lifelong learning strategies, in order to improve people's skills in the use of technology in an informed and critical way, bridging gaps between different levels of digital skills proficiency.</w:t>
      </w:r>
    </w:p>
    <w:p w:rsidR="00C25F75" w:rsidRDefault="00C25F75"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Therefore, current challenges posed by emerging new technologies can be seen as unique and unprecedented if seen in the perspective of the amount and diversity of information available nowadays, as well as the speed and complexity with which it can be handled, in such a way that may completely escape to any control. Therefore, easily used against people and their fundamental rights.</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 xml:space="preserve">Paradoxically, while enhancing knowledge and the implementation of human rights globally, if misused NEDT also have the potential to undermine these same rights. As examples, there are states that exclude the citizens from accessing NEDT information and communication potentials; others use new technologies as a form of persecution and control of their populations. </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As the UN Human Rights Council stated “the same rights that people have offline must also be protected online”, the protection of freedom of speech and equal access to digital communication technologies are cornerstones to assure the principle of human dignity in the context of using NEDT; as well as the right to participate in the cultural life of the community and being an active part of scientific progress. Simultaneously, account should be taken on strengthen privacy rights, as well as on the right to oblivion and the right to be offline. Hence the importance of public policies supporting access to new and emerging communication technologies, emphasizing the importance of ensuring privacy in such access; particularly as privacy in accessing NEDT can be, for many people in the world, the difference between life and death.</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Although the use of new and emerging communication digital technologies and the resulting proximity between individuals, communities, and societies can contribute to multiculturalism and inclusion, it may simultaneously feed manifestations of xenophobia, prejudice, and refusal of the different. Examples include the global dissemination of fake news and of religious and political extremism. Thus, the use of new technologies also requires knowledge and information, as well as guidance and education. Therefore, the risks mentioned above can be mitigated by developing citizens’ competences and literacy. So that citizens can, on the one hand, know how to access the NEDT, and on the other, know how to protect themselves and make an appropriate and safe use of new technologies.</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lastRenderedPageBreak/>
        <w:t>The development of such competencies requires efforts concerning inclusion – by broaden competences to all strata of the population, preventing prejudice on the access to these technologies on the grounds of socio-economic inequalities – and education – ensuring the development of skills for using NEDT, as well as increasing awareness and thus also critical thinking.</w:t>
      </w:r>
    </w:p>
    <w:p w:rsid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The use of the potential of new technologies can be used to reduce the risks that these same technologies create. Blockchain technology is an example of this, given its potential for mapping processes, risks and controls as well as providing information and encrypting data, the latter with substantial implications for data protection.</w:t>
      </w:r>
    </w:p>
    <w:p w:rsidR="00CC1D06" w:rsidRPr="00CC1D06" w:rsidRDefault="00CC1D06" w:rsidP="00CC1D06">
      <w:pPr>
        <w:pStyle w:val="PargrafodaLista"/>
        <w:spacing w:after="120" w:line="240" w:lineRule="auto"/>
        <w:ind w:left="0" w:right="-427"/>
        <w:jc w:val="both"/>
        <w:rPr>
          <w:rFonts w:cstheme="minorHAnsi"/>
          <w:iCs/>
          <w:lang w:val="en-GB"/>
        </w:rPr>
      </w:pPr>
      <w:r w:rsidRPr="00CC1D06">
        <w:rPr>
          <w:rFonts w:cstheme="minorHAnsi"/>
          <w:iCs/>
        </w:rPr>
        <w:t xml:space="preserve">As a best practice, in Portugal there is a Data Protection Authority (Comissão Nacional de </w:t>
      </w:r>
      <w:proofErr w:type="spellStart"/>
      <w:r w:rsidRPr="00CC1D06">
        <w:rPr>
          <w:rFonts w:cstheme="minorHAnsi"/>
          <w:iCs/>
        </w:rPr>
        <w:t>Proteção</w:t>
      </w:r>
      <w:proofErr w:type="spellEnd"/>
      <w:r w:rsidRPr="00CC1D06">
        <w:rPr>
          <w:rFonts w:cstheme="minorHAnsi"/>
          <w:iCs/>
        </w:rPr>
        <w:t xml:space="preserve"> de Dados). </w:t>
      </w:r>
      <w:r w:rsidRPr="00CC1D06">
        <w:rPr>
          <w:rFonts w:cstheme="minorHAnsi"/>
          <w:iCs/>
          <w:lang w:val="en-GB"/>
        </w:rPr>
        <w:t>This authority is responsible for supervising and monitoring compliance with the laws and regulations in the area of personal data protection, namely with the Portuguese law 58/2019 published in 8</w:t>
      </w:r>
      <w:r w:rsidRPr="00CC1D06">
        <w:rPr>
          <w:rFonts w:cstheme="minorHAnsi"/>
          <w:iCs/>
          <w:vertAlign w:val="superscript"/>
          <w:lang w:val="en-GB"/>
        </w:rPr>
        <w:t>th</w:t>
      </w:r>
      <w:r w:rsidRPr="00CC1D06">
        <w:rPr>
          <w:rFonts w:cstheme="minorHAnsi"/>
          <w:iCs/>
          <w:lang w:val="en-GB"/>
        </w:rPr>
        <w:t xml:space="preserve"> August 2019. The authority has investigation powers, having access to data undergoing processing, and has executive authority, particularly on calling for blocking, erasure and destruction of data, or imposing a temporary or permanent ban on the processing of personal data.</w:t>
      </w:r>
    </w:p>
    <w:p w:rsidR="00CC1D06" w:rsidRPr="00CC1D06" w:rsidRDefault="00CC1D06" w:rsidP="00CC1D06">
      <w:pPr>
        <w:pStyle w:val="PargrafodaLista"/>
        <w:spacing w:after="120" w:line="240" w:lineRule="auto"/>
        <w:ind w:left="0" w:right="-425"/>
        <w:contextualSpacing w:val="0"/>
        <w:jc w:val="both"/>
        <w:rPr>
          <w:rFonts w:cstheme="minorHAnsi"/>
          <w:iCs/>
          <w:lang w:val="en-GB"/>
        </w:rPr>
      </w:pPr>
    </w:p>
    <w:p w:rsidR="00CC1D06" w:rsidRPr="00CC1D06" w:rsidRDefault="00CC1D06" w:rsidP="00CC1D06">
      <w:pPr>
        <w:pStyle w:val="PargrafodaLista"/>
        <w:spacing w:after="120" w:line="240" w:lineRule="auto"/>
        <w:ind w:left="0" w:right="-427"/>
        <w:jc w:val="both"/>
        <w:rPr>
          <w:rFonts w:cstheme="minorHAnsi"/>
          <w:iCs/>
        </w:rPr>
      </w:pPr>
      <w:r w:rsidRPr="00CC1D06">
        <w:rPr>
          <w:rFonts w:cstheme="minorHAnsi"/>
          <w:iCs/>
          <w:lang w:val="en-GB"/>
        </w:rPr>
        <w:t>Also, t</w:t>
      </w:r>
      <w:r w:rsidRPr="00CC1D06">
        <w:rPr>
          <w:rFonts w:cstheme="minorHAnsi"/>
          <w:iCs/>
        </w:rPr>
        <w:t xml:space="preserve">he National </w:t>
      </w:r>
      <w:proofErr w:type="spellStart"/>
      <w:r w:rsidRPr="00CC1D06">
        <w:rPr>
          <w:rFonts w:cstheme="minorHAnsi"/>
          <w:iCs/>
        </w:rPr>
        <w:t>Defence</w:t>
      </w:r>
      <w:proofErr w:type="spellEnd"/>
      <w:r w:rsidRPr="00CC1D06">
        <w:rPr>
          <w:rFonts w:cstheme="minorHAnsi"/>
          <w:iCs/>
        </w:rPr>
        <w:t xml:space="preserve"> Institute (</w:t>
      </w:r>
      <w:r>
        <w:rPr>
          <w:rFonts w:cstheme="minorHAnsi"/>
          <w:iCs/>
        </w:rPr>
        <w:t>Ministry of National Defense</w:t>
      </w:r>
      <w:bookmarkStart w:id="0" w:name="_GoBack"/>
      <w:bookmarkEnd w:id="0"/>
      <w:r w:rsidRPr="00CC1D06">
        <w:rPr>
          <w:rFonts w:cstheme="minorHAnsi"/>
          <w:iCs/>
        </w:rPr>
        <w:t>), within its mission to ensure research, study and dissemination on Security and Defense issues, as well as contributing to society's awareness in these fields, has been engaging in a variety of education and debate activities related to new digital technologies and human rights:</w:t>
      </w:r>
    </w:p>
    <w:p w:rsidR="00CC1D06" w:rsidRPr="00CC1D06" w:rsidRDefault="00CC1D06" w:rsidP="00CC1D06">
      <w:pPr>
        <w:pStyle w:val="PargrafodaLista"/>
        <w:numPr>
          <w:ilvl w:val="0"/>
          <w:numId w:val="20"/>
        </w:numPr>
        <w:spacing w:after="120" w:line="240" w:lineRule="auto"/>
        <w:ind w:left="360" w:right="-427"/>
        <w:jc w:val="both"/>
        <w:rPr>
          <w:rFonts w:cstheme="minorHAnsi"/>
          <w:iCs/>
        </w:rPr>
      </w:pPr>
      <w:r w:rsidRPr="00CC1D06">
        <w:rPr>
          <w:rFonts w:cstheme="minorHAnsi"/>
          <w:iCs/>
        </w:rPr>
        <w:t xml:space="preserve">Every year, several conferences are held under the National Defense Course, </w:t>
      </w:r>
      <w:proofErr w:type="gramStart"/>
      <w:r w:rsidRPr="00CC1D06">
        <w:rPr>
          <w:rFonts w:cstheme="minorHAnsi"/>
          <w:iCs/>
        </w:rPr>
        <w:t>on the subject of the</w:t>
      </w:r>
      <w:proofErr w:type="gramEnd"/>
      <w:r w:rsidRPr="00CC1D06">
        <w:rPr>
          <w:rFonts w:cstheme="minorHAnsi"/>
          <w:iCs/>
        </w:rPr>
        <w:t xml:space="preserve"> information society and cyber security; </w:t>
      </w:r>
    </w:p>
    <w:p w:rsidR="00CC1D06" w:rsidRPr="00CC1D06" w:rsidRDefault="00CC1D06" w:rsidP="00CC1D06">
      <w:pPr>
        <w:pStyle w:val="PargrafodaLista"/>
        <w:numPr>
          <w:ilvl w:val="0"/>
          <w:numId w:val="20"/>
        </w:numPr>
        <w:spacing w:after="120" w:line="240" w:lineRule="auto"/>
        <w:ind w:left="360" w:right="-427"/>
        <w:jc w:val="both"/>
        <w:rPr>
          <w:rFonts w:cstheme="minorHAnsi"/>
          <w:iCs/>
        </w:rPr>
      </w:pPr>
      <w:r w:rsidRPr="00CC1D06">
        <w:rPr>
          <w:rFonts w:cstheme="minorHAnsi"/>
          <w:iCs/>
        </w:rPr>
        <w:t xml:space="preserve">Participation in a Working Group to elaborate a proposal of the National Cyber ​​Defense Strategy, Order 41 / MDN / 2019, activity developed between August 2 and October 2, 2019; </w:t>
      </w:r>
    </w:p>
    <w:p w:rsidR="00CC1D06" w:rsidRPr="00CC1D06" w:rsidRDefault="00CC1D06" w:rsidP="00CC1D06">
      <w:pPr>
        <w:pStyle w:val="PargrafodaLista"/>
        <w:numPr>
          <w:ilvl w:val="0"/>
          <w:numId w:val="20"/>
        </w:numPr>
        <w:spacing w:after="120" w:line="240" w:lineRule="auto"/>
        <w:ind w:left="360" w:right="-427"/>
        <w:jc w:val="both"/>
        <w:rPr>
          <w:rFonts w:cstheme="minorHAnsi"/>
          <w:iCs/>
        </w:rPr>
      </w:pPr>
      <w:r w:rsidRPr="00CC1D06">
        <w:rPr>
          <w:rFonts w:cstheme="minorHAnsi"/>
          <w:iCs/>
        </w:rPr>
        <w:t xml:space="preserve">Six Cybersecurity and Crisis Management in Cyberspace training </w:t>
      </w:r>
      <w:proofErr w:type="spellStart"/>
      <w:r w:rsidRPr="00CC1D06">
        <w:rPr>
          <w:rFonts w:cstheme="minorHAnsi"/>
          <w:iCs/>
        </w:rPr>
        <w:t>programmes</w:t>
      </w:r>
      <w:proofErr w:type="spellEnd"/>
      <w:r w:rsidRPr="00CC1D06">
        <w:rPr>
          <w:rFonts w:cstheme="minorHAnsi"/>
          <w:iCs/>
        </w:rPr>
        <w:t xml:space="preserve">, from 2014 to 2019;   </w:t>
      </w:r>
    </w:p>
    <w:p w:rsidR="00CC1D06" w:rsidRPr="00CC1D06" w:rsidRDefault="00CC1D06" w:rsidP="00CC1D06">
      <w:pPr>
        <w:pStyle w:val="PargrafodaLista"/>
        <w:numPr>
          <w:ilvl w:val="0"/>
          <w:numId w:val="20"/>
        </w:numPr>
        <w:spacing w:after="120" w:line="240" w:lineRule="auto"/>
        <w:ind w:left="360" w:right="-427"/>
        <w:jc w:val="both"/>
        <w:rPr>
          <w:rFonts w:cstheme="minorHAnsi"/>
          <w:iCs/>
        </w:rPr>
      </w:pPr>
      <w:r w:rsidRPr="00CC1D06">
        <w:rPr>
          <w:rFonts w:cstheme="minorHAnsi"/>
          <w:iCs/>
        </w:rPr>
        <w:t xml:space="preserve">Conferences dedicated to the Digital Society and Cybersecurity in primary and secondary education establishments, at the request of schools; </w:t>
      </w:r>
    </w:p>
    <w:p w:rsidR="00CC1D06" w:rsidRPr="00CC1D06" w:rsidRDefault="00CC1D06" w:rsidP="00CC1D06">
      <w:pPr>
        <w:pStyle w:val="PargrafodaLista"/>
        <w:numPr>
          <w:ilvl w:val="0"/>
          <w:numId w:val="20"/>
        </w:numPr>
        <w:spacing w:after="120" w:line="240" w:lineRule="auto"/>
        <w:ind w:left="360" w:right="-427"/>
        <w:jc w:val="both"/>
        <w:rPr>
          <w:rFonts w:cstheme="minorHAnsi"/>
          <w:iCs/>
        </w:rPr>
      </w:pPr>
      <w:r w:rsidRPr="00CC1D06">
        <w:rPr>
          <w:rFonts w:cstheme="minorHAnsi"/>
          <w:iCs/>
        </w:rPr>
        <w:t xml:space="preserve">Eighteen sessions of the “Contributions </w:t>
      </w:r>
      <w:proofErr w:type="gramStart"/>
      <w:r w:rsidRPr="00CC1D06">
        <w:rPr>
          <w:rFonts w:cstheme="minorHAnsi"/>
          <w:iCs/>
        </w:rPr>
        <w:t>For</w:t>
      </w:r>
      <w:proofErr w:type="gramEnd"/>
      <w:r w:rsidRPr="00CC1D06">
        <w:rPr>
          <w:rFonts w:cstheme="minorHAnsi"/>
          <w:iCs/>
        </w:rPr>
        <w:t xml:space="preserve"> The Digital Society Group” and five sessions for a “Cyber ​​Resilience Reflection Group”; </w:t>
      </w:r>
    </w:p>
    <w:p w:rsidR="00CC1D06" w:rsidRPr="00CC1D06" w:rsidRDefault="00CC1D06" w:rsidP="00CC1D06">
      <w:pPr>
        <w:pStyle w:val="PargrafodaLista"/>
        <w:numPr>
          <w:ilvl w:val="0"/>
          <w:numId w:val="20"/>
        </w:numPr>
        <w:spacing w:after="120" w:line="240" w:lineRule="auto"/>
        <w:ind w:left="360" w:right="-427"/>
        <w:jc w:val="both"/>
        <w:rPr>
          <w:rFonts w:cstheme="minorHAnsi"/>
          <w:iCs/>
        </w:rPr>
      </w:pPr>
      <w:r w:rsidRPr="00CC1D06">
        <w:rPr>
          <w:rFonts w:cstheme="minorHAnsi"/>
          <w:iCs/>
        </w:rPr>
        <w:t xml:space="preserve">Five “Youth Seminars”, all containing panels and conferences on cybersecurity; </w:t>
      </w:r>
    </w:p>
    <w:p w:rsidR="00CC1D06" w:rsidRPr="00CC1D06" w:rsidRDefault="00CC1D06" w:rsidP="00CC1D06">
      <w:pPr>
        <w:pStyle w:val="PargrafodaLista"/>
        <w:numPr>
          <w:ilvl w:val="0"/>
          <w:numId w:val="20"/>
        </w:numPr>
        <w:spacing w:after="120" w:line="240" w:lineRule="auto"/>
        <w:ind w:left="360" w:right="-427"/>
        <w:jc w:val="both"/>
        <w:rPr>
          <w:rFonts w:cstheme="minorHAnsi"/>
          <w:iCs/>
        </w:rPr>
      </w:pPr>
      <w:r w:rsidRPr="00CC1D06">
        <w:rPr>
          <w:rFonts w:cstheme="minorHAnsi"/>
          <w:iCs/>
        </w:rPr>
        <w:t xml:space="preserve">IDN has also published several volumes on  cybersecurity and the digital society, as follows – Nr 145, </w:t>
      </w:r>
      <w:proofErr w:type="spellStart"/>
      <w:r w:rsidRPr="00CC1D06">
        <w:rPr>
          <w:rFonts w:cstheme="minorHAnsi"/>
          <w:iCs/>
        </w:rPr>
        <w:t>Nação</w:t>
      </w:r>
      <w:proofErr w:type="spellEnd"/>
      <w:r w:rsidRPr="00CC1D06">
        <w:rPr>
          <w:rFonts w:cstheme="minorHAnsi"/>
          <w:iCs/>
        </w:rPr>
        <w:t xml:space="preserve"> e Defesa (Nation and Defense) Journal, on cybersecurity; IDN </w:t>
      </w:r>
      <w:proofErr w:type="spellStart"/>
      <w:r w:rsidRPr="00CC1D06">
        <w:rPr>
          <w:rFonts w:cstheme="minorHAnsi"/>
          <w:iCs/>
        </w:rPr>
        <w:t>Cadernos</w:t>
      </w:r>
      <w:proofErr w:type="spellEnd"/>
      <w:r w:rsidRPr="00CC1D06">
        <w:rPr>
          <w:rFonts w:cstheme="minorHAnsi"/>
          <w:iCs/>
        </w:rPr>
        <w:t xml:space="preserve"> Nr 12, </w:t>
      </w:r>
      <w:proofErr w:type="spellStart"/>
      <w:r w:rsidRPr="00CC1D06">
        <w:rPr>
          <w:rFonts w:cstheme="minorHAnsi"/>
          <w:iCs/>
        </w:rPr>
        <w:t>Estratégia</w:t>
      </w:r>
      <w:proofErr w:type="spellEnd"/>
      <w:r w:rsidRPr="00CC1D06">
        <w:rPr>
          <w:rFonts w:cstheme="minorHAnsi"/>
          <w:iCs/>
        </w:rPr>
        <w:t xml:space="preserve"> da </w:t>
      </w:r>
      <w:proofErr w:type="spellStart"/>
      <w:r w:rsidRPr="00CC1D06">
        <w:rPr>
          <w:rFonts w:cstheme="minorHAnsi"/>
          <w:iCs/>
        </w:rPr>
        <w:t>Informação</w:t>
      </w:r>
      <w:proofErr w:type="spellEnd"/>
      <w:r w:rsidRPr="00CC1D06">
        <w:rPr>
          <w:rFonts w:cstheme="minorHAnsi"/>
          <w:iCs/>
        </w:rPr>
        <w:t xml:space="preserve"> e Segurança no </w:t>
      </w:r>
      <w:proofErr w:type="spellStart"/>
      <w:r w:rsidRPr="00CC1D06">
        <w:rPr>
          <w:rFonts w:cstheme="minorHAnsi"/>
          <w:iCs/>
        </w:rPr>
        <w:t>Ciberespaço</w:t>
      </w:r>
      <w:proofErr w:type="spellEnd"/>
      <w:r w:rsidRPr="00CC1D06">
        <w:rPr>
          <w:rFonts w:cstheme="minorHAnsi"/>
          <w:iCs/>
        </w:rPr>
        <w:t xml:space="preserve"> (</w:t>
      </w:r>
      <w:proofErr w:type="spellStart"/>
      <w:r w:rsidRPr="00CC1D06">
        <w:rPr>
          <w:rFonts w:cstheme="minorHAnsi"/>
          <w:iCs/>
        </w:rPr>
        <w:t>Ciberspace</w:t>
      </w:r>
      <w:proofErr w:type="spellEnd"/>
      <w:r w:rsidRPr="00CC1D06">
        <w:rPr>
          <w:rFonts w:cstheme="minorHAnsi"/>
          <w:iCs/>
        </w:rPr>
        <w:t xml:space="preserve">  Information and Security Strategy); IDN </w:t>
      </w:r>
      <w:proofErr w:type="spellStart"/>
      <w:r w:rsidRPr="00CC1D06">
        <w:rPr>
          <w:rFonts w:cstheme="minorHAnsi"/>
          <w:iCs/>
        </w:rPr>
        <w:t>Cadernos</w:t>
      </w:r>
      <w:proofErr w:type="spellEnd"/>
      <w:r w:rsidRPr="00CC1D06">
        <w:rPr>
          <w:rFonts w:cstheme="minorHAnsi"/>
          <w:iCs/>
        </w:rPr>
        <w:t xml:space="preserve"> nr 28, </w:t>
      </w:r>
      <w:proofErr w:type="spellStart"/>
      <w:r w:rsidRPr="00CC1D06">
        <w:rPr>
          <w:rFonts w:cstheme="minorHAnsi"/>
          <w:iCs/>
        </w:rPr>
        <w:t>Contributos</w:t>
      </w:r>
      <w:proofErr w:type="spellEnd"/>
      <w:r w:rsidRPr="00CC1D06">
        <w:rPr>
          <w:rFonts w:cstheme="minorHAnsi"/>
          <w:iCs/>
        </w:rPr>
        <w:t xml:space="preserve"> para </w:t>
      </w:r>
      <w:proofErr w:type="spellStart"/>
      <w:r w:rsidRPr="00CC1D06">
        <w:rPr>
          <w:rFonts w:cstheme="minorHAnsi"/>
          <w:iCs/>
        </w:rPr>
        <w:t>uma</w:t>
      </w:r>
      <w:proofErr w:type="spellEnd"/>
      <w:r w:rsidRPr="00CC1D06">
        <w:rPr>
          <w:rFonts w:cstheme="minorHAnsi"/>
          <w:iCs/>
        </w:rPr>
        <w:t xml:space="preserve"> </w:t>
      </w:r>
      <w:proofErr w:type="spellStart"/>
      <w:r w:rsidRPr="00CC1D06">
        <w:rPr>
          <w:rFonts w:cstheme="minorHAnsi"/>
          <w:iCs/>
        </w:rPr>
        <w:t>Estratégia</w:t>
      </w:r>
      <w:proofErr w:type="spellEnd"/>
      <w:r w:rsidRPr="00CC1D06">
        <w:rPr>
          <w:rFonts w:cstheme="minorHAnsi"/>
          <w:iCs/>
        </w:rPr>
        <w:t xml:space="preserve"> Nacional de </w:t>
      </w:r>
      <w:proofErr w:type="spellStart"/>
      <w:r w:rsidRPr="00CC1D06">
        <w:rPr>
          <w:rFonts w:cstheme="minorHAnsi"/>
          <w:iCs/>
        </w:rPr>
        <w:t>Ciberdefesa</w:t>
      </w:r>
      <w:proofErr w:type="spellEnd"/>
      <w:r w:rsidRPr="00CC1D06">
        <w:rPr>
          <w:rFonts w:cstheme="minorHAnsi"/>
          <w:iCs/>
        </w:rPr>
        <w:t xml:space="preserve"> (Contributions for a National Cyber Defense Strategy); IDN </w:t>
      </w:r>
      <w:proofErr w:type="spellStart"/>
      <w:r w:rsidRPr="00CC1D06">
        <w:rPr>
          <w:rFonts w:cstheme="minorHAnsi"/>
          <w:iCs/>
        </w:rPr>
        <w:t>Cadernos</w:t>
      </w:r>
      <w:proofErr w:type="spellEnd"/>
      <w:r w:rsidRPr="00CC1D06">
        <w:rPr>
          <w:rFonts w:cstheme="minorHAnsi"/>
          <w:iCs/>
        </w:rPr>
        <w:t xml:space="preserve"> Nr 29, </w:t>
      </w:r>
      <w:proofErr w:type="spellStart"/>
      <w:r w:rsidRPr="00CC1D06">
        <w:rPr>
          <w:rFonts w:cstheme="minorHAnsi"/>
          <w:iCs/>
        </w:rPr>
        <w:t>Cibersegurança</w:t>
      </w:r>
      <w:proofErr w:type="spellEnd"/>
      <w:r w:rsidRPr="00CC1D06">
        <w:rPr>
          <w:rFonts w:cstheme="minorHAnsi"/>
          <w:iCs/>
        </w:rPr>
        <w:t xml:space="preserve"> e </w:t>
      </w:r>
      <w:proofErr w:type="spellStart"/>
      <w:r w:rsidRPr="00CC1D06">
        <w:rPr>
          <w:rFonts w:cstheme="minorHAnsi"/>
          <w:iCs/>
        </w:rPr>
        <w:t>Políticas</w:t>
      </w:r>
      <w:proofErr w:type="spellEnd"/>
      <w:r w:rsidRPr="00CC1D06">
        <w:rPr>
          <w:rFonts w:cstheme="minorHAnsi"/>
          <w:iCs/>
        </w:rPr>
        <w:t xml:space="preserve"> </w:t>
      </w:r>
      <w:proofErr w:type="spellStart"/>
      <w:r w:rsidRPr="00CC1D06">
        <w:rPr>
          <w:rFonts w:cstheme="minorHAnsi"/>
          <w:iCs/>
        </w:rPr>
        <w:t>Públicas</w:t>
      </w:r>
      <w:proofErr w:type="spellEnd"/>
      <w:r w:rsidRPr="00CC1D06">
        <w:rPr>
          <w:rFonts w:cstheme="minorHAnsi"/>
          <w:iCs/>
        </w:rPr>
        <w:t xml:space="preserve">: </w:t>
      </w:r>
      <w:proofErr w:type="spellStart"/>
      <w:r w:rsidRPr="00CC1D06">
        <w:rPr>
          <w:rFonts w:cstheme="minorHAnsi"/>
          <w:iCs/>
        </w:rPr>
        <w:t>Análise</w:t>
      </w:r>
      <w:proofErr w:type="spellEnd"/>
      <w:r w:rsidRPr="00CC1D06">
        <w:rPr>
          <w:rFonts w:cstheme="minorHAnsi"/>
          <w:iCs/>
        </w:rPr>
        <w:t xml:space="preserve"> </w:t>
      </w:r>
      <w:proofErr w:type="spellStart"/>
      <w:r w:rsidRPr="00CC1D06">
        <w:rPr>
          <w:rFonts w:cstheme="minorHAnsi"/>
          <w:iCs/>
        </w:rPr>
        <w:t>Comparada</w:t>
      </w:r>
      <w:proofErr w:type="spellEnd"/>
      <w:r w:rsidRPr="00CC1D06">
        <w:rPr>
          <w:rFonts w:cstheme="minorHAnsi"/>
          <w:iCs/>
        </w:rPr>
        <w:t xml:space="preserve"> dos </w:t>
      </w:r>
      <w:proofErr w:type="spellStart"/>
      <w:r w:rsidRPr="00CC1D06">
        <w:rPr>
          <w:rFonts w:cstheme="minorHAnsi"/>
          <w:iCs/>
        </w:rPr>
        <w:t>Casos</w:t>
      </w:r>
      <w:proofErr w:type="spellEnd"/>
      <w:r w:rsidRPr="00CC1D06">
        <w:rPr>
          <w:rFonts w:cstheme="minorHAnsi"/>
          <w:iCs/>
        </w:rPr>
        <w:t xml:space="preserve"> Chileno e </w:t>
      </w:r>
      <w:proofErr w:type="spellStart"/>
      <w:r w:rsidRPr="00CC1D06">
        <w:rPr>
          <w:rFonts w:cstheme="minorHAnsi"/>
          <w:iCs/>
        </w:rPr>
        <w:t>Português</w:t>
      </w:r>
      <w:proofErr w:type="spellEnd"/>
      <w:r w:rsidRPr="00CC1D06">
        <w:rPr>
          <w:rFonts w:cstheme="minorHAnsi"/>
          <w:iCs/>
        </w:rPr>
        <w:t xml:space="preserve"> (Cybersecurity and Public Policy: Comparative Analysis of the Chilean and Portuguese Cases). </w:t>
      </w:r>
    </w:p>
    <w:p w:rsidR="00CC1D06" w:rsidRPr="00CC1D06" w:rsidRDefault="00CC1D06" w:rsidP="00CC1D06">
      <w:pPr>
        <w:pStyle w:val="PargrafodaLista"/>
        <w:numPr>
          <w:ilvl w:val="0"/>
          <w:numId w:val="20"/>
        </w:numPr>
        <w:spacing w:after="120" w:line="240" w:lineRule="auto"/>
        <w:ind w:left="360" w:right="-427"/>
        <w:jc w:val="both"/>
        <w:rPr>
          <w:rFonts w:cstheme="minorHAnsi"/>
          <w:iCs/>
        </w:rPr>
      </w:pPr>
      <w:r w:rsidRPr="00CC1D06">
        <w:rPr>
          <w:rFonts w:cstheme="minorHAnsi"/>
          <w:iCs/>
        </w:rPr>
        <w:t xml:space="preserve">Besides the work on cybersecurity and digital and informational society, IDN has been developing a broad activity regarding citizenship education with the view to developing a Defense culture in Portuguese society, beginning in the national education system. Bearing that in mind, IDN has organized the following activities: </w:t>
      </w:r>
    </w:p>
    <w:p w:rsidR="00CC1D06" w:rsidRPr="00CC1D06" w:rsidRDefault="00CC1D06" w:rsidP="00CC1D06">
      <w:pPr>
        <w:pStyle w:val="PargrafodaLista"/>
        <w:numPr>
          <w:ilvl w:val="1"/>
          <w:numId w:val="21"/>
        </w:numPr>
        <w:spacing w:after="120" w:line="240" w:lineRule="auto"/>
        <w:ind w:left="1080" w:right="-427"/>
        <w:jc w:val="both"/>
        <w:rPr>
          <w:rFonts w:cstheme="minorHAnsi"/>
          <w:iCs/>
        </w:rPr>
      </w:pPr>
      <w:r w:rsidRPr="00CC1D06">
        <w:rPr>
          <w:rFonts w:cstheme="minorHAnsi"/>
          <w:iCs/>
        </w:rPr>
        <w:t>The “Education framework for Security, Defense and Peace (</w:t>
      </w:r>
      <w:proofErr w:type="spellStart"/>
      <w:r w:rsidRPr="00CC1D06">
        <w:rPr>
          <w:rFonts w:cstheme="minorHAnsi"/>
          <w:iCs/>
        </w:rPr>
        <w:t>Referencial</w:t>
      </w:r>
      <w:proofErr w:type="spellEnd"/>
      <w:r w:rsidRPr="00CC1D06">
        <w:rPr>
          <w:rFonts w:cstheme="minorHAnsi"/>
          <w:iCs/>
        </w:rPr>
        <w:t xml:space="preserve"> de Educação para a Segurança, Defesa e a Paz)” was developed through a partnership between IDN and the Directorate for Education (Ministry of Education), approved for application in pre-school, primary and secondary education by the Secretary of State for Primary and Secondary Education on 29</w:t>
      </w:r>
      <w:r w:rsidRPr="00CC1D06">
        <w:rPr>
          <w:rFonts w:cstheme="minorHAnsi"/>
          <w:iCs/>
          <w:vertAlign w:val="superscript"/>
        </w:rPr>
        <w:t xml:space="preserve">th </w:t>
      </w:r>
      <w:r w:rsidRPr="00CC1D06">
        <w:rPr>
          <w:rFonts w:cstheme="minorHAnsi"/>
          <w:iCs/>
        </w:rPr>
        <w:t>August 2014;</w:t>
      </w:r>
    </w:p>
    <w:p w:rsidR="00CC1D06" w:rsidRPr="00CC1D06" w:rsidRDefault="00CC1D06" w:rsidP="00CC1D06">
      <w:pPr>
        <w:pStyle w:val="PargrafodaLista"/>
        <w:numPr>
          <w:ilvl w:val="1"/>
          <w:numId w:val="21"/>
        </w:numPr>
        <w:spacing w:after="120" w:line="240" w:lineRule="auto"/>
        <w:ind w:left="1080" w:right="-427"/>
        <w:jc w:val="both"/>
        <w:rPr>
          <w:rFonts w:cstheme="minorHAnsi"/>
          <w:iCs/>
        </w:rPr>
      </w:pPr>
      <w:proofErr w:type="gramStart"/>
      <w:r w:rsidRPr="00CC1D06">
        <w:rPr>
          <w:rFonts w:cstheme="minorHAnsi"/>
          <w:iCs/>
        </w:rPr>
        <w:lastRenderedPageBreak/>
        <w:t>Twenty four</w:t>
      </w:r>
      <w:proofErr w:type="gramEnd"/>
      <w:r w:rsidRPr="00CC1D06">
        <w:rPr>
          <w:rFonts w:cstheme="minorHAnsi"/>
          <w:iCs/>
        </w:rPr>
        <w:t xml:space="preserve"> credited training actions aimed at teachers on the subject of defense and citizenship education since 2011; The module-theme Risks and Threats deals with the Cybersecurity questions briefly; </w:t>
      </w:r>
    </w:p>
    <w:p w:rsidR="00CC1D06" w:rsidRPr="00CC1D06" w:rsidRDefault="00CC1D06" w:rsidP="00CC1D06">
      <w:pPr>
        <w:pStyle w:val="PargrafodaLista"/>
        <w:numPr>
          <w:ilvl w:val="1"/>
          <w:numId w:val="21"/>
        </w:numPr>
        <w:spacing w:after="120" w:line="240" w:lineRule="auto"/>
        <w:ind w:left="1080" w:right="-427"/>
        <w:jc w:val="both"/>
        <w:rPr>
          <w:rFonts w:cstheme="minorHAnsi"/>
          <w:iCs/>
        </w:rPr>
      </w:pPr>
      <w:r w:rsidRPr="00CC1D06">
        <w:rPr>
          <w:rFonts w:cstheme="minorHAnsi"/>
          <w:iCs/>
        </w:rPr>
        <w:t>Several other small training initiatives for teachers on the “Education framework for Security, Defense and Peace (</w:t>
      </w:r>
      <w:proofErr w:type="spellStart"/>
      <w:r w:rsidRPr="00CC1D06">
        <w:rPr>
          <w:rFonts w:cstheme="minorHAnsi"/>
          <w:iCs/>
        </w:rPr>
        <w:t>Referencial</w:t>
      </w:r>
      <w:proofErr w:type="spellEnd"/>
      <w:r w:rsidRPr="00CC1D06">
        <w:rPr>
          <w:rFonts w:cstheme="minorHAnsi"/>
          <w:iCs/>
        </w:rPr>
        <w:t xml:space="preserve"> de Educação para a Segurança, Defesa e a Paz)”, all over the country; </w:t>
      </w:r>
    </w:p>
    <w:p w:rsidR="00CC1D06" w:rsidRPr="00CC1D06" w:rsidRDefault="00CC1D06" w:rsidP="00CC1D06">
      <w:pPr>
        <w:pStyle w:val="PargrafodaLista"/>
        <w:numPr>
          <w:ilvl w:val="1"/>
          <w:numId w:val="21"/>
        </w:numPr>
        <w:spacing w:after="120" w:line="240" w:lineRule="auto"/>
        <w:ind w:left="1080" w:right="-427"/>
        <w:jc w:val="both"/>
        <w:rPr>
          <w:rFonts w:cstheme="minorHAnsi"/>
          <w:iCs/>
        </w:rPr>
      </w:pPr>
      <w:r w:rsidRPr="00CC1D06">
        <w:rPr>
          <w:rFonts w:cstheme="minorHAnsi"/>
          <w:iCs/>
        </w:rPr>
        <w:t xml:space="preserve">Several small actions for students </w:t>
      </w:r>
      <w:proofErr w:type="gramStart"/>
      <w:r w:rsidRPr="00CC1D06">
        <w:rPr>
          <w:rFonts w:cstheme="minorHAnsi"/>
          <w:iCs/>
        </w:rPr>
        <w:t>on the subject of citizenship</w:t>
      </w:r>
      <w:proofErr w:type="gramEnd"/>
      <w:r w:rsidRPr="00CC1D06">
        <w:rPr>
          <w:rFonts w:cstheme="minorHAnsi"/>
          <w:iCs/>
        </w:rPr>
        <w:t xml:space="preserve">, defense, security and peace. </w:t>
      </w:r>
    </w:p>
    <w:p w:rsidR="00CC1D06" w:rsidRPr="00CC1D06" w:rsidRDefault="00CC1D06" w:rsidP="00CC1D06">
      <w:pPr>
        <w:spacing w:after="120" w:line="240" w:lineRule="auto"/>
        <w:jc w:val="both"/>
        <w:rPr>
          <w:rFonts w:cstheme="minorHAnsi"/>
          <w:iCs/>
          <w:color w:val="000000"/>
        </w:rPr>
      </w:pP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 xml:space="preserve">To sum up, new technologies bring with them hard to solve aspects, which require philosophical, sociological, legal and anthropological reflection, where the right of individual privacy and the right of access to globally linked networks converge. Throughout human history, technological advances have introduced significant changes in social and cultural life, and in collective mind-set. Although NEDT are novelty, the study of human individual and collective reactions to changes that previous technological revolutions have imposed can </w:t>
      </w:r>
      <w:proofErr w:type="gramStart"/>
      <w:r w:rsidRPr="00011E39">
        <w:rPr>
          <w:rFonts w:ascii="Calibri" w:hAnsi="Calibri" w:cs="Calibri"/>
          <w:color w:val="000000"/>
          <w:lang w:val="en-GB"/>
        </w:rPr>
        <w:t>be helpful in understanding</w:t>
      </w:r>
      <w:proofErr w:type="gramEnd"/>
      <w:r w:rsidRPr="00011E39">
        <w:rPr>
          <w:rFonts w:ascii="Calibri" w:hAnsi="Calibri" w:cs="Calibri"/>
          <w:color w:val="000000"/>
          <w:lang w:val="en-GB"/>
        </w:rPr>
        <w:t xml:space="preserve"> and replying to the issued subject.</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 xml:space="preserve">In complement to other support actions promoted by the Portuguese High Commission for Migration, we would like to highlight the </w:t>
      </w:r>
      <w:proofErr w:type="spellStart"/>
      <w:r w:rsidRPr="00011E39">
        <w:rPr>
          <w:rFonts w:ascii="Calibri" w:hAnsi="Calibri" w:cs="Calibri"/>
          <w:color w:val="000000"/>
          <w:lang w:val="en-GB"/>
        </w:rPr>
        <w:t>RefuJobs</w:t>
      </w:r>
      <w:proofErr w:type="spellEnd"/>
      <w:r w:rsidRPr="00011E39">
        <w:rPr>
          <w:rFonts w:ascii="Calibri" w:hAnsi="Calibri" w:cs="Calibri"/>
          <w:color w:val="000000"/>
          <w:lang w:val="en-GB"/>
        </w:rPr>
        <w:t xml:space="preserve"> Platform (a SIMPLEX + measure) aims to facilitate and guarantee access to a training offer, as well as job and self-employment opportunities. </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The project integrates two axes:</w:t>
      </w:r>
    </w:p>
    <w:p w:rsidR="00011E39" w:rsidRPr="00524907" w:rsidRDefault="00011E39" w:rsidP="00524907">
      <w:pPr>
        <w:pStyle w:val="PargrafodaLista"/>
        <w:numPr>
          <w:ilvl w:val="0"/>
          <w:numId w:val="15"/>
        </w:numPr>
        <w:spacing w:after="120" w:line="240" w:lineRule="auto"/>
        <w:jc w:val="both"/>
        <w:rPr>
          <w:rFonts w:ascii="Calibri" w:hAnsi="Calibri" w:cs="Calibri"/>
          <w:color w:val="000000"/>
          <w:lang w:val="en-GB"/>
        </w:rPr>
      </w:pPr>
      <w:r w:rsidRPr="00524907">
        <w:rPr>
          <w:rFonts w:ascii="Calibri" w:hAnsi="Calibri" w:cs="Calibri"/>
          <w:color w:val="000000"/>
          <w:lang w:val="en-GB"/>
        </w:rPr>
        <w:t>Identification of training and traineeship opportunities available in Portuguese entities and companies, in order to optimize the professional skills of refugees;</w:t>
      </w:r>
    </w:p>
    <w:p w:rsidR="00011E39" w:rsidRPr="00524907" w:rsidRDefault="00011E39" w:rsidP="00524907">
      <w:pPr>
        <w:pStyle w:val="PargrafodaLista"/>
        <w:numPr>
          <w:ilvl w:val="0"/>
          <w:numId w:val="15"/>
        </w:numPr>
        <w:spacing w:after="120" w:line="240" w:lineRule="auto"/>
        <w:jc w:val="both"/>
        <w:rPr>
          <w:rFonts w:ascii="Calibri" w:hAnsi="Calibri" w:cs="Calibri"/>
          <w:color w:val="000000"/>
          <w:lang w:val="en-GB"/>
        </w:rPr>
      </w:pPr>
      <w:r w:rsidRPr="00524907">
        <w:rPr>
          <w:rFonts w:ascii="Calibri" w:hAnsi="Calibri" w:cs="Calibri"/>
          <w:color w:val="000000"/>
          <w:lang w:val="en-GB"/>
        </w:rPr>
        <w:t>Identification of job opportunities available in Portuguese entities and companies, in order to optimize the professional skills of refugees, as well as the support in the creation of self-employment.</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 xml:space="preserve">The </w:t>
      </w:r>
      <w:proofErr w:type="spellStart"/>
      <w:r w:rsidRPr="00011E39">
        <w:rPr>
          <w:rFonts w:ascii="Calibri" w:hAnsi="Calibri" w:cs="Calibri"/>
          <w:color w:val="000000"/>
          <w:lang w:val="en-GB"/>
        </w:rPr>
        <w:t>RefuJobs</w:t>
      </w:r>
      <w:proofErr w:type="spellEnd"/>
      <w:r w:rsidRPr="00011E39">
        <w:rPr>
          <w:rFonts w:ascii="Calibri" w:hAnsi="Calibri" w:cs="Calibri"/>
          <w:color w:val="000000"/>
          <w:lang w:val="en-GB"/>
        </w:rPr>
        <w:t xml:space="preserve"> Platform was launched in May of 2018 </w:t>
      </w:r>
      <w:hyperlink r:id="rId13" w:history="1">
        <w:r w:rsidRPr="00011E39">
          <w:rPr>
            <w:rFonts w:ascii="Calibri" w:hAnsi="Calibri" w:cs="Calibri"/>
            <w:color w:val="000000"/>
            <w:lang w:val="en-GB"/>
          </w:rPr>
          <w:t>https://www.refujobs.acm.gov.pt/pt/</w:t>
        </w:r>
      </w:hyperlink>
      <w:r w:rsidRPr="00011E39">
        <w:rPr>
          <w:rFonts w:ascii="Calibri" w:hAnsi="Calibri" w:cs="Calibri"/>
          <w:color w:val="000000"/>
          <w:lang w:val="en-GB"/>
        </w:rPr>
        <w:t xml:space="preserve"> and it is open to the public and therefore any citizen, both asylum seeker or beneficiary of international protection, can register and create their candidate profile. </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 xml:space="preserve">The goal of the </w:t>
      </w:r>
      <w:proofErr w:type="spellStart"/>
      <w:r w:rsidRPr="00011E39">
        <w:rPr>
          <w:rFonts w:ascii="Calibri" w:hAnsi="Calibri" w:cs="Calibri"/>
          <w:color w:val="000000"/>
          <w:lang w:val="en-GB"/>
        </w:rPr>
        <w:t>RefuJobs</w:t>
      </w:r>
      <w:proofErr w:type="spellEnd"/>
      <w:r w:rsidRPr="00011E39">
        <w:rPr>
          <w:rFonts w:ascii="Calibri" w:hAnsi="Calibri" w:cs="Calibri"/>
          <w:color w:val="000000"/>
          <w:lang w:val="en-GB"/>
        </w:rPr>
        <w:t xml:space="preserve"> Project is the inclusion of refugee people in the labour market. Therefore, ACM’s job is to build the bridge between candidates looking for opportunities and entities offering jobs, traineeships or training. Every time there is an automatic match between a candidate and an offer, and before sending the person’s CV to the entity in question, ACM verifies:</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If the candidate meets the conditions of the offer;</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 xml:space="preserve">If the candidate has legal status for professional activity in national territory. When the asylum seekers are integrated in the Resettlement or Relocation Programmes, whilst waiting for decision on their asylum request, they are issued a temporary residency permit which is valid for 6 months and renewable until there is a definitive answer from SEF. </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 xml:space="preserve">The companies registered in the </w:t>
      </w:r>
      <w:proofErr w:type="spellStart"/>
      <w:r w:rsidRPr="00011E39">
        <w:rPr>
          <w:rFonts w:ascii="Calibri" w:hAnsi="Calibri" w:cs="Calibri"/>
          <w:color w:val="000000"/>
          <w:lang w:val="en-GB"/>
        </w:rPr>
        <w:t>RefuJobs</w:t>
      </w:r>
      <w:proofErr w:type="spellEnd"/>
      <w:r w:rsidRPr="00011E39">
        <w:rPr>
          <w:rFonts w:ascii="Calibri" w:hAnsi="Calibri" w:cs="Calibri"/>
          <w:color w:val="000000"/>
          <w:lang w:val="en-GB"/>
        </w:rPr>
        <w:t xml:space="preserve"> Platform are committed to comply with the demands in labour legislation. </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 xml:space="preserve">The monitoring and assessment of the </w:t>
      </w:r>
      <w:proofErr w:type="spellStart"/>
      <w:r w:rsidRPr="00011E39">
        <w:rPr>
          <w:rFonts w:ascii="Calibri" w:hAnsi="Calibri" w:cs="Calibri"/>
          <w:color w:val="000000"/>
          <w:lang w:val="en-GB"/>
        </w:rPr>
        <w:t>RefuJobs</w:t>
      </w:r>
      <w:proofErr w:type="spellEnd"/>
      <w:r w:rsidRPr="00011E39">
        <w:rPr>
          <w:rFonts w:ascii="Calibri" w:hAnsi="Calibri" w:cs="Calibri"/>
          <w:color w:val="000000"/>
          <w:lang w:val="en-GB"/>
        </w:rPr>
        <w:t xml:space="preserve"> Platform is made by the High Commission for Migration.</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 xml:space="preserve">This monitoring is made daily, through direct contact with entities and candidates, by forwarding CVs for recruitment processes </w:t>
      </w:r>
      <w:proofErr w:type="gramStart"/>
      <w:r w:rsidRPr="00011E39">
        <w:rPr>
          <w:rFonts w:ascii="Calibri" w:hAnsi="Calibri" w:cs="Calibri"/>
          <w:color w:val="000000"/>
          <w:lang w:val="en-GB"/>
        </w:rPr>
        <w:t>and also</w:t>
      </w:r>
      <w:proofErr w:type="gramEnd"/>
      <w:r w:rsidRPr="00011E39">
        <w:rPr>
          <w:rFonts w:ascii="Calibri" w:hAnsi="Calibri" w:cs="Calibri"/>
          <w:color w:val="000000"/>
          <w:lang w:val="en-GB"/>
        </w:rPr>
        <w:t xml:space="preserve"> the constant search of new partnerships and job/traineeship/training offers. There is also an attempt to bring a wider awareness to the Platform amongst the beneficiaries of international protection. </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lastRenderedPageBreak/>
        <w:t xml:space="preserve">The assessment is made together with partners, reception entities and Platform users. After every recruitment process it is necessary to have a joint assessment through meetings, emails or telephone. </w:t>
      </w:r>
    </w:p>
    <w:p w:rsidR="00011E39" w:rsidRPr="00011E39" w:rsidRDefault="00011E39" w:rsidP="00011E39">
      <w:pPr>
        <w:spacing w:after="120" w:line="240" w:lineRule="auto"/>
        <w:jc w:val="both"/>
        <w:rPr>
          <w:rFonts w:ascii="Calibri" w:hAnsi="Calibri" w:cs="Calibri"/>
          <w:color w:val="000000"/>
          <w:lang w:val="en-GB"/>
        </w:rPr>
      </w:pPr>
      <w:r w:rsidRPr="00011E39">
        <w:rPr>
          <w:rFonts w:ascii="Calibri" w:hAnsi="Calibri" w:cs="Calibri"/>
          <w:color w:val="000000"/>
          <w:lang w:val="en-GB"/>
        </w:rPr>
        <w:t xml:space="preserve">The procedures with the companies have been perfected through on-going communication and the goal is to elaborate a quarterly report evaluating the Platform. </w:t>
      </w:r>
    </w:p>
    <w:p w:rsidR="006D5700" w:rsidRPr="006D5700" w:rsidRDefault="006D5700" w:rsidP="006D5700">
      <w:pPr>
        <w:spacing w:after="120" w:line="240" w:lineRule="auto"/>
        <w:jc w:val="both"/>
        <w:rPr>
          <w:rFonts w:ascii="Calibri" w:hAnsi="Calibri" w:cs="Calibri"/>
          <w:color w:val="000000"/>
          <w:lang w:val="en-GB"/>
        </w:rPr>
      </w:pPr>
      <w:r w:rsidRPr="006D5700">
        <w:rPr>
          <w:rFonts w:ascii="Calibri" w:hAnsi="Calibri" w:cs="Calibri"/>
          <w:color w:val="000000"/>
          <w:lang w:val="en-GB"/>
        </w:rPr>
        <w:t xml:space="preserve">If appropriate safeguards are not put in place, emerging digital technologies may amplify prejudices and discriminatory practices (as regards, for instance, recruitment decisions, policing, client profiling), distort public debate and fuel misinformation campaigns. To help preventing such risks, new technologies should be developed/implemented incorporating the principle of fundamental rights by design/default, </w:t>
      </w:r>
      <w:proofErr w:type="gramStart"/>
      <w:r w:rsidRPr="006D5700">
        <w:rPr>
          <w:rFonts w:ascii="Calibri" w:hAnsi="Calibri" w:cs="Calibri"/>
          <w:color w:val="000000"/>
          <w:lang w:val="en-GB"/>
        </w:rPr>
        <w:t>on the basis of</w:t>
      </w:r>
      <w:proofErr w:type="gramEnd"/>
      <w:r w:rsidRPr="006D5700">
        <w:rPr>
          <w:rFonts w:ascii="Calibri" w:hAnsi="Calibri" w:cs="Calibri"/>
          <w:color w:val="000000"/>
          <w:lang w:val="en-GB"/>
        </w:rPr>
        <w:t xml:space="preserve"> clear and transparent codes of ethics</w:t>
      </w:r>
      <w:r w:rsidRPr="006D5700">
        <w:rPr>
          <w:rFonts w:ascii="Calibri" w:hAnsi="Calibri" w:cs="Calibri"/>
          <w:color w:val="000000"/>
          <w:lang w:val="en-GB"/>
        </w:rPr>
        <w:footnoteReference w:id="1"/>
      </w:r>
      <w:r w:rsidRPr="006D5700">
        <w:rPr>
          <w:rFonts w:ascii="Calibri" w:hAnsi="Calibri" w:cs="Calibri"/>
          <w:color w:val="000000"/>
          <w:lang w:val="en-GB"/>
        </w:rPr>
        <w:t xml:space="preserve">. </w:t>
      </w:r>
      <w:proofErr w:type="gramStart"/>
      <w:r w:rsidRPr="006D5700">
        <w:rPr>
          <w:rFonts w:ascii="Calibri" w:hAnsi="Calibri" w:cs="Calibri"/>
          <w:color w:val="000000"/>
          <w:lang w:val="en-GB"/>
        </w:rPr>
        <w:t>In particular, data</w:t>
      </w:r>
      <w:proofErr w:type="gramEnd"/>
      <w:r w:rsidRPr="006D5700">
        <w:rPr>
          <w:rFonts w:ascii="Calibri" w:hAnsi="Calibri" w:cs="Calibri"/>
          <w:color w:val="000000"/>
          <w:lang w:val="en-GB"/>
        </w:rPr>
        <w:t xml:space="preserve"> protection standards should be promoted at a global level.</w:t>
      </w:r>
    </w:p>
    <w:p w:rsidR="00C25F75" w:rsidRPr="00DF2CA9" w:rsidRDefault="00C25F75" w:rsidP="00DF2CA9">
      <w:pPr>
        <w:spacing w:after="120" w:line="240" w:lineRule="auto"/>
        <w:jc w:val="both"/>
        <w:rPr>
          <w:rFonts w:ascii="Calibri" w:hAnsi="Calibri" w:cs="Calibri"/>
          <w:b/>
          <w:bCs/>
          <w:color w:val="000000"/>
          <w:lang w:val="en-GB"/>
        </w:rPr>
      </w:pPr>
    </w:p>
    <w:p w:rsidR="00A6344D" w:rsidRPr="00DF2CA9" w:rsidRDefault="0049646B" w:rsidP="00DF2CA9">
      <w:pPr>
        <w:pStyle w:val="PargrafodaLista"/>
        <w:numPr>
          <w:ilvl w:val="0"/>
          <w:numId w:val="1"/>
        </w:numPr>
        <w:spacing w:after="120" w:line="240" w:lineRule="auto"/>
        <w:jc w:val="both"/>
        <w:rPr>
          <w:rFonts w:ascii="Calibri" w:hAnsi="Calibri" w:cs="Calibri"/>
          <w:b/>
          <w:bCs/>
          <w:color w:val="000000"/>
          <w:lang w:val="en-GB"/>
        </w:rPr>
      </w:pPr>
      <w:r w:rsidRPr="00DF2CA9">
        <w:rPr>
          <w:rFonts w:ascii="Calibri" w:hAnsi="Calibri" w:cs="Calibri"/>
          <w:b/>
          <w:bCs/>
          <w:color w:val="000000"/>
          <w:lang w:val="en-GB"/>
        </w:rPr>
        <w:t xml:space="preserve">Is the existing </w:t>
      </w:r>
      <w:r w:rsidR="00123C8E" w:rsidRPr="00DF2CA9">
        <w:rPr>
          <w:rFonts w:ascii="Calibri" w:hAnsi="Calibri" w:cs="Calibri"/>
          <w:b/>
          <w:bCs/>
          <w:color w:val="000000"/>
          <w:lang w:val="en-GB"/>
        </w:rPr>
        <w:t xml:space="preserve">international </w:t>
      </w:r>
      <w:r w:rsidRPr="00DF2CA9">
        <w:rPr>
          <w:rFonts w:ascii="Calibri" w:hAnsi="Calibri" w:cs="Calibri"/>
          <w:b/>
          <w:bCs/>
          <w:color w:val="000000"/>
          <w:lang w:val="en-GB"/>
        </w:rPr>
        <w:t xml:space="preserve">human rights framework adequate to safeguard human rights in an era of rapid technological innovation? Why or why not? </w:t>
      </w:r>
      <w:r w:rsidR="00A6344D" w:rsidRPr="00DF2CA9">
        <w:rPr>
          <w:rFonts w:ascii="Calibri" w:hAnsi="Calibri" w:cs="Calibri"/>
          <w:b/>
          <w:bCs/>
          <w:color w:val="000000"/>
          <w:lang w:val="en-GB"/>
        </w:rPr>
        <w:t>If not, what types of reforms</w:t>
      </w:r>
      <w:r w:rsidR="00BD2386" w:rsidRPr="00DF2CA9">
        <w:rPr>
          <w:rFonts w:ascii="Calibri" w:hAnsi="Calibri" w:cs="Calibri"/>
          <w:b/>
          <w:bCs/>
          <w:color w:val="000000"/>
          <w:lang w:val="en-GB"/>
        </w:rPr>
        <w:t xml:space="preserve"> </w:t>
      </w:r>
      <w:r w:rsidR="00A6344D" w:rsidRPr="00DF2CA9">
        <w:rPr>
          <w:rFonts w:ascii="Calibri" w:hAnsi="Calibri" w:cs="Calibri"/>
          <w:b/>
          <w:bCs/>
          <w:color w:val="000000"/>
          <w:lang w:val="en-GB"/>
        </w:rPr>
        <w:t>are needed?</w:t>
      </w:r>
    </w:p>
    <w:p w:rsidR="001237CC" w:rsidRDefault="00F7682F"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 xml:space="preserve">Given the novelty of technological innovations, a continuous observation and monitoring of its applications and impact will be necessary, both by national and international actors. As the technology is evolving quickly, new risks and opportunities might arise that will require constant regulatory adjustment to ensure that technological rents are broadly shared. Also, constant exchanges among </w:t>
      </w:r>
      <w:proofErr w:type="gramStart"/>
      <w:r w:rsidRPr="000A1ED5">
        <w:rPr>
          <w:rFonts w:ascii="Calibri" w:hAnsi="Calibri" w:cs="Calibri"/>
          <w:color w:val="000000"/>
          <w:lang w:val="en-GB"/>
        </w:rPr>
        <w:t>policy-makers</w:t>
      </w:r>
      <w:proofErr w:type="gramEnd"/>
      <w:r w:rsidRPr="000A1ED5">
        <w:rPr>
          <w:rFonts w:ascii="Calibri" w:hAnsi="Calibri" w:cs="Calibri"/>
          <w:color w:val="000000"/>
          <w:lang w:val="en-GB"/>
        </w:rPr>
        <w:t xml:space="preserve"> and regulators are necessary.</w:t>
      </w:r>
    </w:p>
    <w:p w:rsidR="00524907" w:rsidRPr="00524907" w:rsidRDefault="00524907" w:rsidP="00524907">
      <w:pPr>
        <w:spacing w:after="120" w:line="240" w:lineRule="auto"/>
        <w:jc w:val="both"/>
        <w:rPr>
          <w:rFonts w:ascii="Calibri" w:hAnsi="Calibri" w:cs="Calibri"/>
          <w:color w:val="000000"/>
          <w:lang w:val="en-GB"/>
        </w:rPr>
      </w:pPr>
      <w:r w:rsidRPr="00524907">
        <w:rPr>
          <w:rFonts w:ascii="Calibri" w:hAnsi="Calibri" w:cs="Calibri"/>
          <w:color w:val="000000"/>
          <w:lang w:val="en-GB"/>
        </w:rPr>
        <w:t>The globalized use of the NEDT, and the virtual space in which they operate, has implicit the notion of deterritorialization which hinders the state's performance. Thus, include the topic of safeguarding human rights when using NEDT in the international human rights frameworks appears to be the most viable path to overcome the limitation to state regulation to address this issue; as well as to ensure the existence of a globally comprehensive framework of international standards.</w:t>
      </w:r>
    </w:p>
    <w:p w:rsidR="00524907" w:rsidRPr="00524907" w:rsidRDefault="00524907" w:rsidP="00524907">
      <w:pPr>
        <w:spacing w:after="120" w:line="240" w:lineRule="auto"/>
        <w:jc w:val="both"/>
        <w:rPr>
          <w:rFonts w:ascii="Calibri" w:hAnsi="Calibri" w:cs="Calibri"/>
          <w:color w:val="000000"/>
          <w:lang w:val="en-GB"/>
        </w:rPr>
      </w:pPr>
      <w:r w:rsidRPr="00524907">
        <w:rPr>
          <w:rFonts w:ascii="Calibri" w:hAnsi="Calibri" w:cs="Calibri"/>
          <w:color w:val="000000"/>
          <w:lang w:val="en-GB"/>
        </w:rPr>
        <w:t xml:space="preserve">The Directives and Resolutions existing in international human rights framework and its application must be regularly monitored in order to cope with the profusion and speed with which technology advances and the consequences these advances bring into human rights worldwide. </w:t>
      </w:r>
    </w:p>
    <w:p w:rsidR="00F7682F" w:rsidRPr="000A1ED5" w:rsidRDefault="00F7682F" w:rsidP="00DF2CA9">
      <w:pPr>
        <w:pStyle w:val="PargrafodaLista"/>
        <w:spacing w:after="120" w:line="240" w:lineRule="auto"/>
        <w:jc w:val="both"/>
        <w:rPr>
          <w:rFonts w:ascii="Calibri" w:hAnsi="Calibri" w:cs="Calibri"/>
          <w:color w:val="000000"/>
          <w:lang w:val="en-GB"/>
        </w:rPr>
      </w:pPr>
    </w:p>
    <w:p w:rsidR="008933CB" w:rsidRPr="00DF2CA9" w:rsidRDefault="00DF6DDF" w:rsidP="00DF2CA9">
      <w:pPr>
        <w:pStyle w:val="PargrafodaLista"/>
        <w:numPr>
          <w:ilvl w:val="0"/>
          <w:numId w:val="1"/>
        </w:numPr>
        <w:spacing w:after="120" w:line="240" w:lineRule="auto"/>
        <w:jc w:val="both"/>
        <w:rPr>
          <w:rFonts w:ascii="Calibri" w:hAnsi="Calibri" w:cs="Calibri"/>
          <w:b/>
          <w:bCs/>
          <w:color w:val="000000"/>
          <w:lang w:val="en-GB"/>
        </w:rPr>
      </w:pPr>
      <w:r w:rsidRPr="00DF2CA9">
        <w:rPr>
          <w:rFonts w:ascii="Calibri" w:hAnsi="Calibri" w:cs="Calibri"/>
          <w:b/>
          <w:bCs/>
          <w:color w:val="000000"/>
          <w:lang w:val="en-GB"/>
        </w:rPr>
        <w:t xml:space="preserve">In your opinion, are there any gaps or overlaps in existing efforts to respond to the issue of </w:t>
      </w:r>
      <w:r w:rsidR="003E4748" w:rsidRPr="00DF2CA9">
        <w:rPr>
          <w:rFonts w:ascii="Calibri" w:hAnsi="Calibri" w:cs="Calibri"/>
          <w:b/>
          <w:bCs/>
          <w:color w:val="000000"/>
          <w:lang w:val="en-GB"/>
        </w:rPr>
        <w:t>new and emerging digital technologies</w:t>
      </w:r>
      <w:r w:rsidRPr="00DF2CA9">
        <w:rPr>
          <w:rFonts w:ascii="Calibri" w:hAnsi="Calibri" w:cs="Calibri"/>
          <w:b/>
          <w:bCs/>
          <w:color w:val="000000"/>
          <w:lang w:val="en-GB"/>
        </w:rPr>
        <w:t>? Are some human rights or technologies being overlooked?</w:t>
      </w:r>
    </w:p>
    <w:p w:rsidR="001237CC" w:rsidRPr="000A1ED5" w:rsidRDefault="00F7682F"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Please see the answer to questions 2 and 3.</w:t>
      </w:r>
    </w:p>
    <w:p w:rsidR="001237CC" w:rsidRPr="000A1ED5" w:rsidRDefault="001237CC" w:rsidP="00DF2CA9">
      <w:pPr>
        <w:pStyle w:val="PargrafodaLista"/>
        <w:spacing w:after="120" w:line="240" w:lineRule="auto"/>
        <w:jc w:val="both"/>
        <w:rPr>
          <w:rFonts w:ascii="Calibri" w:hAnsi="Calibri" w:cs="Calibri"/>
          <w:color w:val="000000"/>
          <w:lang w:val="en-GB"/>
        </w:rPr>
      </w:pPr>
    </w:p>
    <w:p w:rsidR="00DF6DDF" w:rsidRPr="00DF2CA9" w:rsidRDefault="00AE0FD0" w:rsidP="00DF2CA9">
      <w:pPr>
        <w:pStyle w:val="PargrafodaLista"/>
        <w:numPr>
          <w:ilvl w:val="0"/>
          <w:numId w:val="1"/>
        </w:numPr>
        <w:spacing w:after="120" w:line="240" w:lineRule="auto"/>
        <w:jc w:val="both"/>
        <w:rPr>
          <w:rFonts w:ascii="Calibri" w:hAnsi="Calibri" w:cs="Calibri"/>
          <w:b/>
          <w:bCs/>
          <w:color w:val="000000"/>
          <w:lang w:val="en-GB"/>
        </w:rPr>
      </w:pPr>
      <w:r w:rsidRPr="00DF2CA9">
        <w:rPr>
          <w:rFonts w:ascii="Calibri" w:hAnsi="Calibri" w:cs="Calibri"/>
          <w:b/>
          <w:bCs/>
          <w:color w:val="000000"/>
          <w:lang w:val="en-GB"/>
        </w:rPr>
        <w:t>As opposed to focusing on a select</w:t>
      </w:r>
      <w:r w:rsidR="00577C45" w:rsidRPr="00DF2CA9">
        <w:rPr>
          <w:rFonts w:ascii="Calibri" w:hAnsi="Calibri" w:cs="Calibri"/>
          <w:b/>
          <w:bCs/>
          <w:color w:val="000000"/>
          <w:lang w:val="en-GB"/>
        </w:rPr>
        <w:t>ed</w:t>
      </w:r>
      <w:r w:rsidRPr="00DF2CA9">
        <w:rPr>
          <w:rFonts w:ascii="Calibri" w:hAnsi="Calibri" w:cs="Calibri"/>
          <w:b/>
          <w:bCs/>
          <w:color w:val="000000"/>
          <w:lang w:val="en-GB"/>
        </w:rPr>
        <w:t xml:space="preserve"> few technologies, do you think</w:t>
      </w:r>
      <w:r w:rsidR="008933CB" w:rsidRPr="00DF2CA9">
        <w:rPr>
          <w:rFonts w:ascii="Calibri" w:hAnsi="Calibri" w:cs="Calibri"/>
          <w:b/>
          <w:bCs/>
          <w:color w:val="000000"/>
          <w:lang w:val="en-GB"/>
        </w:rPr>
        <w:t xml:space="preserve"> a holistic and inclusive approach </w:t>
      </w:r>
      <w:r w:rsidRPr="00DF2CA9">
        <w:rPr>
          <w:rFonts w:ascii="Calibri" w:hAnsi="Calibri" w:cs="Calibri"/>
          <w:b/>
          <w:bCs/>
          <w:color w:val="000000"/>
          <w:lang w:val="en-GB"/>
        </w:rPr>
        <w:t xml:space="preserve">will </w:t>
      </w:r>
      <w:r w:rsidR="008933CB" w:rsidRPr="00DF2CA9">
        <w:rPr>
          <w:rFonts w:ascii="Calibri" w:hAnsi="Calibri" w:cs="Calibri"/>
          <w:b/>
          <w:bCs/>
          <w:color w:val="000000"/>
          <w:lang w:val="en-GB"/>
        </w:rPr>
        <w:t xml:space="preserve">help reduce any gaps in the existing system for addressing human rights challenges from new </w:t>
      </w:r>
      <w:r w:rsidRPr="00DF2CA9">
        <w:rPr>
          <w:rFonts w:ascii="Calibri" w:hAnsi="Calibri" w:cs="Calibri"/>
          <w:b/>
          <w:bCs/>
          <w:color w:val="000000"/>
          <w:lang w:val="en-GB"/>
        </w:rPr>
        <w:t xml:space="preserve">and emerging digital </w:t>
      </w:r>
      <w:r w:rsidR="008933CB" w:rsidRPr="00DF2CA9">
        <w:rPr>
          <w:rFonts w:ascii="Calibri" w:hAnsi="Calibri" w:cs="Calibri"/>
          <w:b/>
          <w:bCs/>
          <w:color w:val="000000"/>
          <w:lang w:val="en-GB"/>
        </w:rPr>
        <w:t>technology?</w:t>
      </w:r>
      <w:r w:rsidR="00DF6DDF" w:rsidRPr="00DF2CA9">
        <w:rPr>
          <w:rFonts w:ascii="Calibri" w:hAnsi="Calibri" w:cs="Calibri"/>
          <w:b/>
          <w:bCs/>
          <w:color w:val="000000"/>
          <w:lang w:val="en-GB"/>
        </w:rPr>
        <w:t xml:space="preserve"> </w:t>
      </w:r>
    </w:p>
    <w:p w:rsidR="001237CC" w:rsidRPr="000A1ED5" w:rsidRDefault="00171365"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One approach does not exclude the other</w:t>
      </w:r>
      <w:r w:rsidR="000A1ED5" w:rsidRPr="000A1ED5">
        <w:rPr>
          <w:rFonts w:ascii="Calibri" w:hAnsi="Calibri" w:cs="Calibri"/>
          <w:color w:val="000000"/>
          <w:lang w:val="en-GB"/>
        </w:rPr>
        <w:t xml:space="preserve">. </w:t>
      </w:r>
      <w:r w:rsidRPr="000A1ED5">
        <w:rPr>
          <w:rFonts w:ascii="Calibri" w:hAnsi="Calibri" w:cs="Calibri"/>
          <w:color w:val="000000"/>
          <w:lang w:val="en-GB"/>
        </w:rPr>
        <w:t xml:space="preserve">As it was answered </w:t>
      </w:r>
      <w:proofErr w:type="gramStart"/>
      <w:r w:rsidRPr="000A1ED5">
        <w:rPr>
          <w:rFonts w:ascii="Calibri" w:hAnsi="Calibri" w:cs="Calibri"/>
          <w:color w:val="000000"/>
          <w:lang w:val="en-GB"/>
        </w:rPr>
        <w:t>on the subject of question</w:t>
      </w:r>
      <w:proofErr w:type="gramEnd"/>
      <w:r w:rsidRPr="000A1ED5">
        <w:rPr>
          <w:rFonts w:ascii="Calibri" w:hAnsi="Calibri" w:cs="Calibri"/>
          <w:color w:val="000000"/>
          <w:lang w:val="en-GB"/>
        </w:rPr>
        <w:t xml:space="preserve"> 3, the fragmentation and atomization of the human rights structure seems to undermine the speed and effectiveness of intervention. This general principle should also apply </w:t>
      </w:r>
      <w:proofErr w:type="gramStart"/>
      <w:r w:rsidRPr="000A1ED5">
        <w:rPr>
          <w:rFonts w:ascii="Calibri" w:hAnsi="Calibri" w:cs="Calibri"/>
          <w:color w:val="000000"/>
          <w:lang w:val="en-GB"/>
        </w:rPr>
        <w:t>in particular to</w:t>
      </w:r>
      <w:proofErr w:type="gramEnd"/>
      <w:r w:rsidRPr="000A1ED5">
        <w:rPr>
          <w:rFonts w:ascii="Calibri" w:hAnsi="Calibri" w:cs="Calibri"/>
          <w:color w:val="000000"/>
          <w:lang w:val="en-GB"/>
        </w:rPr>
        <w:t xml:space="preserve"> the type of approach to emerging technology challenges in the field of human rights. Therefore, we believe that a holistic and </w:t>
      </w:r>
      <w:r w:rsidRPr="000A1ED5">
        <w:rPr>
          <w:rFonts w:ascii="Calibri" w:hAnsi="Calibri" w:cs="Calibri"/>
          <w:color w:val="000000"/>
          <w:lang w:val="en-GB"/>
        </w:rPr>
        <w:lastRenderedPageBreak/>
        <w:t>inclusive approach seems preferable, since it means more coordination, better use of resources, faster and more effective actions and, consequently, possible better results.</w:t>
      </w:r>
    </w:p>
    <w:p w:rsidR="00F7682F" w:rsidRPr="000A1ED5" w:rsidRDefault="00F7682F" w:rsidP="00DF2CA9">
      <w:pPr>
        <w:pStyle w:val="PargrafodaLista"/>
        <w:spacing w:after="120" w:line="240" w:lineRule="auto"/>
        <w:jc w:val="both"/>
        <w:rPr>
          <w:rFonts w:ascii="Calibri" w:hAnsi="Calibri" w:cs="Calibri"/>
          <w:color w:val="000000"/>
          <w:lang w:val="en-GB"/>
        </w:rPr>
      </w:pPr>
    </w:p>
    <w:p w:rsidR="00DF6DDF" w:rsidRPr="00DF2CA9" w:rsidRDefault="00DF6DDF" w:rsidP="00DF2CA9">
      <w:pPr>
        <w:pStyle w:val="PargrafodaLista"/>
        <w:numPr>
          <w:ilvl w:val="0"/>
          <w:numId w:val="1"/>
        </w:numPr>
        <w:spacing w:after="120" w:line="240" w:lineRule="auto"/>
        <w:jc w:val="both"/>
        <w:rPr>
          <w:rFonts w:ascii="Calibri" w:hAnsi="Calibri" w:cs="Calibri"/>
          <w:b/>
          <w:bCs/>
          <w:color w:val="000000"/>
          <w:lang w:val="en-GB"/>
        </w:rPr>
      </w:pPr>
      <w:r w:rsidRPr="00DF2CA9">
        <w:rPr>
          <w:rFonts w:ascii="Calibri" w:hAnsi="Calibri" w:cs="Calibri"/>
          <w:b/>
          <w:bCs/>
          <w:color w:val="000000"/>
          <w:lang w:val="en-GB"/>
        </w:rPr>
        <w:t xml:space="preserve">What should be the role of the private sector in mitigating the risks of </w:t>
      </w:r>
      <w:r w:rsidR="003E4748" w:rsidRPr="00DF2CA9">
        <w:rPr>
          <w:rFonts w:ascii="Calibri" w:hAnsi="Calibri" w:cs="Calibri"/>
          <w:b/>
          <w:bCs/>
          <w:color w:val="000000"/>
          <w:lang w:val="en-GB"/>
        </w:rPr>
        <w:t>new and emerging digital technologies</w:t>
      </w:r>
      <w:r w:rsidR="00AE0FD0" w:rsidRPr="00DF2CA9">
        <w:rPr>
          <w:rFonts w:ascii="Calibri" w:hAnsi="Calibri" w:cs="Calibri"/>
          <w:b/>
          <w:bCs/>
          <w:color w:val="000000"/>
          <w:lang w:val="en-GB"/>
        </w:rPr>
        <w:t xml:space="preserve"> to human rights</w:t>
      </w:r>
      <w:r w:rsidRPr="00DF2CA9">
        <w:rPr>
          <w:rFonts w:ascii="Calibri" w:hAnsi="Calibri" w:cs="Calibri"/>
          <w:b/>
          <w:bCs/>
          <w:color w:val="000000"/>
          <w:lang w:val="en-GB"/>
        </w:rPr>
        <w:t>? What about</w:t>
      </w:r>
      <w:r w:rsidR="004343C8" w:rsidRPr="00DF2CA9">
        <w:rPr>
          <w:rFonts w:ascii="Calibri" w:hAnsi="Calibri" w:cs="Calibri"/>
          <w:b/>
          <w:bCs/>
          <w:color w:val="000000"/>
          <w:lang w:val="en-GB"/>
        </w:rPr>
        <w:t xml:space="preserve"> the roles of</w:t>
      </w:r>
      <w:r w:rsidRPr="00DF2CA9">
        <w:rPr>
          <w:rFonts w:ascii="Calibri" w:hAnsi="Calibri" w:cs="Calibri"/>
          <w:b/>
          <w:bCs/>
          <w:color w:val="000000"/>
          <w:lang w:val="en-GB"/>
        </w:rPr>
        <w:t xml:space="preserve"> other key stakeholders</w:t>
      </w:r>
      <w:r w:rsidR="004343C8" w:rsidRPr="00DF2CA9">
        <w:rPr>
          <w:rFonts w:ascii="Calibri" w:hAnsi="Calibri" w:cs="Calibri"/>
          <w:b/>
          <w:bCs/>
          <w:color w:val="000000"/>
          <w:lang w:val="en-GB"/>
        </w:rPr>
        <w:t>?</w:t>
      </w:r>
    </w:p>
    <w:p w:rsidR="001411BB" w:rsidRPr="000A1ED5" w:rsidRDefault="001411BB"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As a key stakeholder in the development of new and emerging technologies, the private sector should be – or be made – aware of their impact in the realization of human rights, in order to act responsibly and remain accountable regarding potential consequences of new products and services.</w:t>
      </w:r>
    </w:p>
    <w:p w:rsidR="004F6B4B" w:rsidRPr="000A1ED5" w:rsidRDefault="004F6B4B"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 xml:space="preserve">The Tripartite Declaration of Principles on Multinational Enterprises and Social Policy, includes a set of principles on: decent work; addressing social security; employment promotion; prohibition of forced </w:t>
      </w:r>
      <w:proofErr w:type="spellStart"/>
      <w:r w:rsidRPr="000A1ED5">
        <w:rPr>
          <w:rFonts w:ascii="Calibri" w:hAnsi="Calibri" w:cs="Calibri"/>
          <w:color w:val="000000"/>
          <w:lang w:val="en-GB"/>
        </w:rPr>
        <w:t>labor</w:t>
      </w:r>
      <w:proofErr w:type="spellEnd"/>
      <w:r w:rsidRPr="000A1ED5">
        <w:rPr>
          <w:rFonts w:ascii="Calibri" w:hAnsi="Calibri" w:cs="Calibri"/>
          <w:color w:val="000000"/>
          <w:lang w:val="en-GB"/>
        </w:rPr>
        <w:t xml:space="preserve">; elimination of child </w:t>
      </w:r>
      <w:proofErr w:type="spellStart"/>
      <w:r w:rsidRPr="000A1ED5">
        <w:rPr>
          <w:rFonts w:ascii="Calibri" w:hAnsi="Calibri" w:cs="Calibri"/>
          <w:color w:val="000000"/>
          <w:lang w:val="en-GB"/>
        </w:rPr>
        <w:t>labor</w:t>
      </w:r>
      <w:proofErr w:type="spellEnd"/>
      <w:r w:rsidRPr="000A1ED5">
        <w:rPr>
          <w:rFonts w:ascii="Calibri" w:hAnsi="Calibri" w:cs="Calibri"/>
          <w:color w:val="000000"/>
          <w:lang w:val="en-GB"/>
        </w:rPr>
        <w:t xml:space="preserve">; equality and non-discrimination at work; working conditions, occupational safety and health, freedom of association and the right to collective bargaining, and access to compensation and compensation mechanisms for victims. </w:t>
      </w:r>
    </w:p>
    <w:p w:rsidR="004F6B4B" w:rsidRPr="000A1ED5" w:rsidRDefault="004F6B4B"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 xml:space="preserve">These principles are recommendations for governments, representative employers 'and workers' associations and multinational corporations themselves to promote employment and decent work, as well as to improve living and working conditions and within </w:t>
      </w:r>
      <w:proofErr w:type="spellStart"/>
      <w:r w:rsidRPr="000A1ED5">
        <w:rPr>
          <w:rFonts w:ascii="Calibri" w:hAnsi="Calibri" w:cs="Calibri"/>
          <w:color w:val="000000"/>
          <w:lang w:val="en-GB"/>
        </w:rPr>
        <w:t>labor</w:t>
      </w:r>
      <w:proofErr w:type="spellEnd"/>
      <w:r w:rsidRPr="000A1ED5">
        <w:rPr>
          <w:rFonts w:ascii="Calibri" w:hAnsi="Calibri" w:cs="Calibri"/>
          <w:color w:val="000000"/>
          <w:lang w:val="en-GB"/>
        </w:rPr>
        <w:t>, practices based on the ILO Declaration of Fundamental Principles and Rights at Work, 1998:</w:t>
      </w:r>
    </w:p>
    <w:p w:rsidR="004F6B4B" w:rsidRPr="000A1ED5" w:rsidRDefault="004F6B4B" w:rsidP="00DF2CA9">
      <w:pPr>
        <w:pStyle w:val="PargrafodaLista"/>
        <w:numPr>
          <w:ilvl w:val="0"/>
          <w:numId w:val="9"/>
        </w:numPr>
        <w:spacing w:after="120" w:line="240" w:lineRule="auto"/>
        <w:jc w:val="both"/>
        <w:rPr>
          <w:rFonts w:ascii="Calibri" w:hAnsi="Calibri" w:cs="Calibri"/>
          <w:color w:val="000000"/>
          <w:lang w:val="en-GB"/>
        </w:rPr>
      </w:pPr>
      <w:r w:rsidRPr="000A1ED5">
        <w:rPr>
          <w:rFonts w:ascii="Calibri" w:hAnsi="Calibri" w:cs="Calibri"/>
          <w:color w:val="000000"/>
          <w:lang w:val="en-GB"/>
        </w:rPr>
        <w:t xml:space="preserve">Companies should support freedom of association and effective recognition of collective bargaining; the abolition of all forms of forced and compulsory </w:t>
      </w:r>
      <w:proofErr w:type="spellStart"/>
      <w:r w:rsidRPr="000A1ED5">
        <w:rPr>
          <w:rFonts w:ascii="Calibri" w:hAnsi="Calibri" w:cs="Calibri"/>
          <w:color w:val="000000"/>
          <w:lang w:val="en-GB"/>
        </w:rPr>
        <w:t>labor</w:t>
      </w:r>
      <w:proofErr w:type="spellEnd"/>
      <w:r w:rsidRPr="000A1ED5">
        <w:rPr>
          <w:rFonts w:ascii="Calibri" w:hAnsi="Calibri" w:cs="Calibri"/>
          <w:color w:val="000000"/>
          <w:lang w:val="en-GB"/>
        </w:rPr>
        <w:t xml:space="preserve">; effective abolition of child </w:t>
      </w:r>
      <w:proofErr w:type="spellStart"/>
      <w:r w:rsidRPr="000A1ED5">
        <w:rPr>
          <w:rFonts w:ascii="Calibri" w:hAnsi="Calibri" w:cs="Calibri"/>
          <w:color w:val="000000"/>
          <w:lang w:val="en-GB"/>
        </w:rPr>
        <w:t>labor</w:t>
      </w:r>
      <w:proofErr w:type="spellEnd"/>
      <w:r w:rsidRPr="000A1ED5">
        <w:rPr>
          <w:rFonts w:ascii="Calibri" w:hAnsi="Calibri" w:cs="Calibri"/>
          <w:color w:val="000000"/>
          <w:lang w:val="en-GB"/>
        </w:rPr>
        <w:t>; elimination of employment discrimination.</w:t>
      </w:r>
    </w:p>
    <w:p w:rsidR="004F6B4B" w:rsidRPr="000A1ED5" w:rsidRDefault="004F6B4B"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On the other hand, this issue could be considered in the context of company’s social responsibility towards their workers (and their families), but also towards their community – the suppliers, the consumers, the municipalities, the education and training providers, the public employment services and so on. In that way, the role of the private sector could be vast or narrow, depending on the dimension of the companies (including their geographical spread).</w:t>
      </w:r>
    </w:p>
    <w:p w:rsidR="004F6B4B" w:rsidRPr="000A1ED5" w:rsidRDefault="004F6B4B"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Larger companies usually deal with larger groups of suppliers and consumers, employ more workers and have higher impacts on their communities, than small companies. They are also better equipped at the technological level and are more connected to education and training providers: in that way, larger companies may play a substantive role in the promotion and protection of human rights both inside and outside their ‘walls’.</w:t>
      </w:r>
    </w:p>
    <w:p w:rsidR="00DB2270" w:rsidRDefault="00DB2270" w:rsidP="00DF2CA9">
      <w:pPr>
        <w:spacing w:after="120" w:line="240" w:lineRule="auto"/>
        <w:jc w:val="both"/>
        <w:rPr>
          <w:rFonts w:ascii="Calibri" w:hAnsi="Calibri" w:cs="Calibri"/>
          <w:color w:val="000000"/>
          <w:lang w:val="en-GB"/>
        </w:rPr>
      </w:pPr>
      <w:r w:rsidRPr="000A1ED5">
        <w:rPr>
          <w:rFonts w:ascii="Calibri" w:hAnsi="Calibri" w:cs="Calibri"/>
          <w:color w:val="000000"/>
          <w:lang w:val="en-GB"/>
        </w:rPr>
        <w:t>Small companies need, most of the times (and depending on the sectors), to keep in pace with the new technologies, needing more investments on technologies and on education and training of their workers. However, they may also play a fundamental role in the promotion and protection of human rights, especially through collective action taken by associations of entrepreneurs, for instance.</w:t>
      </w:r>
      <w:r w:rsidR="000C7FC8" w:rsidRPr="000A1ED5">
        <w:rPr>
          <w:rFonts w:ascii="Calibri" w:hAnsi="Calibri" w:cs="Calibri"/>
          <w:color w:val="000000"/>
          <w:lang w:val="en-GB"/>
        </w:rPr>
        <w:t xml:space="preserve"> </w:t>
      </w:r>
      <w:r w:rsidRPr="000A1ED5">
        <w:rPr>
          <w:rFonts w:ascii="Calibri" w:hAnsi="Calibri" w:cs="Calibri"/>
          <w:color w:val="000000"/>
          <w:lang w:val="en-GB"/>
        </w:rPr>
        <w:t>Therefore, social partners as collective representatives of both companies and workers play a decisive role, mobilizing means to promote access to technologies, either through investments or through the development of adequate education and training to their associates.</w:t>
      </w:r>
    </w:p>
    <w:p w:rsidR="000574F6" w:rsidRPr="000A1ED5" w:rsidRDefault="000574F6" w:rsidP="00DF2CA9">
      <w:pPr>
        <w:spacing w:after="120" w:line="240" w:lineRule="auto"/>
        <w:jc w:val="both"/>
        <w:rPr>
          <w:rFonts w:ascii="Calibri" w:hAnsi="Calibri" w:cs="Calibri"/>
          <w:color w:val="000000"/>
          <w:lang w:val="en-GB"/>
        </w:rPr>
      </w:pPr>
      <w:r w:rsidRPr="000574F6">
        <w:rPr>
          <w:rFonts w:ascii="Calibri" w:hAnsi="Calibri" w:cs="Calibri"/>
          <w:color w:val="000000"/>
          <w:lang w:val="en-GB"/>
        </w:rPr>
        <w:t>The private sector is critical to responding and mitigating the risks associated with new and emerging digital technologies</w:t>
      </w:r>
      <w:r w:rsidR="00672C6A">
        <w:rPr>
          <w:rFonts w:ascii="Calibri" w:hAnsi="Calibri" w:cs="Calibri"/>
          <w:color w:val="000000"/>
          <w:lang w:val="en-GB"/>
        </w:rPr>
        <w:t>, as it has</w:t>
      </w:r>
      <w:r w:rsidRPr="000574F6">
        <w:rPr>
          <w:rFonts w:ascii="Calibri" w:hAnsi="Calibri" w:cs="Calibri"/>
          <w:color w:val="000000"/>
          <w:lang w:val="en-GB"/>
        </w:rPr>
        <w:t xml:space="preserve"> the tools and knowledge to prevent, block and collect information that violates human rights. EU agencies like CEPOL and EUROPOL, among others, have </w:t>
      </w:r>
      <w:r w:rsidR="00672C6A">
        <w:rPr>
          <w:rFonts w:ascii="Calibri" w:hAnsi="Calibri" w:cs="Calibri"/>
          <w:color w:val="000000"/>
          <w:lang w:val="en-GB"/>
        </w:rPr>
        <w:t xml:space="preserve">a </w:t>
      </w:r>
      <w:r w:rsidRPr="000574F6">
        <w:rPr>
          <w:rFonts w:ascii="Calibri" w:hAnsi="Calibri" w:cs="Calibri"/>
          <w:color w:val="000000"/>
          <w:lang w:val="en-GB"/>
        </w:rPr>
        <w:t>key role to</w:t>
      </w:r>
      <w:r w:rsidR="00672C6A">
        <w:rPr>
          <w:rFonts w:ascii="Calibri" w:hAnsi="Calibri" w:cs="Calibri"/>
          <w:color w:val="000000"/>
          <w:lang w:val="en-GB"/>
        </w:rPr>
        <w:t xml:space="preserve"> play as well</w:t>
      </w:r>
      <w:r w:rsidRPr="000574F6">
        <w:rPr>
          <w:rFonts w:ascii="Calibri" w:hAnsi="Calibri" w:cs="Calibri"/>
          <w:color w:val="000000"/>
          <w:lang w:val="en-GB"/>
        </w:rPr>
        <w:t xml:space="preserve">, </w:t>
      </w:r>
      <w:r w:rsidR="00672C6A">
        <w:rPr>
          <w:rFonts w:ascii="Calibri" w:hAnsi="Calibri" w:cs="Calibri"/>
          <w:color w:val="000000"/>
          <w:lang w:val="en-GB"/>
        </w:rPr>
        <w:t>by training</w:t>
      </w:r>
      <w:r w:rsidRPr="000574F6">
        <w:rPr>
          <w:rFonts w:ascii="Calibri" w:hAnsi="Calibri" w:cs="Calibri"/>
          <w:color w:val="000000"/>
          <w:lang w:val="en-GB"/>
        </w:rPr>
        <w:t xml:space="preserve"> and sharing of good practices. </w:t>
      </w:r>
    </w:p>
    <w:p w:rsidR="001237CC" w:rsidRPr="001237CC" w:rsidRDefault="001237CC" w:rsidP="00DF2CA9">
      <w:pPr>
        <w:spacing w:after="120" w:line="240" w:lineRule="auto"/>
        <w:jc w:val="both"/>
        <w:rPr>
          <w:rFonts w:asciiTheme="majorBidi" w:hAnsiTheme="majorBidi" w:cstheme="majorBidi"/>
          <w:sz w:val="24"/>
          <w:szCs w:val="24"/>
        </w:rPr>
      </w:pPr>
    </w:p>
    <w:p w:rsidR="000A1ED5" w:rsidRDefault="000A1ED5" w:rsidP="00DF2CA9">
      <w:pPr>
        <w:spacing w:after="120" w:line="240" w:lineRule="auto"/>
        <w:jc w:val="both"/>
        <w:rPr>
          <w:rFonts w:cs="Calibri"/>
          <w:b/>
          <w:bCs/>
          <w:caps/>
          <w:color w:val="000000"/>
        </w:rPr>
      </w:pPr>
      <w:r w:rsidRPr="00B72586">
        <w:rPr>
          <w:rFonts w:cs="Calibri"/>
          <w:b/>
          <w:bCs/>
          <w:caps/>
          <w:color w:val="000000"/>
        </w:rPr>
        <w:t>Specific questions for States</w:t>
      </w:r>
    </w:p>
    <w:p w:rsidR="000A1ED5" w:rsidRPr="00B72586" w:rsidRDefault="000A1ED5" w:rsidP="00DF2CA9">
      <w:pPr>
        <w:spacing w:after="120" w:line="240" w:lineRule="auto"/>
        <w:jc w:val="both"/>
        <w:rPr>
          <w:rFonts w:cs="Calibri"/>
          <w:caps/>
          <w:color w:val="000000"/>
        </w:rPr>
      </w:pPr>
    </w:p>
    <w:p w:rsidR="000A1ED5" w:rsidRPr="004B0E2D" w:rsidRDefault="000A1ED5" w:rsidP="00DF2CA9">
      <w:pPr>
        <w:pStyle w:val="PargrafodaLista"/>
        <w:numPr>
          <w:ilvl w:val="0"/>
          <w:numId w:val="10"/>
        </w:numPr>
        <w:spacing w:after="120" w:line="240" w:lineRule="auto"/>
        <w:ind w:left="426"/>
        <w:jc w:val="both"/>
        <w:rPr>
          <w:rFonts w:ascii="Calibri" w:hAnsi="Calibri" w:cs="Calibri"/>
          <w:b/>
          <w:color w:val="000000"/>
        </w:rPr>
      </w:pPr>
      <w:r w:rsidRPr="004B0E2D">
        <w:rPr>
          <w:rFonts w:ascii="Calibri" w:hAnsi="Calibri" w:cs="Calibri"/>
          <w:b/>
          <w:color w:val="000000"/>
        </w:rPr>
        <w:t>What measures, if any, (legislative, administrative, institutional, or others) have been put in place in your country, to deal with human rights risks arising from new and emerging digital technologies? Are these measures still in the process of being implemented? If not, why are they no longer in progress?</w:t>
      </w:r>
    </w:p>
    <w:p w:rsidR="00672C6A" w:rsidRPr="00672C6A" w:rsidRDefault="00672C6A" w:rsidP="00672C6A">
      <w:pPr>
        <w:spacing w:after="120" w:line="240" w:lineRule="auto"/>
        <w:jc w:val="both"/>
        <w:rPr>
          <w:rFonts w:ascii="Calibri" w:hAnsi="Calibri" w:cs="Calibri"/>
          <w:color w:val="000000"/>
          <w:lang w:val="en-GB"/>
        </w:rPr>
      </w:pPr>
      <w:r w:rsidRPr="00672C6A">
        <w:rPr>
          <w:rFonts w:ascii="Calibri" w:hAnsi="Calibri" w:cs="Calibri"/>
          <w:color w:val="000000"/>
          <w:lang w:val="en-GB"/>
        </w:rPr>
        <w:t>In the area of cybersecurity, its legal framework is the following diplomas: Cybercrime Law, Criminal Investigation and Organization Law and the Cyberspace Security Strategy.</w:t>
      </w:r>
    </w:p>
    <w:p w:rsidR="000A1ED5" w:rsidRPr="008A3007" w:rsidRDefault="000A1ED5" w:rsidP="00DF2CA9">
      <w:pPr>
        <w:spacing w:after="120" w:line="240" w:lineRule="auto"/>
        <w:jc w:val="both"/>
        <w:rPr>
          <w:rFonts w:ascii="Calibri" w:hAnsi="Calibri" w:cs="Calibri"/>
          <w:color w:val="000000"/>
          <w:lang w:val="en-GB"/>
        </w:rPr>
      </w:pPr>
      <w:r w:rsidRPr="007E733C">
        <w:rPr>
          <w:rFonts w:ascii="Calibri" w:hAnsi="Calibri" w:cs="Calibri"/>
          <w:color w:val="000000"/>
          <w:lang w:val="en-GB"/>
        </w:rPr>
        <w:t xml:space="preserve">In the specific field of health, the growing use of digital technologies for purposes such as scientific research or the provision of health has </w:t>
      </w:r>
      <w:r w:rsidR="00AC7E63">
        <w:rPr>
          <w:rFonts w:ascii="Calibri" w:hAnsi="Calibri" w:cs="Calibri"/>
          <w:color w:val="000000"/>
          <w:lang w:val="en-GB"/>
        </w:rPr>
        <w:t>risen</w:t>
      </w:r>
      <w:r w:rsidRPr="007E733C">
        <w:rPr>
          <w:rFonts w:ascii="Calibri" w:hAnsi="Calibri" w:cs="Calibri"/>
          <w:color w:val="000000"/>
          <w:lang w:val="en-GB"/>
        </w:rPr>
        <w:t xml:space="preserve"> a set of concerns regarding the adequate protection of human rights. In particular, the role played by digital technologies and information systems in the provision of healthcare has led to the digital processing of significant amounts of sensitive patient data, and consequently, to an increased concern with patient privacy and information safety.  </w:t>
      </w:r>
    </w:p>
    <w:p w:rsidR="000A1ED5" w:rsidRPr="00AC7E63" w:rsidRDefault="000A1ED5" w:rsidP="00DF2CA9">
      <w:pPr>
        <w:spacing w:after="120" w:line="240" w:lineRule="auto"/>
        <w:jc w:val="both"/>
        <w:rPr>
          <w:rFonts w:ascii="Calibri" w:hAnsi="Calibri" w:cs="Calibri"/>
          <w:color w:val="000000"/>
          <w:lang w:val="en-GB"/>
        </w:rPr>
      </w:pPr>
      <w:r w:rsidRPr="007E733C">
        <w:rPr>
          <w:rFonts w:ascii="Calibri" w:hAnsi="Calibri" w:cs="Calibri"/>
          <w:color w:val="000000"/>
          <w:lang w:val="en-GB"/>
        </w:rPr>
        <w:t>Such issues are addressed in Portuguese legislatio</w:t>
      </w:r>
      <w:r w:rsidR="00AC7E63">
        <w:rPr>
          <w:rFonts w:ascii="Calibri" w:hAnsi="Calibri" w:cs="Calibri"/>
          <w:color w:val="000000"/>
          <w:lang w:val="en-GB"/>
        </w:rPr>
        <w:t>n</w:t>
      </w:r>
      <w:r w:rsidRPr="007E733C">
        <w:rPr>
          <w:rFonts w:ascii="Calibri" w:hAnsi="Calibri" w:cs="Calibri"/>
          <w:color w:val="000000"/>
          <w:lang w:val="en-GB"/>
        </w:rPr>
        <w:t xml:space="preserve"> through a variety of instruments. On one hand, both the Portuguese Constitution (article 26.º) and the Civil Code (article 80.º) establish a general right to privacy, under which all personal data is protected from abusive or unlawful use.</w:t>
      </w:r>
      <w:r w:rsidR="00AC7E63">
        <w:rPr>
          <w:rFonts w:ascii="Calibri" w:hAnsi="Calibri" w:cs="Calibri"/>
          <w:color w:val="000000"/>
          <w:lang w:val="en-GB"/>
        </w:rPr>
        <w:t xml:space="preserve"> </w:t>
      </w:r>
      <w:r w:rsidRPr="007E733C">
        <w:rPr>
          <w:rFonts w:ascii="Calibri" w:hAnsi="Calibri" w:cs="Calibri"/>
          <w:color w:val="000000"/>
          <w:lang w:val="en-GB"/>
        </w:rPr>
        <w:t>On the other hand, the protection of personal data and patients’ data is also ensured by Regulation (EU) 2016/679 of the European Parliament and of the Council of 27 April 2016 on the protection of natural persons with regard to the processing of personal data and on the free movement of such data and by Law nr. 58/2019, which ensures the execution of the said Regulation on the national legal order.</w:t>
      </w:r>
    </w:p>
    <w:p w:rsidR="000A1ED5" w:rsidRPr="007E733C" w:rsidRDefault="000A1ED5" w:rsidP="00DF2CA9">
      <w:pPr>
        <w:spacing w:after="120" w:line="240" w:lineRule="auto"/>
        <w:jc w:val="both"/>
        <w:rPr>
          <w:rFonts w:ascii="Calibri" w:hAnsi="Calibri" w:cs="Calibri"/>
          <w:color w:val="000000"/>
        </w:rPr>
      </w:pPr>
      <w:r w:rsidRPr="007E733C">
        <w:rPr>
          <w:rFonts w:ascii="Calibri" w:hAnsi="Calibri" w:cs="Calibri"/>
          <w:color w:val="000000"/>
          <w:lang w:val="en-GB"/>
        </w:rPr>
        <w:t>According to the referred Regulation, processing of genetic data, health data or data concerning a natural person’s sex life or sexual orientation shall be prohibited unless the processing is necessary for the purposes of preventive medicine, medical diagnosis, the provision of health or social care or treatment or the management of health or social care systems. The said data shall, in accordance with Law nr. 58/2019, be processed by professionals bound by professional secrecy or by a duty of confidentiality.</w:t>
      </w:r>
    </w:p>
    <w:p w:rsidR="000A1ED5" w:rsidRPr="007E733C" w:rsidRDefault="000A1ED5" w:rsidP="00DF2CA9">
      <w:pPr>
        <w:spacing w:after="120" w:line="240" w:lineRule="auto"/>
        <w:jc w:val="both"/>
        <w:rPr>
          <w:rFonts w:ascii="Calibri" w:hAnsi="Calibri" w:cs="Calibri"/>
          <w:color w:val="000000"/>
        </w:rPr>
      </w:pPr>
      <w:r w:rsidRPr="007E733C">
        <w:rPr>
          <w:rFonts w:ascii="Calibri" w:hAnsi="Calibri" w:cs="Calibri"/>
          <w:color w:val="000000"/>
          <w:lang w:val="en-GB"/>
        </w:rPr>
        <w:t>In addition to the provisions of GDPR and Law nr. 58/2019, there is also further legislation on specific subjects, such as the requirements for personal data processing for nationwide files containing health data, with recourse to information technologies or the rules applicable to hospital archives.</w:t>
      </w:r>
    </w:p>
    <w:p w:rsidR="000A1ED5" w:rsidRDefault="000A1ED5" w:rsidP="00DF2CA9">
      <w:pPr>
        <w:spacing w:after="120" w:line="240" w:lineRule="auto"/>
        <w:jc w:val="both"/>
        <w:rPr>
          <w:rFonts w:ascii="Calibri" w:hAnsi="Calibri" w:cs="Calibri"/>
          <w:color w:val="000000"/>
          <w:lang w:val="en-GB"/>
        </w:rPr>
      </w:pPr>
      <w:r w:rsidRPr="007E733C">
        <w:rPr>
          <w:rFonts w:ascii="Calibri" w:hAnsi="Calibri" w:cs="Calibri"/>
          <w:color w:val="000000"/>
          <w:lang w:val="en-GB"/>
        </w:rPr>
        <w:t>Moreover, and on an institutional perspective, the different entities of the Ministry of Health are currently working to implement the security measures required to ensure the compliance of data processing activities within the National Health Service with the above mentioned legal provisions and to ensure the full application of patients’ rights</w:t>
      </w:r>
      <w:r w:rsidR="001D180A">
        <w:rPr>
          <w:rFonts w:ascii="Calibri" w:hAnsi="Calibri" w:cs="Calibri"/>
          <w:color w:val="000000"/>
          <w:lang w:val="en-GB"/>
        </w:rPr>
        <w:t>.</w:t>
      </w:r>
    </w:p>
    <w:p w:rsidR="00524907" w:rsidRPr="00524907" w:rsidRDefault="00524907" w:rsidP="00524907">
      <w:pPr>
        <w:spacing w:after="120" w:line="240" w:lineRule="auto"/>
        <w:jc w:val="both"/>
        <w:rPr>
          <w:rFonts w:ascii="Calibri" w:hAnsi="Calibri" w:cs="Calibri"/>
          <w:color w:val="000000"/>
          <w:lang w:val="en-GB"/>
        </w:rPr>
      </w:pPr>
      <w:r w:rsidRPr="00524907">
        <w:rPr>
          <w:rFonts w:ascii="Calibri" w:hAnsi="Calibri" w:cs="Calibri"/>
          <w:color w:val="000000"/>
          <w:lang w:val="en-GB"/>
        </w:rPr>
        <w:t>The High Commission for Migration (ACM) developed a consisted work in this domain. We would like to mention some of the following activities:</w:t>
      </w:r>
    </w:p>
    <w:p w:rsidR="00524907" w:rsidRPr="00524907" w:rsidRDefault="00524907" w:rsidP="00524907">
      <w:pPr>
        <w:spacing w:after="120" w:line="240" w:lineRule="auto"/>
        <w:jc w:val="both"/>
        <w:rPr>
          <w:rFonts w:ascii="Calibri" w:hAnsi="Calibri" w:cs="Calibri"/>
          <w:color w:val="000000"/>
          <w:lang w:val="en-GB"/>
        </w:rPr>
      </w:pPr>
      <w:r w:rsidRPr="00524907">
        <w:rPr>
          <w:rFonts w:ascii="Calibri" w:hAnsi="Calibri" w:cs="Calibri"/>
          <w:color w:val="000000"/>
          <w:lang w:val="en-GB"/>
        </w:rPr>
        <w:t>ACM and the Commission for Equality and Against Racial Discrimination (CICDR) held some meetings with representatives of Facebook Portugal and Spain to discuss in depth some concrete measures to countering online hate speech.</w:t>
      </w:r>
    </w:p>
    <w:p w:rsidR="00524907" w:rsidRPr="00524907" w:rsidRDefault="00524907" w:rsidP="00524907">
      <w:pPr>
        <w:spacing w:after="120" w:line="240" w:lineRule="auto"/>
        <w:jc w:val="both"/>
        <w:rPr>
          <w:rFonts w:ascii="Calibri" w:hAnsi="Calibri" w:cs="Calibri"/>
          <w:color w:val="000000"/>
          <w:lang w:val="en-GB"/>
        </w:rPr>
      </w:pPr>
      <w:r w:rsidRPr="00524907">
        <w:rPr>
          <w:rFonts w:ascii="Calibri" w:hAnsi="Calibri" w:cs="Calibri"/>
          <w:color w:val="000000"/>
          <w:lang w:val="en-GB"/>
        </w:rPr>
        <w:t>As a first result of those conversations, ACM was invited to join Facebook’s External Expert Group on Online Hate Speech.</w:t>
      </w:r>
    </w:p>
    <w:p w:rsidR="00524907" w:rsidRPr="00524907" w:rsidRDefault="00524907" w:rsidP="00524907">
      <w:pPr>
        <w:spacing w:after="120" w:line="240" w:lineRule="auto"/>
        <w:jc w:val="both"/>
        <w:rPr>
          <w:rFonts w:ascii="Calibri" w:hAnsi="Calibri" w:cs="Calibri"/>
          <w:color w:val="000000"/>
          <w:lang w:val="en-GB"/>
        </w:rPr>
      </w:pPr>
      <w:r w:rsidRPr="00524907">
        <w:rPr>
          <w:rFonts w:ascii="Calibri" w:hAnsi="Calibri" w:cs="Calibri"/>
          <w:color w:val="000000"/>
          <w:lang w:val="en-GB"/>
        </w:rPr>
        <w:t xml:space="preserve">In this context, an ACM representative already received training, </w:t>
      </w:r>
      <w:proofErr w:type="gramStart"/>
      <w:r w:rsidRPr="00524907">
        <w:rPr>
          <w:rFonts w:ascii="Calibri" w:hAnsi="Calibri" w:cs="Calibri"/>
          <w:color w:val="000000"/>
          <w:lang w:val="en-GB"/>
        </w:rPr>
        <w:t>namely</w:t>
      </w:r>
      <w:proofErr w:type="gramEnd"/>
      <w:r w:rsidRPr="00524907">
        <w:rPr>
          <w:rFonts w:ascii="Calibri" w:hAnsi="Calibri" w:cs="Calibri"/>
          <w:color w:val="000000"/>
          <w:lang w:val="en-GB"/>
        </w:rPr>
        <w:t xml:space="preserve"> to be better equipped and to speed up the analysis and reporting of situations that could configure hate speech on Facebook.</w:t>
      </w:r>
    </w:p>
    <w:p w:rsidR="00524907" w:rsidRPr="00524907" w:rsidRDefault="00524907" w:rsidP="00524907">
      <w:pPr>
        <w:spacing w:after="120" w:line="240" w:lineRule="auto"/>
        <w:jc w:val="both"/>
        <w:rPr>
          <w:rFonts w:ascii="Calibri" w:hAnsi="Calibri" w:cs="Calibri"/>
          <w:color w:val="000000"/>
          <w:lang w:val="en-GB"/>
        </w:rPr>
      </w:pPr>
      <w:r w:rsidRPr="00524907">
        <w:rPr>
          <w:rFonts w:ascii="Calibri" w:hAnsi="Calibri" w:cs="Calibri"/>
          <w:color w:val="000000"/>
          <w:lang w:val="en-GB"/>
        </w:rPr>
        <w:lastRenderedPageBreak/>
        <w:t>Furthermore, the joint organization, between ACM, and the Commission for Equality and Against Racial Discrimination and Facebook Portugal and Spain of two training actions, one in Lisbon, another in Oporto, on “Preventing and Countering Hate Speech on Internet and Facebook” took place.</w:t>
      </w:r>
    </w:p>
    <w:p w:rsidR="00524907" w:rsidRPr="00524907" w:rsidRDefault="00524907" w:rsidP="00524907">
      <w:pPr>
        <w:spacing w:after="120" w:line="240" w:lineRule="auto"/>
        <w:jc w:val="both"/>
        <w:rPr>
          <w:rFonts w:ascii="Calibri" w:hAnsi="Calibri" w:cs="Calibri"/>
          <w:color w:val="000000"/>
          <w:lang w:val="en-GB"/>
        </w:rPr>
      </w:pPr>
      <w:r w:rsidRPr="00524907">
        <w:rPr>
          <w:rFonts w:ascii="Calibri" w:hAnsi="Calibri" w:cs="Calibri"/>
          <w:color w:val="000000"/>
          <w:lang w:val="en-GB"/>
        </w:rPr>
        <w:t>The sessions brought together around 60 participants, including policy makers, CICDR’s Members, leaders and representatives of migrant, refugee and Roma communities, and from other public and private partner entities.</w:t>
      </w:r>
    </w:p>
    <w:p w:rsidR="00524907" w:rsidRPr="00524907" w:rsidRDefault="00524907" w:rsidP="00524907">
      <w:pPr>
        <w:spacing w:after="120" w:line="240" w:lineRule="auto"/>
        <w:jc w:val="both"/>
        <w:rPr>
          <w:rFonts w:ascii="Calibri" w:hAnsi="Calibri" w:cs="Calibri"/>
          <w:color w:val="000000"/>
          <w:lang w:val="en-GB"/>
        </w:rPr>
      </w:pPr>
      <w:r w:rsidRPr="00524907">
        <w:rPr>
          <w:rFonts w:ascii="Calibri" w:hAnsi="Calibri" w:cs="Calibri"/>
          <w:color w:val="000000"/>
          <w:lang w:val="en-GB"/>
        </w:rPr>
        <w:t>The two actions included: a presentation of Facebook community standards and workshops focusing on how to report hate speech on Facebook and how to create / disseminate counter-narratives. Participants were challenged to create campaigns.</w:t>
      </w:r>
    </w:p>
    <w:p w:rsidR="00524907" w:rsidRPr="00524907" w:rsidRDefault="00524907" w:rsidP="00524907">
      <w:pPr>
        <w:spacing w:after="120" w:line="240" w:lineRule="auto"/>
        <w:jc w:val="both"/>
        <w:rPr>
          <w:rFonts w:ascii="Calibri" w:hAnsi="Calibri" w:cs="Calibri"/>
          <w:color w:val="000000"/>
          <w:lang w:val="en-GB"/>
        </w:rPr>
      </w:pPr>
      <w:r w:rsidRPr="00524907">
        <w:rPr>
          <w:rFonts w:ascii="Calibri" w:hAnsi="Calibri" w:cs="Calibri"/>
          <w:color w:val="000000"/>
          <w:lang w:val="en-GB"/>
        </w:rPr>
        <w:t>They also included a presentation, by ACM and CICDR, on the myths and facts about migrations and Roma communities, and the Portuguese legal mechanisms to counter racial discrimination.</w:t>
      </w:r>
    </w:p>
    <w:p w:rsidR="00524907" w:rsidRPr="00524907" w:rsidRDefault="00524907" w:rsidP="00524907">
      <w:pPr>
        <w:spacing w:after="120" w:line="240" w:lineRule="auto"/>
        <w:jc w:val="both"/>
        <w:rPr>
          <w:rFonts w:ascii="Calibri" w:hAnsi="Calibri" w:cs="Calibri"/>
          <w:color w:val="000000"/>
          <w:lang w:val="en-GB"/>
        </w:rPr>
      </w:pPr>
      <w:r w:rsidRPr="00524907">
        <w:rPr>
          <w:rFonts w:ascii="Calibri" w:hAnsi="Calibri" w:cs="Calibri"/>
          <w:color w:val="000000"/>
          <w:lang w:val="en-GB"/>
        </w:rPr>
        <w:t>The Commission has been using some of the tools provided by Facebook during these sessions in other initiatives promoted in the meantime.</w:t>
      </w:r>
    </w:p>
    <w:p w:rsidR="00524907" w:rsidRDefault="00524907" w:rsidP="00524907">
      <w:pPr>
        <w:spacing w:after="120" w:line="240" w:lineRule="auto"/>
        <w:jc w:val="both"/>
        <w:rPr>
          <w:rFonts w:ascii="Calibri" w:hAnsi="Calibri" w:cs="Calibri"/>
          <w:color w:val="000000"/>
          <w:lang w:val="en-GB"/>
        </w:rPr>
      </w:pPr>
      <w:r w:rsidRPr="00524907">
        <w:rPr>
          <w:rFonts w:ascii="Calibri" w:hAnsi="Calibri" w:cs="Calibri"/>
          <w:color w:val="000000"/>
          <w:lang w:val="en-GB"/>
        </w:rPr>
        <w:t>The campaign “Freedom of Expression is different from Verbal Abuse” promoted by CICDR and launched on the first National Day for the Elimination of Racial Discrimination, celebrated on March 21st</w:t>
      </w:r>
      <w:proofErr w:type="gramStart"/>
      <w:r w:rsidRPr="00524907">
        <w:rPr>
          <w:rFonts w:ascii="Calibri" w:hAnsi="Calibri" w:cs="Calibri"/>
          <w:color w:val="000000"/>
          <w:lang w:val="en-GB"/>
        </w:rPr>
        <w:t xml:space="preserve"> 2019</w:t>
      </w:r>
      <w:proofErr w:type="gramEnd"/>
      <w:r w:rsidRPr="00524907">
        <w:rPr>
          <w:rFonts w:ascii="Calibri" w:hAnsi="Calibri" w:cs="Calibri"/>
          <w:color w:val="000000"/>
          <w:lang w:val="en-GB"/>
        </w:rPr>
        <w:t xml:space="preserve"> (UN International Day for the Elimination of Racial Discrimination: </w:t>
      </w:r>
    </w:p>
    <w:p w:rsidR="00524907" w:rsidRPr="00524907" w:rsidRDefault="000837E5" w:rsidP="00524907">
      <w:pPr>
        <w:spacing w:after="120" w:line="240" w:lineRule="auto"/>
        <w:jc w:val="both"/>
        <w:rPr>
          <w:rFonts w:ascii="Calibri" w:hAnsi="Calibri" w:cs="Calibri"/>
          <w:color w:val="000000"/>
          <w:lang w:val="en-GB"/>
        </w:rPr>
      </w:pPr>
      <w:hyperlink r:id="rId14" w:history="1">
        <w:r w:rsidR="00524907" w:rsidRPr="00F57416">
          <w:rPr>
            <w:rStyle w:val="Hiperligao"/>
            <w:rFonts w:ascii="Calibri" w:hAnsi="Calibri" w:cs="Calibri"/>
            <w:lang w:val="en-GB"/>
          </w:rPr>
          <w:t>https://www.un.org/en/events/racialdiscriminationday/</w:t>
        </w:r>
      </w:hyperlink>
      <w:r w:rsidR="00524907" w:rsidRPr="00524907">
        <w:rPr>
          <w:rFonts w:ascii="Calibri" w:hAnsi="Calibri" w:cs="Calibri"/>
          <w:color w:val="000000"/>
          <w:lang w:val="en-GB"/>
        </w:rPr>
        <w:t xml:space="preserve">. </w:t>
      </w:r>
    </w:p>
    <w:p w:rsidR="00524907" w:rsidRPr="00524907" w:rsidRDefault="00524907" w:rsidP="00524907">
      <w:pPr>
        <w:spacing w:after="120" w:line="240" w:lineRule="auto"/>
        <w:jc w:val="both"/>
        <w:rPr>
          <w:rFonts w:ascii="Calibri" w:hAnsi="Calibri" w:cs="Calibri"/>
          <w:color w:val="000000"/>
          <w:lang w:val="en-GB"/>
        </w:rPr>
      </w:pPr>
    </w:p>
    <w:p w:rsidR="00524907" w:rsidRPr="00524907" w:rsidRDefault="00524907" w:rsidP="00524907">
      <w:pPr>
        <w:spacing w:after="120" w:line="240" w:lineRule="auto"/>
        <w:jc w:val="both"/>
        <w:rPr>
          <w:rFonts w:ascii="Calibri" w:hAnsi="Calibri" w:cs="Calibri"/>
          <w:color w:val="000000"/>
          <w:lang w:val="en-GB"/>
        </w:rPr>
      </w:pPr>
      <w:r w:rsidRPr="00524907">
        <w:rPr>
          <w:rFonts w:ascii="Calibri" w:hAnsi="Calibri" w:cs="Calibri"/>
          <w:color w:val="000000"/>
          <w:lang w:val="en-GB"/>
        </w:rPr>
        <w:t xml:space="preserve">Presented in a public session, organized in partnership with the Observatory for Migration, one of ACM’s project teams, this campaign consisted of two digital posts published on our Facebook page: </w:t>
      </w:r>
    </w:p>
    <w:p w:rsidR="00524907" w:rsidRPr="00524907" w:rsidRDefault="000837E5" w:rsidP="00524907">
      <w:pPr>
        <w:spacing w:after="120" w:line="240" w:lineRule="auto"/>
        <w:jc w:val="both"/>
        <w:rPr>
          <w:rFonts w:ascii="Calibri" w:hAnsi="Calibri" w:cs="Calibri"/>
          <w:color w:val="000000"/>
          <w:lang w:val="en-GB"/>
        </w:rPr>
      </w:pPr>
      <w:hyperlink r:id="rId15" w:history="1">
        <w:r w:rsidR="00524907" w:rsidRPr="00524907">
          <w:rPr>
            <w:rFonts w:ascii="Calibri" w:hAnsi="Calibri" w:cs="Calibri"/>
            <w:color w:val="000000"/>
            <w:lang w:val="en-GB"/>
          </w:rPr>
          <w:t>https://www.facebook.com/ACMigracoes/photos/a.712686992150342/2098085373610490/?type=3&amp;theater</w:t>
        </w:r>
      </w:hyperlink>
      <w:r w:rsidR="00524907" w:rsidRPr="00524907">
        <w:rPr>
          <w:rFonts w:ascii="Calibri" w:hAnsi="Calibri" w:cs="Calibri"/>
          <w:color w:val="000000"/>
          <w:lang w:val="en-GB"/>
        </w:rPr>
        <w:t xml:space="preserve"> </w:t>
      </w:r>
    </w:p>
    <w:p w:rsidR="00524907" w:rsidRPr="00524907" w:rsidRDefault="00524907" w:rsidP="00524907">
      <w:pPr>
        <w:spacing w:after="120" w:line="240" w:lineRule="auto"/>
        <w:jc w:val="both"/>
        <w:rPr>
          <w:rFonts w:ascii="Calibri" w:hAnsi="Calibri" w:cs="Calibri"/>
          <w:color w:val="000000"/>
          <w:lang w:val="en-GB"/>
        </w:rPr>
      </w:pPr>
      <w:r w:rsidRPr="00524907">
        <w:rPr>
          <w:rFonts w:ascii="Calibri" w:hAnsi="Calibri" w:cs="Calibri"/>
          <w:color w:val="000000"/>
          <w:lang w:val="en-GB"/>
        </w:rPr>
        <w:t xml:space="preserve">Both were also printed and distributed to participants during this public session, as they have been shared in other activities carried out by the Commission in the meantime. </w:t>
      </w:r>
    </w:p>
    <w:p w:rsidR="00524907" w:rsidRPr="00524907" w:rsidRDefault="00524907" w:rsidP="00524907">
      <w:pPr>
        <w:spacing w:after="120" w:line="240" w:lineRule="auto"/>
        <w:jc w:val="both"/>
        <w:rPr>
          <w:rFonts w:ascii="Calibri" w:hAnsi="Calibri" w:cs="Calibri"/>
          <w:color w:val="000000"/>
          <w:lang w:val="en-GB"/>
        </w:rPr>
      </w:pPr>
      <w:r w:rsidRPr="00524907">
        <w:rPr>
          <w:rFonts w:ascii="Calibri" w:hAnsi="Calibri" w:cs="Calibri"/>
          <w:color w:val="000000"/>
          <w:lang w:val="en-GB"/>
        </w:rPr>
        <w:t>The main idea of this campaign was to create a quiz to help reflect on yes or no I should post my comment. Furthermore, it also provided some tool and information on how to report offensive content on Facebook, trying to have a positive approach in terms of equality, diversity and respect.</w:t>
      </w:r>
    </w:p>
    <w:p w:rsidR="00524907" w:rsidRPr="00524907" w:rsidRDefault="00524907" w:rsidP="00524907">
      <w:pPr>
        <w:spacing w:after="120" w:line="240" w:lineRule="auto"/>
        <w:jc w:val="both"/>
        <w:rPr>
          <w:rFonts w:ascii="Calibri" w:hAnsi="Calibri" w:cs="Calibri"/>
          <w:color w:val="000000"/>
          <w:lang w:val="en-GB"/>
        </w:rPr>
      </w:pPr>
      <w:r w:rsidRPr="00524907">
        <w:rPr>
          <w:rFonts w:ascii="Calibri" w:hAnsi="Calibri" w:cs="Calibri"/>
          <w:color w:val="000000"/>
          <w:lang w:val="en-GB"/>
        </w:rPr>
        <w:t>Another example of this commitment is CICDR’s “Recommendation on accessing the principle of non-reference of race and ethnic origin, colour, nationality, ascendency, territory of origin and documental status” that urges the adoption of the principle of non-reference of the protected characteristics.</w:t>
      </w:r>
    </w:p>
    <w:p w:rsidR="00524907" w:rsidRDefault="00524907" w:rsidP="00DF2CA9">
      <w:pPr>
        <w:spacing w:after="120" w:line="240" w:lineRule="auto"/>
        <w:jc w:val="both"/>
        <w:rPr>
          <w:rFonts w:ascii="Calibri" w:hAnsi="Calibri" w:cs="Calibri"/>
          <w:color w:val="000000"/>
          <w:lang w:val="en-GB"/>
        </w:rPr>
      </w:pPr>
      <w:r w:rsidRPr="00524907">
        <w:rPr>
          <w:rFonts w:ascii="Calibri" w:hAnsi="Calibri" w:cs="Calibri"/>
          <w:color w:val="000000"/>
          <w:lang w:val="en-GB"/>
        </w:rPr>
        <w:t>Boosted by the new digital media, this Recommendation is intended to everyone and</w:t>
      </w:r>
      <w:proofErr w:type="gramStart"/>
      <w:r w:rsidRPr="00524907">
        <w:rPr>
          <w:rFonts w:ascii="Calibri" w:hAnsi="Calibri" w:cs="Calibri"/>
          <w:color w:val="000000"/>
          <w:lang w:val="en-GB"/>
        </w:rPr>
        <w:t>, in particular, to</w:t>
      </w:r>
      <w:proofErr w:type="gramEnd"/>
      <w:r w:rsidRPr="00524907">
        <w:rPr>
          <w:rFonts w:ascii="Calibri" w:hAnsi="Calibri" w:cs="Calibri"/>
          <w:color w:val="000000"/>
          <w:lang w:val="en-GB"/>
        </w:rPr>
        <w:t xml:space="preserve"> the media, their professionals and all communicator`s stakeholders.</w:t>
      </w:r>
    </w:p>
    <w:p w:rsidR="006D5700" w:rsidRPr="006D5700" w:rsidRDefault="006D5700" w:rsidP="006D5700">
      <w:pPr>
        <w:pStyle w:val="Default"/>
        <w:spacing w:after="164" w:line="276" w:lineRule="auto"/>
        <w:rPr>
          <w:rFonts w:ascii="Calibri" w:eastAsiaTheme="minorEastAsia" w:hAnsi="Calibri" w:cs="Calibri"/>
          <w:sz w:val="22"/>
          <w:szCs w:val="22"/>
          <w:lang w:eastAsia="ko-KR"/>
        </w:rPr>
      </w:pPr>
      <w:r w:rsidRPr="006D5700">
        <w:rPr>
          <w:rFonts w:ascii="Calibri" w:eastAsiaTheme="minorEastAsia" w:hAnsi="Calibri" w:cs="Calibri"/>
          <w:sz w:val="22"/>
          <w:szCs w:val="22"/>
          <w:lang w:eastAsia="ko-KR"/>
        </w:rPr>
        <w:t>Legislative measures in the field of justice (in force):</w:t>
      </w:r>
    </w:p>
    <w:p w:rsidR="006D5700" w:rsidRPr="006D5700" w:rsidRDefault="006D5700" w:rsidP="006D5700">
      <w:pPr>
        <w:pStyle w:val="Default"/>
        <w:numPr>
          <w:ilvl w:val="0"/>
          <w:numId w:val="18"/>
        </w:numPr>
        <w:spacing w:after="164" w:line="276" w:lineRule="auto"/>
        <w:rPr>
          <w:rFonts w:ascii="Calibri" w:eastAsiaTheme="minorEastAsia" w:hAnsi="Calibri" w:cs="Calibri"/>
          <w:sz w:val="22"/>
          <w:szCs w:val="22"/>
          <w:lang w:eastAsia="ko-KR"/>
        </w:rPr>
      </w:pPr>
      <w:r w:rsidRPr="006D5700">
        <w:rPr>
          <w:rFonts w:ascii="Calibri" w:eastAsiaTheme="minorEastAsia" w:hAnsi="Calibri" w:cs="Calibri"/>
          <w:sz w:val="22"/>
          <w:szCs w:val="22"/>
          <w:lang w:eastAsia="ko-KR"/>
        </w:rPr>
        <w:t xml:space="preserve">Law no. 109/2009, of September 15 (Law on cybercrime), </w:t>
      </w:r>
      <w:hyperlink r:id="rId16" w:history="1">
        <w:r w:rsidRPr="006D5700">
          <w:rPr>
            <w:rFonts w:ascii="Calibri" w:eastAsiaTheme="minorEastAsia" w:hAnsi="Calibri" w:cs="Calibri"/>
            <w:lang w:eastAsia="ko-KR"/>
          </w:rPr>
          <w:t>https://data.dre.pt/eli/lei/109/2009/09/15/p/dre/pt/html</w:t>
        </w:r>
      </w:hyperlink>
      <w:r w:rsidRPr="006D5700">
        <w:rPr>
          <w:rFonts w:ascii="Calibri" w:eastAsiaTheme="minorEastAsia" w:hAnsi="Calibri" w:cs="Calibri"/>
          <w:sz w:val="22"/>
          <w:szCs w:val="22"/>
          <w:lang w:eastAsia="ko-KR"/>
        </w:rPr>
        <w:t>;</w:t>
      </w:r>
    </w:p>
    <w:p w:rsidR="006D5700" w:rsidRPr="006D5700" w:rsidRDefault="006D5700" w:rsidP="006D5700">
      <w:pPr>
        <w:pStyle w:val="Default"/>
        <w:numPr>
          <w:ilvl w:val="0"/>
          <w:numId w:val="18"/>
        </w:numPr>
        <w:spacing w:after="164" w:line="276" w:lineRule="auto"/>
        <w:rPr>
          <w:rFonts w:ascii="Calibri" w:eastAsiaTheme="minorEastAsia" w:hAnsi="Calibri" w:cs="Calibri"/>
          <w:sz w:val="22"/>
          <w:szCs w:val="22"/>
          <w:lang w:eastAsia="ko-KR"/>
        </w:rPr>
      </w:pPr>
      <w:r w:rsidRPr="006D5700">
        <w:rPr>
          <w:rFonts w:ascii="Calibri" w:eastAsiaTheme="minorEastAsia" w:hAnsi="Calibri" w:cs="Calibri"/>
          <w:sz w:val="22"/>
          <w:szCs w:val="22"/>
          <w:lang w:eastAsia="ko-KR"/>
        </w:rPr>
        <w:t xml:space="preserve">Law no. 46/2018, of August 13 (Law on cyberspace security), </w:t>
      </w:r>
      <w:hyperlink r:id="rId17" w:history="1">
        <w:r w:rsidRPr="006D5700">
          <w:rPr>
            <w:rFonts w:ascii="Calibri" w:eastAsiaTheme="minorEastAsia" w:hAnsi="Calibri" w:cs="Calibri"/>
            <w:lang w:eastAsia="ko-KR"/>
          </w:rPr>
          <w:t>https://data.dre.pt/eli/lei/46/2018/08/13/p/dre/pt/html</w:t>
        </w:r>
      </w:hyperlink>
      <w:r w:rsidRPr="006D5700">
        <w:rPr>
          <w:rFonts w:ascii="Calibri" w:eastAsiaTheme="minorEastAsia" w:hAnsi="Calibri" w:cs="Calibri"/>
          <w:sz w:val="22"/>
          <w:szCs w:val="22"/>
          <w:lang w:eastAsia="ko-KR"/>
        </w:rPr>
        <w:t>;</w:t>
      </w:r>
    </w:p>
    <w:p w:rsidR="006D5700" w:rsidRPr="006D5700" w:rsidRDefault="006D5700" w:rsidP="006D5700">
      <w:pPr>
        <w:pStyle w:val="Default"/>
        <w:numPr>
          <w:ilvl w:val="0"/>
          <w:numId w:val="18"/>
        </w:numPr>
        <w:spacing w:after="164" w:line="276" w:lineRule="auto"/>
        <w:rPr>
          <w:rFonts w:ascii="Calibri" w:eastAsiaTheme="minorEastAsia" w:hAnsi="Calibri" w:cs="Calibri"/>
          <w:sz w:val="22"/>
          <w:szCs w:val="22"/>
          <w:lang w:eastAsia="ko-KR"/>
        </w:rPr>
      </w:pPr>
      <w:r w:rsidRPr="006D5700">
        <w:rPr>
          <w:rFonts w:ascii="Calibri" w:eastAsiaTheme="minorEastAsia" w:hAnsi="Calibri" w:cs="Calibri"/>
          <w:sz w:val="22"/>
          <w:szCs w:val="22"/>
          <w:lang w:eastAsia="ko-KR"/>
        </w:rPr>
        <w:lastRenderedPageBreak/>
        <w:t>Decree-Law no. 81/2016, of November 28 (Creates the unit for cybercrime within the Criminal Police [</w:t>
      </w:r>
      <w:proofErr w:type="spellStart"/>
      <w:r w:rsidRPr="006D5700">
        <w:rPr>
          <w:rFonts w:ascii="Calibri" w:eastAsiaTheme="minorEastAsia" w:hAnsi="Calibri" w:cs="Calibri"/>
          <w:sz w:val="22"/>
          <w:szCs w:val="22"/>
          <w:lang w:eastAsia="ko-KR"/>
        </w:rPr>
        <w:t>Polícia</w:t>
      </w:r>
      <w:proofErr w:type="spellEnd"/>
      <w:r w:rsidRPr="006D5700">
        <w:rPr>
          <w:rFonts w:ascii="Calibri" w:eastAsiaTheme="minorEastAsia" w:hAnsi="Calibri" w:cs="Calibri"/>
          <w:sz w:val="22"/>
          <w:szCs w:val="22"/>
          <w:lang w:eastAsia="ko-KR"/>
        </w:rPr>
        <w:t xml:space="preserve"> </w:t>
      </w:r>
      <w:proofErr w:type="spellStart"/>
      <w:r w:rsidRPr="006D5700">
        <w:rPr>
          <w:rFonts w:ascii="Calibri" w:eastAsiaTheme="minorEastAsia" w:hAnsi="Calibri" w:cs="Calibri"/>
          <w:sz w:val="22"/>
          <w:szCs w:val="22"/>
          <w:lang w:eastAsia="ko-KR"/>
        </w:rPr>
        <w:t>Judiciária</w:t>
      </w:r>
      <w:proofErr w:type="spellEnd"/>
      <w:r w:rsidRPr="006D5700">
        <w:rPr>
          <w:rFonts w:ascii="Calibri" w:eastAsiaTheme="minorEastAsia" w:hAnsi="Calibri" w:cs="Calibri"/>
          <w:sz w:val="22"/>
          <w:szCs w:val="22"/>
          <w:lang w:eastAsia="ko-KR"/>
        </w:rPr>
        <w:t>]),</w:t>
      </w:r>
      <w:r w:rsidRPr="006D5700">
        <w:rPr>
          <w:rFonts w:ascii="Calibri" w:eastAsiaTheme="minorEastAsia" w:hAnsi="Calibri" w:cs="Calibri"/>
          <w:sz w:val="22"/>
          <w:szCs w:val="22"/>
          <w:lang w:eastAsia="ko-KR"/>
        </w:rPr>
        <w:br/>
      </w:r>
      <w:hyperlink r:id="rId18" w:history="1">
        <w:r w:rsidRPr="006D5700">
          <w:rPr>
            <w:rFonts w:ascii="Calibri" w:eastAsiaTheme="minorEastAsia" w:hAnsi="Calibri" w:cs="Calibri"/>
            <w:lang w:eastAsia="ko-KR"/>
          </w:rPr>
          <w:t>https://data.dre.pt/eli/dec-lei/81/2016/11/28/p/dre/pt/html</w:t>
        </w:r>
      </w:hyperlink>
      <w:r w:rsidRPr="006D5700">
        <w:rPr>
          <w:rFonts w:ascii="Calibri" w:eastAsiaTheme="minorEastAsia" w:hAnsi="Calibri" w:cs="Calibri"/>
          <w:sz w:val="22"/>
          <w:szCs w:val="22"/>
          <w:lang w:eastAsia="ko-KR"/>
        </w:rPr>
        <w:t>;</w:t>
      </w:r>
    </w:p>
    <w:p w:rsidR="006D5700" w:rsidRPr="006D5700" w:rsidRDefault="006D5700" w:rsidP="006D5700">
      <w:pPr>
        <w:pStyle w:val="Default"/>
        <w:spacing w:after="164" w:line="276" w:lineRule="auto"/>
        <w:rPr>
          <w:rFonts w:ascii="Calibri" w:eastAsiaTheme="minorEastAsia" w:hAnsi="Calibri" w:cs="Calibri"/>
          <w:sz w:val="22"/>
          <w:szCs w:val="22"/>
          <w:lang w:eastAsia="ko-KR"/>
        </w:rPr>
      </w:pPr>
      <w:r w:rsidRPr="006D5700">
        <w:rPr>
          <w:rFonts w:ascii="Calibri" w:eastAsiaTheme="minorEastAsia" w:hAnsi="Calibri" w:cs="Calibri"/>
          <w:sz w:val="22"/>
          <w:szCs w:val="22"/>
          <w:lang w:eastAsia="ko-KR"/>
        </w:rPr>
        <w:t>Other:</w:t>
      </w:r>
    </w:p>
    <w:p w:rsidR="006D5700" w:rsidRPr="006D5700" w:rsidRDefault="006D5700" w:rsidP="006D5700">
      <w:pPr>
        <w:pStyle w:val="Default"/>
        <w:numPr>
          <w:ilvl w:val="0"/>
          <w:numId w:val="19"/>
        </w:numPr>
        <w:spacing w:after="164" w:line="276" w:lineRule="auto"/>
        <w:rPr>
          <w:rFonts w:ascii="Calibri" w:eastAsiaTheme="minorEastAsia" w:hAnsi="Calibri" w:cs="Calibri"/>
          <w:sz w:val="22"/>
          <w:szCs w:val="22"/>
          <w:lang w:eastAsia="ko-KR"/>
        </w:rPr>
      </w:pPr>
      <w:r w:rsidRPr="006D5700">
        <w:rPr>
          <w:rFonts w:ascii="Calibri" w:eastAsiaTheme="minorEastAsia" w:hAnsi="Calibri" w:cs="Calibri"/>
          <w:sz w:val="22"/>
          <w:szCs w:val="22"/>
          <w:lang w:eastAsia="ko-KR"/>
        </w:rPr>
        <w:t>National Strategy for Artificial Intelligence - "AI Portugal 2030", available at: https://www.incode2030.gov.pt/en/ai-portugal-2030.</w:t>
      </w:r>
    </w:p>
    <w:p w:rsidR="000A1ED5" w:rsidRDefault="000A1ED5" w:rsidP="00DF2CA9">
      <w:pPr>
        <w:spacing w:after="120" w:line="240" w:lineRule="auto"/>
        <w:jc w:val="both"/>
        <w:rPr>
          <w:rFonts w:ascii="-webkit-standard" w:hAnsi="-webkit-standard" w:cs="Calibri" w:hint="eastAsia"/>
          <w:color w:val="000000"/>
        </w:rPr>
      </w:pPr>
    </w:p>
    <w:p w:rsidR="000A1ED5" w:rsidRPr="004B0E2D" w:rsidRDefault="000A1ED5" w:rsidP="00DF2CA9">
      <w:pPr>
        <w:pStyle w:val="PargrafodaLista"/>
        <w:numPr>
          <w:ilvl w:val="0"/>
          <w:numId w:val="10"/>
        </w:numPr>
        <w:spacing w:after="120" w:line="240" w:lineRule="auto"/>
        <w:ind w:left="426"/>
        <w:jc w:val="both"/>
        <w:rPr>
          <w:rFonts w:ascii="Calibri" w:hAnsi="Calibri" w:cs="Calibri"/>
          <w:b/>
          <w:color w:val="000000"/>
        </w:rPr>
      </w:pPr>
      <w:r w:rsidRPr="004B0E2D">
        <w:rPr>
          <w:rFonts w:ascii="Calibri" w:hAnsi="Calibri" w:cs="Calibri"/>
          <w:b/>
          <w:color w:val="000000"/>
        </w:rPr>
        <w:t>How are new and emerging digital technologies affecting the protection and promotion of human rights in your country? What unique challenges or advantages does your country have in responding to the issue? What are the lessons or best practices that can the shared?</w:t>
      </w:r>
    </w:p>
    <w:p w:rsidR="000A1ED5" w:rsidRPr="004B0E2D" w:rsidRDefault="000A1ED5" w:rsidP="00DF2CA9">
      <w:pPr>
        <w:spacing w:after="120" w:line="240" w:lineRule="auto"/>
        <w:jc w:val="both"/>
        <w:rPr>
          <w:rFonts w:ascii="Calibri" w:hAnsi="Calibri" w:cs="Calibri"/>
          <w:lang w:val="en-GB"/>
        </w:rPr>
      </w:pPr>
      <w:r w:rsidRPr="004B0E2D">
        <w:rPr>
          <w:rFonts w:ascii="Calibri" w:hAnsi="Calibri" w:cs="Calibri"/>
          <w:lang w:val="en-GB"/>
        </w:rPr>
        <w:t xml:space="preserve">Ensuring the sustainability of national health systems stands as a primary challenge to public health governance. The growing ageing population and the rising prevalence of chronic conditions combined with limited human and financial resources are putting health systems under increased strain in many Member States and Countries (MS / C). </w:t>
      </w:r>
    </w:p>
    <w:p w:rsidR="000A1ED5" w:rsidRPr="004B0E2D" w:rsidRDefault="000A1ED5" w:rsidP="00DF2CA9">
      <w:pPr>
        <w:spacing w:after="120" w:line="240" w:lineRule="auto"/>
        <w:jc w:val="both"/>
        <w:rPr>
          <w:rFonts w:ascii="Calibri" w:hAnsi="Calibri" w:cs="Calibri"/>
          <w:lang w:val="en-GB"/>
        </w:rPr>
      </w:pPr>
      <w:r w:rsidRPr="004B0E2D">
        <w:rPr>
          <w:rFonts w:ascii="Calibri" w:hAnsi="Calibri" w:cs="Calibri"/>
          <w:lang w:val="en-GB"/>
        </w:rPr>
        <w:t>By recognizing the cross-cutting nature of this challenge, it is urgent to ensure that access to health and care is conducted as a Human Right, and not, as a privilege. To that end, MS / C' health policies should be based on a bottom-up citizen-centred approach towards a preventive, participatory and inclusive system.</w:t>
      </w:r>
    </w:p>
    <w:p w:rsidR="000A1ED5" w:rsidRPr="004B0E2D" w:rsidRDefault="000A1ED5" w:rsidP="00DF2CA9">
      <w:pPr>
        <w:spacing w:after="120" w:line="240" w:lineRule="auto"/>
        <w:jc w:val="both"/>
        <w:rPr>
          <w:rFonts w:ascii="Calibri" w:hAnsi="Calibri" w:cs="Calibri"/>
          <w:lang w:val="en-GB"/>
        </w:rPr>
      </w:pPr>
      <w:r w:rsidRPr="004B0E2D">
        <w:rPr>
          <w:rFonts w:ascii="Calibri" w:hAnsi="Calibri" w:cs="Calibri"/>
          <w:lang w:val="en-GB"/>
        </w:rPr>
        <w:t xml:space="preserve">The rise of a digital society brings on new challenges but also, new opportunities for the health sector. Currently, digital devices are inherently linked by each one of us and factors as an indispensable tool for people's everyday lives. By acknowledging this feature, it is our duty as a society to make the best of the opportunities unveiled by the relation between technology and public healthcare presented in modern information-driven societies. Due to the personal nature of contemporary mobile devices, citizens </w:t>
      </w:r>
      <w:proofErr w:type="gramStart"/>
      <w:r w:rsidRPr="004B0E2D">
        <w:rPr>
          <w:rFonts w:ascii="Calibri" w:hAnsi="Calibri" w:cs="Calibri"/>
          <w:lang w:val="en-GB"/>
        </w:rPr>
        <w:t>have to</w:t>
      </w:r>
      <w:proofErr w:type="gramEnd"/>
      <w:r w:rsidRPr="004B0E2D">
        <w:rPr>
          <w:rFonts w:ascii="Calibri" w:hAnsi="Calibri" w:cs="Calibri"/>
          <w:lang w:val="en-GB"/>
        </w:rPr>
        <w:t xml:space="preserve"> be furnished with the fundamental </w:t>
      </w:r>
      <w:proofErr w:type="spellStart"/>
      <w:r w:rsidRPr="004B0E2D">
        <w:rPr>
          <w:rFonts w:ascii="Calibri" w:hAnsi="Calibri" w:cs="Calibri"/>
          <w:lang w:val="en-GB"/>
        </w:rPr>
        <w:t>eSkills</w:t>
      </w:r>
      <w:proofErr w:type="spellEnd"/>
      <w:r w:rsidRPr="004B0E2D">
        <w:rPr>
          <w:rFonts w:ascii="Calibri" w:hAnsi="Calibri" w:cs="Calibri"/>
          <w:lang w:val="en-GB"/>
        </w:rPr>
        <w:t>, thus being able to use technology for their own self-care, acting as both preventive and cost-effective patients.</w:t>
      </w:r>
    </w:p>
    <w:p w:rsidR="000A1ED5" w:rsidRPr="004B0E2D" w:rsidRDefault="000A1ED5" w:rsidP="00DF2CA9">
      <w:pPr>
        <w:spacing w:after="120" w:line="240" w:lineRule="auto"/>
        <w:jc w:val="both"/>
        <w:rPr>
          <w:rFonts w:ascii="Calibri" w:hAnsi="Calibri" w:cs="Calibri"/>
          <w:lang w:val="en-GB"/>
        </w:rPr>
      </w:pPr>
      <w:r w:rsidRPr="004B0E2D">
        <w:rPr>
          <w:rFonts w:ascii="Calibri" w:hAnsi="Calibri" w:cs="Calibri"/>
          <w:lang w:val="en-GB"/>
        </w:rPr>
        <w:t xml:space="preserve">The same is true for health professionals. Their digital expertise and capacities </w:t>
      </w:r>
      <w:proofErr w:type="gramStart"/>
      <w:r w:rsidRPr="004B0E2D">
        <w:rPr>
          <w:rFonts w:ascii="Calibri" w:hAnsi="Calibri" w:cs="Calibri"/>
          <w:lang w:val="en-GB"/>
        </w:rPr>
        <w:t>have to</w:t>
      </w:r>
      <w:proofErr w:type="gramEnd"/>
      <w:r w:rsidRPr="004B0E2D">
        <w:rPr>
          <w:rFonts w:ascii="Calibri" w:hAnsi="Calibri" w:cs="Calibri"/>
          <w:lang w:val="en-GB"/>
        </w:rPr>
        <w:t xml:space="preserve"> be enhanced to accomplishing the full potential of data science in health systems. The EU has already acknowledged this potential by making the eHealth sector an integral part of the envisioned Digital Single Market (DSM). Hence, supporting the digital transformation, the generated health data stands as a powerful resource that integrates a variety of systems, information, diagnosis and grant access to a personal health record provided by multi-systems (ECG, Telemonitoring, Glucometer, Wellness devices and Health Watches/Devices).</w:t>
      </w:r>
    </w:p>
    <w:p w:rsidR="000A1ED5" w:rsidRPr="004B0E2D" w:rsidRDefault="000A1ED5" w:rsidP="00DF2CA9">
      <w:pPr>
        <w:spacing w:after="120" w:line="240" w:lineRule="auto"/>
        <w:jc w:val="both"/>
        <w:rPr>
          <w:rFonts w:ascii="Calibri" w:hAnsi="Calibri" w:cs="Calibri"/>
          <w:lang w:val="en-GB"/>
        </w:rPr>
      </w:pPr>
      <w:r w:rsidRPr="004B0E2D">
        <w:rPr>
          <w:rFonts w:ascii="Calibri" w:hAnsi="Calibri" w:cs="Calibri"/>
          <w:lang w:val="en-GB"/>
        </w:rPr>
        <w:t>The Portuguese Constitution states the access to health as a fundamental human right: "through a universal and general national health service and, taking into account the economic and social conditions of citizens, tending to be free". Thus, the NHS - National Health Service - was designed on the ideas of Universality and Equality aimed at reaching the entire population without leaving anyone out. With hospitals and health centres as the main points for health care delivery, it is essential to ensure not only the accurate treatment/diagnosis, but more helpful information in order to advance individuals self-care.</w:t>
      </w:r>
    </w:p>
    <w:p w:rsidR="000A1ED5" w:rsidRPr="004B0E2D" w:rsidRDefault="000A1ED5" w:rsidP="00DF2CA9">
      <w:pPr>
        <w:spacing w:after="120" w:line="240" w:lineRule="auto"/>
        <w:jc w:val="both"/>
        <w:rPr>
          <w:rFonts w:ascii="Calibri" w:hAnsi="Calibri" w:cs="Calibri"/>
          <w:lang w:val="en-GB"/>
        </w:rPr>
      </w:pPr>
      <w:r w:rsidRPr="004B0E2D">
        <w:rPr>
          <w:rFonts w:ascii="Calibri" w:hAnsi="Calibri" w:cs="Calibri"/>
          <w:lang w:val="en-GB"/>
        </w:rPr>
        <w:t>The universality of the Portuguese NHS extends to individuals on refugee status. In this situation, the health system guarantees the exemption of fees for those who are deprived, for whatever reason, of their right to health. Nevertheless, public-private partnerships are recurrent where Constitutional premises cannot be practised.</w:t>
      </w:r>
    </w:p>
    <w:p w:rsidR="000A1ED5" w:rsidRPr="004B0E2D" w:rsidRDefault="000A1ED5" w:rsidP="00DF2CA9">
      <w:pPr>
        <w:spacing w:after="120" w:line="240" w:lineRule="auto"/>
        <w:jc w:val="both"/>
        <w:rPr>
          <w:rFonts w:ascii="Calibri" w:hAnsi="Calibri" w:cs="Calibri"/>
          <w:lang w:val="en-GB"/>
        </w:rPr>
      </w:pPr>
      <w:r w:rsidRPr="004B0E2D">
        <w:rPr>
          <w:rFonts w:ascii="Calibri" w:hAnsi="Calibri" w:cs="Calibri"/>
          <w:lang w:val="en-GB"/>
        </w:rPr>
        <w:lastRenderedPageBreak/>
        <w:t>The recent policy strategy to foster digital transformation has been aimed at easing access to National Health Services. Citizens and health professionals now demand the most efficient system to use their time. Throughout the process of designing, developing, testing and implementing a digital health program or tool, the digital sector stands as a key element for redefining strategies, defining new processes, raising awareness of the digital tools available to increase the quality of health services, access to health data and promote self-care management.</w:t>
      </w:r>
    </w:p>
    <w:p w:rsidR="000A1ED5" w:rsidRPr="004B0E2D" w:rsidRDefault="000A1ED5" w:rsidP="00DF2CA9">
      <w:pPr>
        <w:spacing w:after="120" w:line="240" w:lineRule="auto"/>
        <w:jc w:val="both"/>
        <w:rPr>
          <w:rFonts w:ascii="Calibri" w:hAnsi="Calibri" w:cs="Calibri"/>
          <w:lang w:val="en-GB"/>
        </w:rPr>
      </w:pPr>
      <w:r w:rsidRPr="004B0E2D">
        <w:rPr>
          <w:rFonts w:ascii="Calibri" w:hAnsi="Calibri" w:cs="Calibri"/>
          <w:lang w:val="en-GB"/>
        </w:rPr>
        <w:t xml:space="preserve">It is due to digital transformation policies that projects such as </w:t>
      </w:r>
      <w:proofErr w:type="spellStart"/>
      <w:r w:rsidRPr="004B0E2D">
        <w:rPr>
          <w:rFonts w:ascii="Calibri" w:hAnsi="Calibri" w:cs="Calibri"/>
          <w:lang w:val="en-GB"/>
        </w:rPr>
        <w:t>ePrescripiton</w:t>
      </w:r>
      <w:proofErr w:type="spellEnd"/>
      <w:r w:rsidRPr="004B0E2D">
        <w:rPr>
          <w:rFonts w:ascii="Calibri" w:hAnsi="Calibri" w:cs="Calibri"/>
          <w:lang w:val="en-GB"/>
        </w:rPr>
        <w:t xml:space="preserve">, Citizens Portal, National Healthcare Apps and National Healthcare online-service have advanced the efficiency of the patient-doctor relationship. </w:t>
      </w:r>
    </w:p>
    <w:p w:rsidR="000A1ED5" w:rsidRPr="004B0E2D" w:rsidRDefault="000A1ED5" w:rsidP="00DF2CA9">
      <w:pPr>
        <w:spacing w:after="120" w:line="240" w:lineRule="auto"/>
        <w:jc w:val="both"/>
        <w:rPr>
          <w:rFonts w:ascii="Calibri" w:hAnsi="Calibri" w:cs="Calibri"/>
          <w:lang w:val="en-GB"/>
        </w:rPr>
      </w:pPr>
      <w:proofErr w:type="gramStart"/>
      <w:r w:rsidRPr="004B0E2D">
        <w:rPr>
          <w:rFonts w:ascii="Calibri" w:hAnsi="Calibri" w:cs="Calibri"/>
          <w:lang w:val="en-GB"/>
        </w:rPr>
        <w:t>With regard to</w:t>
      </w:r>
      <w:proofErr w:type="gramEnd"/>
      <w:r w:rsidRPr="004B0E2D">
        <w:rPr>
          <w:rFonts w:ascii="Calibri" w:hAnsi="Calibri" w:cs="Calibri"/>
          <w:lang w:val="en-GB"/>
        </w:rPr>
        <w:t xml:space="preserve"> good practice, the telehealth centre has gained a central place in supporting citizens who need to contact a healthcare professional without actually having to go to the physical location. Available 24/7 with two working languages, Portuguese and English, and holding a chat feature for hearing and aphonic citizens, the Portuguese telecentre was conceived to fulfil the universal character of its Constitution. Named SNS24, this service provides: triage, counselling and referral, informative and administrative telecare, tele-appointments, telemonitoring and monitorization of specific groups.</w:t>
      </w:r>
    </w:p>
    <w:p w:rsidR="000A1ED5" w:rsidRPr="004B0E2D" w:rsidRDefault="000A1ED5" w:rsidP="00DF2CA9">
      <w:pPr>
        <w:spacing w:after="120" w:line="240" w:lineRule="auto"/>
        <w:jc w:val="both"/>
        <w:rPr>
          <w:rFonts w:ascii="Calibri" w:hAnsi="Calibri" w:cs="Calibri"/>
          <w:lang w:val="en-GB"/>
        </w:rPr>
      </w:pPr>
      <w:r w:rsidRPr="004B0E2D">
        <w:rPr>
          <w:rFonts w:ascii="Calibri" w:hAnsi="Calibri" w:cs="Calibri"/>
          <w:lang w:val="en-GB"/>
        </w:rPr>
        <w:t xml:space="preserve">In order to gather essential information from each citizen for improving health care delivery and optimal sharing of clinical information among the user, health professionals and health care providers, the Portuguese Health System developed a platform for Electronic Health Registry (RSE) which brings together four portals: Citizen Area; the Professional Portal; Institutional Portal and International Portal. These portals include Citizen Area, which has been in operation since 2012. Being personal and non-transferable, each citizen has their health information at a distance from an electronic app. Among the various features, citizens have access </w:t>
      </w:r>
      <w:proofErr w:type="gramStart"/>
      <w:r w:rsidRPr="004B0E2D">
        <w:rPr>
          <w:rFonts w:ascii="Calibri" w:hAnsi="Calibri" w:cs="Calibri"/>
          <w:lang w:val="en-GB"/>
        </w:rPr>
        <w:t>to:</w:t>
      </w:r>
      <w:proofErr w:type="gramEnd"/>
      <w:r w:rsidRPr="004B0E2D">
        <w:rPr>
          <w:rFonts w:ascii="Calibri" w:hAnsi="Calibri" w:cs="Calibri"/>
          <w:lang w:val="en-GB"/>
        </w:rPr>
        <w:t xml:space="preserve"> online medical consultation, online ordering of chronic medications, electronic prescription request and a timeline of medical episodes.</w:t>
      </w:r>
    </w:p>
    <w:p w:rsidR="000A1ED5" w:rsidRPr="004B0E2D" w:rsidRDefault="000A1ED5" w:rsidP="00DF2CA9">
      <w:pPr>
        <w:spacing w:after="120" w:line="240" w:lineRule="auto"/>
        <w:jc w:val="both"/>
        <w:rPr>
          <w:rFonts w:ascii="Calibri" w:hAnsi="Calibri"/>
        </w:rPr>
      </w:pPr>
      <w:r w:rsidRPr="004B0E2D">
        <w:rPr>
          <w:rFonts w:ascii="Calibri" w:hAnsi="Calibri"/>
        </w:rPr>
        <w:t xml:space="preserve">The National Vaccination Program (PNV) is recognized in Portugal as a Fundamental Right. It is totally free and voluntary for all the people living in the country. It also underlines its effectiveness, protects and prevents numerous diseases, regardless of gender, ethnicity, religion or social status. This plan is administered by nurses at health centers and hospitals. </w:t>
      </w:r>
      <w:proofErr w:type="spellStart"/>
      <w:r w:rsidRPr="004B0E2D">
        <w:rPr>
          <w:rFonts w:ascii="Calibri" w:hAnsi="Calibri"/>
        </w:rPr>
        <w:t>eVACINAS</w:t>
      </w:r>
      <w:proofErr w:type="spellEnd"/>
      <w:r w:rsidRPr="004B0E2D">
        <w:rPr>
          <w:rFonts w:ascii="Calibri" w:hAnsi="Calibri"/>
        </w:rPr>
        <w:t xml:space="preserve"> aims to replace the paper vaccines record. The main goal is the centralized management of the Vaccination National Program for citizens living in Portugal.</w:t>
      </w:r>
    </w:p>
    <w:p w:rsidR="000A1ED5" w:rsidRPr="004B0E2D" w:rsidRDefault="000A1ED5" w:rsidP="00DF2CA9">
      <w:pPr>
        <w:spacing w:after="120" w:line="240" w:lineRule="auto"/>
        <w:jc w:val="both"/>
        <w:rPr>
          <w:rFonts w:ascii="Calibri" w:hAnsi="Calibri"/>
        </w:rPr>
      </w:pPr>
      <w:r w:rsidRPr="004B0E2D">
        <w:rPr>
          <w:rFonts w:ascii="Calibri" w:hAnsi="Calibri"/>
        </w:rPr>
        <w:t xml:space="preserve">The </w:t>
      </w:r>
      <w:proofErr w:type="spellStart"/>
      <w:r w:rsidRPr="004B0E2D">
        <w:rPr>
          <w:rFonts w:ascii="Calibri" w:hAnsi="Calibri"/>
        </w:rPr>
        <w:t>dematerialisation</w:t>
      </w:r>
      <w:proofErr w:type="spellEnd"/>
      <w:r w:rsidRPr="004B0E2D">
        <w:rPr>
          <w:rFonts w:ascii="Calibri" w:hAnsi="Calibri"/>
        </w:rPr>
        <w:t xml:space="preserve"> of the vaccine card represents several benefits, namely, costs decrease, easy access to the vaccination schedule by the patient and health professionals and improve the quality of information.</w:t>
      </w:r>
    </w:p>
    <w:p w:rsidR="000A1ED5" w:rsidRPr="004B0E2D" w:rsidRDefault="000A1ED5" w:rsidP="00DF2CA9">
      <w:pPr>
        <w:spacing w:after="120" w:line="240" w:lineRule="auto"/>
        <w:jc w:val="both"/>
        <w:rPr>
          <w:rFonts w:ascii="Calibri" w:hAnsi="Calibri"/>
        </w:rPr>
      </w:pPr>
      <w:r w:rsidRPr="004B0E2D">
        <w:rPr>
          <w:rFonts w:ascii="Calibri" w:hAnsi="Calibri"/>
        </w:rPr>
        <w:t>Nowadays, the vaccination can be performed by doctors, nurses and pharmacists. Doctors and nurses can retrieve or consult the vaccination record, as well as add vaccination records. While the pharmacist only can add the flu vaccine to its system.</w:t>
      </w:r>
    </w:p>
    <w:p w:rsidR="000A1ED5" w:rsidRPr="00DF2CA9" w:rsidRDefault="000A1ED5" w:rsidP="00DF2CA9">
      <w:pPr>
        <w:spacing w:after="120" w:line="240" w:lineRule="auto"/>
        <w:jc w:val="both"/>
        <w:rPr>
          <w:rFonts w:ascii="Calibri" w:hAnsi="Calibri"/>
        </w:rPr>
      </w:pPr>
      <w:r w:rsidRPr="004B0E2D">
        <w:rPr>
          <w:rFonts w:ascii="Calibri" w:hAnsi="Calibri"/>
        </w:rPr>
        <w:t xml:space="preserve">There is a Data provider (national entity) that provides the information about the list of performed vaccinations per user, list of performed vaccinations per region and the list of performed vaccinations per type of vaccine. SPMS developed a mobile app with different cards related to health data, </w:t>
      </w:r>
      <w:proofErr w:type="spellStart"/>
      <w:r w:rsidRPr="004B0E2D">
        <w:rPr>
          <w:rFonts w:ascii="Calibri" w:hAnsi="Calibri"/>
        </w:rPr>
        <w:t>MySNS</w:t>
      </w:r>
      <w:proofErr w:type="spellEnd"/>
      <w:r w:rsidRPr="004B0E2D">
        <w:rPr>
          <w:rFonts w:ascii="Calibri" w:hAnsi="Calibri"/>
        </w:rPr>
        <w:t xml:space="preserve"> wallet, where is included the electronic vaccination card. Been built in the interest of the citizen, </w:t>
      </w:r>
      <w:proofErr w:type="spellStart"/>
      <w:r w:rsidRPr="004B0E2D">
        <w:rPr>
          <w:rFonts w:ascii="Calibri" w:hAnsi="Calibri"/>
        </w:rPr>
        <w:t>MySNS</w:t>
      </w:r>
      <w:proofErr w:type="spellEnd"/>
      <w:r w:rsidRPr="004B0E2D">
        <w:rPr>
          <w:rFonts w:ascii="Calibri" w:hAnsi="Calibri"/>
        </w:rPr>
        <w:t xml:space="preserve"> Wallet gathers the citizen health information in one application, directly from your smartphone. Through the health number, the citizen associates specific “cards” with informative components of his interest. Each card corresponds to one type of health information. All information is stored securely, using international </w:t>
      </w:r>
      <w:r w:rsidRPr="00DF2CA9">
        <w:rPr>
          <w:rFonts w:ascii="Calibri" w:hAnsi="Calibri"/>
        </w:rPr>
        <w:t>standards. Until 6</w:t>
      </w:r>
      <w:r w:rsidRPr="00DF2CA9">
        <w:rPr>
          <w:rFonts w:ascii="Calibri" w:hAnsi="Calibri"/>
          <w:vertAlign w:val="superscript"/>
        </w:rPr>
        <w:t>th</w:t>
      </w:r>
      <w:r w:rsidRPr="00DF2CA9">
        <w:rPr>
          <w:rFonts w:ascii="Calibri" w:hAnsi="Calibri"/>
        </w:rPr>
        <w:t xml:space="preserve"> October 2019, </w:t>
      </w:r>
      <w:proofErr w:type="spellStart"/>
      <w:r w:rsidRPr="00DF2CA9">
        <w:rPr>
          <w:rFonts w:ascii="Calibri" w:hAnsi="Calibri"/>
        </w:rPr>
        <w:t>MySNS</w:t>
      </w:r>
      <w:proofErr w:type="spellEnd"/>
      <w:r w:rsidRPr="00DF2CA9">
        <w:rPr>
          <w:rFonts w:ascii="Calibri" w:hAnsi="Calibri"/>
        </w:rPr>
        <w:t xml:space="preserve"> wallet was launched 439 901 times.</w:t>
      </w:r>
    </w:p>
    <w:p w:rsidR="00D864C3" w:rsidRPr="00D864C3" w:rsidRDefault="00D864C3" w:rsidP="00D864C3">
      <w:pPr>
        <w:spacing w:after="120" w:line="240" w:lineRule="auto"/>
        <w:jc w:val="both"/>
        <w:rPr>
          <w:rFonts w:ascii="Calibri" w:hAnsi="Calibri"/>
        </w:rPr>
      </w:pPr>
    </w:p>
    <w:p w:rsidR="00D864C3" w:rsidRPr="00D864C3" w:rsidRDefault="00D864C3" w:rsidP="00D864C3">
      <w:pPr>
        <w:spacing w:after="120" w:line="240" w:lineRule="auto"/>
        <w:jc w:val="both"/>
        <w:rPr>
          <w:rFonts w:ascii="Calibri" w:hAnsi="Calibri"/>
        </w:rPr>
      </w:pPr>
      <w:r w:rsidRPr="00D864C3">
        <w:rPr>
          <w:rFonts w:ascii="Calibri" w:hAnsi="Calibri"/>
        </w:rPr>
        <w:lastRenderedPageBreak/>
        <w:t>New technologies lead to new types of criminality, particularly as regards sex crimes and crimes against property. From a law enforcement perspective, we identify three main challenges: the need for significant and on-going investment in new technologies in order to retain technological capability to investigate those new types of criminality; the need for specialized staff; the constant need for qualified training.</w:t>
      </w:r>
    </w:p>
    <w:p w:rsidR="00D864C3" w:rsidRPr="00D864C3" w:rsidRDefault="00D864C3" w:rsidP="00D864C3">
      <w:pPr>
        <w:spacing w:after="120" w:line="240" w:lineRule="auto"/>
        <w:jc w:val="both"/>
        <w:rPr>
          <w:rFonts w:ascii="Calibri" w:hAnsi="Calibri"/>
        </w:rPr>
      </w:pPr>
      <w:r w:rsidRPr="00D864C3">
        <w:rPr>
          <w:rFonts w:ascii="Calibri" w:hAnsi="Calibri"/>
        </w:rPr>
        <w:t xml:space="preserve">As regards best practices in the field of justice, we have had positive experience with training initiatives concerning internet safety for young children, carried out by </w:t>
      </w:r>
      <w:proofErr w:type="spellStart"/>
      <w:r w:rsidRPr="00D864C3">
        <w:rPr>
          <w:rFonts w:ascii="Calibri" w:hAnsi="Calibri"/>
        </w:rPr>
        <w:t>specialised</w:t>
      </w:r>
      <w:proofErr w:type="spellEnd"/>
      <w:r w:rsidRPr="00D864C3">
        <w:rPr>
          <w:rFonts w:ascii="Calibri" w:hAnsi="Calibri"/>
        </w:rPr>
        <w:t xml:space="preserve"> teams from the Criminal Police [</w:t>
      </w:r>
      <w:proofErr w:type="spellStart"/>
      <w:r w:rsidRPr="00D864C3">
        <w:rPr>
          <w:rFonts w:ascii="Calibri" w:hAnsi="Calibri"/>
        </w:rPr>
        <w:t>Polícia</w:t>
      </w:r>
      <w:proofErr w:type="spellEnd"/>
      <w:r w:rsidRPr="00D864C3">
        <w:rPr>
          <w:rFonts w:ascii="Calibri" w:hAnsi="Calibri"/>
        </w:rPr>
        <w:t xml:space="preserve"> </w:t>
      </w:r>
      <w:proofErr w:type="spellStart"/>
      <w:r w:rsidRPr="00D864C3">
        <w:rPr>
          <w:rFonts w:ascii="Calibri" w:hAnsi="Calibri"/>
        </w:rPr>
        <w:t>Judiciária</w:t>
      </w:r>
      <w:proofErr w:type="spellEnd"/>
      <w:r w:rsidRPr="00D864C3">
        <w:rPr>
          <w:rFonts w:ascii="Calibri" w:hAnsi="Calibri"/>
        </w:rPr>
        <w:t>] in schools.</w:t>
      </w:r>
    </w:p>
    <w:p w:rsidR="000A1ED5" w:rsidRPr="00D864C3" w:rsidRDefault="000A1ED5" w:rsidP="00DF2CA9">
      <w:pPr>
        <w:spacing w:after="120" w:line="240" w:lineRule="auto"/>
        <w:jc w:val="both"/>
        <w:rPr>
          <w:lang w:val="en-GB"/>
        </w:rPr>
      </w:pPr>
    </w:p>
    <w:p w:rsidR="000A1ED5" w:rsidRPr="00DF2CA9" w:rsidRDefault="000A1ED5" w:rsidP="00DF2CA9">
      <w:pPr>
        <w:pStyle w:val="PargrafodaLista"/>
        <w:numPr>
          <w:ilvl w:val="0"/>
          <w:numId w:val="10"/>
        </w:numPr>
        <w:spacing w:after="120" w:line="240" w:lineRule="auto"/>
        <w:ind w:left="426"/>
        <w:jc w:val="both"/>
        <w:rPr>
          <w:rFonts w:ascii="Calibri" w:hAnsi="Calibri" w:cs="Calibri"/>
          <w:b/>
        </w:rPr>
      </w:pPr>
      <w:r w:rsidRPr="00DF2CA9">
        <w:rPr>
          <w:rFonts w:ascii="Calibri" w:hAnsi="Calibri" w:cs="Calibri"/>
          <w:b/>
        </w:rPr>
        <w:t>In your country, which government agency has an initiative in the decision-making of new and emerging digital technologies policies? Does your country have a special agency that exclusively deals with the issues of new and emerging digital technologies? (for example: The Disruption Council in Denmark, The Presidential 4th Revolution Committee in Korea) If so, how much does the agency take the human rights issues into account in its agenda?</w:t>
      </w:r>
    </w:p>
    <w:p w:rsidR="000A1ED5" w:rsidRPr="004B0E2D" w:rsidRDefault="000A1ED5" w:rsidP="00DF2CA9">
      <w:pPr>
        <w:spacing w:after="120" w:line="240" w:lineRule="auto"/>
        <w:jc w:val="both"/>
        <w:rPr>
          <w:rFonts w:ascii="Calibri" w:hAnsi="Calibri"/>
        </w:rPr>
      </w:pPr>
      <w:r w:rsidRPr="00DF2CA9">
        <w:rPr>
          <w:rFonts w:ascii="Calibri" w:hAnsi="Calibri"/>
        </w:rPr>
        <w:t xml:space="preserve">In the Portuguese public sector, each sectorial area is aligned with government policies strategies and initiatives. Each Ministry/Sector assigns the strategic and operational aspects to the Digital Competence Center, in specific for the healthcare sector all aspects related to the eHealth and new and emerging digital technologies in healthcare and digital topics are the competence of SPMS (SHARED SERVICES IN MINISTRY OF HEALTH, EPE), the National eHealth Competence Center. The topic of human rights is under our agenda when we </w:t>
      </w:r>
      <w:r w:rsidRPr="004B0E2D">
        <w:rPr>
          <w:rFonts w:ascii="Calibri" w:hAnsi="Calibri"/>
        </w:rPr>
        <w:t>define digital strategies such as: ENESIS 2020-2022 – National Strategy for the Healthcare information ecosystem and From Big Data to Smart Health – Putting data to work for the public health</w:t>
      </w:r>
    </w:p>
    <w:sectPr w:rsidR="000A1ED5" w:rsidRPr="004B0E2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7E5" w:rsidRDefault="000837E5" w:rsidP="00E251D9">
      <w:pPr>
        <w:spacing w:after="0" w:line="240" w:lineRule="auto"/>
      </w:pPr>
      <w:r>
        <w:separator/>
      </w:r>
    </w:p>
  </w:endnote>
  <w:endnote w:type="continuationSeparator" w:id="0">
    <w:p w:rsidR="000837E5" w:rsidRDefault="000837E5" w:rsidP="00E251D9">
      <w:pPr>
        <w:spacing w:after="0" w:line="240" w:lineRule="auto"/>
      </w:pPr>
      <w:r>
        <w:continuationSeparator/>
      </w:r>
    </w:p>
  </w:endnote>
  <w:endnote w:id="1">
    <w:p w:rsidR="00E251D9" w:rsidRPr="00E251D9" w:rsidRDefault="00E251D9" w:rsidP="00E251D9">
      <w:pPr>
        <w:pStyle w:val="Textodenotadefim"/>
        <w:rPr>
          <w:rFonts w:asciiTheme="majorBidi" w:hAnsiTheme="majorBidi" w:cstheme="majorBid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0396458"/>
      <w:docPartObj>
        <w:docPartGallery w:val="Page Numbers (Bottom of Page)"/>
        <w:docPartUnique/>
      </w:docPartObj>
    </w:sdtPr>
    <w:sdtEndPr>
      <w:rPr>
        <w:rFonts w:asciiTheme="majorBidi" w:hAnsiTheme="majorBidi" w:cstheme="majorBidi"/>
        <w:noProof/>
      </w:rPr>
    </w:sdtEndPr>
    <w:sdtContent>
      <w:p w:rsidR="001F6854" w:rsidRDefault="001F6854" w:rsidP="00DF2CA9">
        <w:pPr>
          <w:pStyle w:val="Rodap"/>
          <w:jc w:val="center"/>
        </w:pPr>
        <w:r>
          <w:fldChar w:fldCharType="begin"/>
        </w:r>
        <w:r>
          <w:instrText xml:space="preserve"> PAGE   \* MERGEFORMAT </w:instrText>
        </w:r>
        <w:r>
          <w:fldChar w:fldCharType="separate"/>
        </w:r>
        <w:r w:rsidR="0049623F">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7E5" w:rsidRDefault="000837E5" w:rsidP="00E251D9">
      <w:pPr>
        <w:spacing w:after="0" w:line="240" w:lineRule="auto"/>
      </w:pPr>
      <w:r>
        <w:separator/>
      </w:r>
    </w:p>
  </w:footnote>
  <w:footnote w:type="continuationSeparator" w:id="0">
    <w:p w:rsidR="000837E5" w:rsidRDefault="000837E5" w:rsidP="00E251D9">
      <w:pPr>
        <w:spacing w:after="0" w:line="240" w:lineRule="auto"/>
      </w:pPr>
      <w:r>
        <w:continuationSeparator/>
      </w:r>
    </w:p>
  </w:footnote>
  <w:footnote w:id="1">
    <w:p w:rsidR="006D5700" w:rsidRPr="002E1EAF" w:rsidRDefault="006D5700" w:rsidP="006D5700">
      <w:pPr>
        <w:pStyle w:val="Textodenotaderodap"/>
        <w:rPr>
          <w:rFonts w:ascii="Garamond" w:hAnsi="Garamond"/>
          <w:sz w:val="18"/>
          <w:szCs w:val="18"/>
          <w:lang w:val="en-US"/>
        </w:rPr>
      </w:pPr>
      <w:r w:rsidRPr="005B044E">
        <w:rPr>
          <w:rStyle w:val="Refdenotaderodap"/>
          <w:rFonts w:ascii="Garamond" w:hAnsi="Garamond"/>
          <w:sz w:val="18"/>
          <w:szCs w:val="18"/>
        </w:rPr>
        <w:footnoteRef/>
      </w:r>
      <w:r w:rsidRPr="002E1EAF">
        <w:rPr>
          <w:rFonts w:ascii="Garamond" w:hAnsi="Garamond"/>
          <w:sz w:val="18"/>
          <w:szCs w:val="18"/>
          <w:lang w:val="en-US"/>
        </w:rPr>
        <w:t xml:space="preserve"> The European Ethical Charter on the use of artificial intelligence in judicial systems from the Council of Europe offers an excellent example of such a set of principles. Available at: https://www.coe.int/en/web/cepej/cepej-european-ethical-charter-on-the-use-of-artificial-intelligence-ai-in-judicial-systems-and-their-environment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7B2A"/>
    <w:multiLevelType w:val="hybridMultilevel"/>
    <w:tmpl w:val="931E70A6"/>
    <w:lvl w:ilvl="0" w:tplc="0409001B">
      <w:start w:val="1"/>
      <w:numFmt w:val="bullet"/>
      <w:lvlText w:val=""/>
      <w:lvlJc w:val="left"/>
      <w:pPr>
        <w:ind w:left="720" w:hanging="360"/>
      </w:pPr>
      <w:rPr>
        <w:rFonts w:ascii="Wingdings" w:hAnsi="Wingdings" w:cs="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B527C5B"/>
    <w:multiLevelType w:val="hybridMultilevel"/>
    <w:tmpl w:val="EBC457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B626F8E"/>
    <w:multiLevelType w:val="hybridMultilevel"/>
    <w:tmpl w:val="BCDCE8DE"/>
    <w:lvl w:ilvl="0" w:tplc="08160003">
      <w:start w:val="1"/>
      <w:numFmt w:val="bullet"/>
      <w:lvlText w:val="o"/>
      <w:lvlJc w:val="left"/>
      <w:pPr>
        <w:ind w:left="720" w:hanging="360"/>
      </w:pPr>
      <w:rPr>
        <w:rFonts w:ascii="Courier New" w:hAnsi="Courier New" w:cs="Courier New"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C2A4C03"/>
    <w:multiLevelType w:val="hybridMultilevel"/>
    <w:tmpl w:val="9E98A220"/>
    <w:lvl w:ilvl="0" w:tplc="B110315C">
      <w:start w:val="1"/>
      <w:numFmt w:val="bullet"/>
      <w:lvlText w:val="—"/>
      <w:lvlJc w:val="left"/>
      <w:pPr>
        <w:ind w:left="1428" w:hanging="360"/>
      </w:pPr>
      <w:rPr>
        <w:rFonts w:ascii="Garamond" w:hAnsi="Garamond"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D7BE2"/>
    <w:multiLevelType w:val="hybridMultilevel"/>
    <w:tmpl w:val="2D661362"/>
    <w:lvl w:ilvl="0" w:tplc="0816000F">
      <w:start w:val="1"/>
      <w:numFmt w:val="decimal"/>
      <w:lvlText w:val="%1."/>
      <w:lvlJc w:val="left"/>
      <w:pPr>
        <w:ind w:left="750" w:hanging="360"/>
      </w:pPr>
    </w:lvl>
    <w:lvl w:ilvl="1" w:tplc="08160019" w:tentative="1">
      <w:start w:val="1"/>
      <w:numFmt w:val="lowerLetter"/>
      <w:lvlText w:val="%2."/>
      <w:lvlJc w:val="left"/>
      <w:pPr>
        <w:ind w:left="1470" w:hanging="360"/>
      </w:pPr>
    </w:lvl>
    <w:lvl w:ilvl="2" w:tplc="0816001B" w:tentative="1">
      <w:start w:val="1"/>
      <w:numFmt w:val="lowerRoman"/>
      <w:lvlText w:val="%3."/>
      <w:lvlJc w:val="right"/>
      <w:pPr>
        <w:ind w:left="2190" w:hanging="180"/>
      </w:pPr>
    </w:lvl>
    <w:lvl w:ilvl="3" w:tplc="0816000F" w:tentative="1">
      <w:start w:val="1"/>
      <w:numFmt w:val="decimal"/>
      <w:lvlText w:val="%4."/>
      <w:lvlJc w:val="left"/>
      <w:pPr>
        <w:ind w:left="2910" w:hanging="360"/>
      </w:pPr>
    </w:lvl>
    <w:lvl w:ilvl="4" w:tplc="08160019" w:tentative="1">
      <w:start w:val="1"/>
      <w:numFmt w:val="lowerLetter"/>
      <w:lvlText w:val="%5."/>
      <w:lvlJc w:val="left"/>
      <w:pPr>
        <w:ind w:left="3630" w:hanging="360"/>
      </w:pPr>
    </w:lvl>
    <w:lvl w:ilvl="5" w:tplc="0816001B" w:tentative="1">
      <w:start w:val="1"/>
      <w:numFmt w:val="lowerRoman"/>
      <w:lvlText w:val="%6."/>
      <w:lvlJc w:val="right"/>
      <w:pPr>
        <w:ind w:left="4350" w:hanging="180"/>
      </w:pPr>
    </w:lvl>
    <w:lvl w:ilvl="6" w:tplc="0816000F" w:tentative="1">
      <w:start w:val="1"/>
      <w:numFmt w:val="decimal"/>
      <w:lvlText w:val="%7."/>
      <w:lvlJc w:val="left"/>
      <w:pPr>
        <w:ind w:left="5070" w:hanging="360"/>
      </w:pPr>
    </w:lvl>
    <w:lvl w:ilvl="7" w:tplc="08160019" w:tentative="1">
      <w:start w:val="1"/>
      <w:numFmt w:val="lowerLetter"/>
      <w:lvlText w:val="%8."/>
      <w:lvlJc w:val="left"/>
      <w:pPr>
        <w:ind w:left="5790" w:hanging="360"/>
      </w:pPr>
    </w:lvl>
    <w:lvl w:ilvl="8" w:tplc="0816001B" w:tentative="1">
      <w:start w:val="1"/>
      <w:numFmt w:val="lowerRoman"/>
      <w:lvlText w:val="%9."/>
      <w:lvlJc w:val="right"/>
      <w:pPr>
        <w:ind w:left="6510" w:hanging="180"/>
      </w:pPr>
    </w:lvl>
  </w:abstractNum>
  <w:abstractNum w:abstractNumId="5" w15:restartNumberingAfterBreak="0">
    <w:nsid w:val="1E9E3EEC"/>
    <w:multiLevelType w:val="hybridMultilevel"/>
    <w:tmpl w:val="D5FA698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BA759CF"/>
    <w:multiLevelType w:val="hybridMultilevel"/>
    <w:tmpl w:val="37786866"/>
    <w:lvl w:ilvl="0" w:tplc="0816000D">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7" w15:restartNumberingAfterBreak="0">
    <w:nsid w:val="48B519F8"/>
    <w:multiLevelType w:val="hybridMultilevel"/>
    <w:tmpl w:val="D7AC80F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533F6EDD"/>
    <w:multiLevelType w:val="hybridMultilevel"/>
    <w:tmpl w:val="4B64B61A"/>
    <w:lvl w:ilvl="0" w:tplc="9DFAF41A">
      <w:start w:val="1"/>
      <w:numFmt w:val="bullet"/>
      <w:lvlText w:val="-"/>
      <w:lvlJc w:val="left"/>
      <w:pPr>
        <w:ind w:left="420" w:hanging="360"/>
      </w:pPr>
      <w:rPr>
        <w:rFonts w:ascii="Times New Roman" w:eastAsiaTheme="minorEastAsia" w:hAnsi="Times New Roman" w:cs="Times New Roman" w:hint="default"/>
      </w:rPr>
    </w:lvl>
    <w:lvl w:ilvl="1" w:tplc="08160003" w:tentative="1">
      <w:start w:val="1"/>
      <w:numFmt w:val="bullet"/>
      <w:lvlText w:val="o"/>
      <w:lvlJc w:val="left"/>
      <w:pPr>
        <w:ind w:left="1140" w:hanging="360"/>
      </w:pPr>
      <w:rPr>
        <w:rFonts w:ascii="Courier New" w:hAnsi="Courier New" w:cs="Courier New" w:hint="default"/>
      </w:rPr>
    </w:lvl>
    <w:lvl w:ilvl="2" w:tplc="08160005" w:tentative="1">
      <w:start w:val="1"/>
      <w:numFmt w:val="bullet"/>
      <w:lvlText w:val=""/>
      <w:lvlJc w:val="left"/>
      <w:pPr>
        <w:ind w:left="1860" w:hanging="360"/>
      </w:pPr>
      <w:rPr>
        <w:rFonts w:ascii="Wingdings" w:hAnsi="Wingdings" w:hint="default"/>
      </w:rPr>
    </w:lvl>
    <w:lvl w:ilvl="3" w:tplc="08160001" w:tentative="1">
      <w:start w:val="1"/>
      <w:numFmt w:val="bullet"/>
      <w:lvlText w:val=""/>
      <w:lvlJc w:val="left"/>
      <w:pPr>
        <w:ind w:left="2580" w:hanging="360"/>
      </w:pPr>
      <w:rPr>
        <w:rFonts w:ascii="Symbol" w:hAnsi="Symbol" w:hint="default"/>
      </w:rPr>
    </w:lvl>
    <w:lvl w:ilvl="4" w:tplc="08160003" w:tentative="1">
      <w:start w:val="1"/>
      <w:numFmt w:val="bullet"/>
      <w:lvlText w:val="o"/>
      <w:lvlJc w:val="left"/>
      <w:pPr>
        <w:ind w:left="3300" w:hanging="360"/>
      </w:pPr>
      <w:rPr>
        <w:rFonts w:ascii="Courier New" w:hAnsi="Courier New" w:cs="Courier New" w:hint="default"/>
      </w:rPr>
    </w:lvl>
    <w:lvl w:ilvl="5" w:tplc="08160005" w:tentative="1">
      <w:start w:val="1"/>
      <w:numFmt w:val="bullet"/>
      <w:lvlText w:val=""/>
      <w:lvlJc w:val="left"/>
      <w:pPr>
        <w:ind w:left="4020" w:hanging="360"/>
      </w:pPr>
      <w:rPr>
        <w:rFonts w:ascii="Wingdings" w:hAnsi="Wingdings" w:hint="default"/>
      </w:rPr>
    </w:lvl>
    <w:lvl w:ilvl="6" w:tplc="08160001" w:tentative="1">
      <w:start w:val="1"/>
      <w:numFmt w:val="bullet"/>
      <w:lvlText w:val=""/>
      <w:lvlJc w:val="left"/>
      <w:pPr>
        <w:ind w:left="4740" w:hanging="360"/>
      </w:pPr>
      <w:rPr>
        <w:rFonts w:ascii="Symbol" w:hAnsi="Symbol" w:hint="default"/>
      </w:rPr>
    </w:lvl>
    <w:lvl w:ilvl="7" w:tplc="08160003" w:tentative="1">
      <w:start w:val="1"/>
      <w:numFmt w:val="bullet"/>
      <w:lvlText w:val="o"/>
      <w:lvlJc w:val="left"/>
      <w:pPr>
        <w:ind w:left="5460" w:hanging="360"/>
      </w:pPr>
      <w:rPr>
        <w:rFonts w:ascii="Courier New" w:hAnsi="Courier New" w:cs="Courier New" w:hint="default"/>
      </w:rPr>
    </w:lvl>
    <w:lvl w:ilvl="8" w:tplc="08160005" w:tentative="1">
      <w:start w:val="1"/>
      <w:numFmt w:val="bullet"/>
      <w:lvlText w:val=""/>
      <w:lvlJc w:val="left"/>
      <w:pPr>
        <w:ind w:left="6180" w:hanging="360"/>
      </w:pPr>
      <w:rPr>
        <w:rFonts w:ascii="Wingdings" w:hAnsi="Wingdings" w:hint="default"/>
      </w:rPr>
    </w:lvl>
  </w:abstractNum>
  <w:abstractNum w:abstractNumId="9" w15:restartNumberingAfterBreak="0">
    <w:nsid w:val="55FD093B"/>
    <w:multiLevelType w:val="hybridMultilevel"/>
    <w:tmpl w:val="867A75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56FB344E"/>
    <w:multiLevelType w:val="hybridMultilevel"/>
    <w:tmpl w:val="A27E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6E1BEB"/>
    <w:multiLevelType w:val="hybridMultilevel"/>
    <w:tmpl w:val="97DC49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5F516987"/>
    <w:multiLevelType w:val="hybridMultilevel"/>
    <w:tmpl w:val="5CFE15B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626807DB"/>
    <w:multiLevelType w:val="hybridMultilevel"/>
    <w:tmpl w:val="01626F3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6C315954"/>
    <w:multiLevelType w:val="hybridMultilevel"/>
    <w:tmpl w:val="8828DF90"/>
    <w:lvl w:ilvl="0" w:tplc="B110315C">
      <w:start w:val="1"/>
      <w:numFmt w:val="bullet"/>
      <w:lvlText w:val="—"/>
      <w:lvlJc w:val="left"/>
      <w:pPr>
        <w:ind w:left="1428" w:hanging="360"/>
      </w:pPr>
      <w:rPr>
        <w:rFonts w:ascii="Garamond" w:hAnsi="Garamond" w:hint="default"/>
      </w:rPr>
    </w:lvl>
    <w:lvl w:ilvl="1" w:tplc="08090003" w:tentative="1">
      <w:start w:val="1"/>
      <w:numFmt w:val="bullet"/>
      <w:lvlText w:val="o"/>
      <w:lvlJc w:val="left"/>
      <w:pPr>
        <w:ind w:left="2148" w:hanging="360"/>
      </w:pPr>
      <w:rPr>
        <w:rFonts w:ascii="Courier New" w:hAnsi="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15:restartNumberingAfterBreak="0">
    <w:nsid w:val="6E591143"/>
    <w:multiLevelType w:val="hybridMultilevel"/>
    <w:tmpl w:val="90B8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77E31"/>
    <w:multiLevelType w:val="hybridMultilevel"/>
    <w:tmpl w:val="1F205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D51A6A"/>
    <w:multiLevelType w:val="hybridMultilevel"/>
    <w:tmpl w:val="5AE0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2532C8"/>
    <w:multiLevelType w:val="hybridMultilevel"/>
    <w:tmpl w:val="90B8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D367C5"/>
    <w:multiLevelType w:val="hybridMultilevel"/>
    <w:tmpl w:val="851C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251B02"/>
    <w:multiLevelType w:val="hybridMultilevel"/>
    <w:tmpl w:val="A27E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10"/>
  </w:num>
  <w:num w:numId="4">
    <w:abstractNumId w:val="15"/>
  </w:num>
  <w:num w:numId="5">
    <w:abstractNumId w:val="18"/>
  </w:num>
  <w:num w:numId="6">
    <w:abstractNumId w:val="17"/>
  </w:num>
  <w:num w:numId="7">
    <w:abstractNumId w:val="20"/>
  </w:num>
  <w:num w:numId="8">
    <w:abstractNumId w:val="6"/>
  </w:num>
  <w:num w:numId="9">
    <w:abstractNumId w:val="8"/>
  </w:num>
  <w:num w:numId="10">
    <w:abstractNumId w:val="4"/>
  </w:num>
  <w:num w:numId="11">
    <w:abstractNumId w:val="7"/>
  </w:num>
  <w:num w:numId="12">
    <w:abstractNumId w:val="9"/>
  </w:num>
  <w:num w:numId="13">
    <w:abstractNumId w:val="13"/>
  </w:num>
  <w:num w:numId="14">
    <w:abstractNumId w:val="1"/>
  </w:num>
  <w:num w:numId="15">
    <w:abstractNumId w:val="11"/>
  </w:num>
  <w:num w:numId="16">
    <w:abstractNumId w:val="3"/>
  </w:num>
  <w:num w:numId="17">
    <w:abstractNumId w:val="14"/>
  </w:num>
  <w:num w:numId="18">
    <w:abstractNumId w:val="5"/>
  </w:num>
  <w:num w:numId="19">
    <w:abstractNumId w:val="12"/>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99"/>
    <w:rsid w:val="0000079A"/>
    <w:rsid w:val="0000671F"/>
    <w:rsid w:val="00011E39"/>
    <w:rsid w:val="00030779"/>
    <w:rsid w:val="000422D8"/>
    <w:rsid w:val="000574F6"/>
    <w:rsid w:val="000717B4"/>
    <w:rsid w:val="000828F2"/>
    <w:rsid w:val="000837E5"/>
    <w:rsid w:val="00095915"/>
    <w:rsid w:val="000A1ED5"/>
    <w:rsid w:val="000A4F18"/>
    <w:rsid w:val="000B6AD8"/>
    <w:rsid w:val="000C7FC8"/>
    <w:rsid w:val="000D57AF"/>
    <w:rsid w:val="000F3254"/>
    <w:rsid w:val="0011038A"/>
    <w:rsid w:val="001237CC"/>
    <w:rsid w:val="00123C8E"/>
    <w:rsid w:val="001411BB"/>
    <w:rsid w:val="00171365"/>
    <w:rsid w:val="001828B6"/>
    <w:rsid w:val="001865E4"/>
    <w:rsid w:val="001B253C"/>
    <w:rsid w:val="001D180A"/>
    <w:rsid w:val="001D3FB5"/>
    <w:rsid w:val="001E21E6"/>
    <w:rsid w:val="001F6854"/>
    <w:rsid w:val="002044F7"/>
    <w:rsid w:val="002244D9"/>
    <w:rsid w:val="00255D67"/>
    <w:rsid w:val="00271160"/>
    <w:rsid w:val="002812AA"/>
    <w:rsid w:val="0028242F"/>
    <w:rsid w:val="002920B8"/>
    <w:rsid w:val="002D312A"/>
    <w:rsid w:val="002E59F1"/>
    <w:rsid w:val="002F4E2F"/>
    <w:rsid w:val="00324EC5"/>
    <w:rsid w:val="00326C1E"/>
    <w:rsid w:val="003306DA"/>
    <w:rsid w:val="00353E45"/>
    <w:rsid w:val="00370A93"/>
    <w:rsid w:val="0038146D"/>
    <w:rsid w:val="0038213C"/>
    <w:rsid w:val="003957C0"/>
    <w:rsid w:val="00396F9C"/>
    <w:rsid w:val="003A4770"/>
    <w:rsid w:val="003C495C"/>
    <w:rsid w:val="003E2D7A"/>
    <w:rsid w:val="003E4748"/>
    <w:rsid w:val="003E6FB4"/>
    <w:rsid w:val="003F4469"/>
    <w:rsid w:val="004343C8"/>
    <w:rsid w:val="00446416"/>
    <w:rsid w:val="0047099C"/>
    <w:rsid w:val="00476D6E"/>
    <w:rsid w:val="0049623F"/>
    <w:rsid w:val="0049646B"/>
    <w:rsid w:val="004A4B28"/>
    <w:rsid w:val="004D1FED"/>
    <w:rsid w:val="004D279C"/>
    <w:rsid w:val="004F1516"/>
    <w:rsid w:val="004F6B4B"/>
    <w:rsid w:val="00524907"/>
    <w:rsid w:val="00525D52"/>
    <w:rsid w:val="00536594"/>
    <w:rsid w:val="00547F21"/>
    <w:rsid w:val="0055413A"/>
    <w:rsid w:val="00555C91"/>
    <w:rsid w:val="0056754B"/>
    <w:rsid w:val="005775E9"/>
    <w:rsid w:val="00577670"/>
    <w:rsid w:val="00577C45"/>
    <w:rsid w:val="005C371F"/>
    <w:rsid w:val="005C4648"/>
    <w:rsid w:val="005C6883"/>
    <w:rsid w:val="005E6491"/>
    <w:rsid w:val="00604132"/>
    <w:rsid w:val="00615072"/>
    <w:rsid w:val="006243F2"/>
    <w:rsid w:val="00672C6A"/>
    <w:rsid w:val="00695734"/>
    <w:rsid w:val="006A5886"/>
    <w:rsid w:val="006B35ED"/>
    <w:rsid w:val="006C4124"/>
    <w:rsid w:val="006C448A"/>
    <w:rsid w:val="006C50C0"/>
    <w:rsid w:val="006D5700"/>
    <w:rsid w:val="006F47E1"/>
    <w:rsid w:val="00720806"/>
    <w:rsid w:val="00727C22"/>
    <w:rsid w:val="007443EF"/>
    <w:rsid w:val="00753F3C"/>
    <w:rsid w:val="0075435B"/>
    <w:rsid w:val="007610CE"/>
    <w:rsid w:val="00773B44"/>
    <w:rsid w:val="007779BC"/>
    <w:rsid w:val="007850D7"/>
    <w:rsid w:val="00785ACA"/>
    <w:rsid w:val="007A713D"/>
    <w:rsid w:val="007C25A7"/>
    <w:rsid w:val="007C33EC"/>
    <w:rsid w:val="007D10FE"/>
    <w:rsid w:val="0080797E"/>
    <w:rsid w:val="00824C08"/>
    <w:rsid w:val="00826D53"/>
    <w:rsid w:val="008605E9"/>
    <w:rsid w:val="00877026"/>
    <w:rsid w:val="008933CB"/>
    <w:rsid w:val="008B10E5"/>
    <w:rsid w:val="00914BFA"/>
    <w:rsid w:val="00934D46"/>
    <w:rsid w:val="00937495"/>
    <w:rsid w:val="00943FDA"/>
    <w:rsid w:val="00961736"/>
    <w:rsid w:val="009B5599"/>
    <w:rsid w:val="009C0A1E"/>
    <w:rsid w:val="009D5BF4"/>
    <w:rsid w:val="009E0A80"/>
    <w:rsid w:val="009E2832"/>
    <w:rsid w:val="009E60E8"/>
    <w:rsid w:val="00A1160C"/>
    <w:rsid w:val="00A261B6"/>
    <w:rsid w:val="00A4436F"/>
    <w:rsid w:val="00A6344D"/>
    <w:rsid w:val="00A75F6A"/>
    <w:rsid w:val="00A9255D"/>
    <w:rsid w:val="00A95CB3"/>
    <w:rsid w:val="00AB538C"/>
    <w:rsid w:val="00AC7E63"/>
    <w:rsid w:val="00AD0A28"/>
    <w:rsid w:val="00AE0FD0"/>
    <w:rsid w:val="00AE10D4"/>
    <w:rsid w:val="00AE70D7"/>
    <w:rsid w:val="00B33C3B"/>
    <w:rsid w:val="00B4561E"/>
    <w:rsid w:val="00B52738"/>
    <w:rsid w:val="00B61551"/>
    <w:rsid w:val="00B66789"/>
    <w:rsid w:val="00B72FEF"/>
    <w:rsid w:val="00B9153D"/>
    <w:rsid w:val="00BA71AB"/>
    <w:rsid w:val="00BD2386"/>
    <w:rsid w:val="00BE03DC"/>
    <w:rsid w:val="00BE7607"/>
    <w:rsid w:val="00C04469"/>
    <w:rsid w:val="00C065B4"/>
    <w:rsid w:val="00C149DD"/>
    <w:rsid w:val="00C25F75"/>
    <w:rsid w:val="00C5129E"/>
    <w:rsid w:val="00C80A9E"/>
    <w:rsid w:val="00CC1D06"/>
    <w:rsid w:val="00CD0EFF"/>
    <w:rsid w:val="00CD73B4"/>
    <w:rsid w:val="00CF45AF"/>
    <w:rsid w:val="00D20798"/>
    <w:rsid w:val="00D23AB9"/>
    <w:rsid w:val="00D447FD"/>
    <w:rsid w:val="00D55E7C"/>
    <w:rsid w:val="00D763D1"/>
    <w:rsid w:val="00D8505D"/>
    <w:rsid w:val="00D864C3"/>
    <w:rsid w:val="00D935BD"/>
    <w:rsid w:val="00D93C15"/>
    <w:rsid w:val="00DA7600"/>
    <w:rsid w:val="00DB2270"/>
    <w:rsid w:val="00DB2BB4"/>
    <w:rsid w:val="00DB778A"/>
    <w:rsid w:val="00DF2CA9"/>
    <w:rsid w:val="00DF6DDF"/>
    <w:rsid w:val="00E251D9"/>
    <w:rsid w:val="00E322FA"/>
    <w:rsid w:val="00E552B3"/>
    <w:rsid w:val="00E646A1"/>
    <w:rsid w:val="00E906CD"/>
    <w:rsid w:val="00E91F14"/>
    <w:rsid w:val="00EB01E4"/>
    <w:rsid w:val="00EB51B4"/>
    <w:rsid w:val="00EB6C6E"/>
    <w:rsid w:val="00EC6EB5"/>
    <w:rsid w:val="00ED5FA5"/>
    <w:rsid w:val="00EE6A2E"/>
    <w:rsid w:val="00F00C6D"/>
    <w:rsid w:val="00F149D2"/>
    <w:rsid w:val="00F259B5"/>
    <w:rsid w:val="00F30C65"/>
    <w:rsid w:val="00F735D2"/>
    <w:rsid w:val="00F7682F"/>
    <w:rsid w:val="00F82394"/>
    <w:rsid w:val="00FD0808"/>
    <w:rsid w:val="00FD3768"/>
    <w:rsid w:val="00FF0DB8"/>
    <w:rsid w:val="00FF48B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A9157"/>
  <w15:docId w15:val="{09A55EA2-C6FC-45C3-A75F-4758AF86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AE70D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Bullet 2,Bullets 1,F5 List Paragraph,List Paragraph1,Dot pt,No Spacing1,List Paragraph Char Char Char,Indicator Text,Colorful List - Accent 11,Numbered Para 1,Bullet 1,Bullet Points,MAIN CONTENT,List Paragraph12,Bullet Style,body"/>
    <w:basedOn w:val="Normal"/>
    <w:link w:val="PargrafodaListaCarter"/>
    <w:uiPriority w:val="34"/>
    <w:qFormat/>
    <w:rsid w:val="0049646B"/>
    <w:pPr>
      <w:ind w:left="720"/>
      <w:contextualSpacing/>
    </w:pPr>
  </w:style>
  <w:style w:type="paragraph" w:styleId="Textodebalo">
    <w:name w:val="Balloon Text"/>
    <w:basedOn w:val="Normal"/>
    <w:link w:val="TextodebaloCarter"/>
    <w:uiPriority w:val="99"/>
    <w:semiHidden/>
    <w:unhideWhenUsed/>
    <w:rsid w:val="003E4748"/>
    <w:pPr>
      <w:spacing w:after="0" w:line="240" w:lineRule="auto"/>
    </w:pPr>
    <w:rPr>
      <w:rFonts w:ascii="Times New Roman" w:hAnsi="Times New Roman" w:cs="Times New Roman"/>
      <w:sz w:val="18"/>
      <w:szCs w:val="18"/>
    </w:rPr>
  </w:style>
  <w:style w:type="character" w:customStyle="1" w:styleId="TextodebaloCarter">
    <w:name w:val="Texto de balão Caráter"/>
    <w:basedOn w:val="Tipodeletrapredefinidodopargrafo"/>
    <w:link w:val="Textodebalo"/>
    <w:uiPriority w:val="99"/>
    <w:semiHidden/>
    <w:rsid w:val="003E4748"/>
    <w:rPr>
      <w:rFonts w:ascii="Times New Roman" w:hAnsi="Times New Roman" w:cs="Times New Roman"/>
      <w:sz w:val="18"/>
      <w:szCs w:val="18"/>
    </w:rPr>
  </w:style>
  <w:style w:type="paragraph" w:styleId="Textodenotadefim">
    <w:name w:val="endnote text"/>
    <w:basedOn w:val="Normal"/>
    <w:link w:val="TextodenotadefimCarter"/>
    <w:uiPriority w:val="99"/>
    <w:semiHidden/>
    <w:unhideWhenUsed/>
    <w:rsid w:val="00E251D9"/>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E251D9"/>
    <w:rPr>
      <w:sz w:val="20"/>
      <w:szCs w:val="20"/>
    </w:rPr>
  </w:style>
  <w:style w:type="character" w:styleId="Refdenotadefim">
    <w:name w:val="endnote reference"/>
    <w:basedOn w:val="Tipodeletrapredefinidodopargrafo"/>
    <w:uiPriority w:val="99"/>
    <w:semiHidden/>
    <w:unhideWhenUsed/>
    <w:rsid w:val="00E251D9"/>
    <w:rPr>
      <w:vertAlign w:val="superscript"/>
    </w:rPr>
  </w:style>
  <w:style w:type="paragraph" w:styleId="Cabealho">
    <w:name w:val="header"/>
    <w:basedOn w:val="Normal"/>
    <w:link w:val="CabealhoCarter"/>
    <w:uiPriority w:val="99"/>
    <w:unhideWhenUsed/>
    <w:rsid w:val="001F6854"/>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1F6854"/>
  </w:style>
  <w:style w:type="paragraph" w:styleId="Rodap">
    <w:name w:val="footer"/>
    <w:basedOn w:val="Normal"/>
    <w:link w:val="RodapCarter"/>
    <w:uiPriority w:val="99"/>
    <w:unhideWhenUsed/>
    <w:rsid w:val="001F6854"/>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1F6854"/>
  </w:style>
  <w:style w:type="character" w:styleId="Refdecomentrio">
    <w:name w:val="annotation reference"/>
    <w:basedOn w:val="Tipodeletrapredefinidodopargrafo"/>
    <w:uiPriority w:val="99"/>
    <w:semiHidden/>
    <w:unhideWhenUsed/>
    <w:rsid w:val="007443EF"/>
    <w:rPr>
      <w:sz w:val="16"/>
      <w:szCs w:val="16"/>
    </w:rPr>
  </w:style>
  <w:style w:type="paragraph" w:styleId="Textodecomentrio">
    <w:name w:val="annotation text"/>
    <w:basedOn w:val="Normal"/>
    <w:link w:val="TextodecomentrioCarter"/>
    <w:uiPriority w:val="99"/>
    <w:semiHidden/>
    <w:unhideWhenUsed/>
    <w:rsid w:val="007443EF"/>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7443EF"/>
    <w:rPr>
      <w:sz w:val="20"/>
      <w:szCs w:val="20"/>
    </w:rPr>
  </w:style>
  <w:style w:type="paragraph" w:styleId="Assuntodecomentrio">
    <w:name w:val="annotation subject"/>
    <w:basedOn w:val="Textodecomentrio"/>
    <w:next w:val="Textodecomentrio"/>
    <w:link w:val="AssuntodecomentrioCarter"/>
    <w:uiPriority w:val="99"/>
    <w:semiHidden/>
    <w:unhideWhenUsed/>
    <w:rsid w:val="007443EF"/>
    <w:rPr>
      <w:b/>
      <w:bCs/>
    </w:rPr>
  </w:style>
  <w:style w:type="character" w:customStyle="1" w:styleId="AssuntodecomentrioCarter">
    <w:name w:val="Assunto de comentário Caráter"/>
    <w:basedOn w:val="TextodecomentrioCarter"/>
    <w:link w:val="Assuntodecomentrio"/>
    <w:uiPriority w:val="99"/>
    <w:semiHidden/>
    <w:rsid w:val="007443EF"/>
    <w:rPr>
      <w:b/>
      <w:bCs/>
      <w:sz w:val="20"/>
      <w:szCs w:val="20"/>
    </w:rPr>
  </w:style>
  <w:style w:type="paragraph" w:styleId="HTMLpr-formatado">
    <w:name w:val="HTML Preformatted"/>
    <w:basedOn w:val="Normal"/>
    <w:link w:val="HTMLpr-formatadoCarter"/>
    <w:uiPriority w:val="99"/>
    <w:semiHidden/>
    <w:unhideWhenUsed/>
    <w:rsid w:val="00E646A1"/>
    <w:pPr>
      <w:spacing w:after="0" w:line="240" w:lineRule="auto"/>
    </w:pPr>
    <w:rPr>
      <w:rFonts w:ascii="Consolas" w:hAnsi="Consolas"/>
      <w:sz w:val="20"/>
      <w:szCs w:val="20"/>
    </w:rPr>
  </w:style>
  <w:style w:type="character" w:customStyle="1" w:styleId="HTMLpr-formatadoCarter">
    <w:name w:val="HTML pré-formatado Caráter"/>
    <w:basedOn w:val="Tipodeletrapredefinidodopargrafo"/>
    <w:link w:val="HTMLpr-formatado"/>
    <w:uiPriority w:val="99"/>
    <w:semiHidden/>
    <w:rsid w:val="00E646A1"/>
    <w:rPr>
      <w:rFonts w:ascii="Consolas" w:hAnsi="Consolas"/>
      <w:sz w:val="20"/>
      <w:szCs w:val="20"/>
    </w:rPr>
  </w:style>
  <w:style w:type="character" w:customStyle="1" w:styleId="Ttulo1Carter">
    <w:name w:val="Título 1 Caráter"/>
    <w:basedOn w:val="Tipodeletrapredefinidodopargrafo"/>
    <w:link w:val="Ttulo1"/>
    <w:uiPriority w:val="9"/>
    <w:rsid w:val="00AE70D7"/>
    <w:rPr>
      <w:rFonts w:asciiTheme="majorHAnsi" w:eastAsiaTheme="majorEastAsia" w:hAnsiTheme="majorHAnsi" w:cstheme="majorBidi"/>
      <w:b/>
      <w:bCs/>
      <w:color w:val="2F5496" w:themeColor="accent1" w:themeShade="BF"/>
      <w:sz w:val="28"/>
      <w:szCs w:val="28"/>
    </w:rPr>
  </w:style>
  <w:style w:type="paragraph" w:customStyle="1" w:styleId="text">
    <w:name w:val="text"/>
    <w:basedOn w:val="Normal"/>
    <w:uiPriority w:val="99"/>
    <w:qFormat/>
    <w:rsid w:val="000A1ED5"/>
    <w:pPr>
      <w:spacing w:before="120" w:after="0" w:line="240" w:lineRule="auto"/>
      <w:jc w:val="both"/>
    </w:pPr>
    <w:rPr>
      <w:rFonts w:ascii="Times New Roman" w:eastAsia="Times New Roman" w:hAnsi="Times New Roman" w:cs="Times New Roman"/>
      <w:lang w:val="en-GB" w:eastAsia="pt-PT"/>
    </w:rPr>
  </w:style>
  <w:style w:type="character" w:customStyle="1" w:styleId="PargrafodaListaCarter">
    <w:name w:val="Parágrafo da Lista Caráter"/>
    <w:aliases w:val="Bullet 2 Caráter,Bullets 1 Caráter,F5 List Paragraph Caráter,List Paragraph1 Caráter,Dot pt Caráter,No Spacing1 Caráter,List Paragraph Char Char Char Caráter,Indicator Text Caráter,Colorful List - Accent 11 Caráter"/>
    <w:link w:val="PargrafodaLista"/>
    <w:uiPriority w:val="34"/>
    <w:qFormat/>
    <w:rsid w:val="000A1ED5"/>
  </w:style>
  <w:style w:type="character" w:styleId="Hiperligao">
    <w:name w:val="Hyperlink"/>
    <w:uiPriority w:val="99"/>
    <w:rsid w:val="00011E39"/>
    <w:rPr>
      <w:color w:val="0000FF"/>
      <w:u w:val="single"/>
    </w:rPr>
  </w:style>
  <w:style w:type="character" w:styleId="MenoNoResolvida">
    <w:name w:val="Unresolved Mention"/>
    <w:basedOn w:val="Tipodeletrapredefinidodopargrafo"/>
    <w:uiPriority w:val="99"/>
    <w:semiHidden/>
    <w:unhideWhenUsed/>
    <w:rsid w:val="00524907"/>
    <w:rPr>
      <w:color w:val="605E5C"/>
      <w:shd w:val="clear" w:color="auto" w:fill="E1DFDD"/>
    </w:rPr>
  </w:style>
  <w:style w:type="paragraph" w:customStyle="1" w:styleId="Default">
    <w:name w:val="Default"/>
    <w:rsid w:val="000828F2"/>
    <w:pPr>
      <w:autoSpaceDE w:val="0"/>
      <w:autoSpaceDN w:val="0"/>
      <w:adjustRightInd w:val="0"/>
      <w:spacing w:after="0" w:line="240" w:lineRule="auto"/>
    </w:pPr>
    <w:rPr>
      <w:rFonts w:ascii="Times New Roman" w:eastAsiaTheme="minorHAnsi" w:hAnsi="Times New Roman" w:cs="Times New Roman"/>
      <w:color w:val="000000"/>
      <w:sz w:val="24"/>
      <w:szCs w:val="24"/>
      <w:lang w:val="en-GB" w:eastAsia="en-US"/>
    </w:rPr>
  </w:style>
  <w:style w:type="paragraph" w:styleId="Textodenotaderodap">
    <w:name w:val="footnote text"/>
    <w:basedOn w:val="Normal"/>
    <w:link w:val="TextodenotaderodapCarter"/>
    <w:uiPriority w:val="99"/>
    <w:semiHidden/>
    <w:unhideWhenUsed/>
    <w:rsid w:val="006D5700"/>
    <w:pPr>
      <w:spacing w:after="0" w:line="240" w:lineRule="auto"/>
    </w:pPr>
    <w:rPr>
      <w:rFonts w:ascii="Times New Roman" w:eastAsia="Times New Roman" w:hAnsi="Times New Roman" w:cs="Times New Roman"/>
      <w:sz w:val="20"/>
      <w:szCs w:val="20"/>
      <w:lang w:val="pt-PT" w:eastAsia="pt-PT"/>
    </w:rPr>
  </w:style>
  <w:style w:type="character" w:customStyle="1" w:styleId="TextodenotaderodapCarter">
    <w:name w:val="Texto de nota de rodapé Caráter"/>
    <w:basedOn w:val="Tipodeletrapredefinidodopargrafo"/>
    <w:link w:val="Textodenotaderodap"/>
    <w:uiPriority w:val="99"/>
    <w:semiHidden/>
    <w:rsid w:val="006D5700"/>
    <w:rPr>
      <w:rFonts w:ascii="Times New Roman" w:eastAsia="Times New Roman" w:hAnsi="Times New Roman" w:cs="Times New Roman"/>
      <w:sz w:val="20"/>
      <w:szCs w:val="20"/>
      <w:lang w:val="pt-PT" w:eastAsia="pt-PT"/>
    </w:rPr>
  </w:style>
  <w:style w:type="character" w:styleId="Refdenotaderodap">
    <w:name w:val="footnote reference"/>
    <w:basedOn w:val="Tipodeletrapredefinidodopargrafo"/>
    <w:uiPriority w:val="99"/>
    <w:semiHidden/>
    <w:unhideWhenUsed/>
    <w:rsid w:val="006D57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36105">
      <w:bodyDiv w:val="1"/>
      <w:marLeft w:val="0"/>
      <w:marRight w:val="0"/>
      <w:marTop w:val="0"/>
      <w:marBottom w:val="0"/>
      <w:divBdr>
        <w:top w:val="none" w:sz="0" w:space="0" w:color="auto"/>
        <w:left w:val="none" w:sz="0" w:space="0" w:color="auto"/>
        <w:bottom w:val="none" w:sz="0" w:space="0" w:color="auto"/>
        <w:right w:val="none" w:sz="0" w:space="0" w:color="auto"/>
      </w:divBdr>
    </w:div>
    <w:div w:id="278298156">
      <w:bodyDiv w:val="1"/>
      <w:marLeft w:val="0"/>
      <w:marRight w:val="0"/>
      <w:marTop w:val="0"/>
      <w:marBottom w:val="0"/>
      <w:divBdr>
        <w:top w:val="none" w:sz="0" w:space="0" w:color="auto"/>
        <w:left w:val="none" w:sz="0" w:space="0" w:color="auto"/>
        <w:bottom w:val="none" w:sz="0" w:space="0" w:color="auto"/>
        <w:right w:val="none" w:sz="0" w:space="0" w:color="auto"/>
      </w:divBdr>
    </w:div>
    <w:div w:id="457335266">
      <w:bodyDiv w:val="1"/>
      <w:marLeft w:val="0"/>
      <w:marRight w:val="0"/>
      <w:marTop w:val="0"/>
      <w:marBottom w:val="0"/>
      <w:divBdr>
        <w:top w:val="none" w:sz="0" w:space="0" w:color="auto"/>
        <w:left w:val="none" w:sz="0" w:space="0" w:color="auto"/>
        <w:bottom w:val="none" w:sz="0" w:space="0" w:color="auto"/>
        <w:right w:val="none" w:sz="0" w:space="0" w:color="auto"/>
      </w:divBdr>
    </w:div>
    <w:div w:id="507063971">
      <w:bodyDiv w:val="1"/>
      <w:marLeft w:val="0"/>
      <w:marRight w:val="0"/>
      <w:marTop w:val="0"/>
      <w:marBottom w:val="0"/>
      <w:divBdr>
        <w:top w:val="none" w:sz="0" w:space="0" w:color="auto"/>
        <w:left w:val="none" w:sz="0" w:space="0" w:color="auto"/>
        <w:bottom w:val="none" w:sz="0" w:space="0" w:color="auto"/>
        <w:right w:val="none" w:sz="0" w:space="0" w:color="auto"/>
      </w:divBdr>
    </w:div>
    <w:div w:id="746148304">
      <w:bodyDiv w:val="1"/>
      <w:marLeft w:val="0"/>
      <w:marRight w:val="0"/>
      <w:marTop w:val="0"/>
      <w:marBottom w:val="0"/>
      <w:divBdr>
        <w:top w:val="none" w:sz="0" w:space="0" w:color="auto"/>
        <w:left w:val="none" w:sz="0" w:space="0" w:color="auto"/>
        <w:bottom w:val="none" w:sz="0" w:space="0" w:color="auto"/>
        <w:right w:val="none" w:sz="0" w:space="0" w:color="auto"/>
      </w:divBdr>
    </w:div>
    <w:div w:id="858855423">
      <w:bodyDiv w:val="1"/>
      <w:marLeft w:val="0"/>
      <w:marRight w:val="0"/>
      <w:marTop w:val="0"/>
      <w:marBottom w:val="0"/>
      <w:divBdr>
        <w:top w:val="none" w:sz="0" w:space="0" w:color="auto"/>
        <w:left w:val="none" w:sz="0" w:space="0" w:color="auto"/>
        <w:bottom w:val="none" w:sz="0" w:space="0" w:color="auto"/>
        <w:right w:val="none" w:sz="0" w:space="0" w:color="auto"/>
      </w:divBdr>
    </w:div>
    <w:div w:id="1046485267">
      <w:bodyDiv w:val="1"/>
      <w:marLeft w:val="0"/>
      <w:marRight w:val="0"/>
      <w:marTop w:val="0"/>
      <w:marBottom w:val="0"/>
      <w:divBdr>
        <w:top w:val="none" w:sz="0" w:space="0" w:color="auto"/>
        <w:left w:val="none" w:sz="0" w:space="0" w:color="auto"/>
        <w:bottom w:val="none" w:sz="0" w:space="0" w:color="auto"/>
        <w:right w:val="none" w:sz="0" w:space="0" w:color="auto"/>
      </w:divBdr>
    </w:div>
    <w:div w:id="1191722810">
      <w:bodyDiv w:val="1"/>
      <w:marLeft w:val="0"/>
      <w:marRight w:val="0"/>
      <w:marTop w:val="0"/>
      <w:marBottom w:val="0"/>
      <w:divBdr>
        <w:top w:val="none" w:sz="0" w:space="0" w:color="auto"/>
        <w:left w:val="none" w:sz="0" w:space="0" w:color="auto"/>
        <w:bottom w:val="none" w:sz="0" w:space="0" w:color="auto"/>
        <w:right w:val="none" w:sz="0" w:space="0" w:color="auto"/>
      </w:divBdr>
    </w:div>
    <w:div w:id="1272974022">
      <w:bodyDiv w:val="1"/>
      <w:marLeft w:val="0"/>
      <w:marRight w:val="0"/>
      <w:marTop w:val="0"/>
      <w:marBottom w:val="0"/>
      <w:divBdr>
        <w:top w:val="none" w:sz="0" w:space="0" w:color="auto"/>
        <w:left w:val="none" w:sz="0" w:space="0" w:color="auto"/>
        <w:bottom w:val="none" w:sz="0" w:space="0" w:color="auto"/>
        <w:right w:val="none" w:sz="0" w:space="0" w:color="auto"/>
      </w:divBdr>
    </w:div>
    <w:div w:id="1307198867">
      <w:bodyDiv w:val="1"/>
      <w:marLeft w:val="0"/>
      <w:marRight w:val="0"/>
      <w:marTop w:val="0"/>
      <w:marBottom w:val="0"/>
      <w:divBdr>
        <w:top w:val="none" w:sz="0" w:space="0" w:color="auto"/>
        <w:left w:val="none" w:sz="0" w:space="0" w:color="auto"/>
        <w:bottom w:val="none" w:sz="0" w:space="0" w:color="auto"/>
        <w:right w:val="none" w:sz="0" w:space="0" w:color="auto"/>
      </w:divBdr>
    </w:div>
    <w:div w:id="1358576514">
      <w:bodyDiv w:val="1"/>
      <w:marLeft w:val="0"/>
      <w:marRight w:val="0"/>
      <w:marTop w:val="0"/>
      <w:marBottom w:val="0"/>
      <w:divBdr>
        <w:top w:val="none" w:sz="0" w:space="0" w:color="auto"/>
        <w:left w:val="none" w:sz="0" w:space="0" w:color="auto"/>
        <w:bottom w:val="none" w:sz="0" w:space="0" w:color="auto"/>
        <w:right w:val="none" w:sz="0" w:space="0" w:color="auto"/>
      </w:divBdr>
    </w:div>
    <w:div w:id="1464733662">
      <w:bodyDiv w:val="1"/>
      <w:marLeft w:val="0"/>
      <w:marRight w:val="0"/>
      <w:marTop w:val="0"/>
      <w:marBottom w:val="0"/>
      <w:divBdr>
        <w:top w:val="none" w:sz="0" w:space="0" w:color="auto"/>
        <w:left w:val="none" w:sz="0" w:space="0" w:color="auto"/>
        <w:bottom w:val="none" w:sz="0" w:space="0" w:color="auto"/>
        <w:right w:val="none" w:sz="0" w:space="0" w:color="auto"/>
      </w:divBdr>
    </w:div>
    <w:div w:id="1471364841">
      <w:bodyDiv w:val="1"/>
      <w:marLeft w:val="0"/>
      <w:marRight w:val="0"/>
      <w:marTop w:val="0"/>
      <w:marBottom w:val="0"/>
      <w:divBdr>
        <w:top w:val="none" w:sz="0" w:space="0" w:color="auto"/>
        <w:left w:val="none" w:sz="0" w:space="0" w:color="auto"/>
        <w:bottom w:val="none" w:sz="0" w:space="0" w:color="auto"/>
        <w:right w:val="none" w:sz="0" w:space="0" w:color="auto"/>
      </w:divBdr>
    </w:div>
    <w:div w:id="1589726282">
      <w:bodyDiv w:val="1"/>
      <w:marLeft w:val="0"/>
      <w:marRight w:val="0"/>
      <w:marTop w:val="0"/>
      <w:marBottom w:val="0"/>
      <w:divBdr>
        <w:top w:val="none" w:sz="0" w:space="0" w:color="auto"/>
        <w:left w:val="none" w:sz="0" w:space="0" w:color="auto"/>
        <w:bottom w:val="none" w:sz="0" w:space="0" w:color="auto"/>
        <w:right w:val="none" w:sz="0" w:space="0" w:color="auto"/>
      </w:divBdr>
    </w:div>
    <w:div w:id="1651519827">
      <w:bodyDiv w:val="1"/>
      <w:marLeft w:val="0"/>
      <w:marRight w:val="0"/>
      <w:marTop w:val="0"/>
      <w:marBottom w:val="0"/>
      <w:divBdr>
        <w:top w:val="none" w:sz="0" w:space="0" w:color="auto"/>
        <w:left w:val="none" w:sz="0" w:space="0" w:color="auto"/>
        <w:bottom w:val="none" w:sz="0" w:space="0" w:color="auto"/>
        <w:right w:val="none" w:sz="0" w:space="0" w:color="auto"/>
      </w:divBdr>
    </w:div>
    <w:div w:id="1836870913">
      <w:bodyDiv w:val="1"/>
      <w:marLeft w:val="0"/>
      <w:marRight w:val="0"/>
      <w:marTop w:val="0"/>
      <w:marBottom w:val="0"/>
      <w:divBdr>
        <w:top w:val="none" w:sz="0" w:space="0" w:color="auto"/>
        <w:left w:val="none" w:sz="0" w:space="0" w:color="auto"/>
        <w:bottom w:val="none" w:sz="0" w:space="0" w:color="auto"/>
        <w:right w:val="none" w:sz="0" w:space="0" w:color="auto"/>
      </w:divBdr>
    </w:div>
    <w:div w:id="2079478936">
      <w:bodyDiv w:val="1"/>
      <w:marLeft w:val="0"/>
      <w:marRight w:val="0"/>
      <w:marTop w:val="0"/>
      <w:marBottom w:val="0"/>
      <w:divBdr>
        <w:top w:val="none" w:sz="0" w:space="0" w:color="auto"/>
        <w:left w:val="none" w:sz="0" w:space="0" w:color="auto"/>
        <w:bottom w:val="none" w:sz="0" w:space="0" w:color="auto"/>
        <w:right w:val="none" w:sz="0" w:space="0" w:color="auto"/>
      </w:divBdr>
    </w:div>
    <w:div w:id="208352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fujobs.acm.gov.pt/pt/" TargetMode="External"/><Relationship Id="rId18" Type="http://schemas.openxmlformats.org/officeDocument/2006/relationships/hyperlink" Target="https://data.dre.pt/eli/dec-lei/81/2016/11/28/p/dre/pt/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lay.google.com/store/apps/details?id=com.tandeminnovation.acm" TargetMode="External"/><Relationship Id="rId17" Type="http://schemas.openxmlformats.org/officeDocument/2006/relationships/hyperlink" Target="https://data.dre.pt/eli/lei/46/2018/08/13/p/dre/pt/html" TargetMode="External"/><Relationship Id="rId2" Type="http://schemas.openxmlformats.org/officeDocument/2006/relationships/customXml" Target="../customXml/item2.xml"/><Relationship Id="rId16" Type="http://schemas.openxmlformats.org/officeDocument/2006/relationships/hyperlink" Target="https://data.dre.pt/eli/lei/109/2009/09/15/p/dre/p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apple.com/pt/app/mycnaim/id1391011670" TargetMode="External"/><Relationship Id="rId5" Type="http://schemas.openxmlformats.org/officeDocument/2006/relationships/numbering" Target="numbering.xml"/><Relationship Id="rId15" Type="http://schemas.openxmlformats.org/officeDocument/2006/relationships/hyperlink" Target="https://www.facebook.com/ACMigracoes/photos/a.712686992150342/2098085373610490/?type=3&amp;theate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en/events/racialdiscrimination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89D53-870B-4BD3-8510-5D160B5C38C1}">
  <ds:schemaRefs>
    <ds:schemaRef ds:uri="http://schemas.microsoft.com/sharepoint/v3/contenttype/forms"/>
  </ds:schemaRefs>
</ds:datastoreItem>
</file>

<file path=customXml/itemProps2.xml><?xml version="1.0" encoding="utf-8"?>
<ds:datastoreItem xmlns:ds="http://schemas.openxmlformats.org/officeDocument/2006/customXml" ds:itemID="{3B0558E2-BCF0-420F-ABC0-93E28F1BC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EE415-28D8-456C-8B7C-A6CB64A92F2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9DA6DB6-D6AC-4D49-8C7F-F5286088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7184</Words>
  <Characters>38797</Characters>
  <Application>Microsoft Office Word</Application>
  <DocSecurity>0</DocSecurity>
  <Lines>323</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II, IP - MTSS</Company>
  <LinksUpToDate>false</LinksUpToDate>
  <CharactersWithSpaces>45890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Connolly</dc:creator>
  <cp:lastModifiedBy>Filipa Pereira</cp:lastModifiedBy>
  <cp:revision>3</cp:revision>
  <cp:lastPrinted>2019-10-11T18:36:00Z</cp:lastPrinted>
  <dcterms:created xsi:type="dcterms:W3CDTF">2019-11-13T12:23:00Z</dcterms:created>
  <dcterms:modified xsi:type="dcterms:W3CDTF">2019-11-13T15:07:00Z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