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512" w:rsidRPr="00E511EE" w:rsidRDefault="00790512" w:rsidP="00790512">
      <w:pPr>
        <w:spacing w:after="0" w:line="276" w:lineRule="auto"/>
        <w:ind w:left="-284" w:right="-341"/>
        <w:jc w:val="center"/>
        <w:rPr>
          <w:rFonts w:ascii="Tahoma" w:hAnsi="Tahoma" w:cs="Tahoma"/>
          <w:b/>
        </w:rPr>
      </w:pPr>
      <w:bookmarkStart w:id="0" w:name="_GoBack"/>
      <w:bookmarkEnd w:id="0"/>
      <w:r w:rsidRPr="00790512">
        <w:rPr>
          <w:rFonts w:ascii="Tahoma" w:hAnsi="Tahoma" w:cs="Tahoma"/>
          <w:b/>
        </w:rPr>
        <w:t>Current</w:t>
      </w:r>
      <w:r w:rsidRPr="00E511EE">
        <w:rPr>
          <w:rFonts w:ascii="Tahoma" w:hAnsi="Tahoma" w:cs="Tahoma"/>
          <w:b/>
        </w:rPr>
        <w:t xml:space="preserve"> </w:t>
      </w:r>
      <w:r w:rsidRPr="00790512">
        <w:rPr>
          <w:rFonts w:ascii="Tahoma" w:hAnsi="Tahoma" w:cs="Tahoma"/>
          <w:b/>
        </w:rPr>
        <w:t>levels</w:t>
      </w:r>
      <w:r w:rsidRPr="00E511EE">
        <w:rPr>
          <w:rFonts w:ascii="Tahoma" w:hAnsi="Tahoma" w:cs="Tahoma"/>
          <w:b/>
        </w:rPr>
        <w:t xml:space="preserve"> </w:t>
      </w:r>
      <w:r w:rsidRPr="00790512">
        <w:rPr>
          <w:rFonts w:ascii="Tahoma" w:hAnsi="Tahoma" w:cs="Tahoma"/>
          <w:b/>
        </w:rPr>
        <w:t>of</w:t>
      </w:r>
      <w:r w:rsidRPr="00E511EE">
        <w:rPr>
          <w:rFonts w:ascii="Tahoma" w:hAnsi="Tahoma" w:cs="Tahoma"/>
          <w:b/>
        </w:rPr>
        <w:t xml:space="preserve"> </w:t>
      </w:r>
      <w:r w:rsidRPr="00790512">
        <w:rPr>
          <w:rFonts w:ascii="Tahoma" w:hAnsi="Tahoma" w:cs="Tahoma"/>
          <w:b/>
        </w:rPr>
        <w:t>representation</w:t>
      </w:r>
      <w:r w:rsidRPr="00E511EE">
        <w:rPr>
          <w:rFonts w:ascii="Tahoma" w:hAnsi="Tahoma" w:cs="Tahoma"/>
          <w:b/>
        </w:rPr>
        <w:t xml:space="preserve"> </w:t>
      </w:r>
      <w:r w:rsidRPr="00790512">
        <w:rPr>
          <w:rFonts w:ascii="Tahoma" w:hAnsi="Tahoma" w:cs="Tahoma"/>
          <w:b/>
        </w:rPr>
        <w:t>of</w:t>
      </w:r>
      <w:r w:rsidRPr="00E511EE">
        <w:rPr>
          <w:rFonts w:ascii="Tahoma" w:hAnsi="Tahoma" w:cs="Tahoma"/>
          <w:b/>
        </w:rPr>
        <w:t xml:space="preserve"> </w:t>
      </w:r>
      <w:r w:rsidRPr="00790512">
        <w:rPr>
          <w:rFonts w:ascii="Tahoma" w:hAnsi="Tahoma" w:cs="Tahoma"/>
          <w:b/>
        </w:rPr>
        <w:t>women</w:t>
      </w:r>
      <w:r w:rsidRPr="00E511EE">
        <w:rPr>
          <w:rFonts w:ascii="Tahoma" w:hAnsi="Tahoma" w:cs="Tahoma"/>
          <w:b/>
        </w:rPr>
        <w:t xml:space="preserve"> </w:t>
      </w:r>
      <w:r w:rsidRPr="00790512">
        <w:rPr>
          <w:rFonts w:ascii="Tahoma" w:hAnsi="Tahoma" w:cs="Tahoma"/>
          <w:b/>
        </w:rPr>
        <w:t>in</w:t>
      </w:r>
      <w:r w:rsidRPr="00E511EE">
        <w:rPr>
          <w:rFonts w:ascii="Tahoma" w:hAnsi="Tahoma" w:cs="Tahoma"/>
          <w:b/>
        </w:rPr>
        <w:t xml:space="preserve"> </w:t>
      </w:r>
    </w:p>
    <w:p w:rsidR="00790512" w:rsidRPr="00790512" w:rsidRDefault="00790512" w:rsidP="00790512">
      <w:pPr>
        <w:spacing w:after="0" w:line="276" w:lineRule="auto"/>
        <w:ind w:left="-284" w:right="-341"/>
        <w:jc w:val="center"/>
        <w:rPr>
          <w:rFonts w:ascii="Tahoma" w:hAnsi="Tahoma" w:cs="Tahoma"/>
          <w:b/>
        </w:rPr>
      </w:pPr>
      <w:r w:rsidRPr="00790512">
        <w:rPr>
          <w:rFonts w:ascii="Tahoma" w:hAnsi="Tahoma" w:cs="Tahoma"/>
          <w:b/>
        </w:rPr>
        <w:t>human rights organs and mechanisms</w:t>
      </w:r>
    </w:p>
    <w:p w:rsidR="00790512" w:rsidRDefault="00790512" w:rsidP="00790512">
      <w:pPr>
        <w:spacing w:after="0" w:line="276" w:lineRule="auto"/>
        <w:ind w:left="-284" w:right="-341"/>
        <w:jc w:val="both"/>
        <w:rPr>
          <w:rFonts w:ascii="Tahoma" w:hAnsi="Tahoma" w:cs="Tahoma"/>
        </w:rPr>
      </w:pPr>
    </w:p>
    <w:p w:rsidR="00790512" w:rsidRPr="00AE3670" w:rsidRDefault="00790512" w:rsidP="001D61EA">
      <w:pPr>
        <w:spacing w:after="0" w:line="276" w:lineRule="auto"/>
        <w:ind w:left="-284" w:right="-625"/>
        <w:jc w:val="both"/>
        <w:rPr>
          <w:rFonts w:ascii="Tahoma" w:hAnsi="Tahoma" w:cs="Tahoma"/>
        </w:rPr>
      </w:pPr>
      <w:r>
        <w:rPr>
          <w:rFonts w:ascii="Tahoma" w:hAnsi="Tahoma" w:cs="Tahoma"/>
        </w:rPr>
        <w:t xml:space="preserve">In Cyprus, there are few mechanisms promoting </w:t>
      </w:r>
      <w:r w:rsidR="003C528B">
        <w:rPr>
          <w:rFonts w:ascii="Tahoma" w:hAnsi="Tahoma" w:cs="Tahoma"/>
        </w:rPr>
        <w:t xml:space="preserve">human rights, </w:t>
      </w:r>
      <w:r>
        <w:rPr>
          <w:rFonts w:ascii="Tahoma" w:hAnsi="Tahoma" w:cs="Tahoma"/>
        </w:rPr>
        <w:t xml:space="preserve">women’s rights and/or gender equality. </w:t>
      </w:r>
      <w:r w:rsidR="003C528B">
        <w:rPr>
          <w:rFonts w:ascii="Tahoma" w:hAnsi="Tahoma" w:cs="Tahoma"/>
        </w:rPr>
        <w:t>M</w:t>
      </w:r>
      <w:r>
        <w:rPr>
          <w:rFonts w:ascii="Tahoma" w:hAnsi="Tahoma" w:cs="Tahoma"/>
        </w:rPr>
        <w:t>ost of these mechanisms only have an advisory role</w:t>
      </w:r>
      <w:r w:rsidR="003C528B">
        <w:rPr>
          <w:rFonts w:ascii="Tahoma" w:hAnsi="Tahoma" w:cs="Tahoma"/>
        </w:rPr>
        <w:t xml:space="preserve">. </w:t>
      </w:r>
      <w:r>
        <w:rPr>
          <w:rFonts w:ascii="Tahoma" w:hAnsi="Tahoma" w:cs="Tahoma"/>
        </w:rPr>
        <w:t>Those mechanisms are:</w:t>
      </w:r>
      <w:r w:rsidRPr="008E2BC5">
        <w:rPr>
          <w:rFonts w:ascii="Tahoma" w:hAnsi="Tahoma" w:cs="Tahoma"/>
        </w:rPr>
        <w:t xml:space="preserve"> </w:t>
      </w:r>
    </w:p>
    <w:p w:rsidR="00790512" w:rsidRPr="00AE3670" w:rsidRDefault="00790512" w:rsidP="00790512">
      <w:pPr>
        <w:pStyle w:val="ListParagraph"/>
        <w:spacing w:after="0"/>
        <w:ind w:left="-66" w:right="-625"/>
        <w:jc w:val="both"/>
        <w:rPr>
          <w:rFonts w:ascii="Tahoma" w:hAnsi="Tahoma" w:cs="Tahoma"/>
          <w:lang w:val="en-GB"/>
        </w:rPr>
      </w:pPr>
    </w:p>
    <w:p w:rsidR="007B5CB1" w:rsidRDefault="00790512" w:rsidP="007B5CB1">
      <w:pPr>
        <w:pStyle w:val="ListParagraph"/>
        <w:numPr>
          <w:ilvl w:val="0"/>
          <w:numId w:val="1"/>
        </w:numPr>
        <w:spacing w:after="0"/>
        <w:ind w:right="-625"/>
        <w:jc w:val="both"/>
        <w:rPr>
          <w:rFonts w:ascii="Tahoma" w:hAnsi="Tahoma" w:cs="Tahoma"/>
          <w:lang w:val="en-GB"/>
        </w:rPr>
      </w:pPr>
      <w:r>
        <w:rPr>
          <w:rFonts w:ascii="Tahoma" w:hAnsi="Tahoma" w:cs="Tahoma"/>
          <w:lang w:val="en-US"/>
        </w:rPr>
        <w:t xml:space="preserve">The </w:t>
      </w:r>
      <w:r w:rsidRPr="001D61EA">
        <w:rPr>
          <w:rFonts w:ascii="Tahoma" w:hAnsi="Tahoma" w:cs="Tahoma"/>
          <w:b/>
          <w:lang w:val="en-US"/>
        </w:rPr>
        <w:t>Commissioner for Administration and Protection of Human Rights (Ombudsman)</w:t>
      </w:r>
      <w:r>
        <w:rPr>
          <w:rFonts w:ascii="Tahoma" w:hAnsi="Tahoma" w:cs="Tahoma"/>
          <w:lang w:val="en-US"/>
        </w:rPr>
        <w:t xml:space="preserve"> is an independent body/authority </w:t>
      </w:r>
      <w:r>
        <w:rPr>
          <w:rFonts w:ascii="Tahoma" w:hAnsi="Tahoma" w:cs="Tahoma"/>
          <w:lang w:val="en-GB"/>
        </w:rPr>
        <w:t>acting</w:t>
      </w:r>
      <w:r w:rsidR="00B43D0B" w:rsidRPr="00B43D0B">
        <w:rPr>
          <w:rFonts w:ascii="Tahoma" w:hAnsi="Tahoma" w:cs="Tahoma"/>
          <w:lang w:val="en-GB"/>
        </w:rPr>
        <w:t xml:space="preserve">, </w:t>
      </w:r>
      <w:r w:rsidR="00B43D0B">
        <w:rPr>
          <w:rFonts w:ascii="Tahoma" w:hAnsi="Tahoma" w:cs="Tahoma"/>
          <w:lang w:val="en-US"/>
        </w:rPr>
        <w:t>among others,</w:t>
      </w:r>
      <w:r>
        <w:rPr>
          <w:rFonts w:ascii="Tahoma" w:hAnsi="Tahoma" w:cs="Tahoma"/>
          <w:lang w:val="en-GB"/>
        </w:rPr>
        <w:t xml:space="preserve"> as the national equality body and national human rights institu</w:t>
      </w:r>
      <w:r w:rsidR="00812A17">
        <w:rPr>
          <w:rFonts w:ascii="Tahoma" w:hAnsi="Tahoma" w:cs="Tahoma"/>
          <w:lang w:val="en-GB"/>
        </w:rPr>
        <w:t>tion (extrajudicial protection)</w:t>
      </w:r>
    </w:p>
    <w:p w:rsidR="001D61EA" w:rsidRDefault="001D61EA" w:rsidP="001D61EA">
      <w:pPr>
        <w:pStyle w:val="ListParagraph"/>
        <w:spacing w:after="0"/>
        <w:ind w:left="-66" w:right="-625"/>
        <w:jc w:val="both"/>
        <w:rPr>
          <w:rFonts w:ascii="Tahoma" w:hAnsi="Tahoma" w:cs="Tahoma"/>
          <w:lang w:val="en-GB"/>
        </w:rPr>
      </w:pPr>
    </w:p>
    <w:p w:rsidR="001D61EA" w:rsidRDefault="001D61EA" w:rsidP="001D61EA">
      <w:pPr>
        <w:pStyle w:val="ListParagraph"/>
        <w:spacing w:after="0"/>
        <w:ind w:left="-66" w:right="-625"/>
        <w:jc w:val="both"/>
        <w:rPr>
          <w:rFonts w:ascii="Tahoma" w:hAnsi="Tahoma" w:cs="Tahoma"/>
          <w:lang w:val="en-GB"/>
        </w:rPr>
      </w:pPr>
      <w:r>
        <w:rPr>
          <w:rFonts w:ascii="Tahoma" w:hAnsi="Tahoma" w:cs="Tahoma"/>
          <w:lang w:val="en-GB"/>
        </w:rPr>
        <w:t xml:space="preserve">The mandate, competences and all the relevant information about the Commissioner are provided by the Commissioner for Administration Law and by the </w:t>
      </w:r>
      <w:r w:rsidRPr="001D61EA">
        <w:rPr>
          <w:rFonts w:ascii="Tahoma" w:hAnsi="Tahoma" w:cs="Tahoma"/>
          <w:lang w:val="en-GB"/>
        </w:rPr>
        <w:t>Combating of Racial and other forms of Discrimination Law</w:t>
      </w:r>
      <w:r>
        <w:rPr>
          <w:rStyle w:val="FootnoteReference"/>
          <w:rFonts w:ascii="Tahoma" w:hAnsi="Tahoma" w:cs="Tahoma"/>
          <w:lang w:val="en-GB"/>
        </w:rPr>
        <w:footnoteReference w:id="1"/>
      </w:r>
      <w:r>
        <w:rPr>
          <w:rFonts w:ascii="Tahoma" w:hAnsi="Tahoma" w:cs="Tahoma"/>
          <w:lang w:val="en-GB"/>
        </w:rPr>
        <w:t xml:space="preserve">. </w:t>
      </w:r>
    </w:p>
    <w:p w:rsidR="001D61EA" w:rsidRPr="00573745" w:rsidRDefault="001D61EA" w:rsidP="00573745">
      <w:pPr>
        <w:pStyle w:val="ListParagraph"/>
        <w:spacing w:after="0"/>
        <w:ind w:left="-66" w:right="-625"/>
        <w:jc w:val="both"/>
        <w:rPr>
          <w:rFonts w:ascii="Tahoma" w:hAnsi="Tahoma" w:cs="Tahoma"/>
          <w:lang w:val="en-GB"/>
        </w:rPr>
      </w:pPr>
    </w:p>
    <w:p w:rsidR="00573745" w:rsidRPr="00573745" w:rsidRDefault="001D61EA" w:rsidP="00573745">
      <w:pPr>
        <w:ind w:left="-66" w:right="-625"/>
        <w:jc w:val="both"/>
        <w:rPr>
          <w:rFonts w:ascii="Tahoma" w:hAnsi="Tahoma" w:cs="Tahoma"/>
        </w:rPr>
      </w:pPr>
      <w:r w:rsidRPr="00573745">
        <w:rPr>
          <w:rFonts w:ascii="Tahoma" w:hAnsi="Tahoma" w:cs="Tahoma"/>
        </w:rPr>
        <w:t>After the transposition of the EU Directives to nat</w:t>
      </w:r>
      <w:r w:rsidR="00314189" w:rsidRPr="00573745">
        <w:rPr>
          <w:rFonts w:ascii="Tahoma" w:hAnsi="Tahoma" w:cs="Tahoma"/>
        </w:rPr>
        <w:t xml:space="preserve">ional laws (following Cyprus </w:t>
      </w:r>
      <w:r w:rsidRPr="00573745">
        <w:rPr>
          <w:rFonts w:ascii="Tahoma" w:hAnsi="Tahoma" w:cs="Tahoma"/>
        </w:rPr>
        <w:t>accession</w:t>
      </w:r>
      <w:r w:rsidR="00314189" w:rsidRPr="00573745">
        <w:rPr>
          <w:rFonts w:ascii="Tahoma" w:hAnsi="Tahoma" w:cs="Tahoma"/>
        </w:rPr>
        <w:t xml:space="preserve"> in the EU</w:t>
      </w:r>
      <w:r w:rsidRPr="00573745">
        <w:rPr>
          <w:rFonts w:ascii="Tahoma" w:hAnsi="Tahoma" w:cs="Tahoma"/>
        </w:rPr>
        <w:t xml:space="preserve"> in 2004), the Commissioner was assigned to act as Equality Body. As Equality Body, the Commissioner examines complaints related to discrimination. The Combating of Racial and other forms of Discrimination Law (L. 42(I)/2004) provides the legal basis for Commissioner’s interventions. </w:t>
      </w:r>
      <w:r w:rsidR="00573745" w:rsidRPr="00573745">
        <w:rPr>
          <w:rFonts w:ascii="Tahoma" w:hAnsi="Tahoma" w:cs="Tahoma"/>
        </w:rPr>
        <w:t>According to the law (article 5) any discrimination on grounds of race, community, language, colour, religion, political and other beliefs and national or ethnic origin is prohibited. Competences to combat discrimination on the ground of gender are given by the Equal Treatment of Men and Women in Employment and Vocational Training Law (L.205(I)/2002)</w:t>
      </w:r>
      <w:r w:rsidR="00573745" w:rsidRPr="00573745">
        <w:rPr>
          <w:rFonts w:ascii="Tahoma" w:hAnsi="Tahoma" w:cs="Tahoma"/>
          <w:vertAlign w:val="superscript"/>
        </w:rPr>
        <w:footnoteReference w:id="2"/>
      </w:r>
      <w:r w:rsidR="00573745" w:rsidRPr="00573745">
        <w:rPr>
          <w:rFonts w:ascii="Tahoma" w:hAnsi="Tahoma" w:cs="Tahoma"/>
        </w:rPr>
        <w:t xml:space="preserve">. The Law provides a framework for the equal treatment of men and women. </w:t>
      </w:r>
    </w:p>
    <w:p w:rsidR="007B5CB1" w:rsidRDefault="007B5CB1" w:rsidP="007B5CB1">
      <w:pPr>
        <w:pStyle w:val="ListParagraph"/>
        <w:spacing w:after="0"/>
        <w:ind w:left="-66" w:right="-625"/>
        <w:jc w:val="both"/>
        <w:rPr>
          <w:rFonts w:ascii="Tahoma" w:hAnsi="Tahoma" w:cs="Tahoma"/>
          <w:lang w:val="en-GB"/>
        </w:rPr>
      </w:pPr>
      <w:r w:rsidRPr="007B5CB1">
        <w:rPr>
          <w:rFonts w:ascii="Tahoma" w:hAnsi="Tahoma" w:cs="Tahoma"/>
          <w:lang w:val="en-GB"/>
        </w:rPr>
        <w:t xml:space="preserve">As the National Independent Human Rights Authority, the Commissioner observes violation or inadequate protection of human rights and proceeds to interventions when it is deemed necessary to promote in society a culture of respect for the rights of vulnerable groups of population. </w:t>
      </w:r>
    </w:p>
    <w:p w:rsidR="007B5CB1" w:rsidRDefault="007B5CB1" w:rsidP="007B5CB1">
      <w:pPr>
        <w:pStyle w:val="ListParagraph"/>
        <w:spacing w:after="0"/>
        <w:ind w:left="-66" w:right="-625"/>
        <w:jc w:val="both"/>
        <w:rPr>
          <w:rFonts w:ascii="Tahoma" w:hAnsi="Tahoma" w:cs="Tahoma"/>
          <w:lang w:val="en-GB"/>
        </w:rPr>
      </w:pPr>
    </w:p>
    <w:p w:rsidR="00812A17" w:rsidRDefault="00812A17" w:rsidP="00790512">
      <w:pPr>
        <w:pStyle w:val="ListParagraph"/>
        <w:numPr>
          <w:ilvl w:val="0"/>
          <w:numId w:val="1"/>
        </w:numPr>
        <w:spacing w:after="0"/>
        <w:ind w:right="-625"/>
        <w:jc w:val="both"/>
        <w:rPr>
          <w:rFonts w:ascii="Tahoma" w:hAnsi="Tahoma" w:cs="Tahoma"/>
          <w:lang w:val="en-GB"/>
        </w:rPr>
      </w:pPr>
      <w:r>
        <w:rPr>
          <w:rFonts w:ascii="Tahoma" w:hAnsi="Tahoma" w:cs="Tahoma"/>
          <w:lang w:val="en-GB"/>
        </w:rPr>
        <w:t xml:space="preserve">The </w:t>
      </w:r>
      <w:r w:rsidRPr="001D61EA">
        <w:rPr>
          <w:rFonts w:ascii="Tahoma" w:hAnsi="Tahoma" w:cs="Tahoma"/>
          <w:b/>
          <w:lang w:val="en-GB"/>
        </w:rPr>
        <w:t>Commissioner for the Protection of Children’s Rights</w:t>
      </w:r>
      <w:r>
        <w:rPr>
          <w:rFonts w:ascii="Tahoma" w:hAnsi="Tahoma" w:cs="Tahoma"/>
          <w:lang w:val="en-GB"/>
        </w:rPr>
        <w:t xml:space="preserve"> is the national independent authority acting for the protection and promotion of children’s rights.  </w:t>
      </w:r>
    </w:p>
    <w:p w:rsidR="007B5CB1" w:rsidRDefault="007B5CB1" w:rsidP="007B5CB1">
      <w:pPr>
        <w:pStyle w:val="ListParagraph"/>
        <w:spacing w:after="0"/>
        <w:ind w:left="-66" w:right="-625"/>
        <w:jc w:val="both"/>
        <w:rPr>
          <w:rFonts w:ascii="Tahoma" w:hAnsi="Tahoma" w:cs="Tahoma"/>
          <w:lang w:val="en-GB"/>
        </w:rPr>
      </w:pPr>
    </w:p>
    <w:p w:rsidR="007B5CB1" w:rsidRDefault="007B5CB1" w:rsidP="007B5CB1">
      <w:pPr>
        <w:pStyle w:val="ListParagraph"/>
        <w:spacing w:after="0"/>
        <w:ind w:left="-66" w:right="-625"/>
        <w:jc w:val="both"/>
        <w:rPr>
          <w:rFonts w:ascii="Tahoma" w:hAnsi="Tahoma" w:cs="Tahoma"/>
          <w:lang w:val="en-GB"/>
        </w:rPr>
      </w:pPr>
      <w:r>
        <w:rPr>
          <w:rFonts w:ascii="Tahoma" w:hAnsi="Tahoma" w:cs="Tahoma"/>
          <w:lang w:val="en-GB"/>
        </w:rPr>
        <w:t xml:space="preserve">The competences and all the information about the Commissioner are provided by the relevant legislation: </w:t>
      </w:r>
    </w:p>
    <w:p w:rsidR="007B5CB1" w:rsidRDefault="007B5CB1" w:rsidP="007B5CB1">
      <w:pPr>
        <w:pStyle w:val="ListParagraph"/>
        <w:spacing w:after="0"/>
        <w:ind w:left="-66" w:right="-625"/>
        <w:jc w:val="both"/>
        <w:rPr>
          <w:rFonts w:ascii="Tahoma" w:hAnsi="Tahoma" w:cs="Tahoma"/>
          <w:lang w:val="en-GB"/>
        </w:rPr>
      </w:pPr>
    </w:p>
    <w:p w:rsidR="007B5CB1" w:rsidRPr="007B5CB1" w:rsidRDefault="00EF58C5" w:rsidP="007B5CB1">
      <w:pPr>
        <w:pStyle w:val="ListParagraph"/>
        <w:spacing w:after="0"/>
        <w:ind w:left="-66" w:right="-625"/>
        <w:jc w:val="both"/>
        <w:rPr>
          <w:rFonts w:ascii="Tahoma" w:hAnsi="Tahoma" w:cs="Tahoma"/>
          <w:lang w:val="en-GB"/>
        </w:rPr>
      </w:pPr>
      <w:hyperlink r:id="rId8" w:history="1">
        <w:r w:rsidR="007B5CB1" w:rsidRPr="007B5CB1">
          <w:rPr>
            <w:rStyle w:val="Hyperlink"/>
            <w:rFonts w:ascii="Tahoma" w:hAnsi="Tahoma" w:cs="Tahoma"/>
            <w:lang w:val="en-GB"/>
          </w:rPr>
          <w:t>http://www.olc.gov.cy/olc/olc.nsf/8A116E6D39753C5BC225847E00285F55/$file/Children's%20Protection%20Commissioner.pdf</w:t>
        </w:r>
      </w:hyperlink>
    </w:p>
    <w:p w:rsidR="007B5CB1" w:rsidRPr="007B5CB1" w:rsidRDefault="007B5CB1" w:rsidP="007B5CB1">
      <w:pPr>
        <w:pStyle w:val="ListParagraph"/>
        <w:rPr>
          <w:rFonts w:ascii="Tahoma" w:hAnsi="Tahoma" w:cs="Tahoma"/>
          <w:lang w:val="en-GB"/>
        </w:rPr>
      </w:pPr>
    </w:p>
    <w:p w:rsidR="007B5CB1" w:rsidRPr="007B5CB1" w:rsidRDefault="00790512" w:rsidP="007B5CB1">
      <w:pPr>
        <w:pStyle w:val="ListParagraph"/>
        <w:numPr>
          <w:ilvl w:val="0"/>
          <w:numId w:val="1"/>
        </w:numPr>
        <w:spacing w:after="0"/>
        <w:ind w:right="-625"/>
        <w:jc w:val="both"/>
        <w:rPr>
          <w:rFonts w:ascii="Tahoma" w:hAnsi="Tahoma" w:cs="Tahoma"/>
          <w:b/>
          <w:lang w:val="en-GB"/>
        </w:rPr>
      </w:pPr>
      <w:r w:rsidRPr="007B5CB1">
        <w:rPr>
          <w:rFonts w:ascii="Tahoma" w:hAnsi="Tahoma" w:cs="Tahoma"/>
          <w:b/>
          <w:lang w:val="en-US"/>
        </w:rPr>
        <w:t>Gender Equality in Employment an</w:t>
      </w:r>
      <w:r w:rsidR="007B5CB1">
        <w:rPr>
          <w:rFonts w:ascii="Tahoma" w:hAnsi="Tahoma" w:cs="Tahoma"/>
          <w:b/>
          <w:lang w:val="en-US"/>
        </w:rPr>
        <w:t>d Vocational Training Committee</w:t>
      </w:r>
    </w:p>
    <w:p w:rsidR="007B5CB1" w:rsidRDefault="007B5CB1" w:rsidP="007B5CB1">
      <w:pPr>
        <w:pStyle w:val="ListParagraph"/>
        <w:spacing w:after="0"/>
        <w:ind w:left="-66" w:right="-625"/>
        <w:jc w:val="both"/>
        <w:rPr>
          <w:rFonts w:ascii="Tahoma" w:hAnsi="Tahoma" w:cs="Tahoma"/>
          <w:b/>
          <w:lang w:val="en-GB"/>
        </w:rPr>
      </w:pPr>
    </w:p>
    <w:p w:rsidR="007B5CB1" w:rsidRPr="007B5CB1" w:rsidRDefault="007B5CB1" w:rsidP="007B5CB1">
      <w:pPr>
        <w:pStyle w:val="ListParagraph"/>
        <w:spacing w:after="0"/>
        <w:ind w:left="-66" w:right="-625"/>
        <w:jc w:val="both"/>
        <w:rPr>
          <w:rFonts w:ascii="Tahoma" w:hAnsi="Tahoma" w:cs="Tahoma"/>
          <w:b/>
          <w:lang w:val="en-GB"/>
        </w:rPr>
      </w:pPr>
      <w:r w:rsidRPr="007B5CB1">
        <w:rPr>
          <w:rFonts w:ascii="Tahoma" w:hAnsi="Tahoma" w:cs="Tahoma"/>
          <w:lang w:val="en-GB"/>
        </w:rPr>
        <w:lastRenderedPageBreak/>
        <w:t>The committee may receive complaints</w:t>
      </w:r>
      <w:r w:rsidR="00314189">
        <w:rPr>
          <w:rFonts w:ascii="Tahoma" w:hAnsi="Tahoma" w:cs="Tahoma"/>
          <w:lang w:val="en-GB"/>
        </w:rPr>
        <w:t>,</w:t>
      </w:r>
      <w:r w:rsidRPr="007B5CB1">
        <w:rPr>
          <w:rFonts w:ascii="Tahoma" w:hAnsi="Tahoma" w:cs="Tahoma"/>
          <w:lang w:val="en-GB"/>
        </w:rPr>
        <w:t xml:space="preserve"> which are forwarded to the Labour Department for investigation (the Department is responsible to inform the Committee for the outcome of the investigation), provides advice and information regarding gender equality issues in employment and vocational training and provides legal aid (free of charge) to victims of discriminative behaviour.</w:t>
      </w:r>
    </w:p>
    <w:p w:rsidR="007B5CB1" w:rsidRPr="007B5CB1" w:rsidRDefault="007B5CB1" w:rsidP="007B5CB1">
      <w:pPr>
        <w:pStyle w:val="ListParagraph"/>
        <w:rPr>
          <w:rFonts w:ascii="Tahoma" w:hAnsi="Tahoma" w:cs="Tahoma"/>
          <w:lang w:val="en-GB"/>
        </w:rPr>
      </w:pPr>
    </w:p>
    <w:p w:rsidR="003C528B" w:rsidRDefault="003C528B" w:rsidP="003C528B">
      <w:pPr>
        <w:pStyle w:val="ListParagraph"/>
        <w:numPr>
          <w:ilvl w:val="0"/>
          <w:numId w:val="1"/>
        </w:numPr>
        <w:spacing w:after="0"/>
        <w:ind w:right="-625"/>
        <w:jc w:val="both"/>
        <w:rPr>
          <w:rFonts w:ascii="Tahoma" w:hAnsi="Tahoma" w:cs="Tahoma"/>
          <w:lang w:val="en-US"/>
        </w:rPr>
      </w:pPr>
      <w:r w:rsidRPr="001D61EA">
        <w:rPr>
          <w:rFonts w:ascii="Tahoma" w:hAnsi="Tahoma" w:cs="Tahoma"/>
          <w:b/>
          <w:lang w:val="en-US"/>
        </w:rPr>
        <w:t>National Machinery for Women's Rights</w:t>
      </w:r>
      <w:r w:rsidR="007B5CB1">
        <w:rPr>
          <w:rStyle w:val="FootnoteReference"/>
          <w:rFonts w:ascii="Tahoma" w:hAnsi="Tahoma" w:cs="Tahoma"/>
          <w:lang w:val="en-US"/>
        </w:rPr>
        <w:footnoteReference w:id="3"/>
      </w:r>
      <w:r w:rsidRPr="001E431D">
        <w:rPr>
          <w:rFonts w:ascii="Tahoma" w:hAnsi="Tahoma" w:cs="Tahoma"/>
          <w:lang w:val="en-US"/>
        </w:rPr>
        <w:t xml:space="preserve"> - Ministry of Justice and Public Order</w:t>
      </w:r>
    </w:p>
    <w:p w:rsidR="007B5CB1" w:rsidRPr="007B5CB1" w:rsidRDefault="007B5CB1" w:rsidP="007B5CB1">
      <w:pPr>
        <w:pStyle w:val="ListParagraph"/>
        <w:rPr>
          <w:rFonts w:ascii="Tahoma" w:hAnsi="Tahoma" w:cs="Tahoma"/>
          <w:lang w:val="en-US"/>
        </w:rPr>
      </w:pPr>
    </w:p>
    <w:p w:rsidR="007B5CB1" w:rsidRDefault="003C528B" w:rsidP="007B5CB1">
      <w:pPr>
        <w:pStyle w:val="ListParagraph"/>
        <w:numPr>
          <w:ilvl w:val="0"/>
          <w:numId w:val="1"/>
        </w:numPr>
        <w:spacing w:after="0"/>
        <w:ind w:right="-625"/>
        <w:jc w:val="both"/>
        <w:rPr>
          <w:rFonts w:ascii="Tahoma" w:hAnsi="Tahoma" w:cs="Tahoma"/>
          <w:lang w:val="en-US"/>
        </w:rPr>
      </w:pPr>
      <w:r w:rsidRPr="001D61EA">
        <w:rPr>
          <w:rFonts w:ascii="Tahoma" w:hAnsi="Tahoma" w:cs="Tahoma"/>
          <w:b/>
          <w:lang w:val="en-US"/>
        </w:rPr>
        <w:t>Gender Equality Commissioner</w:t>
      </w:r>
      <w:r>
        <w:rPr>
          <w:rFonts w:ascii="Tahoma" w:hAnsi="Tahoma" w:cs="Tahoma"/>
          <w:lang w:val="en-US"/>
        </w:rPr>
        <w:t xml:space="preserve"> (presiding the National Machinery for Women’s rights, responsible for policy formulation on gender equality)</w:t>
      </w:r>
    </w:p>
    <w:p w:rsidR="007B5CB1" w:rsidRPr="007B5CB1" w:rsidRDefault="007B5CB1" w:rsidP="007B5CB1">
      <w:pPr>
        <w:pStyle w:val="ListParagraph"/>
        <w:rPr>
          <w:rFonts w:ascii="Tahoma" w:hAnsi="Tahoma" w:cs="Tahoma"/>
          <w:lang w:val="en-US"/>
        </w:rPr>
      </w:pPr>
    </w:p>
    <w:p w:rsidR="00790512" w:rsidRPr="001E431D" w:rsidRDefault="00790512" w:rsidP="00790512">
      <w:pPr>
        <w:pStyle w:val="ListParagraph"/>
        <w:numPr>
          <w:ilvl w:val="0"/>
          <w:numId w:val="1"/>
        </w:numPr>
        <w:spacing w:after="0"/>
        <w:ind w:right="-625"/>
        <w:jc w:val="both"/>
        <w:rPr>
          <w:rFonts w:ascii="Tahoma" w:hAnsi="Tahoma" w:cs="Tahoma"/>
          <w:lang w:val="en-US"/>
        </w:rPr>
      </w:pPr>
      <w:r w:rsidRPr="001D61EA">
        <w:rPr>
          <w:rFonts w:ascii="Tahoma" w:hAnsi="Tahoma" w:cs="Tahoma"/>
          <w:b/>
          <w:lang w:val="en-US"/>
        </w:rPr>
        <w:t>Labour Department</w:t>
      </w:r>
      <w:r w:rsidRPr="001E431D">
        <w:rPr>
          <w:rFonts w:ascii="Tahoma" w:hAnsi="Tahoma" w:cs="Tahoma"/>
          <w:lang w:val="en-US"/>
        </w:rPr>
        <w:t xml:space="preserve"> – Ministry of Labour, Welfare and Social Insurance </w:t>
      </w:r>
      <w:r>
        <w:rPr>
          <w:rFonts w:ascii="Tahoma" w:hAnsi="Tahoma" w:cs="Tahoma"/>
          <w:lang w:val="en-US"/>
        </w:rPr>
        <w:t>designates Inspectors</w:t>
      </w:r>
    </w:p>
    <w:p w:rsidR="007B5CB1" w:rsidRDefault="007B5CB1" w:rsidP="007B5CB1">
      <w:pPr>
        <w:pStyle w:val="ListParagraph"/>
        <w:ind w:left="-66"/>
        <w:rPr>
          <w:noProof/>
          <w:lang w:val="en-GB"/>
        </w:rPr>
      </w:pPr>
    </w:p>
    <w:p w:rsidR="007B5CB1" w:rsidRPr="007B5CB1" w:rsidRDefault="007B5CB1" w:rsidP="007B5CB1">
      <w:pPr>
        <w:pStyle w:val="ListParagraph"/>
        <w:spacing w:after="0"/>
        <w:ind w:left="-66" w:right="-625"/>
        <w:jc w:val="both"/>
        <w:rPr>
          <w:rFonts w:ascii="Tahoma" w:hAnsi="Tahoma" w:cs="Tahoma"/>
          <w:lang w:val="en-GB"/>
        </w:rPr>
      </w:pPr>
      <w:r w:rsidRPr="007B5CB1">
        <w:rPr>
          <w:rFonts w:ascii="Tahoma" w:hAnsi="Tahoma" w:cs="Tahoma"/>
          <w:lang w:val="en-GB"/>
        </w:rPr>
        <w:t xml:space="preserve">Equality Inspectors, Ministry of Labour, Welfare and Social Insurance – According to the Law No. 205(I)/2002 – article 24 - the Minister of Labour and Social Insurance can appoint inspectors to ensure the better implementation of the legislation relating to gender discrimination and the promotion of equality between the sexes.  </w:t>
      </w:r>
    </w:p>
    <w:p w:rsidR="00687CD0" w:rsidRDefault="00687CD0">
      <w:pPr>
        <w:rPr>
          <w:lang w:val="en-US"/>
        </w:rPr>
      </w:pPr>
    </w:p>
    <w:p w:rsidR="00790512" w:rsidRDefault="001D61EA" w:rsidP="001D61EA">
      <w:pPr>
        <w:jc w:val="center"/>
        <w:rPr>
          <w:lang w:val="en-US"/>
        </w:rPr>
      </w:pPr>
      <w:r>
        <w:rPr>
          <w:lang w:val="en-US"/>
        </w:rPr>
        <w:t>********</w:t>
      </w:r>
    </w:p>
    <w:p w:rsidR="001D61EA" w:rsidRDefault="001D61EA" w:rsidP="001D61EA">
      <w:pPr>
        <w:spacing w:after="0" w:line="276" w:lineRule="auto"/>
        <w:ind w:left="-284" w:right="-625"/>
        <w:jc w:val="both"/>
        <w:rPr>
          <w:rFonts w:ascii="Tahoma" w:hAnsi="Tahoma" w:cs="Tahoma"/>
        </w:rPr>
      </w:pPr>
      <w:r>
        <w:rPr>
          <w:rFonts w:ascii="Tahoma" w:hAnsi="Tahoma" w:cs="Tahoma"/>
        </w:rPr>
        <w:t>From the above mentioned mechanisms/organs, in the cases of the</w:t>
      </w:r>
      <w:r w:rsidR="00040469">
        <w:rPr>
          <w:rFonts w:ascii="Tahoma" w:hAnsi="Tahoma" w:cs="Tahoma"/>
        </w:rPr>
        <w:t xml:space="preserve"> Office of the</w:t>
      </w:r>
      <w:r>
        <w:rPr>
          <w:rFonts w:ascii="Tahoma" w:hAnsi="Tahoma" w:cs="Tahoma"/>
        </w:rPr>
        <w:t xml:space="preserve"> Commissioner for Administration and the </w:t>
      </w:r>
      <w:r w:rsidR="00040469">
        <w:rPr>
          <w:rFonts w:ascii="Tahoma" w:hAnsi="Tahoma" w:cs="Tahoma"/>
        </w:rPr>
        <w:t xml:space="preserve">Office of the </w:t>
      </w:r>
      <w:r>
        <w:rPr>
          <w:rFonts w:ascii="Tahoma" w:hAnsi="Tahoma" w:cs="Tahoma"/>
        </w:rPr>
        <w:t xml:space="preserve">Commissioner for the Protection of Children’s Rights, </w:t>
      </w:r>
      <w:r w:rsidR="00040469">
        <w:rPr>
          <w:rFonts w:ascii="Tahoma" w:hAnsi="Tahoma" w:cs="Tahoma"/>
        </w:rPr>
        <w:t xml:space="preserve">which are single-headed organisations, Commissioner’s </w:t>
      </w:r>
      <w:r>
        <w:rPr>
          <w:rFonts w:ascii="Tahoma" w:hAnsi="Tahoma" w:cs="Tahoma"/>
        </w:rPr>
        <w:t xml:space="preserve">appointment is regulated by their relevant legislation. No specific consideration of gender balance at the process of nominating and appointing the Commissioners. </w:t>
      </w:r>
      <w:r w:rsidR="00314189">
        <w:rPr>
          <w:rFonts w:ascii="Tahoma" w:hAnsi="Tahoma" w:cs="Tahoma"/>
        </w:rPr>
        <w:t>However</w:t>
      </w:r>
      <w:r w:rsidR="00040469">
        <w:rPr>
          <w:rFonts w:ascii="Tahoma" w:hAnsi="Tahoma" w:cs="Tahoma"/>
        </w:rPr>
        <w:t>,</w:t>
      </w:r>
      <w:r w:rsidR="00314189">
        <w:rPr>
          <w:rFonts w:ascii="Tahoma" w:hAnsi="Tahoma" w:cs="Tahoma"/>
        </w:rPr>
        <w:t xml:space="preserve"> within the last years,</w:t>
      </w:r>
      <w:r w:rsidR="00040469">
        <w:rPr>
          <w:rFonts w:ascii="Tahoma" w:hAnsi="Tahoma" w:cs="Tahoma"/>
        </w:rPr>
        <w:t xml:space="preserve"> in both these positions, women were appointed.</w:t>
      </w:r>
    </w:p>
    <w:p w:rsidR="00040469" w:rsidRDefault="00040469" w:rsidP="001D61EA">
      <w:pPr>
        <w:spacing w:after="0" w:line="276" w:lineRule="auto"/>
        <w:ind w:left="-284" w:right="-625"/>
        <w:jc w:val="both"/>
        <w:rPr>
          <w:rFonts w:ascii="Tahoma" w:hAnsi="Tahoma" w:cs="Tahoma"/>
        </w:rPr>
      </w:pPr>
    </w:p>
    <w:p w:rsidR="00040469" w:rsidRPr="00573745" w:rsidRDefault="00040469" w:rsidP="00040469">
      <w:pPr>
        <w:spacing w:after="0" w:line="276" w:lineRule="auto"/>
        <w:ind w:left="-284" w:right="-625"/>
        <w:jc w:val="both"/>
        <w:rPr>
          <w:rFonts w:ascii="Tahoma" w:hAnsi="Tahoma" w:cs="Tahoma"/>
          <w:lang w:val="en-US"/>
        </w:rPr>
      </w:pPr>
      <w:r w:rsidRPr="00040469">
        <w:rPr>
          <w:rFonts w:ascii="Tahoma" w:hAnsi="Tahoma" w:cs="Tahoma"/>
        </w:rPr>
        <w:t>In the case of the Gender Equality Commissioner</w:t>
      </w:r>
      <w:r w:rsidRPr="00040469">
        <w:rPr>
          <w:rFonts w:ascii="Tahoma" w:hAnsi="Tahoma" w:cs="Tahoma"/>
          <w:lang w:val="en-US"/>
        </w:rPr>
        <w:t xml:space="preserve">, there is no specific appointment procedure. </w:t>
      </w:r>
      <w:r>
        <w:rPr>
          <w:rFonts w:ascii="Tahoma" w:hAnsi="Tahoma" w:cs="Tahoma"/>
          <w:lang w:val="en-US"/>
        </w:rPr>
        <w:t xml:space="preserve">The Gender Equality Commissioner was first appointed in </w:t>
      </w:r>
      <w:r w:rsidR="00314189">
        <w:rPr>
          <w:rFonts w:ascii="Tahoma" w:hAnsi="Tahoma" w:cs="Tahoma"/>
          <w:lang w:val="en-US"/>
        </w:rPr>
        <w:t>2014 and is directly accountable</w:t>
      </w:r>
      <w:r>
        <w:rPr>
          <w:rFonts w:ascii="Tahoma" w:hAnsi="Tahoma" w:cs="Tahoma"/>
          <w:lang w:val="en-US"/>
        </w:rPr>
        <w:t xml:space="preserve"> to the President of the Rep</w:t>
      </w:r>
      <w:r w:rsidR="00314189">
        <w:rPr>
          <w:rFonts w:ascii="Tahoma" w:hAnsi="Tahoma" w:cs="Tahoma"/>
          <w:lang w:val="en-US"/>
        </w:rPr>
        <w:t xml:space="preserve">ublic of Cyprus. Currently, both these </w:t>
      </w:r>
      <w:r>
        <w:rPr>
          <w:rFonts w:ascii="Tahoma" w:hAnsi="Tahoma" w:cs="Tahoma"/>
          <w:lang w:val="en-US"/>
        </w:rPr>
        <w:t xml:space="preserve">positions are held by women. </w:t>
      </w:r>
      <w:r w:rsidR="00573745">
        <w:rPr>
          <w:rFonts w:ascii="Tahoma" w:hAnsi="Tahoma" w:cs="Tahoma"/>
          <w:lang w:val="en-US"/>
        </w:rPr>
        <w:t>T</w:t>
      </w:r>
      <w:r w:rsidR="00573745" w:rsidRPr="00040469">
        <w:rPr>
          <w:rFonts w:ascii="Tahoma" w:hAnsi="Tahoma" w:cs="Tahoma"/>
        </w:rPr>
        <w:t xml:space="preserve">he President of the Committee of </w:t>
      </w:r>
      <w:r w:rsidR="00573745" w:rsidRPr="00040469">
        <w:rPr>
          <w:rFonts w:ascii="Tahoma" w:hAnsi="Tahoma" w:cs="Tahoma"/>
          <w:lang w:val="en-US"/>
        </w:rPr>
        <w:t>Gender Equality in Employment and Vocational Training Committee</w:t>
      </w:r>
      <w:r w:rsidR="00573745" w:rsidRPr="00573745">
        <w:rPr>
          <w:rFonts w:ascii="Tahoma" w:hAnsi="Tahoma" w:cs="Tahoma"/>
        </w:rPr>
        <w:t xml:space="preserve"> </w:t>
      </w:r>
      <w:r w:rsidR="00573745">
        <w:rPr>
          <w:rFonts w:ascii="Tahoma" w:hAnsi="Tahoma" w:cs="Tahoma"/>
          <w:lang w:val="en-US"/>
        </w:rPr>
        <w:t xml:space="preserve">is appointed by the Minister of Labour, Welfare and Social Insurance (article 22, </w:t>
      </w:r>
      <w:r w:rsidR="00573745" w:rsidRPr="00573745">
        <w:rPr>
          <w:rFonts w:ascii="Tahoma" w:hAnsi="Tahoma" w:cs="Tahoma"/>
        </w:rPr>
        <w:t>L.205(I)/2002</w:t>
      </w:r>
      <w:r w:rsidR="00573745">
        <w:rPr>
          <w:rFonts w:ascii="Tahoma" w:hAnsi="Tahoma" w:cs="Tahoma"/>
        </w:rPr>
        <w:t xml:space="preserve">). Members of the Committee are representatives from Ministries and representatives from the social partners, who are appointed by the Minister of Labour, Welfare and Social Insurance, after being recommended by their organisations (of employees and of employers). </w:t>
      </w:r>
    </w:p>
    <w:p w:rsidR="00040469" w:rsidRDefault="00040469" w:rsidP="001D61EA">
      <w:pPr>
        <w:spacing w:after="0" w:line="276" w:lineRule="auto"/>
        <w:ind w:left="-284" w:right="-625"/>
        <w:jc w:val="both"/>
        <w:rPr>
          <w:rFonts w:ascii="Tahoma" w:hAnsi="Tahoma" w:cs="Tahoma"/>
        </w:rPr>
      </w:pPr>
    </w:p>
    <w:p w:rsidR="007B5CB1" w:rsidRDefault="00040469" w:rsidP="00040469">
      <w:pPr>
        <w:spacing w:after="0" w:line="276" w:lineRule="auto"/>
        <w:ind w:left="-284" w:right="-625"/>
        <w:jc w:val="both"/>
        <w:rPr>
          <w:rFonts w:ascii="Tahoma" w:hAnsi="Tahoma" w:cs="Tahoma"/>
        </w:rPr>
      </w:pPr>
      <w:r>
        <w:rPr>
          <w:rFonts w:ascii="Tahoma" w:hAnsi="Tahoma" w:cs="Tahoma"/>
        </w:rPr>
        <w:t xml:space="preserve">Our Office, issued a </w:t>
      </w:r>
      <w:r w:rsidR="007B5CB1" w:rsidRPr="001D61EA">
        <w:rPr>
          <w:rFonts w:ascii="Tahoma" w:hAnsi="Tahoma" w:cs="Tahoma"/>
        </w:rPr>
        <w:t>report in 2011, about the balanced participation of men and women at the decision making positions in political life. It was stated that quotas, may be a positive action</w:t>
      </w:r>
      <w:r w:rsidR="00314189">
        <w:rPr>
          <w:rFonts w:ascii="Tahoma" w:hAnsi="Tahoma" w:cs="Tahoma"/>
        </w:rPr>
        <w:t xml:space="preserve"> – not always applicable – at least until circumstances are led to</w:t>
      </w:r>
      <w:r w:rsidR="007B5CB1" w:rsidRPr="001D61EA">
        <w:rPr>
          <w:rFonts w:ascii="Tahoma" w:hAnsi="Tahoma" w:cs="Tahoma"/>
        </w:rPr>
        <w:t xml:space="preserve"> adequate representation of women </w:t>
      </w:r>
      <w:r w:rsidR="007B5CB1" w:rsidRPr="001D61EA">
        <w:rPr>
          <w:rFonts w:ascii="Tahoma" w:hAnsi="Tahoma" w:cs="Tahoma"/>
        </w:rPr>
        <w:lastRenderedPageBreak/>
        <w:t xml:space="preserve">in such positions. </w:t>
      </w:r>
      <w:r>
        <w:rPr>
          <w:rFonts w:ascii="Tahoma" w:hAnsi="Tahoma" w:cs="Tahoma"/>
        </w:rPr>
        <w:t>Few years later, a</w:t>
      </w:r>
      <w:r w:rsidR="007B5CB1" w:rsidRPr="001D61EA">
        <w:rPr>
          <w:rFonts w:ascii="Tahoma" w:hAnsi="Tahoma" w:cs="Tahoma"/>
        </w:rPr>
        <w:t xml:space="preserve"> legislation was adopted for quotas in the selection of Board membe</w:t>
      </w:r>
      <w:r w:rsidR="00314189">
        <w:rPr>
          <w:rFonts w:ascii="Tahoma" w:hAnsi="Tahoma" w:cs="Tahoma"/>
        </w:rPr>
        <w:t>rs for semi-governmental organis</w:t>
      </w:r>
      <w:r w:rsidR="007B5CB1" w:rsidRPr="001D61EA">
        <w:rPr>
          <w:rFonts w:ascii="Tahoma" w:hAnsi="Tahoma" w:cs="Tahoma"/>
        </w:rPr>
        <w:t xml:space="preserve">ations, but the </w:t>
      </w:r>
      <w:r>
        <w:rPr>
          <w:rFonts w:ascii="Tahoma" w:hAnsi="Tahoma" w:cs="Tahoma"/>
        </w:rPr>
        <w:t xml:space="preserve">Supreme Court </w:t>
      </w:r>
      <w:r w:rsidR="007B5CB1" w:rsidRPr="001D61EA">
        <w:rPr>
          <w:rFonts w:ascii="Tahoma" w:hAnsi="Tahoma" w:cs="Tahoma"/>
        </w:rPr>
        <w:t>decided</w:t>
      </w:r>
      <w:r w:rsidR="00B43D0B">
        <w:rPr>
          <w:rStyle w:val="FootnoteReference"/>
          <w:rFonts w:ascii="Tahoma" w:hAnsi="Tahoma" w:cs="Tahoma"/>
        </w:rPr>
        <w:footnoteReference w:id="4"/>
      </w:r>
      <w:r w:rsidR="00314189">
        <w:rPr>
          <w:rFonts w:ascii="Tahoma" w:hAnsi="Tahoma" w:cs="Tahoma"/>
        </w:rPr>
        <w:t xml:space="preserve"> that the law was not in line with</w:t>
      </w:r>
      <w:r w:rsidR="007B5CB1" w:rsidRPr="001D61EA">
        <w:rPr>
          <w:rFonts w:ascii="Tahoma" w:hAnsi="Tahoma" w:cs="Tahoma"/>
        </w:rPr>
        <w:t xml:space="preserve"> Cyprus Constitution. </w:t>
      </w:r>
    </w:p>
    <w:p w:rsidR="00040469" w:rsidRDefault="00040469" w:rsidP="00040469">
      <w:pPr>
        <w:spacing w:after="0" w:line="276" w:lineRule="auto"/>
        <w:ind w:left="-284" w:right="-625"/>
        <w:jc w:val="both"/>
        <w:rPr>
          <w:rFonts w:ascii="Tahoma" w:hAnsi="Tahoma" w:cs="Tahoma"/>
        </w:rPr>
      </w:pPr>
    </w:p>
    <w:p w:rsidR="007B5CB1" w:rsidRPr="00790512" w:rsidRDefault="00040469" w:rsidP="00B43D0B">
      <w:pPr>
        <w:spacing w:after="0" w:line="276" w:lineRule="auto"/>
        <w:ind w:left="-284" w:right="-625"/>
        <w:jc w:val="both"/>
        <w:rPr>
          <w:lang w:val="en-US"/>
        </w:rPr>
      </w:pPr>
      <w:r>
        <w:rPr>
          <w:rFonts w:ascii="Tahoma" w:hAnsi="Tahoma" w:cs="Tahoma"/>
        </w:rPr>
        <w:t xml:space="preserve">In general, our Office, NGOs and the other mechanisms took initiatives for the promotion of the equal representation of men and women, mainly in the election process. </w:t>
      </w:r>
    </w:p>
    <w:sectPr w:rsidR="007B5CB1" w:rsidRPr="00790512" w:rsidSect="00573745">
      <w:pgSz w:w="11906" w:h="16838"/>
      <w:pgMar w:top="1440" w:right="1800" w:bottom="226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8C5" w:rsidRDefault="00EF58C5" w:rsidP="007B5CB1">
      <w:pPr>
        <w:spacing w:after="0" w:line="240" w:lineRule="auto"/>
      </w:pPr>
      <w:r>
        <w:separator/>
      </w:r>
    </w:p>
  </w:endnote>
  <w:endnote w:type="continuationSeparator" w:id="0">
    <w:p w:rsidR="00EF58C5" w:rsidRDefault="00EF58C5" w:rsidP="007B5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A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8C5" w:rsidRDefault="00EF58C5" w:rsidP="007B5CB1">
      <w:pPr>
        <w:spacing w:after="0" w:line="240" w:lineRule="auto"/>
      </w:pPr>
      <w:r>
        <w:separator/>
      </w:r>
    </w:p>
  </w:footnote>
  <w:footnote w:type="continuationSeparator" w:id="0">
    <w:p w:rsidR="00EF58C5" w:rsidRDefault="00EF58C5" w:rsidP="007B5CB1">
      <w:pPr>
        <w:spacing w:after="0" w:line="240" w:lineRule="auto"/>
      </w:pPr>
      <w:r>
        <w:continuationSeparator/>
      </w:r>
    </w:p>
  </w:footnote>
  <w:footnote w:id="1">
    <w:p w:rsidR="001D61EA" w:rsidRPr="001D61EA" w:rsidRDefault="001D61EA" w:rsidP="00B43D0B">
      <w:pPr>
        <w:pStyle w:val="FootnoteText"/>
        <w:ind w:left="-284"/>
        <w:rPr>
          <w:lang w:val="en-US"/>
        </w:rPr>
      </w:pPr>
      <w:r>
        <w:rPr>
          <w:rStyle w:val="FootnoteReference"/>
        </w:rPr>
        <w:footnoteRef/>
      </w:r>
      <w:r>
        <w:t xml:space="preserve"> </w:t>
      </w:r>
      <w:r w:rsidRPr="001D61EA">
        <w:rPr>
          <w:rFonts w:ascii="Tahoma" w:hAnsi="Tahoma" w:cs="Tahoma"/>
        </w:rPr>
        <w:t>Commissioner’s competences are also arising from other legislations.</w:t>
      </w:r>
      <w:r>
        <w:rPr>
          <w:rFonts w:ascii="Tahoma" w:hAnsi="Tahoma" w:cs="Tahoma"/>
          <w:sz w:val="24"/>
          <w:szCs w:val="24"/>
        </w:rPr>
        <w:t xml:space="preserve"> </w:t>
      </w:r>
    </w:p>
  </w:footnote>
  <w:footnote w:id="2">
    <w:p w:rsidR="00573745" w:rsidRPr="003C3B27" w:rsidRDefault="00573745" w:rsidP="00573745">
      <w:pPr>
        <w:pStyle w:val="FootnoteText"/>
        <w:ind w:left="-284"/>
        <w:rPr>
          <w:rFonts w:ascii="Tahoma" w:hAnsi="Tahoma" w:cs="Tahoma"/>
        </w:rPr>
      </w:pPr>
      <w:r w:rsidRPr="003C3B27">
        <w:rPr>
          <w:rStyle w:val="FootnoteReference"/>
          <w:rFonts w:ascii="Tahoma" w:hAnsi="Tahoma" w:cs="Tahoma"/>
        </w:rPr>
        <w:footnoteRef/>
      </w:r>
      <w:r w:rsidRPr="003C3B27">
        <w:rPr>
          <w:rFonts w:ascii="Tahoma" w:hAnsi="Tahoma" w:cs="Tahoma"/>
        </w:rPr>
        <w:t xml:space="preserve"> </w:t>
      </w:r>
      <w:proofErr w:type="spellStart"/>
      <w:r w:rsidRPr="003C3B27">
        <w:rPr>
          <w:rFonts w:ascii="Tahoma" w:hAnsi="Tahoma" w:cs="Tahoma"/>
          <w:lang w:val="en-US"/>
        </w:rPr>
        <w:t>Harmonisation</w:t>
      </w:r>
      <w:proofErr w:type="spellEnd"/>
      <w:r w:rsidRPr="003C3B27">
        <w:rPr>
          <w:rFonts w:ascii="Tahoma" w:hAnsi="Tahoma" w:cs="Tahoma"/>
          <w:lang w:val="en-US"/>
        </w:rPr>
        <w:t xml:space="preserve"> with 76/207/EEC, 97/80/EC and 2006/54/EC.</w:t>
      </w:r>
    </w:p>
  </w:footnote>
  <w:footnote w:id="3">
    <w:p w:rsidR="007B5CB1" w:rsidRPr="007B5CB1" w:rsidRDefault="007B5CB1" w:rsidP="00B43D0B">
      <w:pPr>
        <w:pStyle w:val="FootnoteText"/>
        <w:ind w:left="-284" w:right="-625"/>
        <w:rPr>
          <w:lang w:val="en-US"/>
        </w:rPr>
      </w:pPr>
      <w:r>
        <w:rPr>
          <w:rStyle w:val="FootnoteReference"/>
        </w:rPr>
        <w:footnoteRef/>
      </w:r>
      <w:r>
        <w:t xml:space="preserve"> </w:t>
      </w:r>
      <w:hyperlink r:id="rId1" w:history="1">
        <w:r w:rsidRPr="001E33B3">
          <w:rPr>
            <w:rStyle w:val="Hyperlink"/>
            <w:noProof/>
          </w:rPr>
          <w:t>http://www.mjpo.gov.cy/mjpo/mjpo.nsf/All/1DD21BB8F29B6A5DC22579B40039F4CA</w:t>
        </w:r>
      </w:hyperlink>
      <w:r>
        <w:rPr>
          <w:noProof/>
        </w:rPr>
        <w:t xml:space="preserve"> </w:t>
      </w:r>
    </w:p>
  </w:footnote>
  <w:footnote w:id="4">
    <w:p w:rsidR="00B43D0B" w:rsidRPr="00B43D0B" w:rsidRDefault="00B43D0B" w:rsidP="00B43D0B">
      <w:pPr>
        <w:pStyle w:val="FootnoteText"/>
        <w:ind w:left="-284" w:right="-625"/>
        <w:rPr>
          <w:lang w:val="en-US"/>
        </w:rPr>
      </w:pPr>
      <w:r>
        <w:rPr>
          <w:rStyle w:val="FootnoteReference"/>
        </w:rPr>
        <w:footnoteRef/>
      </w:r>
      <w:r>
        <w:t xml:space="preserve"> </w:t>
      </w:r>
      <w:r>
        <w:rPr>
          <w:lang w:val="en-US"/>
        </w:rPr>
        <w:t xml:space="preserve">Decision (in Greek): </w:t>
      </w:r>
      <w:hyperlink r:id="rId2" w:history="1">
        <w:r>
          <w:rPr>
            <w:rStyle w:val="Hyperlink"/>
          </w:rPr>
          <w:t>http://www.cylaw.org/cgi-bin/open.pl?file=apofaseis/aad/meros_3/2017/3-201707-2-16Anaf.htm&amp;qstring=%EF%F1%E9%F3%EC%E5%ED%2A%20and%20%ED%EF%EC%E9%EA%2A%20and%20%F0%F1%EF%F3%F9%F0%2A%20and%20%E4%E7%EC%EF%F3%2A%20and%20%E4%E9%EA%E1%E9%2A%20and%20%28%E4%E9%EF%F1%E9%F3%EC%2A%20and%20%E4%E9%EF%E9%EA%E7%F4%2A%20and%20%F3%F5%EC%E2%EF%F5%EB%2A%29%20and%20%28%F4%F1%EF%F0%EF%F0%EF%E9%E7%F4%E9%EA%2A%29%20and%20%ED%EF%EC%EF%20and%20%F4%EF%F5%20and%202016</w:t>
        </w:r>
      </w:hyperlink>
      <w: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6543D2"/>
    <w:multiLevelType w:val="hybridMultilevel"/>
    <w:tmpl w:val="2E12BEE6"/>
    <w:lvl w:ilvl="0" w:tplc="815402B4">
      <w:numFmt w:val="bullet"/>
      <w:lvlText w:val="-"/>
      <w:lvlJc w:val="left"/>
      <w:pPr>
        <w:ind w:left="-66" w:hanging="360"/>
      </w:pPr>
      <w:rPr>
        <w:rFonts w:ascii="Tahoma" w:eastAsia="Calibri" w:hAnsi="Tahoma" w:cs="Tahoma" w:hint="default"/>
      </w:rPr>
    </w:lvl>
    <w:lvl w:ilvl="1" w:tplc="08090003" w:tentative="1">
      <w:start w:val="1"/>
      <w:numFmt w:val="bullet"/>
      <w:lvlText w:val="o"/>
      <w:lvlJc w:val="left"/>
      <w:pPr>
        <w:ind w:left="654" w:hanging="360"/>
      </w:pPr>
      <w:rPr>
        <w:rFonts w:ascii="Courier New" w:hAnsi="Courier New" w:cs="Courier New" w:hint="default"/>
      </w:rPr>
    </w:lvl>
    <w:lvl w:ilvl="2" w:tplc="08090005" w:tentative="1">
      <w:start w:val="1"/>
      <w:numFmt w:val="bullet"/>
      <w:lvlText w:val=""/>
      <w:lvlJc w:val="left"/>
      <w:pPr>
        <w:ind w:left="1374" w:hanging="360"/>
      </w:pPr>
      <w:rPr>
        <w:rFonts w:ascii="Wingdings" w:hAnsi="Wingdings" w:hint="default"/>
      </w:rPr>
    </w:lvl>
    <w:lvl w:ilvl="3" w:tplc="08090001" w:tentative="1">
      <w:start w:val="1"/>
      <w:numFmt w:val="bullet"/>
      <w:lvlText w:val=""/>
      <w:lvlJc w:val="left"/>
      <w:pPr>
        <w:ind w:left="2094" w:hanging="360"/>
      </w:pPr>
      <w:rPr>
        <w:rFonts w:ascii="Symbol" w:hAnsi="Symbol" w:hint="default"/>
      </w:rPr>
    </w:lvl>
    <w:lvl w:ilvl="4" w:tplc="08090003" w:tentative="1">
      <w:start w:val="1"/>
      <w:numFmt w:val="bullet"/>
      <w:lvlText w:val="o"/>
      <w:lvlJc w:val="left"/>
      <w:pPr>
        <w:ind w:left="2814" w:hanging="360"/>
      </w:pPr>
      <w:rPr>
        <w:rFonts w:ascii="Courier New" w:hAnsi="Courier New" w:cs="Courier New" w:hint="default"/>
      </w:rPr>
    </w:lvl>
    <w:lvl w:ilvl="5" w:tplc="08090005" w:tentative="1">
      <w:start w:val="1"/>
      <w:numFmt w:val="bullet"/>
      <w:lvlText w:val=""/>
      <w:lvlJc w:val="left"/>
      <w:pPr>
        <w:ind w:left="3534" w:hanging="360"/>
      </w:pPr>
      <w:rPr>
        <w:rFonts w:ascii="Wingdings" w:hAnsi="Wingdings" w:hint="default"/>
      </w:rPr>
    </w:lvl>
    <w:lvl w:ilvl="6" w:tplc="08090001" w:tentative="1">
      <w:start w:val="1"/>
      <w:numFmt w:val="bullet"/>
      <w:lvlText w:val=""/>
      <w:lvlJc w:val="left"/>
      <w:pPr>
        <w:ind w:left="4254" w:hanging="360"/>
      </w:pPr>
      <w:rPr>
        <w:rFonts w:ascii="Symbol" w:hAnsi="Symbol" w:hint="default"/>
      </w:rPr>
    </w:lvl>
    <w:lvl w:ilvl="7" w:tplc="08090003" w:tentative="1">
      <w:start w:val="1"/>
      <w:numFmt w:val="bullet"/>
      <w:lvlText w:val="o"/>
      <w:lvlJc w:val="left"/>
      <w:pPr>
        <w:ind w:left="4974" w:hanging="360"/>
      </w:pPr>
      <w:rPr>
        <w:rFonts w:ascii="Courier New" w:hAnsi="Courier New" w:cs="Courier New" w:hint="default"/>
      </w:rPr>
    </w:lvl>
    <w:lvl w:ilvl="8" w:tplc="08090005" w:tentative="1">
      <w:start w:val="1"/>
      <w:numFmt w:val="bullet"/>
      <w:lvlText w:val=""/>
      <w:lvlJc w:val="left"/>
      <w:pPr>
        <w:ind w:left="569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155"/>
    <w:rsid w:val="00040469"/>
    <w:rsid w:val="00050598"/>
    <w:rsid w:val="001D61EA"/>
    <w:rsid w:val="00314189"/>
    <w:rsid w:val="003C528B"/>
    <w:rsid w:val="004A3519"/>
    <w:rsid w:val="00573745"/>
    <w:rsid w:val="005A6155"/>
    <w:rsid w:val="00687CD0"/>
    <w:rsid w:val="00790512"/>
    <w:rsid w:val="007B5CB1"/>
    <w:rsid w:val="00812A17"/>
    <w:rsid w:val="00B43D0B"/>
    <w:rsid w:val="00BD2025"/>
    <w:rsid w:val="00E511EE"/>
    <w:rsid w:val="00EF58C5"/>
    <w:rsid w:val="00F74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B1D396-CC77-4F56-A17F-54C098B35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5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512"/>
    <w:pPr>
      <w:spacing w:after="200" w:line="276" w:lineRule="auto"/>
      <w:ind w:left="720"/>
      <w:contextualSpacing/>
    </w:pPr>
    <w:rPr>
      <w:lang w:val="el-GR"/>
    </w:rPr>
  </w:style>
  <w:style w:type="paragraph" w:styleId="FootnoteText">
    <w:name w:val="footnote text"/>
    <w:basedOn w:val="Normal"/>
    <w:link w:val="FootnoteTextChar"/>
    <w:uiPriority w:val="99"/>
    <w:semiHidden/>
    <w:unhideWhenUsed/>
    <w:rsid w:val="007B5C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5CB1"/>
    <w:rPr>
      <w:sz w:val="20"/>
      <w:szCs w:val="20"/>
    </w:rPr>
  </w:style>
  <w:style w:type="character" w:styleId="FootnoteReference">
    <w:name w:val="footnote reference"/>
    <w:basedOn w:val="DefaultParagraphFont"/>
    <w:uiPriority w:val="99"/>
    <w:semiHidden/>
    <w:unhideWhenUsed/>
    <w:rsid w:val="007B5CB1"/>
    <w:rPr>
      <w:vertAlign w:val="superscript"/>
    </w:rPr>
  </w:style>
  <w:style w:type="character" w:styleId="Hyperlink">
    <w:name w:val="Hyperlink"/>
    <w:basedOn w:val="DefaultParagraphFont"/>
    <w:uiPriority w:val="99"/>
    <w:unhideWhenUsed/>
    <w:rsid w:val="007B5CB1"/>
    <w:rPr>
      <w:color w:val="0563C1" w:themeColor="hyperlink"/>
      <w:u w:val="single"/>
    </w:rPr>
  </w:style>
  <w:style w:type="paragraph" w:styleId="BalloonText">
    <w:name w:val="Balloon Text"/>
    <w:basedOn w:val="Normal"/>
    <w:link w:val="BalloonTextChar"/>
    <w:uiPriority w:val="99"/>
    <w:semiHidden/>
    <w:unhideWhenUsed/>
    <w:rsid w:val="001D61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1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c.gov.cy/olc/olc.nsf/8A116E6D39753C5BC225847E00285F55/$file/Children's%20Protection%20Commissioner.pdf"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cylaw.org/cgi-bin/open.pl?file=apofaseis/aad/meros_3/2017/3-201707-2-16Anaf.htm&amp;qstring=%EF%F1%E9%F3%EC%E5%ED%2A%20and%20%ED%EF%EC%E9%EA%2A%20and%20%F0%F1%EF%F3%F9%F0%2A%20and%20%E4%E7%EC%EF%F3%2A%20and%20%E4%E9%EA%E1%E9%2A%20and%20%28%E4%E9%EF%F1%E9%F3%EC%2A%20and%20%E4%E9%EF%E9%EA%E7%F4%2A%20and%20%F3%F5%EC%E2%EF%F5%EB%2A%29%20and%20%28%F4%F1%EF%F0%EF%F0%EF%E9%E7%F4%E9%EA%2A%29%20and%20%ED%EF%EC%EF%20and%20%F4%EF%F5%20and%202016" TargetMode="External"/><Relationship Id="rId1" Type="http://schemas.openxmlformats.org/officeDocument/2006/relationships/hyperlink" Target="http://www.mjpo.gov.cy/mjpo/mjpo.nsf/All/1DD21BB8F29B6A5DC22579B40039F4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A4A5FDE-30A6-4472-99D9-D8BBF530804F}">
  <ds:schemaRefs>
    <ds:schemaRef ds:uri="http://schemas.openxmlformats.org/officeDocument/2006/bibliography"/>
  </ds:schemaRefs>
</ds:datastoreItem>
</file>

<file path=customXml/itemProps2.xml><?xml version="1.0" encoding="utf-8"?>
<ds:datastoreItem xmlns:ds="http://schemas.openxmlformats.org/officeDocument/2006/customXml" ds:itemID="{EAFEFF31-3DC3-44C7-B984-227372A2C7B5}"/>
</file>

<file path=customXml/itemProps3.xml><?xml version="1.0" encoding="utf-8"?>
<ds:datastoreItem xmlns:ds="http://schemas.openxmlformats.org/officeDocument/2006/customXml" ds:itemID="{C1EFEB90-6DD2-44E6-9D36-49542C42B31A}"/>
</file>

<file path=customXml/itemProps4.xml><?xml version="1.0" encoding="utf-8"?>
<ds:datastoreItem xmlns:ds="http://schemas.openxmlformats.org/officeDocument/2006/customXml" ds:itemID="{7DB0B4D0-FE38-4F6C-9679-0AF3EA7171F5}"/>
</file>

<file path=docProps/app.xml><?xml version="1.0" encoding="utf-8"?>
<Properties xmlns="http://schemas.openxmlformats.org/officeDocument/2006/extended-properties" xmlns:vt="http://schemas.openxmlformats.org/officeDocument/2006/docPropsVTypes">
  <Template>Normal.dotm</Template>
  <TotalTime>0</TotalTime>
  <Pages>3</Pages>
  <Words>792</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dc:creator>
  <cp:keywords/>
  <dc:description/>
  <cp:lastModifiedBy>NG</cp:lastModifiedBy>
  <cp:revision>2</cp:revision>
  <cp:lastPrinted>2019-11-11T12:38:00Z</cp:lastPrinted>
  <dcterms:created xsi:type="dcterms:W3CDTF">2019-12-16T09:25:00Z</dcterms:created>
  <dcterms:modified xsi:type="dcterms:W3CDTF">2019-12-16T09:25:00Z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